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28, 2018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CIVEO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5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British Columbia, Canada</w:t>
            </w:r>
          </w:p>
        </w:tc>
        <w:tc>
          <w:tcPr>
            <w:tcW w:w="4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1-36246</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2560" w:type="dxa"/>
            <w:vAlign w:val="bottom"/>
          </w:tcPr>
          <w:p>
            <w:pPr>
              <w:jc w:val="center"/>
              <w:ind w:right="330"/>
              <w:spacing w:after="0"/>
              <w:rPr>
                <w:sz w:val="20"/>
                <w:szCs w:val="20"/>
                <w:color w:val="auto"/>
              </w:rPr>
            </w:pPr>
            <w:r>
              <w:rPr>
                <w:rFonts w:ascii="Arial" w:cs="Arial" w:eastAsia="Arial" w:hAnsi="Arial"/>
                <w:sz w:val="18"/>
                <w:szCs w:val="18"/>
                <w:color w:val="auto"/>
                <w:w w:val="91"/>
              </w:rPr>
              <w:t>(State or Other Jurisdiction of</w:t>
            </w:r>
          </w:p>
        </w:tc>
        <w:tc>
          <w:tcPr>
            <w:tcW w:w="4820" w:type="dxa"/>
            <w:vAlign w:val="bottom"/>
          </w:tcPr>
          <w:p>
            <w:pPr>
              <w:jc w:val="center"/>
              <w:ind w:right="130"/>
              <w:spacing w:after="0"/>
              <w:rPr>
                <w:sz w:val="20"/>
                <w:szCs w:val="20"/>
                <w:color w:val="auto"/>
              </w:rPr>
            </w:pPr>
            <w:r>
              <w:rPr>
                <w:rFonts w:ascii="Arial" w:cs="Arial" w:eastAsia="Arial" w:hAnsi="Arial"/>
                <w:sz w:val="18"/>
                <w:szCs w:val="18"/>
                <w:color w:val="auto"/>
                <w:w w:val="93"/>
              </w:rPr>
              <w:t>(Commission File Number)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350"/>
              <w:spacing w:after="0"/>
              <w:rPr>
                <w:sz w:val="20"/>
                <w:szCs w:val="20"/>
                <w:color w:val="auto"/>
              </w:rPr>
            </w:pPr>
            <w:r>
              <w:rPr>
                <w:rFonts w:ascii="Arial" w:cs="Arial" w:eastAsia="Arial" w:hAnsi="Arial"/>
                <w:sz w:val="18"/>
                <w:szCs w:val="18"/>
                <w:color w:val="auto"/>
                <w:w w:val="93"/>
              </w:rPr>
              <w:t>Incorporation)</w:t>
            </w:r>
          </w:p>
        </w:tc>
        <w:tc>
          <w:tcPr>
            <w:tcW w:w="48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5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Allen Center,</w:t>
            </w:r>
          </w:p>
        </w:tc>
        <w:tc>
          <w:tcPr>
            <w:tcW w:w="1940" w:type="dxa"/>
            <w:vAlign w:val="bottom"/>
          </w:tcPr>
          <w:p>
            <w:pPr>
              <w:spacing w:after="0"/>
              <w:rPr>
                <w:sz w:val="24"/>
                <w:szCs w:val="24"/>
                <w:color w:val="auto"/>
              </w:rPr>
            </w:pPr>
          </w:p>
        </w:tc>
      </w:tr>
      <w:tr>
        <w:trPr>
          <w:trHeight w:val="220"/>
        </w:trPr>
        <w:tc>
          <w:tcPr>
            <w:tcW w:w="2560" w:type="dxa"/>
            <w:vAlign w:val="bottom"/>
          </w:tcPr>
          <w:p>
            <w:pPr>
              <w:spacing w:after="0"/>
              <w:rPr>
                <w:sz w:val="19"/>
                <w:szCs w:val="19"/>
                <w:color w:val="auto"/>
              </w:rPr>
            </w:pPr>
          </w:p>
        </w:tc>
        <w:tc>
          <w:tcPr>
            <w:tcW w:w="4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333 Clay Street, Suite 4980, Houston, Texas 77002</w:t>
            </w:r>
          </w:p>
        </w:tc>
        <w:tc>
          <w:tcPr>
            <w:tcW w:w="1940" w:type="dxa"/>
            <w:vAlign w:val="bottom"/>
          </w:tcPr>
          <w:p>
            <w:pPr>
              <w:spacing w:after="0"/>
              <w:rPr>
                <w:sz w:val="19"/>
                <w:szCs w:val="19"/>
                <w:color w:val="auto"/>
              </w:rPr>
            </w:pPr>
          </w:p>
        </w:tc>
      </w:tr>
      <w:tr>
        <w:trPr>
          <w:trHeight w:val="230"/>
        </w:trPr>
        <w:tc>
          <w:tcPr>
            <w:tcW w:w="2560" w:type="dxa"/>
            <w:vAlign w:val="bottom"/>
          </w:tcPr>
          <w:p>
            <w:pPr>
              <w:spacing w:after="0"/>
              <w:rPr>
                <w:sz w:val="20"/>
                <w:szCs w:val="20"/>
                <w:color w:val="auto"/>
              </w:rPr>
            </w:pPr>
          </w:p>
        </w:tc>
        <w:tc>
          <w:tcPr>
            <w:tcW w:w="4820" w:type="dxa"/>
            <w:vAlign w:val="bottom"/>
          </w:tcPr>
          <w:p>
            <w:pPr>
              <w:jc w:val="center"/>
              <w:ind w:right="110"/>
              <w:spacing w:after="0"/>
              <w:rPr>
                <w:sz w:val="20"/>
                <w:szCs w:val="20"/>
                <w:color w:val="auto"/>
              </w:rPr>
            </w:pPr>
            <w:r>
              <w:rPr>
                <w:rFonts w:ascii="Arial" w:cs="Arial" w:eastAsia="Arial" w:hAnsi="Arial"/>
                <w:sz w:val="18"/>
                <w:szCs w:val="18"/>
                <w:color w:val="auto"/>
                <w:w w:val="93"/>
              </w:rPr>
              <w:t>(Address of Principal Executive Offices) (Zip Code)</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510-2400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left="340" w:right="440" w:hanging="7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260"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Rights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 2018, Civeo Corporation (“Civeo”) completed its previously announced acquisition (the “Acquisition”) of Noralta Lodge Ltd. (“Noralta”), pursuant to the share purchase agreement, dated November 26, 2017, as amended by the amending agreement, dated March 15, 2018 (as so amended, the “Purchase Agreement”), by and among Civeo, Noralta, Torgerson Family Trust (the “Torgerson Trust”), 2073357 Alberta Ltd., 2073358 Alberta Ltd., 1818939 Alberta Ltd., 2040618 Alberta Ltd., 2040624 Alberta Ltd., 989677 Alberta Ltd. (“989677” and, together with the Torgerson Trust, the “Restricted Shareholders”) and Lance Torgerson.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closing of the Acquisition (the “Closing”), Civeo entered into the registration rights, lock-up and standstill agreement, dated April 2, 2018, with the Restricted Shareholders (the “Registration Rights Agreement”). A brief summary of the terms of the Registration Rights Agreement is included below. The summary of the terms of the Registration Rights Agreement is not complete and is entirely qualified by reference to the full text of the Registration Rights Agreement, a copy of which is attached as Exhibit 4.1 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Registration Rights Agreement, Civeo has agreed that, as soon as practicable following the date that is 18 months after the date of the Registration Rights Agreement, but in no event more than 30 days thereafter, Civeo will use its commercially reasonable efforts to prepare and file a shelf registration statement to register the Common Shares (as defined in Item 2.01 of this Current Report on Form 8-K) held by the Restricted Shareholders upon the closing of the Acquisition (including any Common Shares held in escrow) and any Common Shares issued upon conversion of the Preferred Shares (as defined in Item 2.01 of this Current Report on Form 8-K) held by the Restricted Shareholders upon the closing of the Acquisition (including any Preferred Shares held in escrow). Civeo is obligated to use commercially reasonable efforts to cause such shelf registration statement to be declared effective by the Securities Exchange Commission (the “SEC”) within 150 days after filing.</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 shelf registration statement required under the Registration Rights Agreement does not become, or is not declared, effective within 180 days after the date that is 18 months after the date of the Registration Rights Agreement, then the dividend rate of the Preferred Shares will be increased by (i) 0.25% per annum commencing on the first succeeding dividend payment date after such registration default and (ii) 0.25% per annum on each subsequent dividend payment date until such time as a shelf registration statement becomes effective (up to a maximum increase of 1.00% per annum).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Rights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Registration Rights Agreement, if Civeo proposes to file a registration statement providing for the public offering of Common Shares, for its own account or for the account of a selling shareholder, for sale to the public in an underwritten public offering for cash, the Restricted Shareholders will have customary piggyback registration rights that allow them to include their Common Shares in any such registration statement, subject to proportional cutbacks. No piggyback rights will be available incidental to any public offering by Civeo (i) relating to any employee benefit, compensation, incentive or savings plan or dividend reinvestment plans, (ii) relating to the acquisition or merger by Civeo or any of its subsidiaries of or with any other business, (iii) under Civeo’s existing shelf registration statement on Form S-3, (iv) to be registered on a registration statement on Form S-4 or Form S-8 (or any successor forms thereto) or a registration statement for the offering or sale of the Common Shares issuable upon conversion of debt securities, or (v) only to existing holders of securities issued by Civeo (including the Restricted Shareholders).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Limitations; Expenses; Indemnification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Restricted Shareholders’ registration rights are subject to certain customary limitations, including Civeo’s right to delay or withdraw a registration statement under certain circumstances. Civeo generally will be required to bear the registration expenses, other than underwriting discounts and commissions and transfer taxes or stamp or other duties attributable to a Restricted Shareholder’s sale or other disposition of the Common Shares. In addition, Civeo will pay the reasonable fees and expenses of one legal counsel selected by the majority-in-interest of the Restricted Shareholders participating in any public offering. Under the Registration Rights Agreement, Civeo has agreed to indemnify the Restricted Shareholders against any losses, claims, damages or liabilities resulting from any untrue statement or omission of a material fact in any registration statement or prospectus pursuant to which they sell Common Shares, unless such liability arose from their misstatement or omission, and each of the Restricted Shareholders, severally and individually, has agreed to indemnify Civeo against any losses, claims, damages or liabilities caused by such Restricted Shareholder’s misstatements or omissions in those documents.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Standstill and Voting Restrictions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Restricted Shareholders are subject to customary standstill restrictions, including a restriction on the purchase of additional Common Shares, and a 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Restricted Shareholders). In addition, the Restricted Shareholders have agreed not to, directly or indirectly, (i) solicit shareholders for the approval of any shareholder proposals, (ii) propose or seek to effect a change of control of Civeo, (iii) engage in a proxy solicitation involving Civeo, or (iv) form, join or otherwise participate in a group or voting trust with respect to Common Shares (other than a group comprised solely of Restricted Shareholders, their affiliates and permitted transferees) for the purpose of acquiring, holding, voting or disposing of Common Shares. The restrictions described in the preceding sentence 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Restricted Shareholders in the aggregate no longer constitute at least five percent of the Common Shares then outstanding (calculated assuming conversion of all of the outstanding Preferred Shares) or upon specified bankruptcy or change of control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Transfer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Restricted Shareholder has agreed to not transfer any of its Common Shares or Preferred Shares for a period of 18 months after the date of the Registration Rights Agreement, subject to certain exceptions, including transfers to affiliates. After the 18-month restricted period, any Restricted Shareholder will be permitted to transfer their Common Shares in any public offering or in a sale transaction pursuant to and in accordance with Rule 144 under the U.S. Securities Act of 1933, as amended, so long as no such transfer, when taken together with any and all other transfers during the period of 90 consecutive days ending on the date of such transfer, involves a number of Common Shares in excess of 10 percent of the number of such Restricted Shareholder’s Common Shares issued to such Restricted Shareholder pursuant to the Purchase Agreement (calculated assuming conversion of such Restricted Shareholder’s Preferred Shares, if any). The foregoing transfer restrictions will not apply to a transfer in a public offering pursuant to a piggyback registration statement. In addition, no Restricted Shareholder may transfer any Common Shares or Preferred Shares to any competitor of Civeo or any person, whether individually or as part of a group, that would then have the right to vote more than ten percent of the Common Shares then outstanding, other than transfers in an underwritten public offering or in a market transaction pursuant to Rule 144.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Credit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 2018, Civeo entered into an Amended and Restated Syndicated Facility Agreement (the “Amended Credit Agreement”) among Civeo and certain of its subsidiaries, as borrowers, the guarantors party thereto, the lenders named therein, Royal Bank of Canada, as Administrative Agent, and the other agents party thereto.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Amended Credit Agreement amends and restates Civeo’s existing syndicated facility agreement to, among other things: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the maturity date by 18 months, from May 30, 2019 to November 30, 2020;</w:t>
      </w:r>
    </w:p>
    <w:p>
      <w:pPr>
        <w:spacing w:after="0" w:line="3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for the reduction of aggregate revolving loan commitments such that (i) the U.S. revolving credit facility is limited to a maximum principal amount of US$20,000,0000; (ii) the Australian revolving credit facility is limited to a maximum principal amount of US$60,000,000 and (iii) the Canadian revolving credit facility, after combining the commitments of the previously existing two tranches of the Canadian revolving credit facility into one tranche, is limited to a maximum principal amount of US$159,500,000;</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certain changes to the maximum total leverage ratio financial covenant, including a decrease in the permitted level of the total leverage ratio to a range of 3.50x to 4.50x (as specified in the Amended Credit Agreement) for each fiscal quarter beginning with the fiscal quarter ending March 31, 2018, when the maximum leverage ratio decreases to 4.50x, before further decreases to 4.25x for the third fiscal quarter of 2018, 3.75x for the fourth fiscal quarter of 2018 and 3.50x for the first fiscal quarter of 2019 and each fiscal quarter thereafter; provided, that in the event Civeo issues or incurs indebtedness in excess of $150 million (a “Qualified Offering”), the permitted level of the total leverage ratio will be fixed to a maximum of 4.00x;</w:t>
      </w:r>
    </w:p>
    <w:p>
      <w:pPr>
        <w:spacing w:after="0" w:line="3"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a maximum senior secured leverage ratio financial covenant, which provides that following a Qualified Offering, the ratio of Civeo’s senior secured indebtedness to its consolidated EBITDA cannot exceed 2.50x;</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amortization rate from 5% per annum to 10% per annum;</w:t>
      </w:r>
    </w:p>
    <w:p>
      <w:pPr>
        <w:spacing w:after="0" w:line="2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certain changes to the indebtedness covenant to eliminate the requirement that the total leverage ratio be lower than 3.50x (unless otherwise required by the financial covenant) to incur any unsecured indebtedness;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certain changes to the acquisitions covenant, including to eliminate any requirement to further reduce the total leverage ratio following an acquisition if the total leverage ratio prior to such acquisition was lower than 3.50x and after such acquisition remains lower than 3.50x;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other technical changes and amendments.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 of the Amended Credit Agreement set forth herein is summary in nature and is qualified in its entirety by reference to the full text of the Amended Credit Agreement, a copy of which is attached as Exhibit 10.1 hereto.</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 2018, Civeo completed its previously announced acquisition of Noralta. Pursuant to the Purchase Agreement, Civeo acquired all outstanding shares of Noralta in exchange for (i) C$207,706,429 in cash, subject to customary post-closing adjustments for working capital, indebtedness and transaction expenses, of which C$43,459,749 will be held in escrow by Alliance Trust Company (the “Escrow Agent”) to support the sellers’ indemnification obligations under the Purchase Agreement and certain obligations of the sellers to compensate Civeo for certain increases employee compensation costs that may be incurred by Noralta as a result of the recent union certification of certain classes of Noralta employees, (ii) 32,790,868 common shares of Civeo, no par value (the “Common Shares”), of which 13,491,100 shares will be held in escrow by the Escrow Agent and released based on certain conditions related to Noralta customer contracts remaining in place and 2,340,824 shares will be held in escrow by the Escrow Agent and released based on Noralta employee compensation cost increases described above, and (iii) 9,679 shares of Class A Series 1 Preferred Shares of Civeo (the “Preferred Shares”) with an initial liquidation preference of US$96,790,000, of which 692 shares will be held in escrow by the Escrow Agent and released based on Noralta employee compensation cost increases described above.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Purchase Agreement is not complete and is entirely qualified by reference to the full text of (1) the share purchase agreement, which was filed as Exhibit 10.1 to Civeo’s Current Report on Form 8-K filed with the SEC on November 27, 2017, and (2) the amending agreement which was filed as Exhibit 10.1 to Civeo’s Current Report on Form 8-K with the SEC on March 16,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7"/>
          <w:szCs w:val="17"/>
          <w:color w:val="auto"/>
        </w:rPr>
        <w:t>Civeo has incorporated the Purchase Agreement by reference as an exhibit to this report to provide investors and security holders with information on its terms. That incorporation by reference is not intended to provide any other financial information about the parties to the Purchase Agreement or their respective subsidiaries or affiliates. The representations, warranties and covenants contained in the Purchase Agreement were made only for purposes of the Purchase Agreement and only as of specific dates; were solely for the benefit of the parties; may be subject to limitations agreed upon by those parties, including being qualified by confidential disclosures made for the purposes of allocating contractual risk between the parties instead of establishing these matters as facts; and may be subject to standards of materiality applicable to the contracting parties that differ from those applicable to investors and security holders. Investors and security holders should not rely on the representations, warranties and covenants or any description of those provisions as characterizations of the actual state of facts or condition of the parties to the Purchase Agreement or any of their respective subsidiaries or affiliates. Moreover, information concerning the subject matter of the representations, warranties and covenants may have changed after the date of the Purchase Agreement, and that subsequent information may or may not be fully reflected in public disclosures by the parties thereto.</w:t>
      </w:r>
    </w:p>
    <w:p>
      <w:pPr>
        <w:spacing w:after="0" w:line="39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Item 1.01 under the heading “Registration Rights Agreement” and Item 5.03 of this Current Report on Form 8-K is incorporated by reference into this Item 3.03.</w:t>
      </w:r>
    </w:p>
    <w:p>
      <w:pPr>
        <w:spacing w:after="0" w:line="3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Civeo agreed in the Purchase Agreement to expand the size of its board of directors (the “Board”) at Closing to eight members and appoint to the Board as a Class I director Lance Torgerson, or with the prior written consent of Civeo, following the review and approval of the proposed nominee by the Nominating</w:t>
      </w:r>
    </w:p>
    <w:p>
      <w:pPr>
        <w:jc w:val="both"/>
        <w:ind w:firstLine="8"/>
        <w:spacing w:after="0" w:line="255" w:lineRule="auto"/>
        <w:tabs>
          <w:tab w:leader="none" w:pos="20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Governance Committee of the Board, an alternate nominee of the Torgerson Trust. The Torgerson Trust selected Ronald J. Gilbertson as an alternate nominee to be appointed to the Board and, following the review and approval of the proposed nominee by the Nominating &amp; Corporate Governance Committee of the Board, the Board consented to his selection.</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Accordingly, effective at the Closing, Civeo expanded the size of the Board from seven to eight members and Mr. Gilbertson was appointed as a Class I director to fill the vacancy created by the expansion. Pursuant to the Purchase Agreement, Civeo has agreed that it will take all necessary actions to nominate Mr. Gilbertson for re-election to the Board at the 2018 annual general meeting of Civeo shareholders (the “2018 Annual Meeting”), subject to certain limited exceptions. Mr. Gilbertson has also been appointed to the Finance &amp; Investment Committee (the “Finance Committee”) of the Board.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his appointment, the Board approved Civeo entering into an indemnification agreement with Mr. Gilbertson. The form of indemnification agreement approved is in the same form as the previously disclosed indemnification agreement entered into with the other members of the Board. The form indemnification agreement is incorporated by reference as Exhibit 10.2 to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Consistent with Civeo’s standard arrangement for non-employee directors, Mr. Gilbertson will receive (i) an annual retainer of $50,000 for his service on the Board, (ii) fees of $2,000 for attendance at each Board or committee meeting and (iii) an additional annual retainer of $5,000 for his service on the Finance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In addition, upon his appointment, the Board agreed to grant Mr. Gilbertson restricted share awards valued at $125,000 based on the closing share price of the Civeo’s common shares on the date of the 2018 Annual Meeting, which shall be the grant date. It is also expected that Mr. Gilbertson will be granted restricted share awards valued at $125,000 at each successive annual general meeting of shareholders after which he continues to serve.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material arrangements or understandings between Mr. Gilbertson and any other person pursuant to which Mr. Gilbertson was appointed to serve as a director that are not described above. Civeo is not aware of any transaction in which Mr. Gilbertson has an interest requiring disclosure under Item 404(a) of Regulation S-K.</w:t>
      </w:r>
    </w:p>
    <w:p>
      <w:pPr>
        <w:spacing w:after="0" w:line="3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Civeo amended its Articles by filing a Notice of Alteration with the British Columbia Registry of Corporations on March 28, 2018 (the “Articles Amendment”).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Articles Amendment amends Civeo’s Articles to create the Preferred Shares. A brief summary of the terms of the Preferred Shares is below. The summary of the terms of the Preferred Shares is not complete and is entirely qualified by reference to the full text of the Notice of Articles of Civeo and the Amended and Restated Articles of Civeo, each as amended, copies of which are attached as Exhibit 3.1 and Exhibit 3.2 hereto, respectively, and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Preferred Shares will not have voting rights, except as statutorily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Preferred Shares will be entitled to receive a 2% annual dividend on the liquidation preference (initially US$10,000 per share), paid quarterly in cash or, at Civeo’s option, by increasing the Preferred Shares’ liquidation preference, or by any combination thereof. In the event that a shelf registration statement does not become effective within the time period specified in the Registration Rights Agreement as described above, the dividend rate is subject to increase to up to a maximum of 3% per annum until such registration statement becomes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Preferred Shares will be convertible into Common Shares at a conversion price of US$3.30 per Preferred Share, subject to customary anti-dilution adjustments, including in the case of dividends or distribution to holders of the Common Shares (the “Conversion Price”). Civeo will have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Preferred Share will, without the consent of the holders of the Preferred Shares, become convertible into the kind of securities, cash and other property that such holder of Preferred Shares would have been entitled to receive if such holder had converted its Preferred Shares into Common Shares immediately prior to such Reorganization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Civeo may, at any time and from time to time, redeem any or all of the Preferred Shares for cash at the liquidation preference, plus accrued and unpaid dividends.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Preferred Shares will rank senior in all respects to the Common Shares with respect to dividend rights and rights upon the liquidation, dissolution or winding-up of Civeo up to the amount of the liquidation preference and accrued and unpaid dividends.</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Civeo held a special meeting of the shareholders on March 28, 2018 to, in accordance with New York Stock Exchange rules, approve the issuance of the Common Shares and the Preferred Shares, together with the issuance of Common Shares upon any conversion of the Preferred Shares, upon the consummation of the Acquisition (the “Share Issuance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132,253,185 Common Shares outstanding and entitled to vote as of the close of business on February 1, 2018, the record date for the special meeting, 99,165,550 shares were present in person or represented by proxy at the meeting, which was sufficient to constitute a quorum. There were 97,362,144 votes FOR the Share Issuance Proposal, 156,165 votes AGAINST the Share Issuance Proposal, 1,647,241 abstentions and no broker non-votes, which was sufficient to pass the Share Issuance Proposal.</w:t>
      </w:r>
    </w:p>
    <w:p>
      <w:pPr>
        <w:spacing w:after="0" w:line="3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Civeo intends to file the financial statements of Noralta required by Item 9.01(a) as part of an amendment to this Current Report on Form 8-K no later than 71 calendar days after the required filing date for Item 2.01 of this Current Report on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Civeo intends to file the pro forma financial information required by Item 9.01(b) as an amendment to this Current Report on Form 8-K no later than 71 days after the required filing date for Item 2.01 of this Current Report on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is filing the following exhibits with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830"/>
              <w:spacing w:after="0"/>
              <w:rPr>
                <w:sz w:val="20"/>
                <w:szCs w:val="20"/>
                <w:color w:val="auto"/>
              </w:rPr>
            </w:pPr>
            <w:r>
              <w:rPr>
                <w:rFonts w:ascii="Arial" w:cs="Arial" w:eastAsia="Arial" w:hAnsi="Arial"/>
                <w:sz w:val="18"/>
                <w:szCs w:val="18"/>
                <w:color w:val="auto"/>
                <w:w w:val="87"/>
              </w:rPr>
              <w:t>2.1</w:t>
            </w:r>
          </w:p>
        </w:tc>
        <w:tc>
          <w:tcPr>
            <w:tcW w:w="9720" w:type="dxa"/>
            <w:vAlign w:val="bottom"/>
            <w:tcBorders>
              <w:bottom w:val="single" w:sz="8" w:color="0000EE"/>
            </w:tcBorders>
            <w:gridSpan w:val="6"/>
          </w:tcPr>
          <w:p>
            <w:pPr>
              <w:spacing w:after="0"/>
              <w:rPr>
                <w:rFonts w:ascii="Arial" w:cs="Arial" w:eastAsia="Arial" w:hAnsi="Arial"/>
                <w:sz w:val="18"/>
                <w:szCs w:val="18"/>
                <w:color w:val="0000EE"/>
                <w:w w:val="90"/>
              </w:rPr>
            </w:pPr>
            <w:hyperlink r:id="rId18">
              <w:r>
                <w:rPr>
                  <w:rFonts w:ascii="Arial" w:cs="Arial" w:eastAsia="Arial" w:hAnsi="Arial"/>
                  <w:sz w:val="18"/>
                  <w:szCs w:val="18"/>
                  <w:color w:val="0000EE"/>
                  <w:w w:val="90"/>
                </w:rPr>
                <w:t>Share Purchase Agreement, dated November 26, 2017, by and among Civeo Corporation, Noralta Lodge Ltd., Torgerson Family Trust,</w:t>
              </w:r>
            </w:hyperlink>
          </w:p>
        </w:tc>
        <w:tc>
          <w:tcPr>
            <w:tcW w:w="540" w:type="dxa"/>
            <w:vAlign w:val="bottom"/>
            <w:gridSpan w:val="5"/>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11"/>
          </w:tcPr>
          <w:p>
            <w:pPr>
              <w:spacing w:after="0" w:line="196" w:lineRule="exact"/>
              <w:rPr>
                <w:rFonts w:ascii="Arial" w:cs="Arial" w:eastAsia="Arial" w:hAnsi="Arial"/>
                <w:sz w:val="18"/>
                <w:szCs w:val="18"/>
                <w:color w:val="0000EE"/>
                <w:w w:val="95"/>
              </w:rPr>
            </w:pPr>
            <w:hyperlink r:id="rId18">
              <w:r>
                <w:rPr>
                  <w:rFonts w:ascii="Arial" w:cs="Arial" w:eastAsia="Arial" w:hAnsi="Arial"/>
                  <w:sz w:val="18"/>
                  <w:szCs w:val="18"/>
                  <w:color w:val="0000EE"/>
                  <w:w w:val="95"/>
                </w:rPr>
                <w:t>2073357 Alberta Ltd., 2073358 Alberta Ltd., 1818939 Alberta Ltd., 2040618 Alberta Ltd., 2040624 Alberta Ltd., 989677 Alberta Ltd. and</w:t>
              </w:r>
            </w:hyperlink>
          </w:p>
        </w:tc>
      </w:tr>
      <w:tr>
        <w:trPr>
          <w:trHeight w:val="196"/>
        </w:trPr>
        <w:tc>
          <w:tcPr>
            <w:tcW w:w="116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Lance Torgerson (incorporated herein by reference to Exhibit 10.1 to the Current Report on Form 8-K (File No. 001-36246) filed on</w:t>
              </w:r>
            </w:hyperlink>
          </w:p>
        </w:tc>
        <w:tc>
          <w:tcPr>
            <w:tcW w:w="460" w:type="dxa"/>
            <w:vAlign w:val="bottom"/>
            <w:tcBorders>
              <w:top w:val="single" w:sz="8" w:color="0000EE"/>
            </w:tcBorders>
            <w:gridSpan w:val="5"/>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8">
              <w:r>
                <w:rPr>
                  <w:rFonts w:ascii="Arial" w:cs="Arial" w:eastAsia="Arial" w:hAnsi="Arial"/>
                  <w:sz w:val="18"/>
                  <w:szCs w:val="18"/>
                  <w:color w:val="0000EE"/>
                  <w:w w:val="89"/>
                </w:rPr>
                <w:t>November 27, 2017).</w:t>
              </w:r>
            </w:hyperlink>
          </w:p>
        </w:tc>
        <w:tc>
          <w:tcPr>
            <w:tcW w:w="8720" w:type="dxa"/>
            <w:vAlign w:val="bottom"/>
            <w:gridSpan w:val="9"/>
          </w:tcPr>
          <w:p>
            <w:pPr>
              <w:spacing w:after="0"/>
              <w:rPr>
                <w:sz w:val="17"/>
                <w:szCs w:val="17"/>
                <w:color w:val="auto"/>
              </w:rPr>
            </w:pPr>
          </w:p>
        </w:tc>
      </w:tr>
      <w:tr>
        <w:trPr>
          <w:trHeight w:val="412"/>
        </w:trPr>
        <w:tc>
          <w:tcPr>
            <w:tcW w:w="1160" w:type="dxa"/>
            <w:vAlign w:val="bottom"/>
          </w:tcPr>
          <w:p>
            <w:pPr>
              <w:jc w:val="right"/>
              <w:ind w:right="830"/>
              <w:spacing w:after="0"/>
              <w:rPr>
                <w:sz w:val="20"/>
                <w:szCs w:val="20"/>
                <w:color w:val="auto"/>
              </w:rPr>
            </w:pPr>
            <w:r>
              <w:rPr>
                <w:rFonts w:ascii="Arial" w:cs="Arial" w:eastAsia="Arial" w:hAnsi="Arial"/>
                <w:sz w:val="18"/>
                <w:szCs w:val="18"/>
                <w:color w:val="auto"/>
                <w:w w:val="87"/>
              </w:rPr>
              <w:t>2.2</w:t>
            </w:r>
          </w:p>
        </w:tc>
        <w:tc>
          <w:tcPr>
            <w:tcW w:w="9760" w:type="dxa"/>
            <w:vAlign w:val="bottom"/>
            <w:tcBorders>
              <w:bottom w:val="single" w:sz="8" w:color="0000EE"/>
            </w:tcBorders>
            <w:gridSpan w:val="7"/>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Amending Agreement, dated March 15, 2018, by and among Civeo Corporation, Noralta Lodge Ltd., Torgerson Family Trust, 2073357</w:t>
              </w:r>
            </w:hyperlink>
          </w:p>
        </w:tc>
        <w:tc>
          <w:tcPr>
            <w:tcW w:w="5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Alberta Ltd., 2073358 Alberta Ltd., 1818939 Alberta Ltd., 2040618 Alberta Ltd., 2040624 Alberta Ltd., 989677 Alberta Ltd. and Lance</w:t>
              </w:r>
            </w:hyperlink>
          </w:p>
        </w:tc>
        <w:tc>
          <w:tcPr>
            <w:tcW w:w="4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11"/>
          </w:tcPr>
          <w:p>
            <w:pPr>
              <w:spacing w:after="0" w:line="196" w:lineRule="exact"/>
              <w:rPr>
                <w:rFonts w:ascii="Arial" w:cs="Arial" w:eastAsia="Arial" w:hAnsi="Arial"/>
                <w:sz w:val="18"/>
                <w:szCs w:val="18"/>
                <w:color w:val="0000EE"/>
                <w:w w:val="95"/>
              </w:rPr>
            </w:pPr>
            <w:hyperlink r:id="rId19">
              <w:r>
                <w:rPr>
                  <w:rFonts w:ascii="Arial" w:cs="Arial" w:eastAsia="Arial" w:hAnsi="Arial"/>
                  <w:sz w:val="18"/>
                  <w:szCs w:val="18"/>
                  <w:color w:val="0000EE"/>
                  <w:w w:val="95"/>
                </w:rPr>
                <w:t>Torgerson (incorporated herein by reference to Exhibit 10.1 to the Current Report on Form 8-K (File No. 001-36246) filed on March 16,</w:t>
              </w:r>
            </w:hyperlink>
          </w:p>
        </w:tc>
      </w:tr>
      <w:tr>
        <w:trPr>
          <w:trHeight w:val="196"/>
        </w:trPr>
        <w:tc>
          <w:tcPr>
            <w:tcW w:w="11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
              <w:r>
                <w:rPr>
                  <w:rFonts w:ascii="Arial" w:cs="Arial" w:eastAsia="Arial" w:hAnsi="Arial"/>
                  <w:sz w:val="18"/>
                  <w:szCs w:val="18"/>
                  <w:color w:val="0000EE"/>
                  <w:w w:val="86"/>
                </w:rPr>
                <w:t>2018).</w:t>
              </w:r>
            </w:hyperlink>
          </w:p>
        </w:tc>
        <w:tc>
          <w:tcPr>
            <w:tcW w:w="108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2"/>
        </w:trPr>
        <w:tc>
          <w:tcPr>
            <w:tcW w:w="1160" w:type="dxa"/>
            <w:vAlign w:val="bottom"/>
          </w:tcPr>
          <w:p>
            <w:pPr>
              <w:jc w:val="right"/>
              <w:ind w:right="830"/>
              <w:spacing w:after="0"/>
              <w:rPr>
                <w:sz w:val="20"/>
                <w:szCs w:val="20"/>
                <w:color w:val="auto"/>
              </w:rPr>
            </w:pPr>
            <w:r>
              <w:rPr>
                <w:rFonts w:ascii="Arial" w:cs="Arial" w:eastAsia="Arial" w:hAnsi="Arial"/>
                <w:sz w:val="18"/>
                <w:szCs w:val="18"/>
                <w:color w:val="auto"/>
                <w:w w:val="87"/>
              </w:rPr>
              <w:t>3.1</w:t>
            </w:r>
          </w:p>
        </w:tc>
        <w:tc>
          <w:tcPr>
            <w:tcW w:w="1026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Notice of Articles of Civeo Corporation, as amended.</w:t>
              </w:r>
            </w:hyperlink>
          </w:p>
        </w:tc>
      </w:tr>
      <w:tr>
        <w:trPr>
          <w:trHeight w:val="20"/>
        </w:trPr>
        <w:tc>
          <w:tcPr>
            <w:tcW w:w="1160" w:type="dxa"/>
            <w:vAlign w:val="bottom"/>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r>
      <w:tr>
        <w:trPr>
          <w:trHeight w:val="412"/>
        </w:trPr>
        <w:tc>
          <w:tcPr>
            <w:tcW w:w="1160" w:type="dxa"/>
            <w:vAlign w:val="bottom"/>
          </w:tcPr>
          <w:p>
            <w:pPr>
              <w:jc w:val="right"/>
              <w:ind w:right="830"/>
              <w:spacing w:after="0"/>
              <w:rPr>
                <w:sz w:val="20"/>
                <w:szCs w:val="20"/>
                <w:color w:val="auto"/>
              </w:rPr>
            </w:pPr>
            <w:r>
              <w:rPr>
                <w:rFonts w:ascii="Arial" w:cs="Arial" w:eastAsia="Arial" w:hAnsi="Arial"/>
                <w:sz w:val="18"/>
                <w:szCs w:val="18"/>
                <w:color w:val="auto"/>
                <w:w w:val="87"/>
              </w:rPr>
              <w:t>3.2</w:t>
            </w:r>
          </w:p>
        </w:tc>
        <w:tc>
          <w:tcPr>
            <w:tcW w:w="1026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Amended and Restated Articles of Civeo Corporation, as amended.</w:t>
              </w:r>
            </w:hyperlink>
          </w:p>
        </w:tc>
      </w:tr>
      <w:tr>
        <w:trPr>
          <w:trHeight w:val="480"/>
        </w:trPr>
        <w:tc>
          <w:tcPr>
            <w:tcW w:w="1160" w:type="dxa"/>
            <w:vAlign w:val="bottom"/>
          </w:tcPr>
          <w:p>
            <w:pPr>
              <w:spacing w:after="0"/>
              <w:rPr>
                <w:sz w:val="24"/>
                <w:szCs w:val="24"/>
                <w:color w:val="auto"/>
              </w:rPr>
            </w:pPr>
          </w:p>
        </w:tc>
        <w:tc>
          <w:tcPr>
            <w:tcW w:w="4840" w:type="dxa"/>
            <w:vAlign w:val="bottom"/>
            <w:tcBorders>
              <w:top w:val="single" w:sz="8" w:color="0000EE"/>
            </w:tcBorders>
            <w:gridSpan w:val="4"/>
          </w:tcPr>
          <w:p>
            <w:pPr>
              <w:ind w:left="4500"/>
              <w:spacing w:after="0"/>
              <w:rPr>
                <w:sz w:val="20"/>
                <w:szCs w:val="20"/>
                <w:color w:val="auto"/>
              </w:rPr>
            </w:pPr>
            <w:r>
              <w:rPr>
                <w:rFonts w:ascii="Arial" w:cs="Arial" w:eastAsia="Arial" w:hAnsi="Arial"/>
                <w:sz w:val="18"/>
                <w:szCs w:val="18"/>
                <w:color w:val="auto"/>
              </w:rPr>
              <w:t>6</w:t>
            </w: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8"/>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Registration Rights, Lock-Up and Standstill Agreement, dated April 2, 2018, by and among Civeo Corporation, Torgerson Family Trust and</w:t>
              </w:r>
            </w:hyperlink>
          </w:p>
        </w:tc>
      </w:tr>
      <w:tr>
        <w:trPr>
          <w:trHeight w:val="196"/>
        </w:trPr>
        <w:tc>
          <w:tcPr>
            <w:tcW w:w="1160" w:type="dxa"/>
            <w:vAlign w:val="bottom"/>
          </w:tcPr>
          <w:p>
            <w:pPr>
              <w:spacing w:after="0"/>
              <w:rPr>
                <w:sz w:val="17"/>
                <w:szCs w:val="17"/>
                <w:color w:val="auto"/>
              </w:rPr>
            </w:pPr>
          </w:p>
        </w:tc>
        <w:tc>
          <w:tcPr>
            <w:tcW w:w="100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989677 Alberta Ltd.</w:t>
              </w:r>
            </w:hyperlink>
          </w:p>
        </w:tc>
        <w:tc>
          <w:tcPr>
            <w:tcW w:w="18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98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Amended and Restated Syndicated Facility Agreement, dated April 2, 2018, among Civeo Corporation and certain of its subsidiaries, as</w:t>
              </w:r>
            </w:hyperlink>
          </w:p>
        </w:tc>
        <w:tc>
          <w:tcPr>
            <w:tcW w:w="46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borrowers, the guarantors party thereto, the lenders named therein, Royal Bank of Canada, as Administrative Agent, and the other agents</w:t>
              </w:r>
            </w:hyperlink>
          </w:p>
        </w:tc>
        <w:tc>
          <w:tcPr>
            <w:tcW w:w="40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party thereto.</w:t>
              </w:r>
            </w:hyperlink>
          </w:p>
        </w:tc>
        <w:tc>
          <w:tcPr>
            <w:tcW w:w="9300" w:type="dxa"/>
            <w:vAlign w:val="bottom"/>
            <w:gridSpan w:val="7"/>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8"/>
          </w:tcPr>
          <w:p>
            <w:pPr>
              <w:spacing w:after="0"/>
              <w:rPr>
                <w:rFonts w:ascii="Arial" w:cs="Arial" w:eastAsia="Arial" w:hAnsi="Arial"/>
                <w:sz w:val="18"/>
                <w:szCs w:val="18"/>
                <w:color w:val="0000EE"/>
                <w:w w:val="93"/>
              </w:rPr>
            </w:pPr>
            <w:hyperlink r:id="rId20">
              <w:r>
                <w:rPr>
                  <w:rFonts w:ascii="Arial" w:cs="Arial" w:eastAsia="Arial" w:hAnsi="Arial"/>
                  <w:sz w:val="18"/>
                  <w:szCs w:val="18"/>
                  <w:color w:val="0000EE"/>
                  <w:w w:val="93"/>
                </w:rPr>
                <w:t>Form of Indemnification Agreement (incorporated herein by reference to Exhibit 10.1 to the Current Report on Form 8-K12B (File No. 001-</w:t>
              </w:r>
            </w:hyperlink>
          </w:p>
        </w:tc>
      </w:tr>
      <w:tr>
        <w:trPr>
          <w:trHeight w:val="196"/>
        </w:trPr>
        <w:tc>
          <w:tcPr>
            <w:tcW w:w="116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36246) filed on July 17, 2015).</w:t>
              </w:r>
            </w:hyperlink>
          </w:p>
        </w:tc>
        <w:tc>
          <w:tcPr>
            <w:tcW w:w="7880" w:type="dxa"/>
            <w:vAlign w:val="bottom"/>
            <w:tcBorders>
              <w:top w:val="single" w:sz="8" w:color="0000EE"/>
            </w:tcBorders>
            <w:gridSpan w:val="4"/>
          </w:tcPr>
          <w:p>
            <w:pPr>
              <w:spacing w:after="0"/>
              <w:rPr>
                <w:sz w:val="17"/>
                <w:szCs w:val="17"/>
                <w:color w:val="auto"/>
              </w:rPr>
            </w:pPr>
          </w:p>
        </w:tc>
        <w:tc>
          <w:tcPr>
            <w:tcW w:w="140" w:type="dxa"/>
            <w:vAlign w:val="bottom"/>
          </w:tcPr>
          <w:p>
            <w:pPr>
              <w:spacing w:after="0"/>
              <w:rPr>
                <w:sz w:val="17"/>
                <w:szCs w:val="17"/>
                <w:color w:val="auto"/>
              </w:rPr>
            </w:pPr>
          </w:p>
        </w:tc>
      </w:tr>
      <w:tr>
        <w:trPr>
          <w:trHeight w:val="480"/>
        </w:trPr>
        <w:tc>
          <w:tcPr>
            <w:tcW w:w="1160" w:type="dxa"/>
            <w:vAlign w:val="bottom"/>
          </w:tcPr>
          <w:p>
            <w:pPr>
              <w:spacing w:after="0"/>
              <w:rPr>
                <w:sz w:val="24"/>
                <w:szCs w:val="24"/>
                <w:color w:val="auto"/>
              </w:rPr>
            </w:pPr>
          </w:p>
        </w:tc>
        <w:tc>
          <w:tcPr>
            <w:tcW w:w="9800" w:type="dxa"/>
            <w:vAlign w:val="bottom"/>
            <w:gridSpan w:val="4"/>
          </w:tcPr>
          <w:p>
            <w:pPr>
              <w:ind w:left="45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67" w:right="239" w:bottom="1440" w:gutter="0" w:footer="0" w:header="0"/>
        </w:sectPr>
      </w:pPr>
    </w:p>
    <w:bookmarkStart w:id="8" w:name="page9"/>
    <w:bookmarkEnd w:id="8"/>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April 2, 2018</w:t>
      </w:r>
    </w:p>
    <w:p>
      <w:pPr>
        <w:sectPr>
          <w:pgSz w:w="11900" w:h="16838" w:orient="portrait"/>
          <w:cols w:equalWidth="0" w:num="1">
            <w:col w:w="10940"/>
          </w:cols>
          <w:pgMar w:left="240" w:top="580" w:right="719" w:bottom="1440" w:gutter="0" w:footer="0" w:header="0"/>
        </w:sectPr>
      </w:pPr>
    </w:p>
    <w:bookmarkStart w:id="9" w:name="page10"/>
    <w:bookmarkEnd w:id="9"/>
    <w:p>
      <w:pPr>
        <w:ind w:left="9380"/>
        <w:spacing w:after="0"/>
        <w:rPr>
          <w:sz w:val="20"/>
          <w:szCs w:val="20"/>
          <w:color w:val="auto"/>
        </w:rPr>
      </w:pPr>
      <w:r>
        <w:rPr>
          <w:rFonts w:ascii="Arial" w:cs="Arial" w:eastAsia="Arial" w:hAnsi="Arial"/>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89165" cy="9896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89165" cy="989647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9930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89165" cy="9930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9690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690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4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3.2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tcPr>
          <w:p>
            <w:pPr>
              <w:jc w:val="center"/>
              <w:ind w:left="3230"/>
              <w:spacing w:after="0"/>
              <w:rPr>
                <w:sz w:val="20"/>
                <w:szCs w:val="20"/>
                <w:color w:val="auto"/>
              </w:rPr>
            </w:pPr>
            <w:r>
              <w:rPr>
                <w:rFonts w:ascii="Arial" w:cs="Arial" w:eastAsia="Arial" w:hAnsi="Arial"/>
                <w:sz w:val="18"/>
                <w:szCs w:val="18"/>
                <w:b w:val="1"/>
                <w:bCs w:val="1"/>
                <w:i w:val="1"/>
                <w:iCs w:val="1"/>
                <w:color w:val="auto"/>
                <w:w w:val="94"/>
              </w:rPr>
              <w:t>BUSINESS CORPORATIONS ACT</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tcPr>
          <w:p>
            <w:pPr>
              <w:jc w:val="center"/>
              <w:ind w:left="3210"/>
              <w:spacing w:after="0"/>
              <w:rPr>
                <w:sz w:val="20"/>
                <w:szCs w:val="20"/>
                <w:color w:val="auto"/>
              </w:rPr>
            </w:pPr>
            <w:r>
              <w:rPr>
                <w:rFonts w:ascii="Arial" w:cs="Arial" w:eastAsia="Arial" w:hAnsi="Arial"/>
                <w:sz w:val="18"/>
                <w:szCs w:val="18"/>
                <w:b w:val="1"/>
                <w:bCs w:val="1"/>
                <w:color w:val="auto"/>
              </w:rPr>
              <w:t>BRITISH COLUMBIA</w:t>
            </w:r>
          </w:p>
        </w:tc>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The existing Articles of the Company have been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80" w:type="dxa"/>
            <w:vAlign w:val="bottom"/>
            <w:vMerge w:val="restart"/>
          </w:tcPr>
          <w:p>
            <w:pPr>
              <w:jc w:val="center"/>
              <w:ind w:left="3230"/>
              <w:spacing w:after="0"/>
              <w:rPr>
                <w:sz w:val="20"/>
                <w:szCs w:val="20"/>
                <w:color w:val="auto"/>
              </w:rPr>
            </w:pPr>
            <w:r>
              <w:rPr>
                <w:rFonts w:ascii="Arial" w:cs="Arial" w:eastAsia="Arial" w:hAnsi="Arial"/>
                <w:sz w:val="18"/>
                <w:szCs w:val="18"/>
                <w:b w:val="1"/>
                <w:bCs w:val="1"/>
                <w:color w:val="auto"/>
                <w:w w:val="99"/>
              </w:rPr>
              <w:t>ARTICLES</w:t>
            </w:r>
          </w:p>
        </w:tc>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altered by consolidating all amendments to form 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complete set of Articles. The Articles were amended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80" w:type="dxa"/>
            <w:vAlign w:val="bottom"/>
            <w:vMerge w:val="restart"/>
          </w:tcPr>
          <w:p>
            <w:pPr>
              <w:jc w:val="center"/>
              <w:ind w:left="3210"/>
              <w:spacing w:after="0"/>
              <w:rPr>
                <w:sz w:val="20"/>
                <w:szCs w:val="20"/>
                <w:color w:val="auto"/>
              </w:rPr>
            </w:pPr>
            <w:r>
              <w:rPr>
                <w:rFonts w:ascii="Arial" w:cs="Arial" w:eastAsia="Arial" w:hAnsi="Arial"/>
                <w:sz w:val="18"/>
                <w:szCs w:val="18"/>
                <w:b w:val="1"/>
                <w:bCs w:val="1"/>
                <w:color w:val="auto"/>
                <w:w w:val="99"/>
              </w:rPr>
              <w:t>Of</w:t>
            </w:r>
          </w:p>
        </w:tc>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by Minutes of the Annual and Special General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Meeting of Shareholders of the Company held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80" w:type="dxa"/>
            <w:vAlign w:val="bottom"/>
            <w:vMerge w:val="restart"/>
          </w:tcPr>
          <w:p>
            <w:pPr>
              <w:jc w:val="center"/>
              <w:ind w:left="3230"/>
              <w:spacing w:after="0"/>
              <w:rPr>
                <w:sz w:val="20"/>
                <w:szCs w:val="20"/>
                <w:color w:val="auto"/>
              </w:rPr>
            </w:pPr>
            <w:r>
              <w:rPr>
                <w:rFonts w:ascii="Arial" w:cs="Arial" w:eastAsia="Arial" w:hAnsi="Arial"/>
                <w:sz w:val="18"/>
                <w:szCs w:val="18"/>
                <w:b w:val="1"/>
                <w:bCs w:val="1"/>
                <w:color w:val="auto"/>
              </w:rPr>
              <w:t>CIVEO CORPORATION</w:t>
            </w:r>
          </w:p>
        </w:tc>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May  12,  2016,  at  9:00 AM  Central  Time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4100" w:type="dxa"/>
            <w:vAlign w:val="bottom"/>
            <w:gridSpan w:val="2"/>
          </w:tcPr>
          <w:p>
            <w:pPr>
              <w:jc w:val="right"/>
              <w:ind w:right="40"/>
              <w:spacing w:after="0"/>
              <w:rPr>
                <w:sz w:val="20"/>
                <w:szCs w:val="20"/>
                <w:color w:val="auto"/>
              </w:rPr>
            </w:pPr>
            <w:r>
              <w:rPr>
                <w:rFonts w:ascii="Arial" w:cs="Arial" w:eastAsia="Arial" w:hAnsi="Arial"/>
                <w:sz w:val="18"/>
                <w:szCs w:val="18"/>
                <w:color w:val="auto"/>
              </w:rPr>
              <w:t>received for deposit at the records office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80" w:type="dxa"/>
            <w:vAlign w:val="bottom"/>
            <w:vMerge w:val="restart"/>
          </w:tcPr>
          <w:p>
            <w:pPr>
              <w:jc w:val="center"/>
              <w:ind w:left="3230"/>
              <w:spacing w:after="0"/>
              <w:rPr>
                <w:sz w:val="20"/>
                <w:szCs w:val="20"/>
                <w:color w:val="auto"/>
              </w:rPr>
            </w:pPr>
            <w:r>
              <w:rPr>
                <w:rFonts w:ascii="Arial" w:cs="Arial" w:eastAsia="Arial" w:hAnsi="Arial"/>
                <w:sz w:val="18"/>
                <w:szCs w:val="18"/>
                <w:b w:val="1"/>
                <w:bCs w:val="1"/>
                <w:color w:val="auto"/>
              </w:rPr>
              <w:t>INDEX</w:t>
            </w:r>
          </w:p>
        </w:tc>
        <w:tc>
          <w:tcPr>
            <w:tcW w:w="4100" w:type="dxa"/>
            <w:vAlign w:val="bottom"/>
            <w:gridSpan w:val="2"/>
          </w:tcPr>
          <w:p>
            <w:pPr>
              <w:jc w:val="right"/>
              <w:ind w:right="40"/>
              <w:spacing w:after="0"/>
              <w:rPr>
                <w:sz w:val="20"/>
                <w:szCs w:val="20"/>
                <w:color w:val="auto"/>
              </w:rPr>
            </w:pPr>
            <w:r>
              <w:rPr>
                <w:rFonts w:ascii="Arial" w:cs="Arial" w:eastAsia="Arial" w:hAnsi="Arial"/>
                <w:sz w:val="18"/>
                <w:szCs w:val="18"/>
                <w:color w:val="auto"/>
              </w:rPr>
              <w:t>Company on May 12, 2016, at 9:05 AM Central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580" w:type="dxa"/>
            <w:vAlign w:val="bottom"/>
            <w:vMerge w:val="continue"/>
          </w:tcPr>
          <w:p>
            <w:pPr>
              <w:spacing w:after="0"/>
              <w:rPr>
                <w:sz w:val="20"/>
                <w:szCs w:val="20"/>
                <w:color w:val="auto"/>
              </w:rPr>
            </w:pPr>
          </w:p>
        </w:tc>
        <w:tc>
          <w:tcPr>
            <w:tcW w:w="4100" w:type="dxa"/>
            <w:vAlign w:val="bottom"/>
            <w:gridSpan w:val="2"/>
          </w:tcPr>
          <w:p>
            <w:pPr>
              <w:jc w:val="right"/>
              <w:ind w:right="3400"/>
              <w:spacing w:after="0"/>
              <w:rPr>
                <w:sz w:val="20"/>
                <w:szCs w:val="20"/>
                <w:color w:val="auto"/>
              </w:rPr>
            </w:pPr>
            <w:r>
              <w:rPr>
                <w:rFonts w:ascii="Arial" w:cs="Arial" w:eastAsia="Arial" w:hAnsi="Arial"/>
                <w:sz w:val="18"/>
                <w:szCs w:val="18"/>
                <w:color w:val="auto"/>
              </w:rPr>
              <w:t>Time.</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40" w:type="dxa"/>
            <w:vAlign w:val="bottom"/>
            <w:gridSpan w:val="2"/>
          </w:tcPr>
          <w:p>
            <w:pPr>
              <w:spacing w:after="0"/>
              <w:rPr>
                <w:sz w:val="24"/>
                <w:szCs w:val="24"/>
                <w:color w:val="auto"/>
              </w:rPr>
            </w:pPr>
          </w:p>
        </w:tc>
        <w:tc>
          <w:tcPr>
            <w:tcW w:w="6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w:t>
            </w: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INTERPRETATION</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1.1</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4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Business Corporations Act and Interpretation Act Definitions Applicable</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PART 2    SHARES AND SHARE CERTIFICATES</w:t>
            </w: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Share Structure</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2.2</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Form of Share Certificate</w:t>
            </w:r>
          </w:p>
        </w:tc>
        <w:tc>
          <w:tcPr>
            <w:tcW w:w="4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Shareholder Entitled to Certificate or Acknowledgement</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2.4</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Delivery by Mail</w:t>
            </w:r>
          </w:p>
        </w:tc>
        <w:tc>
          <w:tcPr>
            <w:tcW w:w="4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Replacement of Worn Out or Defaced Certificate or Acknowledgement</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2.6</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Replacement of Lost, Stolen or Destroyed Certificate or Acknowledgement</w:t>
            </w:r>
          </w:p>
        </w:tc>
        <w:tc>
          <w:tcPr>
            <w:tcW w:w="4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Splitting Share Certificates</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2.8</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Certificate Fee</w:t>
            </w:r>
          </w:p>
        </w:tc>
        <w:tc>
          <w:tcPr>
            <w:tcW w:w="4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Recognition of Trusts</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PART 3    ISSUE OF SHARES</w:t>
            </w: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Directors Authorized</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3.2</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Commissions and Discounts</w:t>
            </w:r>
          </w:p>
        </w:tc>
        <w:tc>
          <w:tcPr>
            <w:tcW w:w="40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Brokerage</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3.4</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Conditions of Issue</w:t>
            </w:r>
          </w:p>
        </w:tc>
        <w:tc>
          <w:tcPr>
            <w:tcW w:w="40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Purchase Warrants and Rights</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PART 4</w:t>
            </w:r>
          </w:p>
        </w:tc>
        <w:tc>
          <w:tcPr>
            <w:tcW w:w="6580" w:type="dxa"/>
            <w:vAlign w:val="bottom"/>
          </w:tcPr>
          <w:p>
            <w:pPr>
              <w:ind w:left="160"/>
              <w:spacing w:after="0"/>
              <w:rPr>
                <w:sz w:val="20"/>
                <w:szCs w:val="20"/>
                <w:color w:val="auto"/>
              </w:rPr>
            </w:pPr>
            <w:r>
              <w:rPr>
                <w:rFonts w:ascii="Arial" w:cs="Arial" w:eastAsia="Arial" w:hAnsi="Arial"/>
                <w:sz w:val="18"/>
                <w:szCs w:val="18"/>
                <w:b w:val="1"/>
                <w:bCs w:val="1"/>
                <w:color w:val="auto"/>
              </w:rPr>
              <w:t>SHARE REGISTERS</w:t>
            </w: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Central Securities Register</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4.2</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Closing Register</w:t>
            </w:r>
          </w:p>
        </w:tc>
        <w:tc>
          <w:tcPr>
            <w:tcW w:w="40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5</w:t>
            </w: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 TRANSFERS</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5.1</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Registering Transfers</w:t>
            </w:r>
          </w:p>
        </w:tc>
        <w:tc>
          <w:tcPr>
            <w:tcW w:w="40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 of Instrument of Transfer</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5.3</w:t>
            </w:r>
          </w:p>
        </w:tc>
        <w:tc>
          <w:tcPr>
            <w:tcW w:w="6940" w:type="dxa"/>
            <w:vAlign w:val="bottom"/>
            <w:gridSpan w:val="2"/>
          </w:tcPr>
          <w:p>
            <w:pPr>
              <w:ind w:left="180"/>
              <w:spacing w:after="0"/>
              <w:rPr>
                <w:sz w:val="20"/>
                <w:szCs w:val="20"/>
                <w:color w:val="auto"/>
              </w:rPr>
            </w:pPr>
            <w:r>
              <w:rPr>
                <w:rFonts w:ascii="Arial" w:cs="Arial" w:eastAsia="Arial" w:hAnsi="Arial"/>
                <w:sz w:val="18"/>
                <w:szCs w:val="18"/>
                <w:color w:val="auto"/>
              </w:rPr>
              <w:t>Transferor Remains Shareholder</w:t>
            </w:r>
          </w:p>
        </w:tc>
        <w:tc>
          <w:tcPr>
            <w:tcW w:w="40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Signing of Instrument of Transfer</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tcPr>
          <w:p>
            <w:pPr>
              <w:jc w:val="center"/>
              <w:ind w:left="3230"/>
              <w:spacing w:after="0"/>
              <w:rPr>
                <w:sz w:val="20"/>
                <w:szCs w:val="20"/>
                <w:color w:val="auto"/>
              </w:rPr>
            </w:pPr>
            <w:r>
              <w:rPr>
                <w:rFonts w:ascii="Arial" w:cs="Arial" w:eastAsia="Arial" w:hAnsi="Arial"/>
                <w:sz w:val="18"/>
                <w:szCs w:val="18"/>
                <w:color w:val="auto"/>
                <w:w w:val="99"/>
              </w:rPr>
              <w:t>1</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58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Transfer Fee</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PART 6    TRANSMISSION OF SHARES</w:t>
            </w:r>
          </w:p>
        </w:tc>
        <w:tc>
          <w:tcPr>
            <w:tcW w:w="59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Legal Personal Representative Recognized on Death</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6.2</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Rights of Legal Personal Representative</w:t>
            </w:r>
          </w:p>
        </w:tc>
        <w:tc>
          <w:tcPr>
            <w:tcW w:w="5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 7    PURCHASE OF SHARES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Company Authorized to Purchase Shares</w:t>
            </w:r>
          </w:p>
        </w:tc>
        <w:tc>
          <w:tcPr>
            <w:tcW w:w="5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Purchase When Insolvent</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7.3</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Sale and Voting of Purchased Shares</w:t>
            </w:r>
          </w:p>
        </w:tc>
        <w:tc>
          <w:tcPr>
            <w:tcW w:w="5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8</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BORROWING POWERS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Borrowing Powers</w:t>
            </w:r>
          </w:p>
        </w:tc>
        <w:tc>
          <w:tcPr>
            <w:tcW w:w="5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9</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ALTERATIONS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9.1</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Alteration of Authorized Share Structure</w:t>
            </w:r>
          </w:p>
        </w:tc>
        <w:tc>
          <w:tcPr>
            <w:tcW w:w="5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9.2</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Special Rights and Restrictions of Issued Preferred Shares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9.3</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Special Rights and Restrictions</w:t>
            </w:r>
          </w:p>
        </w:tc>
        <w:tc>
          <w:tcPr>
            <w:tcW w:w="5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9.4</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Alterations by Directors' Resolutions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9.5</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Change of Name</w:t>
            </w:r>
          </w:p>
        </w:tc>
        <w:tc>
          <w:tcPr>
            <w:tcW w:w="5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9.6</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Alterations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9.7</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Other Alterations after one or more Adjournments</w:t>
            </w:r>
          </w:p>
        </w:tc>
        <w:tc>
          <w:tcPr>
            <w:tcW w:w="5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 10   MEETINGS OF SHAREHOLDERS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Annual General Meetings</w:t>
            </w:r>
          </w:p>
        </w:tc>
        <w:tc>
          <w:tcPr>
            <w:tcW w:w="5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Resolution Instead of Annual or Special Meeting Prohibited</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Calling of Meetings of Shareholders</w:t>
            </w:r>
          </w:p>
        </w:tc>
        <w:tc>
          <w:tcPr>
            <w:tcW w:w="5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Notice for Meetings of Shareholders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Record Date for Notice</w:t>
            </w:r>
          </w:p>
        </w:tc>
        <w:tc>
          <w:tcPr>
            <w:tcW w:w="5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Record Date for Voting</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Record Date for Other Purposes</w:t>
            </w:r>
          </w:p>
        </w:tc>
        <w:tc>
          <w:tcPr>
            <w:tcW w:w="5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Failure to Give Notice and Waiver of Notice</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Notice of Special Business at Meetings of Shareholders</w:t>
            </w:r>
          </w:p>
        </w:tc>
        <w:tc>
          <w:tcPr>
            <w:tcW w:w="5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Location of General Meetings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Notice of Shareholder Business and Nominations</w:t>
            </w:r>
          </w:p>
        </w:tc>
        <w:tc>
          <w:tcPr>
            <w:tcW w:w="5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 11   PROCEEDINGS AT MEETINGS OF SHAREHOLDERS</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Special Business</w:t>
            </w:r>
          </w:p>
        </w:tc>
        <w:tc>
          <w:tcPr>
            <w:tcW w:w="5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11.2</w:t>
            </w: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Business Approval</w:t>
            </w:r>
          </w:p>
        </w:tc>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11.3</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Actions Requiring a Special Resolution</w:t>
            </w:r>
          </w:p>
        </w:tc>
        <w:tc>
          <w:tcPr>
            <w:tcW w:w="5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90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115"/>
        </w:trPr>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76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9"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11.4</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Quorum</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11.5</w:t>
            </w:r>
          </w:p>
        </w:tc>
        <w:tc>
          <w:tcPr>
            <w:tcW w:w="8020" w:type="dxa"/>
            <w:vAlign w:val="bottom"/>
          </w:tcPr>
          <w:p>
            <w:pPr>
              <w:ind w:left="60"/>
              <w:spacing w:after="0"/>
              <w:rPr>
                <w:sz w:val="20"/>
                <w:szCs w:val="20"/>
                <w:color w:val="auto"/>
              </w:rPr>
            </w:pPr>
            <w:r>
              <w:rPr>
                <w:rFonts w:ascii="Arial" w:cs="Arial" w:eastAsia="Arial" w:hAnsi="Arial"/>
                <w:sz w:val="18"/>
                <w:szCs w:val="18"/>
                <w:color w:val="auto"/>
              </w:rPr>
              <w:t>One Shareholder May Constitute Quorum</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11.6</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Persons May Attend</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11.7</w:t>
            </w:r>
          </w:p>
        </w:tc>
        <w:tc>
          <w:tcPr>
            <w:tcW w:w="8020" w:type="dxa"/>
            <w:vAlign w:val="bottom"/>
          </w:tcPr>
          <w:p>
            <w:pPr>
              <w:ind w:left="60"/>
              <w:spacing w:after="0"/>
              <w:rPr>
                <w:sz w:val="20"/>
                <w:szCs w:val="20"/>
                <w:color w:val="auto"/>
              </w:rPr>
            </w:pPr>
            <w:r>
              <w:rPr>
                <w:rFonts w:ascii="Arial" w:cs="Arial" w:eastAsia="Arial" w:hAnsi="Arial"/>
                <w:sz w:val="18"/>
                <w:szCs w:val="18"/>
                <w:color w:val="auto"/>
              </w:rPr>
              <w:t>Requirement of Quorum</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11.8</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Lack of Quorum</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11.9</w:t>
            </w:r>
          </w:p>
        </w:tc>
        <w:tc>
          <w:tcPr>
            <w:tcW w:w="8020" w:type="dxa"/>
            <w:vAlign w:val="bottom"/>
          </w:tcPr>
          <w:p>
            <w:pPr>
              <w:ind w:left="60"/>
              <w:spacing w:after="0"/>
              <w:rPr>
                <w:sz w:val="20"/>
                <w:szCs w:val="20"/>
                <w:color w:val="auto"/>
              </w:rPr>
            </w:pPr>
            <w:r>
              <w:rPr>
                <w:rFonts w:ascii="Arial" w:cs="Arial" w:eastAsia="Arial" w:hAnsi="Arial"/>
                <w:sz w:val="18"/>
                <w:szCs w:val="18"/>
                <w:color w:val="auto"/>
              </w:rPr>
              <w:t>Quorum Required at Succeeding Meeting</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11.10</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Chair</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11.11</w:t>
            </w:r>
          </w:p>
        </w:tc>
        <w:tc>
          <w:tcPr>
            <w:tcW w:w="8020" w:type="dxa"/>
            <w:vAlign w:val="bottom"/>
          </w:tcPr>
          <w:p>
            <w:pPr>
              <w:ind w:left="60"/>
              <w:spacing w:after="0"/>
              <w:rPr>
                <w:sz w:val="20"/>
                <w:szCs w:val="20"/>
                <w:color w:val="auto"/>
              </w:rPr>
            </w:pPr>
            <w:r>
              <w:rPr>
                <w:rFonts w:ascii="Arial" w:cs="Arial" w:eastAsia="Arial" w:hAnsi="Arial"/>
                <w:sz w:val="18"/>
                <w:szCs w:val="18"/>
                <w:color w:val="auto"/>
              </w:rPr>
              <w:t>Inspectors of Elections; Opening and Closing the Polls</w:t>
            </w:r>
          </w:p>
        </w:tc>
        <w:tc>
          <w:tcPr>
            <w:tcW w:w="2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11.12</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Conduct of Meetings</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11.13</w:t>
            </w:r>
          </w:p>
        </w:tc>
        <w:tc>
          <w:tcPr>
            <w:tcW w:w="8020" w:type="dxa"/>
            <w:vAlign w:val="bottom"/>
          </w:tcPr>
          <w:p>
            <w:pPr>
              <w:ind w:left="60"/>
              <w:spacing w:after="0"/>
              <w:rPr>
                <w:sz w:val="20"/>
                <w:szCs w:val="20"/>
                <w:color w:val="auto"/>
              </w:rPr>
            </w:pPr>
            <w:r>
              <w:rPr>
                <w:rFonts w:ascii="Arial" w:cs="Arial" w:eastAsia="Arial" w:hAnsi="Arial"/>
                <w:sz w:val="18"/>
                <w:szCs w:val="18"/>
                <w:color w:val="auto"/>
              </w:rPr>
              <w:t>Adjournments</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11.14</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of Adjourned Meeting</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11.15</w:t>
            </w:r>
          </w:p>
        </w:tc>
        <w:tc>
          <w:tcPr>
            <w:tcW w:w="8020" w:type="dxa"/>
            <w:vAlign w:val="bottom"/>
          </w:tcPr>
          <w:p>
            <w:pPr>
              <w:ind w:left="60"/>
              <w:spacing w:after="0"/>
              <w:rPr>
                <w:sz w:val="20"/>
                <w:szCs w:val="20"/>
                <w:color w:val="auto"/>
              </w:rPr>
            </w:pPr>
            <w:r>
              <w:rPr>
                <w:rFonts w:ascii="Arial" w:cs="Arial" w:eastAsia="Arial" w:hAnsi="Arial"/>
                <w:sz w:val="18"/>
                <w:szCs w:val="18"/>
                <w:color w:val="auto"/>
              </w:rPr>
              <w:t>Decision by Show of Hands or Poll</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11.16</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Declaration of Result</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11.17</w:t>
            </w:r>
          </w:p>
        </w:tc>
        <w:tc>
          <w:tcPr>
            <w:tcW w:w="8020" w:type="dxa"/>
            <w:vAlign w:val="bottom"/>
          </w:tcPr>
          <w:p>
            <w:pPr>
              <w:ind w:left="60"/>
              <w:spacing w:after="0"/>
              <w:rPr>
                <w:sz w:val="20"/>
                <w:szCs w:val="20"/>
                <w:color w:val="auto"/>
              </w:rPr>
            </w:pPr>
            <w:r>
              <w:rPr>
                <w:rFonts w:ascii="Arial" w:cs="Arial" w:eastAsia="Arial" w:hAnsi="Arial"/>
                <w:sz w:val="18"/>
                <w:szCs w:val="18"/>
                <w:color w:val="auto"/>
              </w:rPr>
              <w:t>Motion Need Not be Seconded</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11.18</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Casting Vote</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11.19</w:t>
            </w:r>
          </w:p>
        </w:tc>
        <w:tc>
          <w:tcPr>
            <w:tcW w:w="8020" w:type="dxa"/>
            <w:vAlign w:val="bottom"/>
          </w:tcPr>
          <w:p>
            <w:pPr>
              <w:ind w:left="60"/>
              <w:spacing w:after="0"/>
              <w:rPr>
                <w:sz w:val="20"/>
                <w:szCs w:val="20"/>
                <w:color w:val="auto"/>
              </w:rPr>
            </w:pPr>
            <w:r>
              <w:rPr>
                <w:rFonts w:ascii="Arial" w:cs="Arial" w:eastAsia="Arial" w:hAnsi="Arial"/>
                <w:sz w:val="18"/>
                <w:szCs w:val="18"/>
                <w:color w:val="auto"/>
              </w:rPr>
              <w:t>Meetings by Remote Communication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8"/>
        </w:trPr>
        <w:tc>
          <w:tcPr>
            <w:tcW w:w="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PART</w:t>
            </w:r>
          </w:p>
        </w:tc>
        <w:tc>
          <w:tcPr>
            <w:tcW w:w="802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VOTES OF SHAREHOLDERS</w:t>
            </w:r>
          </w:p>
        </w:tc>
        <w:tc>
          <w:tcPr>
            <w:tcW w:w="2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17</w:t>
            </w:r>
          </w:p>
        </w:tc>
      </w:tr>
      <w:tr>
        <w:trPr>
          <w:trHeight w:val="234"/>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12</w:t>
            </w:r>
          </w:p>
        </w:tc>
        <w:tc>
          <w:tcPr>
            <w:tcW w:w="80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8020" w:type="dxa"/>
            <w:vAlign w:val="bottom"/>
          </w:tcPr>
          <w:p>
            <w:pPr>
              <w:ind w:left="60"/>
              <w:spacing w:after="0"/>
              <w:rPr>
                <w:sz w:val="20"/>
                <w:szCs w:val="20"/>
                <w:color w:val="auto"/>
              </w:rPr>
            </w:pPr>
            <w:r>
              <w:rPr>
                <w:rFonts w:ascii="Arial" w:cs="Arial" w:eastAsia="Arial" w:hAnsi="Arial"/>
                <w:sz w:val="18"/>
                <w:szCs w:val="18"/>
                <w:color w:val="auto"/>
              </w:rPr>
              <w:t>Number of Votes by Shareholder or by Shares</w:t>
            </w:r>
          </w:p>
        </w:tc>
        <w:tc>
          <w:tcPr>
            <w:tcW w:w="2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12.2</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Votes of Persons in Representative Capacity</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12.3</w:t>
            </w:r>
          </w:p>
        </w:tc>
        <w:tc>
          <w:tcPr>
            <w:tcW w:w="8020" w:type="dxa"/>
            <w:vAlign w:val="bottom"/>
          </w:tcPr>
          <w:p>
            <w:pPr>
              <w:ind w:left="60"/>
              <w:spacing w:after="0"/>
              <w:rPr>
                <w:sz w:val="20"/>
                <w:szCs w:val="20"/>
                <w:color w:val="auto"/>
              </w:rPr>
            </w:pPr>
            <w:r>
              <w:rPr>
                <w:rFonts w:ascii="Arial" w:cs="Arial" w:eastAsia="Arial" w:hAnsi="Arial"/>
                <w:sz w:val="18"/>
                <w:szCs w:val="18"/>
                <w:color w:val="auto"/>
              </w:rPr>
              <w:t>Votes by Joint Holders</w:t>
            </w:r>
          </w:p>
        </w:tc>
        <w:tc>
          <w:tcPr>
            <w:tcW w:w="2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12.4</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Personal Representatives as Joint Shareholders</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12.5</w:t>
            </w:r>
          </w:p>
        </w:tc>
        <w:tc>
          <w:tcPr>
            <w:tcW w:w="8020" w:type="dxa"/>
            <w:vAlign w:val="bottom"/>
          </w:tcPr>
          <w:p>
            <w:pPr>
              <w:ind w:left="60"/>
              <w:spacing w:after="0"/>
              <w:rPr>
                <w:sz w:val="20"/>
                <w:szCs w:val="20"/>
                <w:color w:val="auto"/>
              </w:rPr>
            </w:pPr>
            <w:r>
              <w:rPr>
                <w:rFonts w:ascii="Arial" w:cs="Arial" w:eastAsia="Arial" w:hAnsi="Arial"/>
                <w:sz w:val="18"/>
                <w:szCs w:val="18"/>
                <w:color w:val="auto"/>
              </w:rPr>
              <w:t>Representative of a Corporate Shareholder</w:t>
            </w:r>
          </w:p>
        </w:tc>
        <w:tc>
          <w:tcPr>
            <w:tcW w:w="2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12.6</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Proxy Provisions Do Not Apply to All Companies</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12.7</w:t>
            </w:r>
          </w:p>
        </w:tc>
        <w:tc>
          <w:tcPr>
            <w:tcW w:w="8020" w:type="dxa"/>
            <w:vAlign w:val="bottom"/>
          </w:tcPr>
          <w:p>
            <w:pPr>
              <w:ind w:left="60"/>
              <w:spacing w:after="0"/>
              <w:rPr>
                <w:sz w:val="20"/>
                <w:szCs w:val="20"/>
                <w:color w:val="auto"/>
              </w:rPr>
            </w:pPr>
            <w:r>
              <w:rPr>
                <w:rFonts w:ascii="Arial" w:cs="Arial" w:eastAsia="Arial" w:hAnsi="Arial"/>
                <w:sz w:val="18"/>
                <w:szCs w:val="18"/>
                <w:color w:val="auto"/>
              </w:rPr>
              <w:t>Appointment of Proxy Holders</w:t>
            </w:r>
          </w:p>
        </w:tc>
        <w:tc>
          <w:tcPr>
            <w:tcW w:w="2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12.8</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Alternate Proxy Holders</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12.9</w:t>
            </w:r>
          </w:p>
        </w:tc>
        <w:tc>
          <w:tcPr>
            <w:tcW w:w="8020" w:type="dxa"/>
            <w:vAlign w:val="bottom"/>
          </w:tcPr>
          <w:p>
            <w:pPr>
              <w:ind w:left="60"/>
              <w:spacing w:after="0"/>
              <w:rPr>
                <w:sz w:val="20"/>
                <w:szCs w:val="20"/>
                <w:color w:val="auto"/>
              </w:rPr>
            </w:pPr>
            <w:r>
              <w:rPr>
                <w:rFonts w:ascii="Arial" w:cs="Arial" w:eastAsia="Arial" w:hAnsi="Arial"/>
                <w:sz w:val="18"/>
                <w:szCs w:val="18"/>
                <w:color w:val="auto"/>
              </w:rPr>
              <w:t>When Proxy Holder Need Not Be Shareholder</w:t>
            </w:r>
          </w:p>
        </w:tc>
        <w:tc>
          <w:tcPr>
            <w:tcW w:w="2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12.10</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Deposit of Proxy</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12.11</w:t>
            </w:r>
          </w:p>
        </w:tc>
        <w:tc>
          <w:tcPr>
            <w:tcW w:w="8020" w:type="dxa"/>
            <w:vAlign w:val="bottom"/>
          </w:tcPr>
          <w:p>
            <w:pPr>
              <w:ind w:left="60"/>
              <w:spacing w:after="0"/>
              <w:rPr>
                <w:sz w:val="20"/>
                <w:szCs w:val="20"/>
                <w:color w:val="auto"/>
              </w:rPr>
            </w:pPr>
            <w:r>
              <w:rPr>
                <w:rFonts w:ascii="Arial" w:cs="Arial" w:eastAsia="Arial" w:hAnsi="Arial"/>
                <w:sz w:val="18"/>
                <w:szCs w:val="18"/>
                <w:color w:val="auto"/>
              </w:rPr>
              <w:t>Validity of Proxy Vote</w:t>
            </w:r>
          </w:p>
        </w:tc>
        <w:tc>
          <w:tcPr>
            <w:tcW w:w="2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Proxy</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12.13</w:t>
            </w:r>
          </w:p>
        </w:tc>
        <w:tc>
          <w:tcPr>
            <w:tcW w:w="8020" w:type="dxa"/>
            <w:vAlign w:val="bottom"/>
          </w:tcPr>
          <w:p>
            <w:pPr>
              <w:ind w:left="60"/>
              <w:spacing w:after="0"/>
              <w:rPr>
                <w:sz w:val="20"/>
                <w:szCs w:val="20"/>
                <w:color w:val="auto"/>
              </w:rPr>
            </w:pPr>
            <w:r>
              <w:rPr>
                <w:rFonts w:ascii="Arial" w:cs="Arial" w:eastAsia="Arial" w:hAnsi="Arial"/>
                <w:sz w:val="18"/>
                <w:szCs w:val="18"/>
                <w:color w:val="auto"/>
              </w:rPr>
              <w:t>Revocation of Proxy</w:t>
            </w:r>
          </w:p>
        </w:tc>
        <w:tc>
          <w:tcPr>
            <w:tcW w:w="2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12.14</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Revocation of Proxy Must Be Signed</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12.15</w:t>
            </w:r>
          </w:p>
        </w:tc>
        <w:tc>
          <w:tcPr>
            <w:tcW w:w="8020" w:type="dxa"/>
            <w:vAlign w:val="bottom"/>
          </w:tcPr>
          <w:p>
            <w:pPr>
              <w:ind w:left="60"/>
              <w:spacing w:after="0"/>
              <w:rPr>
                <w:sz w:val="20"/>
                <w:szCs w:val="20"/>
                <w:color w:val="auto"/>
              </w:rPr>
            </w:pPr>
            <w:r>
              <w:rPr>
                <w:rFonts w:ascii="Arial" w:cs="Arial" w:eastAsia="Arial" w:hAnsi="Arial"/>
                <w:sz w:val="18"/>
                <w:szCs w:val="18"/>
                <w:color w:val="auto"/>
              </w:rPr>
              <w:t>Production of Evidence of Authority to Vote</w:t>
            </w:r>
          </w:p>
        </w:tc>
        <w:tc>
          <w:tcPr>
            <w:tcW w:w="2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12.16</w:t>
            </w:r>
          </w:p>
        </w:tc>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Appointment of Attorney or Agent to Cast Vote in any other Corporation</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520" w:type="dxa"/>
            <w:vAlign w:val="bottom"/>
          </w:tcPr>
          <w:p>
            <w:pPr>
              <w:spacing w:after="0"/>
              <w:rPr>
                <w:sz w:val="24"/>
                <w:szCs w:val="24"/>
                <w:color w:val="auto"/>
              </w:rPr>
            </w:pPr>
          </w:p>
        </w:tc>
        <w:tc>
          <w:tcPr>
            <w:tcW w:w="8020" w:type="dxa"/>
            <w:vAlign w:val="bottom"/>
          </w:tcPr>
          <w:p>
            <w:pPr>
              <w:ind w:left="5140"/>
              <w:spacing w:after="0"/>
              <w:rPr>
                <w:sz w:val="20"/>
                <w:szCs w:val="20"/>
                <w:color w:val="auto"/>
              </w:rPr>
            </w:pPr>
            <w:r>
              <w:rPr>
                <w:rFonts w:ascii="Arial" w:cs="Arial" w:eastAsia="Arial" w:hAnsi="Arial"/>
                <w:sz w:val="18"/>
                <w:szCs w:val="18"/>
                <w:color w:val="auto"/>
              </w:rPr>
              <w:t>3</w:t>
            </w:r>
          </w:p>
        </w:tc>
        <w:tc>
          <w:tcPr>
            <w:tcW w:w="2880" w:type="dxa"/>
            <w:vAlign w:val="bottom"/>
          </w:tcPr>
          <w:p>
            <w:pPr>
              <w:spacing w:after="0"/>
              <w:rPr>
                <w:sz w:val="24"/>
                <w:szCs w:val="24"/>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80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9"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w:t>
            </w: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DIRECTORS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34"/>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w:t>
            </w:r>
          </w:p>
        </w:tc>
        <w:tc>
          <w:tcPr>
            <w:tcW w:w="4700" w:type="dxa"/>
            <w:vAlign w:val="bottom"/>
            <w:shd w:val="clear" w:color="auto" w:fill="CCEEFF"/>
          </w:tcPr>
          <w:p>
            <w:pPr>
              <w:spacing w:after="0"/>
              <w:rPr>
                <w:sz w:val="20"/>
                <w:szCs w:val="20"/>
                <w:color w:val="auto"/>
              </w:rPr>
            </w:pPr>
          </w:p>
        </w:tc>
        <w:tc>
          <w:tcPr>
            <w:tcW w:w="6200" w:type="dxa"/>
            <w:vAlign w:val="bottom"/>
            <w:shd w:val="clear" w:color="auto" w:fill="CCEEFF"/>
          </w:tcPr>
          <w:p>
            <w:pPr>
              <w:spacing w:after="0"/>
              <w:rPr>
                <w:sz w:val="20"/>
                <w:szCs w:val="20"/>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13.1</w:t>
            </w:r>
          </w:p>
        </w:tc>
        <w:tc>
          <w:tcPr>
            <w:tcW w:w="4700" w:type="dxa"/>
            <w:vAlign w:val="bottom"/>
          </w:tcPr>
          <w:p>
            <w:pPr>
              <w:ind w:left="60"/>
              <w:spacing w:after="0"/>
              <w:rPr>
                <w:sz w:val="20"/>
                <w:szCs w:val="20"/>
                <w:color w:val="auto"/>
              </w:rPr>
            </w:pPr>
            <w:r>
              <w:rPr>
                <w:rFonts w:ascii="Arial" w:cs="Arial" w:eastAsia="Arial" w:hAnsi="Arial"/>
                <w:sz w:val="18"/>
                <w:szCs w:val="18"/>
                <w:color w:val="auto"/>
              </w:rPr>
              <w:t>First Directors; Number of Directors</w:t>
            </w:r>
          </w:p>
        </w:tc>
        <w:tc>
          <w:tcPr>
            <w:tcW w:w="6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13.2</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in Number of Directors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13.3</w:t>
            </w:r>
          </w:p>
        </w:tc>
        <w:tc>
          <w:tcPr>
            <w:tcW w:w="4700" w:type="dxa"/>
            <w:vAlign w:val="bottom"/>
          </w:tcPr>
          <w:p>
            <w:pPr>
              <w:ind w:left="60"/>
              <w:spacing w:after="0"/>
              <w:rPr>
                <w:sz w:val="20"/>
                <w:szCs w:val="20"/>
                <w:color w:val="auto"/>
              </w:rPr>
            </w:pPr>
            <w:r>
              <w:rPr>
                <w:rFonts w:ascii="Arial" w:cs="Arial" w:eastAsia="Arial" w:hAnsi="Arial"/>
                <w:sz w:val="18"/>
                <w:szCs w:val="18"/>
                <w:color w:val="auto"/>
              </w:rPr>
              <w:t>Directors' Acts Valid Despite Vacancy</w:t>
            </w:r>
          </w:p>
        </w:tc>
        <w:tc>
          <w:tcPr>
            <w:tcW w:w="6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13.4</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Remuneration of Directors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13.5</w:t>
            </w:r>
          </w:p>
        </w:tc>
        <w:tc>
          <w:tcPr>
            <w:tcW w:w="4700" w:type="dxa"/>
            <w:vAlign w:val="bottom"/>
          </w:tcPr>
          <w:p>
            <w:pPr>
              <w:ind w:left="60"/>
              <w:spacing w:after="0"/>
              <w:rPr>
                <w:sz w:val="20"/>
                <w:szCs w:val="20"/>
                <w:color w:val="auto"/>
              </w:rPr>
            </w:pPr>
            <w:r>
              <w:rPr>
                <w:rFonts w:ascii="Arial" w:cs="Arial" w:eastAsia="Arial" w:hAnsi="Arial"/>
                <w:sz w:val="18"/>
                <w:szCs w:val="18"/>
                <w:color w:val="auto"/>
              </w:rPr>
              <w:t>Reimbursement of Expenses of Directors</w:t>
            </w:r>
          </w:p>
        </w:tc>
        <w:tc>
          <w:tcPr>
            <w:tcW w:w="6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13.6</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Special Remuneration for Directors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13.7</w:t>
            </w:r>
          </w:p>
        </w:tc>
        <w:tc>
          <w:tcPr>
            <w:tcW w:w="4700" w:type="dxa"/>
            <w:vAlign w:val="bottom"/>
          </w:tcPr>
          <w:p>
            <w:pPr>
              <w:ind w:left="60"/>
              <w:spacing w:after="0"/>
              <w:rPr>
                <w:sz w:val="20"/>
                <w:szCs w:val="20"/>
                <w:color w:val="auto"/>
              </w:rPr>
            </w:pPr>
            <w:r>
              <w:rPr>
                <w:rFonts w:ascii="Arial" w:cs="Arial" w:eastAsia="Arial" w:hAnsi="Arial"/>
                <w:sz w:val="18"/>
                <w:szCs w:val="18"/>
                <w:color w:val="auto"/>
              </w:rPr>
              <w:t>Gratuity, Pension or Allowance on Retirement of Director</w:t>
            </w:r>
          </w:p>
        </w:tc>
        <w:tc>
          <w:tcPr>
            <w:tcW w:w="6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8"/>
        </w:trPr>
        <w:tc>
          <w:tcPr>
            <w:tcW w:w="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PART</w:t>
            </w:r>
          </w:p>
        </w:tc>
        <w:tc>
          <w:tcPr>
            <w:tcW w:w="470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ELECTION AND REMOVAL OF DIRECTORS</w:t>
            </w:r>
          </w:p>
        </w:tc>
        <w:tc>
          <w:tcPr>
            <w:tcW w:w="62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21</w:t>
            </w:r>
          </w:p>
        </w:tc>
      </w:tr>
      <w:tr>
        <w:trPr>
          <w:trHeight w:val="234"/>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14</w:t>
            </w:r>
          </w:p>
        </w:tc>
        <w:tc>
          <w:tcPr>
            <w:tcW w:w="4700" w:type="dxa"/>
            <w:vAlign w:val="bottom"/>
            <w:shd w:val="clear" w:color="auto" w:fill="CCEEFF"/>
          </w:tcPr>
          <w:p>
            <w:pPr>
              <w:spacing w:after="0"/>
              <w:rPr>
                <w:sz w:val="20"/>
                <w:szCs w:val="20"/>
                <w:color w:val="auto"/>
              </w:rPr>
            </w:pPr>
          </w:p>
        </w:tc>
        <w:tc>
          <w:tcPr>
            <w:tcW w:w="6200" w:type="dxa"/>
            <w:vAlign w:val="bottom"/>
            <w:shd w:val="clear" w:color="auto" w:fill="CCEEFF"/>
          </w:tcPr>
          <w:p>
            <w:pPr>
              <w:spacing w:after="0"/>
              <w:rPr>
                <w:sz w:val="20"/>
                <w:szCs w:val="20"/>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14.1</w:t>
            </w:r>
          </w:p>
        </w:tc>
        <w:tc>
          <w:tcPr>
            <w:tcW w:w="4700" w:type="dxa"/>
            <w:vAlign w:val="bottom"/>
          </w:tcPr>
          <w:p>
            <w:pPr>
              <w:ind w:left="60"/>
              <w:spacing w:after="0"/>
              <w:rPr>
                <w:sz w:val="20"/>
                <w:szCs w:val="20"/>
                <w:color w:val="auto"/>
              </w:rPr>
            </w:pPr>
            <w:r>
              <w:rPr>
                <w:rFonts w:ascii="Arial" w:cs="Arial" w:eastAsia="Arial" w:hAnsi="Arial"/>
                <w:sz w:val="18"/>
                <w:szCs w:val="18"/>
                <w:color w:val="auto"/>
              </w:rPr>
              <w:t>Procedure for Election of Directors; Required Vote</w:t>
            </w:r>
          </w:p>
        </w:tc>
        <w:tc>
          <w:tcPr>
            <w:tcW w:w="6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14.2</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Election and Rotation at Annual General Meeting</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14.3</w:t>
            </w:r>
          </w:p>
        </w:tc>
        <w:tc>
          <w:tcPr>
            <w:tcW w:w="4700" w:type="dxa"/>
            <w:vAlign w:val="bottom"/>
          </w:tcPr>
          <w:p>
            <w:pPr>
              <w:ind w:left="60"/>
              <w:spacing w:after="0"/>
              <w:rPr>
                <w:sz w:val="20"/>
                <w:szCs w:val="20"/>
                <w:color w:val="auto"/>
              </w:rPr>
            </w:pPr>
            <w:r>
              <w:rPr>
                <w:rFonts w:ascii="Arial" w:cs="Arial" w:eastAsia="Arial" w:hAnsi="Arial"/>
                <w:sz w:val="18"/>
                <w:szCs w:val="18"/>
                <w:color w:val="auto"/>
              </w:rPr>
              <w:t>Consent to be a Director</w:t>
            </w:r>
          </w:p>
        </w:tc>
        <w:tc>
          <w:tcPr>
            <w:tcW w:w="6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14.4</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Failure to Elect or Appoint Directors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14.5</w:t>
            </w:r>
          </w:p>
        </w:tc>
        <w:tc>
          <w:tcPr>
            <w:tcW w:w="4700" w:type="dxa"/>
            <w:vAlign w:val="bottom"/>
          </w:tcPr>
          <w:p>
            <w:pPr>
              <w:ind w:left="60"/>
              <w:spacing w:after="0"/>
              <w:rPr>
                <w:sz w:val="20"/>
                <w:szCs w:val="20"/>
                <w:color w:val="auto"/>
              </w:rPr>
            </w:pPr>
            <w:r>
              <w:rPr>
                <w:rFonts w:ascii="Arial" w:cs="Arial" w:eastAsia="Arial" w:hAnsi="Arial"/>
                <w:sz w:val="18"/>
                <w:szCs w:val="18"/>
                <w:color w:val="auto"/>
              </w:rPr>
              <w:t>Places of Retiring Directors Not Filled</w:t>
            </w:r>
          </w:p>
        </w:tc>
        <w:tc>
          <w:tcPr>
            <w:tcW w:w="6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14.6</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May Fill Vacancies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14.7</w:t>
            </w:r>
          </w:p>
        </w:tc>
        <w:tc>
          <w:tcPr>
            <w:tcW w:w="4700" w:type="dxa"/>
            <w:vAlign w:val="bottom"/>
          </w:tcPr>
          <w:p>
            <w:pPr>
              <w:ind w:left="60"/>
              <w:spacing w:after="0"/>
              <w:rPr>
                <w:sz w:val="20"/>
                <w:szCs w:val="20"/>
                <w:color w:val="auto"/>
              </w:rPr>
            </w:pPr>
            <w:r>
              <w:rPr>
                <w:rFonts w:ascii="Arial" w:cs="Arial" w:eastAsia="Arial" w:hAnsi="Arial"/>
                <w:sz w:val="18"/>
                <w:szCs w:val="18"/>
                <w:color w:val="auto"/>
              </w:rPr>
              <w:t>Remaining Directors Power to Act</w:t>
            </w:r>
          </w:p>
        </w:tc>
        <w:tc>
          <w:tcPr>
            <w:tcW w:w="6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14.8</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Additional Directors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14.9</w:t>
            </w:r>
          </w:p>
        </w:tc>
        <w:tc>
          <w:tcPr>
            <w:tcW w:w="4700" w:type="dxa"/>
            <w:vAlign w:val="bottom"/>
          </w:tcPr>
          <w:p>
            <w:pPr>
              <w:ind w:left="60"/>
              <w:spacing w:after="0"/>
              <w:rPr>
                <w:sz w:val="20"/>
                <w:szCs w:val="20"/>
                <w:color w:val="auto"/>
              </w:rPr>
            </w:pPr>
            <w:r>
              <w:rPr>
                <w:rFonts w:ascii="Arial" w:cs="Arial" w:eastAsia="Arial" w:hAnsi="Arial"/>
                <w:sz w:val="18"/>
                <w:szCs w:val="18"/>
                <w:color w:val="auto"/>
              </w:rPr>
              <w:t>Ceasing to be a Director</w:t>
            </w:r>
          </w:p>
        </w:tc>
        <w:tc>
          <w:tcPr>
            <w:tcW w:w="6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14.10</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Removal of Director by Shareholders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14.11</w:t>
            </w:r>
          </w:p>
        </w:tc>
        <w:tc>
          <w:tcPr>
            <w:tcW w:w="4700" w:type="dxa"/>
            <w:vAlign w:val="bottom"/>
          </w:tcPr>
          <w:p>
            <w:pPr>
              <w:ind w:left="60"/>
              <w:spacing w:after="0"/>
              <w:rPr>
                <w:sz w:val="20"/>
                <w:szCs w:val="20"/>
                <w:color w:val="auto"/>
              </w:rPr>
            </w:pPr>
            <w:r>
              <w:rPr>
                <w:rFonts w:ascii="Arial" w:cs="Arial" w:eastAsia="Arial" w:hAnsi="Arial"/>
                <w:sz w:val="18"/>
                <w:szCs w:val="18"/>
                <w:color w:val="auto"/>
              </w:rPr>
              <w:t>Removal of Director by Directors</w:t>
            </w:r>
          </w:p>
        </w:tc>
        <w:tc>
          <w:tcPr>
            <w:tcW w:w="6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8"/>
        </w:trPr>
        <w:tc>
          <w:tcPr>
            <w:tcW w:w="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PART</w:t>
            </w:r>
          </w:p>
        </w:tc>
        <w:tc>
          <w:tcPr>
            <w:tcW w:w="470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POWERS AND DUTIES OF DIRECTORS</w:t>
            </w:r>
          </w:p>
        </w:tc>
        <w:tc>
          <w:tcPr>
            <w:tcW w:w="62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23</w:t>
            </w:r>
          </w:p>
        </w:tc>
      </w:tr>
      <w:tr>
        <w:trPr>
          <w:trHeight w:val="234"/>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15</w:t>
            </w:r>
          </w:p>
        </w:tc>
        <w:tc>
          <w:tcPr>
            <w:tcW w:w="4700" w:type="dxa"/>
            <w:vAlign w:val="bottom"/>
            <w:shd w:val="clear" w:color="auto" w:fill="CCEEFF"/>
          </w:tcPr>
          <w:p>
            <w:pPr>
              <w:spacing w:after="0"/>
              <w:rPr>
                <w:sz w:val="20"/>
                <w:szCs w:val="20"/>
                <w:color w:val="auto"/>
              </w:rPr>
            </w:pPr>
          </w:p>
        </w:tc>
        <w:tc>
          <w:tcPr>
            <w:tcW w:w="6200" w:type="dxa"/>
            <w:vAlign w:val="bottom"/>
            <w:shd w:val="clear" w:color="auto" w:fill="CCEEFF"/>
          </w:tcPr>
          <w:p>
            <w:pPr>
              <w:spacing w:after="0"/>
              <w:rPr>
                <w:sz w:val="20"/>
                <w:szCs w:val="20"/>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15.1</w:t>
            </w:r>
          </w:p>
        </w:tc>
        <w:tc>
          <w:tcPr>
            <w:tcW w:w="4700" w:type="dxa"/>
            <w:vAlign w:val="bottom"/>
          </w:tcPr>
          <w:p>
            <w:pPr>
              <w:ind w:left="60"/>
              <w:spacing w:after="0"/>
              <w:rPr>
                <w:sz w:val="20"/>
                <w:szCs w:val="20"/>
                <w:color w:val="auto"/>
              </w:rPr>
            </w:pPr>
            <w:r>
              <w:rPr>
                <w:rFonts w:ascii="Arial" w:cs="Arial" w:eastAsia="Arial" w:hAnsi="Arial"/>
                <w:sz w:val="18"/>
                <w:szCs w:val="18"/>
                <w:color w:val="auto"/>
              </w:rPr>
              <w:t>Powers of Management</w:t>
            </w:r>
          </w:p>
        </w:tc>
        <w:tc>
          <w:tcPr>
            <w:tcW w:w="6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15.2</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Appointment of Attorney of Company</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4700" w:type="dxa"/>
            <w:vAlign w:val="bottom"/>
          </w:tcPr>
          <w:p>
            <w:pPr>
              <w:ind w:left="400"/>
              <w:spacing w:after="0" w:line="198" w:lineRule="exact"/>
              <w:rPr>
                <w:sz w:val="20"/>
                <w:szCs w:val="20"/>
                <w:color w:val="auto"/>
              </w:rPr>
            </w:pPr>
            <w:r>
              <w:rPr>
                <w:rFonts w:ascii="Arial" w:cs="Arial" w:eastAsia="Arial" w:hAnsi="Arial"/>
                <w:sz w:val="18"/>
                <w:szCs w:val="18"/>
                <w:b w:val="1"/>
                <w:bCs w:val="1"/>
                <w:color w:val="auto"/>
              </w:rPr>
              <w:t>DISCLOSURE OF INTEREST OF DIRECTORS</w:t>
            </w:r>
          </w:p>
        </w:tc>
        <w:tc>
          <w:tcPr>
            <w:tcW w:w="62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24</w:t>
            </w: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470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16.1</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Obligation to Account for Profits</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16.2</w:t>
            </w:r>
          </w:p>
        </w:tc>
        <w:tc>
          <w:tcPr>
            <w:tcW w:w="4700" w:type="dxa"/>
            <w:vAlign w:val="bottom"/>
          </w:tcPr>
          <w:p>
            <w:pPr>
              <w:ind w:left="60"/>
              <w:spacing w:after="0"/>
              <w:rPr>
                <w:sz w:val="20"/>
                <w:szCs w:val="20"/>
                <w:color w:val="auto"/>
              </w:rPr>
            </w:pPr>
            <w:r>
              <w:rPr>
                <w:rFonts w:ascii="Arial" w:cs="Arial" w:eastAsia="Arial" w:hAnsi="Arial"/>
                <w:sz w:val="18"/>
                <w:szCs w:val="18"/>
                <w:color w:val="auto"/>
              </w:rPr>
              <w:t>Restrictions on Voting by Reason of Interest</w:t>
            </w:r>
          </w:p>
        </w:tc>
        <w:tc>
          <w:tcPr>
            <w:tcW w:w="6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16.3</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Interested Director Counted in Quorum</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16.4</w:t>
            </w:r>
          </w:p>
        </w:tc>
        <w:tc>
          <w:tcPr>
            <w:tcW w:w="4700" w:type="dxa"/>
            <w:vAlign w:val="bottom"/>
          </w:tcPr>
          <w:p>
            <w:pPr>
              <w:ind w:left="60"/>
              <w:spacing w:after="0"/>
              <w:rPr>
                <w:sz w:val="20"/>
                <w:szCs w:val="20"/>
                <w:color w:val="auto"/>
              </w:rPr>
            </w:pPr>
            <w:r>
              <w:rPr>
                <w:rFonts w:ascii="Arial" w:cs="Arial" w:eastAsia="Arial" w:hAnsi="Arial"/>
                <w:sz w:val="18"/>
                <w:szCs w:val="18"/>
                <w:color w:val="auto"/>
              </w:rPr>
              <w:t>Disclosure of Conflict of Interest or Property</w:t>
            </w:r>
          </w:p>
        </w:tc>
        <w:tc>
          <w:tcPr>
            <w:tcW w:w="6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16.5</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 Holding Other Office in the Company</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16.6</w:t>
            </w:r>
          </w:p>
        </w:tc>
        <w:tc>
          <w:tcPr>
            <w:tcW w:w="4700" w:type="dxa"/>
            <w:vAlign w:val="bottom"/>
          </w:tcPr>
          <w:p>
            <w:pPr>
              <w:ind w:left="60"/>
              <w:spacing w:after="0"/>
              <w:rPr>
                <w:sz w:val="20"/>
                <w:szCs w:val="20"/>
                <w:color w:val="auto"/>
              </w:rPr>
            </w:pPr>
            <w:r>
              <w:rPr>
                <w:rFonts w:ascii="Arial" w:cs="Arial" w:eastAsia="Arial" w:hAnsi="Arial"/>
                <w:sz w:val="18"/>
                <w:szCs w:val="18"/>
                <w:color w:val="auto"/>
              </w:rPr>
              <w:t>No Disqualification</w:t>
            </w:r>
          </w:p>
        </w:tc>
        <w:tc>
          <w:tcPr>
            <w:tcW w:w="6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16.7</w:t>
            </w: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Professional Services by Director or Officer</w:t>
            </w:r>
          </w:p>
        </w:tc>
        <w:tc>
          <w:tcPr>
            <w:tcW w:w="6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16.8</w:t>
            </w:r>
          </w:p>
        </w:tc>
        <w:tc>
          <w:tcPr>
            <w:tcW w:w="4700" w:type="dxa"/>
            <w:vAlign w:val="bottom"/>
          </w:tcPr>
          <w:p>
            <w:pPr>
              <w:ind w:left="60"/>
              <w:spacing w:after="0"/>
              <w:rPr>
                <w:sz w:val="20"/>
                <w:szCs w:val="20"/>
                <w:color w:val="auto"/>
              </w:rPr>
            </w:pPr>
            <w:r>
              <w:rPr>
                <w:rFonts w:ascii="Arial" w:cs="Arial" w:eastAsia="Arial" w:hAnsi="Arial"/>
                <w:sz w:val="18"/>
                <w:szCs w:val="18"/>
                <w:color w:val="auto"/>
              </w:rPr>
              <w:t>Director or Officer in Other Corporations</w:t>
            </w:r>
          </w:p>
        </w:tc>
        <w:tc>
          <w:tcPr>
            <w:tcW w:w="6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8"/>
        </w:trPr>
        <w:tc>
          <w:tcPr>
            <w:tcW w:w="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PART</w:t>
            </w:r>
          </w:p>
        </w:tc>
        <w:tc>
          <w:tcPr>
            <w:tcW w:w="470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PROCEEDINGS OF DIRECTORS</w:t>
            </w:r>
          </w:p>
        </w:tc>
        <w:tc>
          <w:tcPr>
            <w:tcW w:w="62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25</w:t>
            </w:r>
          </w:p>
        </w:tc>
      </w:tr>
      <w:tr>
        <w:trPr>
          <w:trHeight w:val="234"/>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17</w:t>
            </w:r>
          </w:p>
        </w:tc>
        <w:tc>
          <w:tcPr>
            <w:tcW w:w="4700" w:type="dxa"/>
            <w:vAlign w:val="bottom"/>
            <w:shd w:val="clear" w:color="auto" w:fill="CCEEFF"/>
          </w:tcPr>
          <w:p>
            <w:pPr>
              <w:spacing w:after="0"/>
              <w:rPr>
                <w:sz w:val="20"/>
                <w:szCs w:val="20"/>
                <w:color w:val="auto"/>
              </w:rPr>
            </w:pPr>
          </w:p>
        </w:tc>
        <w:tc>
          <w:tcPr>
            <w:tcW w:w="6200" w:type="dxa"/>
            <w:vAlign w:val="bottom"/>
            <w:shd w:val="clear" w:color="auto" w:fill="CCEEFF"/>
          </w:tcPr>
          <w:p>
            <w:pPr>
              <w:spacing w:after="0"/>
              <w:rPr>
                <w:sz w:val="20"/>
                <w:szCs w:val="20"/>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17.1</w:t>
            </w:r>
          </w:p>
        </w:tc>
        <w:tc>
          <w:tcPr>
            <w:tcW w:w="4700" w:type="dxa"/>
            <w:vAlign w:val="bottom"/>
          </w:tcPr>
          <w:p>
            <w:pPr>
              <w:ind w:left="60"/>
              <w:spacing w:after="0"/>
              <w:rPr>
                <w:sz w:val="20"/>
                <w:szCs w:val="20"/>
                <w:color w:val="auto"/>
              </w:rPr>
            </w:pPr>
            <w:r>
              <w:rPr>
                <w:rFonts w:ascii="Arial" w:cs="Arial" w:eastAsia="Arial" w:hAnsi="Arial"/>
                <w:sz w:val="18"/>
                <w:szCs w:val="18"/>
                <w:color w:val="auto"/>
              </w:rPr>
              <w:t>Regular Meetings of Directors</w:t>
            </w:r>
          </w:p>
        </w:tc>
        <w:tc>
          <w:tcPr>
            <w:tcW w:w="6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5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200" w:type="dxa"/>
            <w:vAlign w:val="bottom"/>
          </w:tcPr>
          <w:p>
            <w:pPr>
              <w:jc w:val="right"/>
              <w:ind w:right="5570"/>
              <w:spacing w:after="0"/>
              <w:rPr>
                <w:sz w:val="20"/>
                <w:szCs w:val="20"/>
                <w:color w:val="auto"/>
              </w:rPr>
            </w:pPr>
            <w:r>
              <w:rPr>
                <w:rFonts w:ascii="Arial" w:cs="Arial" w:eastAsia="Arial" w:hAnsi="Arial"/>
                <w:sz w:val="18"/>
                <w:szCs w:val="18"/>
                <w:color w:val="auto"/>
              </w:rPr>
              <w:t>4</w:t>
            </w:r>
          </w:p>
        </w:tc>
      </w:tr>
      <w:tr>
        <w:trPr>
          <w:trHeight w:val="115"/>
        </w:trPr>
        <w:tc>
          <w:tcPr>
            <w:tcW w:w="52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6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9"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17.2</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Special Meetings of Directors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17.3</w:t>
            </w:r>
          </w:p>
        </w:tc>
        <w:tc>
          <w:tcPr>
            <w:tcW w:w="4740" w:type="dxa"/>
            <w:vAlign w:val="bottom"/>
          </w:tcPr>
          <w:p>
            <w:pPr>
              <w:ind w:left="60"/>
              <w:spacing w:after="0"/>
              <w:rPr>
                <w:sz w:val="20"/>
                <w:szCs w:val="20"/>
                <w:color w:val="auto"/>
              </w:rPr>
            </w:pPr>
            <w:r>
              <w:rPr>
                <w:rFonts w:ascii="Arial" w:cs="Arial" w:eastAsia="Arial" w:hAnsi="Arial"/>
                <w:sz w:val="18"/>
                <w:szCs w:val="18"/>
                <w:color w:val="auto"/>
              </w:rPr>
              <w:t>Voting at Meetings</w:t>
            </w:r>
          </w:p>
        </w:tc>
        <w:tc>
          <w:tcPr>
            <w:tcW w:w="6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17.4</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Chair of Meetings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17.5</w:t>
            </w:r>
          </w:p>
        </w:tc>
        <w:tc>
          <w:tcPr>
            <w:tcW w:w="4740" w:type="dxa"/>
            <w:vAlign w:val="bottom"/>
          </w:tcPr>
          <w:p>
            <w:pPr>
              <w:ind w:left="60"/>
              <w:spacing w:after="0"/>
              <w:rPr>
                <w:sz w:val="20"/>
                <w:szCs w:val="20"/>
                <w:color w:val="auto"/>
              </w:rPr>
            </w:pPr>
            <w:r>
              <w:rPr>
                <w:rFonts w:ascii="Arial" w:cs="Arial" w:eastAsia="Arial" w:hAnsi="Arial"/>
                <w:sz w:val="18"/>
                <w:szCs w:val="18"/>
                <w:color w:val="auto"/>
                <w:w w:val="99"/>
              </w:rPr>
              <w:t>Meetings by Telephone or Other Communications Medium</w:t>
            </w:r>
          </w:p>
        </w:tc>
        <w:tc>
          <w:tcPr>
            <w:tcW w:w="6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17.6</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of Meetings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17.7</w:t>
            </w:r>
          </w:p>
        </w:tc>
        <w:tc>
          <w:tcPr>
            <w:tcW w:w="4740" w:type="dxa"/>
            <w:vAlign w:val="bottom"/>
          </w:tcPr>
          <w:p>
            <w:pPr>
              <w:ind w:left="60"/>
              <w:spacing w:after="0"/>
              <w:rPr>
                <w:sz w:val="20"/>
                <w:szCs w:val="20"/>
                <w:color w:val="auto"/>
              </w:rPr>
            </w:pPr>
            <w:r>
              <w:rPr>
                <w:rFonts w:ascii="Arial" w:cs="Arial" w:eastAsia="Arial" w:hAnsi="Arial"/>
                <w:sz w:val="18"/>
                <w:szCs w:val="18"/>
                <w:color w:val="auto"/>
              </w:rPr>
              <w:t>When Notice Not Required</w:t>
            </w:r>
          </w:p>
        </w:tc>
        <w:tc>
          <w:tcPr>
            <w:tcW w:w="6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17.8</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Meeting Valid Despite Failure to Give Notice</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17.9</w:t>
            </w:r>
          </w:p>
        </w:tc>
        <w:tc>
          <w:tcPr>
            <w:tcW w:w="4740" w:type="dxa"/>
            <w:vAlign w:val="bottom"/>
          </w:tcPr>
          <w:p>
            <w:pPr>
              <w:ind w:left="60"/>
              <w:spacing w:after="0"/>
              <w:rPr>
                <w:sz w:val="20"/>
                <w:szCs w:val="20"/>
                <w:color w:val="auto"/>
              </w:rPr>
            </w:pPr>
            <w:r>
              <w:rPr>
                <w:rFonts w:ascii="Arial" w:cs="Arial" w:eastAsia="Arial" w:hAnsi="Arial"/>
                <w:sz w:val="18"/>
                <w:szCs w:val="18"/>
                <w:color w:val="auto"/>
              </w:rPr>
              <w:t>Waiver of Notice of Meetings</w:t>
            </w:r>
          </w:p>
        </w:tc>
        <w:tc>
          <w:tcPr>
            <w:tcW w:w="6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17.10</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Quorum</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17.11</w:t>
            </w:r>
          </w:p>
        </w:tc>
        <w:tc>
          <w:tcPr>
            <w:tcW w:w="4740" w:type="dxa"/>
            <w:vAlign w:val="bottom"/>
          </w:tcPr>
          <w:p>
            <w:pPr>
              <w:ind w:left="60"/>
              <w:spacing w:after="0"/>
              <w:rPr>
                <w:sz w:val="20"/>
                <w:szCs w:val="20"/>
                <w:color w:val="auto"/>
              </w:rPr>
            </w:pPr>
            <w:r>
              <w:rPr>
                <w:rFonts w:ascii="Arial" w:cs="Arial" w:eastAsia="Arial" w:hAnsi="Arial"/>
                <w:sz w:val="18"/>
                <w:szCs w:val="18"/>
                <w:color w:val="auto"/>
              </w:rPr>
              <w:t>Validity of Acts Where Appointment Defective</w:t>
            </w:r>
          </w:p>
        </w:tc>
        <w:tc>
          <w:tcPr>
            <w:tcW w:w="6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17.12</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Action by Consent of Board</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4740" w:type="dxa"/>
            <w:vAlign w:val="bottom"/>
          </w:tcPr>
          <w:p>
            <w:pPr>
              <w:ind w:left="400"/>
              <w:spacing w:after="0" w:line="198" w:lineRule="exact"/>
              <w:rPr>
                <w:sz w:val="20"/>
                <w:szCs w:val="20"/>
                <w:color w:val="auto"/>
              </w:rPr>
            </w:pPr>
            <w:r>
              <w:rPr>
                <w:rFonts w:ascii="Arial" w:cs="Arial" w:eastAsia="Arial" w:hAnsi="Arial"/>
                <w:sz w:val="18"/>
                <w:szCs w:val="18"/>
                <w:b w:val="1"/>
                <w:bCs w:val="1"/>
                <w:color w:val="auto"/>
              </w:rPr>
              <w:t>EXECUTIVE AND OTHER COMMITTEES</w:t>
            </w:r>
          </w:p>
        </w:tc>
        <w:tc>
          <w:tcPr>
            <w:tcW w:w="61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27</w:t>
            </w: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474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18.1</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Appointment and Powers of Executive Committee</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18.2</w:t>
            </w:r>
          </w:p>
        </w:tc>
        <w:tc>
          <w:tcPr>
            <w:tcW w:w="4740" w:type="dxa"/>
            <w:vAlign w:val="bottom"/>
          </w:tcPr>
          <w:p>
            <w:pPr>
              <w:ind w:left="60"/>
              <w:spacing w:after="0"/>
              <w:rPr>
                <w:sz w:val="20"/>
                <w:szCs w:val="20"/>
                <w:color w:val="auto"/>
              </w:rPr>
            </w:pPr>
            <w:r>
              <w:rPr>
                <w:rFonts w:ascii="Arial" w:cs="Arial" w:eastAsia="Arial" w:hAnsi="Arial"/>
                <w:sz w:val="18"/>
                <w:szCs w:val="18"/>
                <w:color w:val="auto"/>
              </w:rPr>
              <w:t>Appointment and Powers of Other Committees</w:t>
            </w:r>
          </w:p>
        </w:tc>
        <w:tc>
          <w:tcPr>
            <w:tcW w:w="6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18.3</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Obligations of Committees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18.4</w:t>
            </w:r>
          </w:p>
        </w:tc>
        <w:tc>
          <w:tcPr>
            <w:tcW w:w="4740" w:type="dxa"/>
            <w:vAlign w:val="bottom"/>
          </w:tcPr>
          <w:p>
            <w:pPr>
              <w:ind w:left="60"/>
              <w:spacing w:after="0"/>
              <w:rPr>
                <w:sz w:val="20"/>
                <w:szCs w:val="20"/>
                <w:color w:val="auto"/>
              </w:rPr>
            </w:pPr>
            <w:r>
              <w:rPr>
                <w:rFonts w:ascii="Arial" w:cs="Arial" w:eastAsia="Arial" w:hAnsi="Arial"/>
                <w:sz w:val="18"/>
                <w:szCs w:val="18"/>
                <w:color w:val="auto"/>
              </w:rPr>
              <w:t>Powers of Board</w:t>
            </w:r>
          </w:p>
        </w:tc>
        <w:tc>
          <w:tcPr>
            <w:tcW w:w="6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18.5</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Committee Meetings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4740" w:type="dxa"/>
            <w:vAlign w:val="bottom"/>
          </w:tcPr>
          <w:p>
            <w:pPr>
              <w:ind w:left="400"/>
              <w:spacing w:after="0" w:line="198" w:lineRule="exact"/>
              <w:rPr>
                <w:sz w:val="20"/>
                <w:szCs w:val="20"/>
                <w:color w:val="auto"/>
              </w:rPr>
            </w:pPr>
            <w:r>
              <w:rPr>
                <w:rFonts w:ascii="Arial" w:cs="Arial" w:eastAsia="Arial" w:hAnsi="Arial"/>
                <w:sz w:val="18"/>
                <w:szCs w:val="18"/>
                <w:b w:val="1"/>
                <w:bCs w:val="1"/>
                <w:color w:val="auto"/>
              </w:rPr>
              <w:t>OFFICERS</w:t>
            </w:r>
          </w:p>
        </w:tc>
        <w:tc>
          <w:tcPr>
            <w:tcW w:w="61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28</w:t>
            </w: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19</w:t>
            </w:r>
          </w:p>
        </w:tc>
        <w:tc>
          <w:tcPr>
            <w:tcW w:w="474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19.1</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May Appoint Officers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19.2</w:t>
            </w:r>
          </w:p>
        </w:tc>
        <w:tc>
          <w:tcPr>
            <w:tcW w:w="4740" w:type="dxa"/>
            <w:vAlign w:val="bottom"/>
          </w:tcPr>
          <w:p>
            <w:pPr>
              <w:ind w:left="60"/>
              <w:spacing w:after="0"/>
              <w:rPr>
                <w:sz w:val="20"/>
                <w:szCs w:val="20"/>
                <w:color w:val="auto"/>
              </w:rPr>
            </w:pPr>
            <w:r>
              <w:rPr>
                <w:rFonts w:ascii="Arial" w:cs="Arial" w:eastAsia="Arial" w:hAnsi="Arial"/>
                <w:sz w:val="18"/>
                <w:szCs w:val="18"/>
                <w:color w:val="auto"/>
              </w:rPr>
              <w:t>Election and Term of Office</w:t>
            </w:r>
          </w:p>
        </w:tc>
        <w:tc>
          <w:tcPr>
            <w:tcW w:w="6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19.3</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Chairman of the Board</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19.4</w:t>
            </w:r>
          </w:p>
        </w:tc>
        <w:tc>
          <w:tcPr>
            <w:tcW w:w="474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6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19.5</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President</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19.6</w:t>
            </w:r>
          </w:p>
        </w:tc>
        <w:tc>
          <w:tcPr>
            <w:tcW w:w="4740" w:type="dxa"/>
            <w:vAlign w:val="bottom"/>
          </w:tcPr>
          <w:p>
            <w:pPr>
              <w:ind w:left="60"/>
              <w:spacing w:after="0"/>
              <w:rPr>
                <w:sz w:val="20"/>
                <w:szCs w:val="20"/>
                <w:color w:val="auto"/>
              </w:rPr>
            </w:pPr>
            <w:r>
              <w:rPr>
                <w:rFonts w:ascii="Arial" w:cs="Arial" w:eastAsia="Arial" w:hAnsi="Arial"/>
                <w:sz w:val="18"/>
                <w:szCs w:val="18"/>
                <w:color w:val="auto"/>
              </w:rPr>
              <w:t>Vice Presidents</w:t>
            </w:r>
          </w:p>
        </w:tc>
        <w:tc>
          <w:tcPr>
            <w:tcW w:w="6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19.7</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Treasurer</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19.8</w:t>
            </w:r>
          </w:p>
        </w:tc>
        <w:tc>
          <w:tcPr>
            <w:tcW w:w="4740" w:type="dxa"/>
            <w:vAlign w:val="bottom"/>
          </w:tcPr>
          <w:p>
            <w:pPr>
              <w:ind w:left="60"/>
              <w:spacing w:after="0"/>
              <w:rPr>
                <w:sz w:val="20"/>
                <w:szCs w:val="20"/>
                <w:color w:val="auto"/>
              </w:rPr>
            </w:pPr>
            <w:r>
              <w:rPr>
                <w:rFonts w:ascii="Arial" w:cs="Arial" w:eastAsia="Arial" w:hAnsi="Arial"/>
                <w:sz w:val="18"/>
                <w:szCs w:val="18"/>
                <w:color w:val="auto"/>
              </w:rPr>
              <w:t>Secretary</w:t>
            </w:r>
          </w:p>
        </w:tc>
        <w:tc>
          <w:tcPr>
            <w:tcW w:w="6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19.9</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Assistant Secretaries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19.10</w:t>
            </w:r>
          </w:p>
        </w:tc>
        <w:tc>
          <w:tcPr>
            <w:tcW w:w="4740" w:type="dxa"/>
            <w:vAlign w:val="bottom"/>
          </w:tcPr>
          <w:p>
            <w:pPr>
              <w:ind w:left="60"/>
              <w:spacing w:after="0"/>
              <w:rPr>
                <w:sz w:val="20"/>
                <w:szCs w:val="20"/>
                <w:color w:val="auto"/>
              </w:rPr>
            </w:pPr>
            <w:r>
              <w:rPr>
                <w:rFonts w:ascii="Arial" w:cs="Arial" w:eastAsia="Arial" w:hAnsi="Arial"/>
                <w:sz w:val="18"/>
                <w:szCs w:val="18"/>
                <w:color w:val="auto"/>
              </w:rPr>
              <w:t>Removal</w:t>
            </w:r>
          </w:p>
        </w:tc>
        <w:tc>
          <w:tcPr>
            <w:tcW w:w="6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19.11</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Vacancies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19.12</w:t>
            </w:r>
          </w:p>
        </w:tc>
        <w:tc>
          <w:tcPr>
            <w:tcW w:w="4740" w:type="dxa"/>
            <w:vAlign w:val="bottom"/>
          </w:tcPr>
          <w:p>
            <w:pPr>
              <w:ind w:left="60"/>
              <w:spacing w:after="0"/>
              <w:rPr>
                <w:sz w:val="20"/>
                <w:szCs w:val="20"/>
                <w:color w:val="auto"/>
              </w:rPr>
            </w:pPr>
            <w:r>
              <w:rPr>
                <w:rFonts w:ascii="Arial" w:cs="Arial" w:eastAsia="Arial" w:hAnsi="Arial"/>
                <w:sz w:val="18"/>
                <w:szCs w:val="18"/>
                <w:color w:val="auto"/>
              </w:rPr>
              <w:t>Functions, Duties and Powers of Officers</w:t>
            </w:r>
          </w:p>
        </w:tc>
        <w:tc>
          <w:tcPr>
            <w:tcW w:w="6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19.13</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Qualifications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4740" w:type="dxa"/>
            <w:vAlign w:val="bottom"/>
          </w:tcPr>
          <w:p>
            <w:pPr>
              <w:ind w:left="400"/>
              <w:spacing w:after="0" w:line="198" w:lineRule="exact"/>
              <w:rPr>
                <w:sz w:val="20"/>
                <w:szCs w:val="20"/>
                <w:color w:val="auto"/>
              </w:rPr>
            </w:pPr>
            <w:r>
              <w:rPr>
                <w:rFonts w:ascii="Arial" w:cs="Arial" w:eastAsia="Arial" w:hAnsi="Arial"/>
                <w:sz w:val="18"/>
                <w:szCs w:val="18"/>
                <w:b w:val="1"/>
                <w:bCs w:val="1"/>
                <w:color w:val="auto"/>
              </w:rPr>
              <w:t>INDEMNIFICATION</w:t>
            </w:r>
          </w:p>
        </w:tc>
        <w:tc>
          <w:tcPr>
            <w:tcW w:w="61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30</w:t>
            </w: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20</w:t>
            </w:r>
          </w:p>
        </w:tc>
        <w:tc>
          <w:tcPr>
            <w:tcW w:w="474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20.1</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Right to Indemnification</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20.2</w:t>
            </w:r>
          </w:p>
        </w:tc>
        <w:tc>
          <w:tcPr>
            <w:tcW w:w="4740" w:type="dxa"/>
            <w:vAlign w:val="bottom"/>
          </w:tcPr>
          <w:p>
            <w:pPr>
              <w:ind w:left="60"/>
              <w:spacing w:after="0"/>
              <w:rPr>
                <w:sz w:val="20"/>
                <w:szCs w:val="20"/>
                <w:color w:val="auto"/>
              </w:rPr>
            </w:pPr>
            <w:r>
              <w:rPr>
                <w:rFonts w:ascii="Arial" w:cs="Arial" w:eastAsia="Arial" w:hAnsi="Arial"/>
                <w:sz w:val="18"/>
                <w:szCs w:val="18"/>
                <w:color w:val="auto"/>
              </w:rPr>
              <w:t>Right of Claimant to Bring Suit</w:t>
            </w:r>
          </w:p>
        </w:tc>
        <w:tc>
          <w:tcPr>
            <w:tcW w:w="6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5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160" w:type="dxa"/>
            <w:vAlign w:val="bottom"/>
          </w:tcPr>
          <w:p>
            <w:pPr>
              <w:jc w:val="right"/>
              <w:ind w:right="5570"/>
              <w:spacing w:after="0"/>
              <w:rPr>
                <w:sz w:val="20"/>
                <w:szCs w:val="20"/>
                <w:color w:val="auto"/>
              </w:rPr>
            </w:pPr>
            <w:r>
              <w:rPr>
                <w:rFonts w:ascii="Arial" w:cs="Arial" w:eastAsia="Arial" w:hAnsi="Arial"/>
                <w:sz w:val="18"/>
                <w:szCs w:val="18"/>
                <w:color w:val="auto"/>
              </w:rPr>
              <w:t>5</w:t>
            </w:r>
          </w:p>
        </w:tc>
      </w:tr>
      <w:tr>
        <w:trPr>
          <w:trHeight w:val="115"/>
        </w:trPr>
        <w:tc>
          <w:tcPr>
            <w:tcW w:w="52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6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9"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20.3</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Non-Exclusivity of Rights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20.4</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Indemnification of Other Persons</w:t>
            </w:r>
          </w:p>
        </w:tc>
        <w:tc>
          <w:tcPr>
            <w:tcW w:w="6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20.5</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Non-Compliance with Business Corporations Act</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20.6</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Company May Purchase Insurance</w:t>
            </w:r>
          </w:p>
        </w:tc>
        <w:tc>
          <w:tcPr>
            <w:tcW w:w="6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20.7</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Amendment, Repeal or Modification</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300" w:type="dxa"/>
            <w:vAlign w:val="bottom"/>
          </w:tcPr>
          <w:p>
            <w:pPr>
              <w:spacing w:after="0"/>
              <w:rPr>
                <w:sz w:val="17"/>
                <w:szCs w:val="17"/>
                <w:color w:val="auto"/>
              </w:rPr>
            </w:pPr>
          </w:p>
        </w:tc>
        <w:tc>
          <w:tcPr>
            <w:tcW w:w="44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DIVIDENDS</w:t>
            </w:r>
          </w:p>
        </w:tc>
        <w:tc>
          <w:tcPr>
            <w:tcW w:w="6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32</w:t>
            </w: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Payment of Dividends Subject to Special Rights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21.2</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Declaration of Dividends</w:t>
            </w:r>
          </w:p>
        </w:tc>
        <w:tc>
          <w:tcPr>
            <w:tcW w:w="6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 Notice Required</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21.4</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Record Date</w:t>
            </w:r>
          </w:p>
        </w:tc>
        <w:tc>
          <w:tcPr>
            <w:tcW w:w="6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21.5</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Manner of Paying Dividend</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21.6</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Settlement of Difficulties</w:t>
            </w:r>
          </w:p>
        </w:tc>
        <w:tc>
          <w:tcPr>
            <w:tcW w:w="6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21.7</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When Dividend Payable</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21.8</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w w:val="99"/>
              </w:rPr>
              <w:t>Dividends to be Paid in Accordance with Number of Shares</w:t>
            </w:r>
          </w:p>
        </w:tc>
        <w:tc>
          <w:tcPr>
            <w:tcW w:w="6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21.9</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Receipt by Joint Shareholders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21.10</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Dividend Bears No Interest</w:t>
            </w:r>
          </w:p>
        </w:tc>
        <w:tc>
          <w:tcPr>
            <w:tcW w:w="6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21.11</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Fractional Dividends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21.12</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Payment of Dividends</w:t>
            </w:r>
          </w:p>
        </w:tc>
        <w:tc>
          <w:tcPr>
            <w:tcW w:w="6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21.13</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Capitalization of Surplus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300" w:type="dxa"/>
            <w:vAlign w:val="bottom"/>
          </w:tcPr>
          <w:p>
            <w:pPr>
              <w:spacing w:after="0"/>
              <w:rPr>
                <w:sz w:val="17"/>
                <w:szCs w:val="17"/>
                <w:color w:val="auto"/>
              </w:rPr>
            </w:pPr>
          </w:p>
        </w:tc>
        <w:tc>
          <w:tcPr>
            <w:tcW w:w="44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DOCUMENTS, RECORDS AND REPORTS</w:t>
            </w:r>
          </w:p>
        </w:tc>
        <w:tc>
          <w:tcPr>
            <w:tcW w:w="6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33</w:t>
            </w: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22.1</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Recording of Financial Affairs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22.2</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Inspection of Records</w:t>
            </w:r>
          </w:p>
        </w:tc>
        <w:tc>
          <w:tcPr>
            <w:tcW w:w="6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8"/>
        </w:trPr>
        <w:tc>
          <w:tcPr>
            <w:tcW w:w="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PART</w:t>
            </w:r>
          </w:p>
        </w:tc>
        <w:tc>
          <w:tcPr>
            <w:tcW w:w="300" w:type="dxa"/>
            <w:vAlign w:val="bottom"/>
            <w:shd w:val="clear" w:color="auto" w:fill="CCEEFF"/>
          </w:tcPr>
          <w:p>
            <w:pPr>
              <w:spacing w:after="0"/>
              <w:rPr>
                <w:sz w:val="17"/>
                <w:szCs w:val="17"/>
                <w:color w:val="auto"/>
              </w:rPr>
            </w:pPr>
          </w:p>
        </w:tc>
        <w:tc>
          <w:tcPr>
            <w:tcW w:w="4460" w:type="dxa"/>
            <w:vAlign w:val="bottom"/>
            <w:shd w:val="clear" w:color="auto" w:fill="CCEEFF"/>
          </w:tcPr>
          <w:p>
            <w:pPr>
              <w:ind w:left="100"/>
              <w:spacing w:after="0" w:line="198" w:lineRule="exact"/>
              <w:rPr>
                <w:sz w:val="20"/>
                <w:szCs w:val="20"/>
                <w:color w:val="auto"/>
              </w:rPr>
            </w:pPr>
            <w:r>
              <w:rPr>
                <w:rFonts w:ascii="Arial" w:cs="Arial" w:eastAsia="Arial" w:hAnsi="Arial"/>
                <w:sz w:val="18"/>
                <w:szCs w:val="18"/>
                <w:b w:val="1"/>
                <w:bCs w:val="1"/>
                <w:color w:val="auto"/>
              </w:rPr>
              <w:t>NOTICES</w:t>
            </w:r>
          </w:p>
        </w:tc>
        <w:tc>
          <w:tcPr>
            <w:tcW w:w="61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33</w:t>
            </w:r>
          </w:p>
        </w:tc>
      </w:tr>
      <w:tr>
        <w:trPr>
          <w:trHeight w:val="234"/>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6140" w:type="dxa"/>
            <w:vAlign w:val="bottom"/>
            <w:shd w:val="clear" w:color="auto" w:fill="CCEEFF"/>
          </w:tcPr>
          <w:p>
            <w:pPr>
              <w:spacing w:after="0"/>
              <w:rPr>
                <w:sz w:val="20"/>
                <w:szCs w:val="20"/>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Method of Giving Notice</w:t>
            </w:r>
          </w:p>
        </w:tc>
        <w:tc>
          <w:tcPr>
            <w:tcW w:w="6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Deemed Receipt of Mailing</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23.3</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Certificate of Sending</w:t>
            </w:r>
          </w:p>
        </w:tc>
        <w:tc>
          <w:tcPr>
            <w:tcW w:w="6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23.4</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Notice to Joint Shareholders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23.5</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Notice to Trustees</w:t>
            </w:r>
          </w:p>
        </w:tc>
        <w:tc>
          <w:tcPr>
            <w:tcW w:w="6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24</w:t>
            </w:r>
          </w:p>
        </w:tc>
        <w:tc>
          <w:tcPr>
            <w:tcW w:w="44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SEAL AND EXECUTION OF DOCUMENTS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Who May Attest Seal</w:t>
            </w:r>
          </w:p>
        </w:tc>
        <w:tc>
          <w:tcPr>
            <w:tcW w:w="6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Sealing Copies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24.3</w:t>
            </w: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Mechanical Reproduction of Seal</w:t>
            </w:r>
          </w:p>
        </w:tc>
        <w:tc>
          <w:tcPr>
            <w:tcW w:w="6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24.4</w:t>
            </w: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Execution of Documents Generally</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648"/>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140" w:type="dxa"/>
            <w:vAlign w:val="bottom"/>
          </w:tcPr>
          <w:p>
            <w:pPr>
              <w:jc w:val="right"/>
              <w:ind w:right="5570"/>
              <w:spacing w:after="0"/>
              <w:rPr>
                <w:sz w:val="20"/>
                <w:szCs w:val="20"/>
                <w:color w:val="auto"/>
              </w:rPr>
            </w:pPr>
            <w:r>
              <w:rPr>
                <w:rFonts w:ascii="Arial" w:cs="Arial" w:eastAsia="Arial" w:hAnsi="Arial"/>
                <w:sz w:val="18"/>
                <w:szCs w:val="18"/>
                <w:color w:val="auto"/>
              </w:rPr>
              <w:t>6</w:t>
            </w:r>
          </w:p>
        </w:tc>
      </w:tr>
      <w:tr>
        <w:trPr>
          <w:trHeight w:val="115"/>
        </w:trPr>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9"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PARTCOMMON SHARES SPECIAL RIGHTS AND RESTRICTIONS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34"/>
        </w:trPr>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25</w:t>
            </w:r>
          </w:p>
        </w:tc>
        <w:tc>
          <w:tcPr>
            <w:tcW w:w="9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25.1</w:t>
            </w:r>
          </w:p>
        </w:tc>
        <w:tc>
          <w:tcPr>
            <w:tcW w:w="9100" w:type="dxa"/>
            <w:vAlign w:val="bottom"/>
          </w:tcPr>
          <w:p>
            <w:pPr>
              <w:ind w:left="140"/>
              <w:spacing w:after="0"/>
              <w:rPr>
                <w:sz w:val="20"/>
                <w:szCs w:val="20"/>
                <w:color w:val="auto"/>
              </w:rPr>
            </w:pPr>
            <w:r>
              <w:rPr>
                <w:rFonts w:ascii="Arial" w:cs="Arial" w:eastAsia="Arial" w:hAnsi="Arial"/>
                <w:sz w:val="18"/>
                <w:szCs w:val="18"/>
                <w:color w:val="auto"/>
              </w:rPr>
              <w:t>Special Rights and Restrictions</w:t>
            </w: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25.2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Voting Rights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25.3</w:t>
            </w:r>
          </w:p>
        </w:tc>
        <w:tc>
          <w:tcPr>
            <w:tcW w:w="91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25.4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Dissolution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198"/>
        </w:trPr>
        <w:tc>
          <w:tcPr>
            <w:tcW w:w="95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PARTCLASS A PREFERRED SHARES SPECIAL RIGHTS AND RESTRICTIONS</w:t>
            </w:r>
          </w:p>
        </w:tc>
        <w:tc>
          <w:tcPr>
            <w:tcW w:w="18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36</w:t>
            </w:r>
          </w:p>
        </w:tc>
      </w:t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26</w:t>
            </w:r>
          </w:p>
        </w:tc>
        <w:tc>
          <w:tcPr>
            <w:tcW w:w="9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26.1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Rights and Restrictions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198"/>
        </w:trPr>
        <w:tc>
          <w:tcPr>
            <w:tcW w:w="95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8"/>
              </w:rPr>
              <w:t>PARTCLASS A SERIES 1 PREFERRED SHARES SPECIAL RIGHTS AND RESTRICTIONS</w:t>
            </w:r>
          </w:p>
        </w:tc>
        <w:tc>
          <w:tcPr>
            <w:tcW w:w="18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38</w:t>
            </w:r>
          </w:p>
        </w:tc>
      </w:t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27</w:t>
            </w:r>
          </w:p>
        </w:tc>
        <w:tc>
          <w:tcPr>
            <w:tcW w:w="9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27.1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Rights and Restrictions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198"/>
        </w:trPr>
        <w:tc>
          <w:tcPr>
            <w:tcW w:w="95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PARTCLASS B PREFERRED SHARES SPECIAL RIGHTS AND RESTRICTIONS</w:t>
            </w:r>
          </w:p>
        </w:tc>
        <w:tc>
          <w:tcPr>
            <w:tcW w:w="18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38</w:t>
            </w:r>
          </w:p>
        </w:tc>
      </w:t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28</w:t>
            </w:r>
          </w:p>
        </w:tc>
        <w:tc>
          <w:tcPr>
            <w:tcW w:w="9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28.1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Rights and Restrictions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198"/>
        </w:trPr>
        <w:tc>
          <w:tcPr>
            <w:tcW w:w="95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8"/>
              </w:rPr>
              <w:t>PARTCLASS B SERIES 1 PREFERRED SHARES SPECIAL RIGHTS AND RESTRICTIONS</w:t>
            </w:r>
          </w:p>
        </w:tc>
        <w:tc>
          <w:tcPr>
            <w:tcW w:w="18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40</w:t>
            </w:r>
          </w:p>
        </w:tc>
      </w:t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29</w:t>
            </w:r>
          </w:p>
        </w:tc>
        <w:tc>
          <w:tcPr>
            <w:tcW w:w="9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29.1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Rights and Restrictions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440" w:type="dxa"/>
            <w:vAlign w:val="bottom"/>
          </w:tcPr>
          <w:p>
            <w:pPr>
              <w:spacing w:after="0"/>
              <w:rPr>
                <w:sz w:val="24"/>
                <w:szCs w:val="24"/>
                <w:color w:val="auto"/>
              </w:rPr>
            </w:pPr>
          </w:p>
        </w:tc>
        <w:tc>
          <w:tcPr>
            <w:tcW w:w="9100" w:type="dxa"/>
            <w:vAlign w:val="bottom"/>
          </w:tcPr>
          <w:p>
            <w:pPr>
              <w:ind w:left="5220"/>
              <w:spacing w:after="0"/>
              <w:rPr>
                <w:sz w:val="20"/>
                <w:szCs w:val="20"/>
                <w:color w:val="auto"/>
              </w:rPr>
            </w:pPr>
            <w:r>
              <w:rPr>
                <w:rFonts w:ascii="Arial" w:cs="Arial" w:eastAsia="Arial" w:hAnsi="Arial"/>
                <w:sz w:val="18"/>
                <w:szCs w:val="18"/>
                <w:color w:val="auto"/>
              </w:rPr>
              <w:t>7</w:t>
            </w:r>
          </w:p>
        </w:tc>
        <w:tc>
          <w:tcPr>
            <w:tcW w:w="1880" w:type="dxa"/>
            <w:vAlign w:val="bottom"/>
          </w:tcPr>
          <w:p>
            <w:pPr>
              <w:spacing w:after="0"/>
              <w:rPr>
                <w:sz w:val="24"/>
                <w:szCs w:val="24"/>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9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9"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ARTICLES</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 Name: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CIVEO CORPORATION</w:t>
      </w:r>
    </w:p>
    <w:p>
      <w:pPr>
        <w:spacing w:after="0" w:line="200" w:lineRule="exact"/>
        <w:rPr>
          <w:sz w:val="20"/>
          <w:szCs w:val="20"/>
          <w:color w:val="auto"/>
        </w:rPr>
      </w:pPr>
    </w:p>
    <w:p>
      <w:pPr>
        <w:sectPr>
          <w:pgSz w:w="11900" w:h="16838" w:orient="portrait"/>
          <w:cols w:equalWidth="0" w:num="2">
            <w:col w:w="5000" w:space="720"/>
            <w:col w:w="5700"/>
          </w:cols>
          <w:pgMar w:left="240" w:top="580"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Incorporation Number: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BC1023108</w:t>
      </w:r>
    </w:p>
    <w:p>
      <w:pPr>
        <w:spacing w:after="0" w:line="200" w:lineRule="exact"/>
        <w:rPr>
          <w:sz w:val="20"/>
          <w:szCs w:val="20"/>
          <w:color w:val="auto"/>
        </w:rPr>
      </w:pPr>
    </w:p>
    <w:p>
      <w:pPr>
        <w:sectPr>
          <w:pgSz w:w="11900" w:h="16838" w:orient="portrait"/>
          <w:cols w:equalWidth="0" w:num="2">
            <w:col w:w="5000" w:space="720"/>
            <w:col w:w="5700"/>
          </w:cols>
          <w:pgMar w:left="240" w:top="580" w:right="239" w:bottom="1440" w:gutter="0" w:footer="0" w:header="0"/>
          <w:type w:val="continuous"/>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In these Articles, unless the context otherwise requires: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and "</w:t>
      </w:r>
      <w:r>
        <w:rPr>
          <w:rFonts w:ascii="Arial" w:cs="Arial" w:eastAsia="Arial" w:hAnsi="Arial"/>
          <w:sz w:val="18"/>
          <w:szCs w:val="18"/>
          <w:b w:val="1"/>
          <w:bCs w:val="1"/>
          <w:color w:val="auto"/>
        </w:rPr>
        <w:t>directors</w:t>
      </w:r>
      <w:r>
        <w:rPr>
          <w:rFonts w:ascii="Arial" w:cs="Arial" w:eastAsia="Arial" w:hAnsi="Arial"/>
          <w:sz w:val="18"/>
          <w:szCs w:val="18"/>
          <w:color w:val="auto"/>
        </w:rPr>
        <w:t>" mean the directors or sole director of the Company for the time being;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from time to time in force and all amendments thereto and includes all regulations and amendments thereto made pursuant to that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any successor statute;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personal representative</w:t>
      </w:r>
      <w:r>
        <w:rPr>
          <w:rFonts w:ascii="Arial" w:cs="Arial" w:eastAsia="Arial" w:hAnsi="Arial"/>
          <w:sz w:val="18"/>
          <w:szCs w:val="18"/>
          <w:color w:val="auto"/>
        </w:rPr>
        <w:t>" means the personal or other legal representative of the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address</w:t>
      </w:r>
      <w:r>
        <w:rPr>
          <w:rFonts w:ascii="Arial" w:cs="Arial" w:eastAsia="Arial" w:hAnsi="Arial"/>
          <w:sz w:val="18"/>
          <w:szCs w:val="18"/>
          <w:color w:val="auto"/>
        </w:rPr>
        <w:t>" of a shareholder means the shareholder's address as recorded in the central securities register;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seal of the Company, if any.</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1.2 Business Corporations Act and Interpretation Act Definitions Applicable. </w:t>
      </w:r>
      <w:r>
        <w:rPr>
          <w:rFonts w:ascii="Arial" w:cs="Arial" w:eastAsia="Arial" w:hAnsi="Arial"/>
          <w:sz w:val="16"/>
          <w:szCs w:val="16"/>
          <w:color w:val="auto"/>
        </w:rPr>
        <w:t>The definitions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definitions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rules of construction in the </w:t>
      </w:r>
      <w:r>
        <w:rPr>
          <w:rFonts w:ascii="Arial" w:cs="Arial" w:eastAsia="Arial" w:hAnsi="Arial"/>
          <w:sz w:val="16"/>
          <w:szCs w:val="16"/>
          <w:i w:val="1"/>
          <w:iCs w:val="1"/>
          <w:color w:val="auto"/>
        </w:rPr>
        <w:t>Interpretation Act</w:t>
      </w:r>
      <w:r>
        <w:rPr>
          <w:rFonts w:ascii="Arial" w:cs="Arial" w:eastAsia="Arial" w:hAnsi="Arial"/>
          <w:sz w:val="16"/>
          <w:szCs w:val="16"/>
          <w:color w:val="auto"/>
        </w:rPr>
        <w:t xml:space="preserve"> (British Columbia), with the necessary changes, so far as applicable, and unless the context requires otherwise, apply to these Articles as if they were an enactment. If there is a conflict between a definition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a definition or rule in the </w:t>
      </w:r>
      <w:r>
        <w:rPr>
          <w:rFonts w:ascii="Arial" w:cs="Arial" w:eastAsia="Arial" w:hAnsi="Arial"/>
          <w:sz w:val="16"/>
          <w:szCs w:val="16"/>
          <w:i w:val="1"/>
          <w:iCs w:val="1"/>
          <w:color w:val="auto"/>
        </w:rPr>
        <w:t xml:space="preserve">Interpretation Act </w:t>
      </w:r>
      <w:r>
        <w:rPr>
          <w:rFonts w:ascii="Arial" w:cs="Arial" w:eastAsia="Arial" w:hAnsi="Arial"/>
          <w:sz w:val="16"/>
          <w:szCs w:val="16"/>
          <w:color w:val="auto"/>
        </w:rPr>
        <w:t>relating to a term used in these Articles, the definition in the</w:t>
      </w:r>
      <w:r>
        <w:rPr>
          <w:rFonts w:ascii="Arial" w:cs="Arial" w:eastAsia="Arial" w:hAnsi="Arial"/>
          <w:sz w:val="16"/>
          <w:szCs w:val="16"/>
          <w:i w:val="1"/>
          <w:iCs w:val="1"/>
          <w:color w:val="auto"/>
        </w:rPr>
        <w:t xml:space="preserve"> Business Corporations Act </w:t>
      </w:r>
      <w:r>
        <w:rPr>
          <w:rFonts w:ascii="Arial" w:cs="Arial" w:eastAsia="Arial" w:hAnsi="Arial"/>
          <w:sz w:val="16"/>
          <w:szCs w:val="16"/>
          <w:color w:val="auto"/>
        </w:rPr>
        <w:t>will prevail in relation to the use of the term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these Articles. If there is a conflict between these Articles and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will prevail.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CERTIFICATES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 Authorized Share Structure. </w:t>
      </w:r>
      <w:r>
        <w:rPr>
          <w:rFonts w:ascii="Arial" w:cs="Arial" w:eastAsia="Arial" w:hAnsi="Arial"/>
          <w:sz w:val="18"/>
          <w:szCs w:val="18"/>
          <w:color w:val="auto"/>
        </w:rPr>
        <w:t>The authorized share structure of the Company consists of shares of the class or classes and series, if any,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Articles of the Company.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2.2 Form of Share Certificate. </w:t>
      </w:r>
      <w:r>
        <w:rPr>
          <w:rFonts w:ascii="Arial" w:cs="Arial" w:eastAsia="Arial" w:hAnsi="Arial"/>
          <w:sz w:val="18"/>
          <w:szCs w:val="18"/>
          <w:color w:val="auto"/>
        </w:rPr>
        <w:t>Each share certificate issued by the Company must comply with, and be signed as required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2.3 Shareholder Entitled to Certificate or Acknowledgement. </w:t>
      </w:r>
      <w:r>
        <w:rPr>
          <w:rFonts w:ascii="Arial" w:cs="Arial" w:eastAsia="Arial" w:hAnsi="Arial"/>
          <w:sz w:val="18"/>
          <w:szCs w:val="18"/>
          <w:color w:val="auto"/>
        </w:rPr>
        <w:t>Each shareholder is entitled, without charge, to (a) one share certificate representing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each class or series of shares registered in the shareholder's name or (b) a non-transferable written acknowledgement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0" w:name="page21"/>
    <w:bookmarkEnd w:id="20"/>
    <w:p>
      <w:pPr>
        <w:jc w:val="both"/>
        <w:spacing w:after="0" w:line="266" w:lineRule="auto"/>
        <w:rPr>
          <w:sz w:val="20"/>
          <w:szCs w:val="20"/>
          <w:color w:val="auto"/>
        </w:rPr>
      </w:pPr>
      <w:r>
        <w:rPr>
          <w:rFonts w:ascii="Arial" w:cs="Arial" w:eastAsia="Arial" w:hAnsi="Arial"/>
          <w:sz w:val="18"/>
          <w:szCs w:val="18"/>
          <w:b w:val="1"/>
          <w:bCs w:val="1"/>
          <w:color w:val="auto"/>
        </w:rPr>
        <w:t xml:space="preserve">2.4 Delivery by Mail. </w:t>
      </w:r>
      <w:r>
        <w:rPr>
          <w:rFonts w:ascii="Arial" w:cs="Arial" w:eastAsia="Arial" w:hAnsi="Arial"/>
          <w:sz w:val="18"/>
          <w:szCs w:val="18"/>
          <w:color w:val="auto"/>
        </w:rPr>
        <w:t>Any share certificate or non-transferable written acknowledgement of a shareholder's right to obtain a share certificate may be sent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2.5 Replacement of Worn Out or Defaced Certificate or Acknowledgement. </w:t>
      </w:r>
      <w:r>
        <w:rPr>
          <w:rFonts w:ascii="Arial" w:cs="Arial" w:eastAsia="Arial" w:hAnsi="Arial"/>
          <w:sz w:val="18"/>
          <w:szCs w:val="18"/>
          <w:color w:val="auto"/>
        </w:rPr>
        <w:t>If the directors are satisfied that a share certificate or a non-transferable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18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 the share certificate or acknowledgement, as the case may be, to be cancelled;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 a replacement share certificate or acknowledgement, as the case may be.</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2.6 Replacement of Lost, Stolen or Destroyed Certificate or Acknowledgement. </w:t>
      </w:r>
      <w:r>
        <w:rPr>
          <w:rFonts w:ascii="Arial" w:cs="Arial" w:eastAsia="Arial" w:hAnsi="Arial"/>
          <w:sz w:val="17"/>
          <w:szCs w:val="17"/>
          <w:color w:val="auto"/>
        </w:rPr>
        <w:t>If a share certificate or a non-transferable written acknowledgement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16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proof satisfactory to them that the share certificate or acknowledgement is lost, stolen or destroyed;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indemnity the directors consider adequate.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2.7 Splitting Share Certificates. </w:t>
      </w:r>
      <w:r>
        <w:rPr>
          <w:rFonts w:ascii="Arial" w:cs="Arial" w:eastAsia="Arial" w:hAnsi="Arial"/>
          <w:sz w:val="18"/>
          <w:szCs w:val="18"/>
          <w:color w:val="auto"/>
        </w:rPr>
        <w:t>If a shareholder surrenders a share certificate to the Company with a written request that the Company issue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2.8 Certificate Fee. </w:t>
      </w:r>
      <w:r>
        <w:rPr>
          <w:rFonts w:ascii="Arial" w:cs="Arial" w:eastAsia="Arial" w:hAnsi="Arial"/>
          <w:sz w:val="18"/>
          <w:szCs w:val="18"/>
          <w:color w:val="auto"/>
        </w:rPr>
        <w:t>There must be paid to the Company, in relation to the issue of any share certificate under Articles 2.5, 2.6 or 2.7, the amount,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which must not exceed the amount prescribed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determined by the directors.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2.9 Recognition of Trusts. </w:t>
      </w:r>
      <w:r>
        <w:rPr>
          <w:rFonts w:ascii="Arial" w:cs="Arial" w:eastAsia="Arial" w:hAnsi="Arial"/>
          <w:sz w:val="18"/>
          <w:szCs w:val="18"/>
          <w:color w:val="auto"/>
        </w:rPr>
        <w:t>Except as required by law or statute or these Articles, no person will be recognized by the Company as holding any share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OF SHARES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3.1 Directors Authorized.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of the holders of issued shares of the Company,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3.2 Commissions and Discounts. </w:t>
      </w:r>
      <w:r>
        <w:rPr>
          <w:rFonts w:ascii="Arial" w:cs="Arial" w:eastAsia="Arial" w:hAnsi="Arial"/>
          <w:sz w:val="18"/>
          <w:szCs w:val="18"/>
          <w:color w:val="auto"/>
        </w:rPr>
        <w:t>The Company may at any time, pay a reasonable commission or allow a reasonable discount to any person in</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that person purchasing or agreeing to purchase shares of the Company from the Company or any other person or procuring or agreeing to procure purchasers for shares of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3.3 Brokerage. </w:t>
      </w:r>
      <w:r>
        <w:rPr>
          <w:rFonts w:ascii="Arial" w:cs="Arial" w:eastAsia="Arial" w:hAnsi="Arial"/>
          <w:sz w:val="18"/>
          <w:szCs w:val="18"/>
          <w:color w:val="auto"/>
        </w:rPr>
        <w:t>The Company may pay such brokerage fee or other consideration as may be lawful for or in connection with the sale or placement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 xml:space="preserve">Conditions of Issue. </w:t>
      </w:r>
      <w:r>
        <w:rPr>
          <w:rFonts w:ascii="Arial" w:cs="Arial" w:eastAsia="Arial" w:hAnsi="Arial"/>
          <w:sz w:val="16"/>
          <w:szCs w:val="16"/>
          <w:color w:val="auto"/>
        </w:rPr>
        <w:t>Except as provided for by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no share may be issued until it is fully paid. A share is fully paid when:</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consideration is provided to the Company for the issue of the share by one or more of the following:</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past services performed for the Company;</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property;</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money;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3.5 Share Purchase Warrants and Rights.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issue share purchase warrants, options and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upon such terms and conditions as the directors determine, which share purchase warrants, options and rights may be issued alone or in conjunction with debentures, debenture shares, bonds, shares or any other securities issued or created by the Company from time to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REGISTERS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4.1 Central Securities Register. </w:t>
      </w:r>
      <w:r>
        <w:rPr>
          <w:rFonts w:ascii="Arial" w:cs="Arial" w:eastAsia="Arial" w:hAnsi="Arial"/>
          <w:sz w:val="18"/>
          <w:szCs w:val="18"/>
          <w:color w:val="auto"/>
        </w:rPr>
        <w:t>As required by and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must maintain in British Columbia a central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register.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directors may,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Closing Register. </w:t>
      </w:r>
      <w:r>
        <w:rPr>
          <w:rFonts w:ascii="Arial" w:cs="Arial" w:eastAsia="Arial" w:hAnsi="Arial"/>
          <w:sz w:val="16"/>
          <w:szCs w:val="16"/>
          <w:color w:val="auto"/>
        </w:rPr>
        <w:t>The Company must not at any time close its central securities register.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TRANSFERS</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Registering Transfers. </w:t>
      </w:r>
      <w:r>
        <w:rPr>
          <w:rFonts w:ascii="Arial" w:cs="Arial" w:eastAsia="Arial" w:hAnsi="Arial"/>
          <w:sz w:val="16"/>
          <w:szCs w:val="16"/>
          <w:color w:val="auto"/>
        </w:rPr>
        <w:t>A transfer of a share of the Company must not be registered unless:</w:t>
      </w:r>
    </w:p>
    <w:p>
      <w:pPr>
        <w:spacing w:after="0" w:line="22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duly signed instrument of transfer in respect of the share has been received by the Company;</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5.2 Form of Instrument of Transfer. </w:t>
      </w:r>
      <w:r>
        <w:rPr>
          <w:rFonts w:ascii="Arial" w:cs="Arial" w:eastAsia="Arial" w:hAnsi="Arial"/>
          <w:sz w:val="18"/>
          <w:szCs w:val="18"/>
          <w:color w:val="auto"/>
        </w:rPr>
        <w:t>The instrument of transfer in respect of any share of the Company must be either in the form on the back of the share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representing such share or in such other form as may be approved by the directors from time to time.</w:t>
      </w:r>
    </w:p>
    <w:p>
      <w:pPr>
        <w:spacing w:after="0" w:line="16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5.3 Transferor Remains Shareholder. </w:t>
      </w:r>
      <w:r>
        <w:rPr>
          <w:rFonts w:ascii="Arial" w:cs="Arial" w:eastAsia="Arial" w:hAnsi="Arial"/>
          <w:sz w:val="17"/>
          <w:szCs w:val="17"/>
          <w:color w:val="auto"/>
        </w:rPr>
        <w:t>Except to the extent that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provides, the transferor of shares is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remain the holder of the shares until the name of the transferee is entered in a securities register of the Company in respect of the transfer.</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5.4 Signing of Instrument of Transfer. </w:t>
      </w:r>
      <w:r>
        <w:rPr>
          <w:rFonts w:ascii="Arial" w:cs="Arial" w:eastAsia="Arial" w:hAnsi="Arial"/>
          <w:sz w:val="18"/>
          <w:szCs w:val="18"/>
          <w:color w:val="auto"/>
        </w:rPr>
        <w:t>If a shareholder, or the duly authorized attorney of that shareholder, signs an instrument of transfer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deposited with the instrument of transfer:</w:t>
      </w:r>
    </w:p>
    <w:p>
      <w:pPr>
        <w:spacing w:after="0" w:line="184"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name of the person named as transferee in that instrument of transfer; or</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no person is named as transferee in that instrument of transfer, in the name of the person on whose behalf the instrument is deposited for the purpose of having the transfer registered.</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Transfer Fee. </w:t>
      </w:r>
      <w:r>
        <w:rPr>
          <w:rFonts w:ascii="Arial" w:cs="Arial" w:eastAsia="Arial" w:hAnsi="Arial"/>
          <w:sz w:val="16"/>
          <w:szCs w:val="16"/>
          <w:color w:val="auto"/>
        </w:rPr>
        <w:t>There must be paid to the Company, in relation to the registration of any transfer, the amount, if any, determined by the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TRANSMISSION OF SHARES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6.1 Legal Personal Representative Recognized on Death. </w:t>
      </w:r>
      <w:r>
        <w:rPr>
          <w:rFonts w:ascii="Arial" w:cs="Arial" w:eastAsia="Arial" w:hAnsi="Arial"/>
          <w:sz w:val="17"/>
          <w:szCs w:val="17"/>
          <w:color w:val="auto"/>
        </w:rPr>
        <w:t>In case of the death of a shareholder, the legal personal representative, or if the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ind w:right="20"/>
        <w:spacing w:after="0" w:line="266" w:lineRule="auto"/>
        <w:rPr>
          <w:sz w:val="20"/>
          <w:szCs w:val="20"/>
          <w:color w:val="auto"/>
        </w:rPr>
      </w:pPr>
      <w:r>
        <w:rPr>
          <w:rFonts w:ascii="Arial" w:cs="Arial" w:eastAsia="Arial" w:hAnsi="Arial"/>
          <w:sz w:val="18"/>
          <w:szCs w:val="18"/>
          <w:b w:val="1"/>
          <w:bCs w:val="1"/>
          <w:color w:val="auto"/>
        </w:rPr>
        <w:t xml:space="preserve">6.2 Rights of Legal Personal Representative. </w:t>
      </w:r>
      <w:r>
        <w:rPr>
          <w:rFonts w:ascii="Arial" w:cs="Arial" w:eastAsia="Arial" w:hAnsi="Arial"/>
          <w:sz w:val="18"/>
          <w:szCs w:val="18"/>
          <w:color w:val="auto"/>
        </w:rPr>
        <w:t>The legal personal representative has the same rights, privileges and obligations that attach to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and the directors have been deposited with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7.1 Company Authorized to Purchase Shares. </w:t>
      </w:r>
      <w:r>
        <w:rPr>
          <w:rFonts w:ascii="Arial" w:cs="Arial" w:eastAsia="Arial" w:hAnsi="Arial"/>
          <w:sz w:val="18"/>
          <w:szCs w:val="18"/>
          <w:color w:val="auto"/>
        </w:rPr>
        <w:t>Subject to Article 7.2, the special rights and restrictions attached to the shares of any class or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if authorized by the directors, purchase or otherwise acquire any of its shares at the price and upon the terms specified in such resolution.</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7.2 Purchase When Insolvent. </w:t>
      </w:r>
      <w:r>
        <w:rPr>
          <w:rFonts w:ascii="Arial" w:cs="Arial" w:eastAsia="Arial" w:hAnsi="Arial"/>
          <w:sz w:val="18"/>
          <w:szCs w:val="18"/>
          <w:color w:val="auto"/>
        </w:rPr>
        <w:t>The Company must not make a payment or provide any other consideration to purchase or otherwise acquire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if there are reasonable grounds for believing that:</w:t>
      </w:r>
    </w:p>
    <w:p>
      <w:pPr>
        <w:spacing w:after="0" w:line="1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insolvent;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the payment or providing the consideration would render the Company insolvent.</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7.3 Sale and Voting of Purchased Shares. </w:t>
      </w:r>
      <w:r>
        <w:rPr>
          <w:rFonts w:ascii="Arial" w:cs="Arial" w:eastAsia="Arial" w:hAnsi="Arial"/>
          <w:sz w:val="18"/>
          <w:szCs w:val="18"/>
          <w:color w:val="auto"/>
        </w:rPr>
        <w:t>If the Company retains a share redeemed, purchased or otherwise acquired by it, the Company may sell, gift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the share, but, while such share is held by the Company, it:</w:t>
      </w:r>
    </w:p>
    <w:p>
      <w:pPr>
        <w:spacing w:after="0" w:line="16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not entitled to vote the share at a meeting of its shareholders;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must not pay a dividend in respect of the share;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must not make any other distribution in respect of the share.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 xml:space="preserve">Borrowing Powers. </w:t>
      </w:r>
      <w:r>
        <w:rPr>
          <w:rFonts w:ascii="Arial" w:cs="Arial" w:eastAsia="Arial" w:hAnsi="Arial"/>
          <w:sz w:val="16"/>
          <w:szCs w:val="16"/>
          <w:color w:val="auto"/>
        </w:rPr>
        <w:t>The Board may from time to time at its discretion on behalf of the Company:</w:t>
      </w:r>
    </w:p>
    <w:p>
      <w:pPr>
        <w:spacing w:after="0" w:line="229"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borrow money in the manner and amount, on the security, from the sources and on the terms and conditions that they consider appropriate;</w:t>
      </w:r>
    </w:p>
    <w:p>
      <w:pPr>
        <w:spacing w:after="0" w:line="275"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charge, whether by way of specific or floating charge, grant a security interest in, or give other security on, the whole or any part of the present and future assets and undertaking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ALTERATIONS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9.1 Alteration of Authorized Share Structure. </w:t>
      </w:r>
      <w:r>
        <w:rPr>
          <w:rFonts w:ascii="Arial" w:cs="Arial" w:eastAsia="Arial" w:hAnsi="Arial"/>
          <w:sz w:val="18"/>
          <w:szCs w:val="18"/>
          <w:color w:val="auto"/>
        </w:rPr>
        <w:t>Subject to Article 9.2, Article 9.3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a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passed at a general meeting of shareholders by two thirds of the votes cast on such resolution by shareholders voting shares that carry the right to vote at general meetings:</w:t>
      </w:r>
    </w:p>
    <w:p>
      <w:pPr>
        <w:spacing w:after="0" w:line="180" w:lineRule="exact"/>
        <w:rPr>
          <w:sz w:val="20"/>
          <w:szCs w:val="20"/>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or fully paid issued, shares;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otherwise alter its shares or authorized share structure when required or permitted to do so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9.2 Special Rights and Restrictions of Issued Preferred Shares. </w:t>
      </w:r>
      <w:r>
        <w:rPr>
          <w:rFonts w:ascii="Arial" w:cs="Arial" w:eastAsia="Arial" w:hAnsi="Arial"/>
          <w:sz w:val="18"/>
          <w:szCs w:val="18"/>
          <w:color w:val="auto"/>
        </w:rPr>
        <w:t>Subject to the requirements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w:t>
      </w:r>
      <w:r>
        <w:rPr>
          <w:rFonts w:ascii="Arial" w:cs="Arial" w:eastAsia="Arial" w:hAnsi="Arial"/>
          <w:sz w:val="18"/>
          <w:szCs w:val="18"/>
          <w:b w:val="1"/>
          <w:bCs w:val="1"/>
          <w:color w:val="auto"/>
        </w:rPr>
        <w:t xml:space="preserve"> </w:t>
      </w:r>
      <w:r>
        <w:rPr>
          <w:rFonts w:ascii="Arial" w:cs="Arial" w:eastAsia="Arial" w:hAnsi="Arial"/>
          <w:sz w:val="18"/>
          <w:szCs w:val="18"/>
          <w:color w:val="auto"/>
        </w:rPr>
        <w:t>an ordinary resolution of the shareholders, voting together as a single class:</w:t>
      </w:r>
    </w:p>
    <w:p>
      <w:pPr>
        <w:spacing w:after="0" w:line="166"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of preferred shares or series of preferred shares that have been issued;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vary or delete any special rights or restrictions attached to the shares of any class of preferred shares or series of preferred shares that have been issued.</w:t>
      </w:r>
    </w:p>
    <w:p>
      <w:pPr>
        <w:spacing w:after="0" w:line="166"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9.3 Special Rights and Restrictions.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by a resolution passed at a general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by two thirds of the votes cast on such resolution by shareholders voting shares that carry the right to vote at general meetings:</w:t>
      </w:r>
    </w:p>
    <w:p>
      <w:pPr>
        <w:spacing w:after="0" w:line="142" w:lineRule="exact"/>
        <w:rPr>
          <w:sz w:val="20"/>
          <w:szCs w:val="20"/>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that have not been issued;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or series of shares that have not been issued.</w:t>
      </w:r>
    </w:p>
    <w:p>
      <w:pPr>
        <w:spacing w:after="0" w:line="26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 xml:space="preserve">Alterations by Directors' Resolutions. </w:t>
      </w:r>
      <w:r>
        <w:rPr>
          <w:rFonts w:ascii="Arial" w:cs="Arial" w:eastAsia="Arial" w:hAnsi="Arial"/>
          <w:sz w:val="16"/>
          <w:szCs w:val="16"/>
          <w:color w:val="auto"/>
        </w:rPr>
        <w:t>Subject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and without restricting the powers of the directors pursuant to Parts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26, 27, 28 and 29 of these Articles, the Company may by a simple majority of the Board:</w:t>
      </w:r>
    </w:p>
    <w:p>
      <w:pPr>
        <w:spacing w:after="0" w:line="21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Alter the authorized share structure: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none of the shares of a class or series of shares are allotted or issued, eliminate that class or series of shares;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shares;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52" w:lineRule="exact"/>
        <w:rPr>
          <w:rFonts w:ascii="Arial" w:cs="Arial" w:eastAsia="Arial" w:hAnsi="Arial"/>
          <w:sz w:val="18"/>
          <w:szCs w:val="18"/>
          <w:color w:val="auto"/>
        </w:rPr>
      </w:pPr>
    </w:p>
    <w:p>
      <w:pPr>
        <w:ind w:left="2920" w:hanging="917"/>
        <w:spacing w:after="0"/>
        <w:tabs>
          <w:tab w:leader="none" w:pos="29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52" w:lineRule="exact"/>
        <w:rPr>
          <w:rFonts w:ascii="Arial" w:cs="Arial" w:eastAsia="Arial" w:hAnsi="Arial"/>
          <w:sz w:val="18"/>
          <w:szCs w:val="18"/>
          <w:color w:val="auto"/>
        </w:rPr>
      </w:pPr>
    </w:p>
    <w:p>
      <w:pPr>
        <w:ind w:left="2920" w:hanging="911"/>
        <w:spacing w:after="0"/>
        <w:tabs>
          <w:tab w:leader="none" w:pos="29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252"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alter the identifying name of any of its shares.</w:t>
      </w:r>
    </w:p>
    <w:p>
      <w:pPr>
        <w:spacing w:after="0" w:line="252"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Alter any other sections of these Articles to the fullest extent permitted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if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does not specify the type of resolution required and these Articles do not specify a shareholders' resolution is required.</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 xml:space="preserve">Change of Name. </w:t>
      </w:r>
      <w:r>
        <w:rPr>
          <w:rFonts w:ascii="Arial" w:cs="Arial" w:eastAsia="Arial" w:hAnsi="Arial"/>
          <w:sz w:val="16"/>
          <w:szCs w:val="16"/>
          <w:color w:val="auto"/>
        </w:rPr>
        <w:t>The Company may by a directors' resolution authorize an alteration of its Notice of Articles in order to change its name.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9.6 Other Alterations. </w:t>
      </w:r>
      <w:r>
        <w:rPr>
          <w:rFonts w:ascii="Arial" w:cs="Arial" w:eastAsia="Arial" w:hAnsi="Arial"/>
          <w:sz w:val="17"/>
          <w:szCs w:val="17"/>
          <w:color w:val="auto"/>
        </w:rPr>
        <w:t>If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specify the type of resolution, these Articles do not give authority to the directors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such a resolution, and these Articles do not specify another type of resolution, the Company may by the affirmative vote of the holders of 66 2/3% of the voting power of the issued and outstanding shares entitled to vote on such matters, voting together as a single class, alter these Articles.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9.7 Alterations after one or more Adjournments. </w:t>
      </w:r>
      <w:r>
        <w:rPr>
          <w:rFonts w:ascii="Arial" w:cs="Arial" w:eastAsia="Arial" w:hAnsi="Arial"/>
          <w:sz w:val="16"/>
          <w:szCs w:val="16"/>
          <w:color w:val="auto"/>
        </w:rPr>
        <w:t>If a meeting of shareholders has been adjourned one or more times due to insufficient attendance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pass any resolution, and at such adjourned meeting, less than the number of holders required to pass any resolution requiring 66 2/3% of the voting power of the issued and outstanding shares, as applicable, is present in person or by proxy, with the approval of the Board, the holders holding at least 66 2/3% of the shares represented at such adjourned meeting and entitled to vote on the matter, voting together as a single class, may alter these Articles.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SHAREHOLDERS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10.1 Annual General Meetings. </w:t>
      </w:r>
      <w:r>
        <w:rPr>
          <w:rFonts w:ascii="Arial" w:cs="Arial" w:eastAsia="Arial" w:hAnsi="Arial"/>
          <w:sz w:val="18"/>
          <w:szCs w:val="18"/>
          <w:color w:val="auto"/>
        </w:rPr>
        <w:t>Unless an annual general meeting is deferred or waived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on a date and at a time as may be fixed by resolution of the Board and set forth in the notice of meeting.</w:t>
      </w:r>
    </w:p>
    <w:p>
      <w:pPr>
        <w:spacing w:after="0" w:line="18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10.2 Resolution Instead of Annual or Special Meeting Prohibited. </w:t>
      </w:r>
      <w:r>
        <w:rPr>
          <w:rFonts w:ascii="Arial" w:cs="Arial" w:eastAsia="Arial" w:hAnsi="Arial"/>
          <w:sz w:val="17"/>
          <w:szCs w:val="17"/>
          <w:color w:val="auto"/>
        </w:rPr>
        <w:t>Any action required or permitted to be taken by the shareholders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must be taken at a duly held annual or special meeting of shareholders and may not be taken by any consent in writing of such shareholders.</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 xml:space="preserve">Calling of Meetings of Shareholders. </w:t>
      </w:r>
      <w:r>
        <w:rPr>
          <w:rFonts w:ascii="Arial" w:cs="Arial" w:eastAsia="Arial" w:hAnsi="Arial"/>
          <w:sz w:val="16"/>
          <w:szCs w:val="16"/>
          <w:color w:val="auto"/>
        </w:rPr>
        <w:t>Meetings of shareholders of the Company to consider special business may be called by:</w:t>
      </w:r>
    </w:p>
    <w:p>
      <w:pPr>
        <w:spacing w:after="0" w:line="229"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pursuant to a resolution stating the purpose or purposes thereof approved by a majority of the Board,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Chairman of the Board.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business other than that stated in the notice shall be transacted at any meetings called to consider special business pursuant to this Section 10.3.</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10.4 Notice for Meetings of Shareholders. </w:t>
      </w:r>
      <w:r>
        <w:rPr>
          <w:rFonts w:ascii="Arial" w:cs="Arial" w:eastAsia="Arial" w:hAnsi="Arial"/>
          <w:sz w:val="17"/>
          <w:szCs w:val="17"/>
          <w:color w:val="auto"/>
        </w:rPr>
        <w:t>The Company must send notice of the date, time, location, and the means of remote communication, if any, by</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shareholders and proxy holders may be deemed to be present in person and vote at the meeting,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not more than two months and at least the following number of days before the meeting:</w:t>
      </w:r>
    </w:p>
    <w:p>
      <w:pPr>
        <w:spacing w:after="0" w:line="172"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Except as required by law, holders of Preferred Shares are not entitled to receive notice of any meeting of shareholders at which they are not entitled to vote.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any previously scheduled meeting of the shareholders may be postponed by resolution of the Board upon public notice given prior to the date previously scheduled for the meeting of shareholders.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10.5 Record Date for Notice. </w:t>
      </w:r>
      <w:r>
        <w:rPr>
          <w:rFonts w:ascii="Arial" w:cs="Arial" w:eastAsia="Arial" w:hAnsi="Arial"/>
          <w:sz w:val="18"/>
          <w:szCs w:val="18"/>
          <w:color w:val="auto"/>
        </w:rPr>
        <w:t>The directors may set a date as the record date for the purpose of determining shareholders entitled to notice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The record date must not precede the date on which the meeting is held by fewer than:</w:t>
      </w:r>
    </w:p>
    <w:p>
      <w:pPr>
        <w:spacing w:after="0" w:line="18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no record date is set, the record date is 5 p.m. pacific time on the day immediately preceding the first date on which the notice is sent or, if no notice is sent, the beginning of the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95" w:lineRule="auto"/>
        <w:rPr>
          <w:sz w:val="20"/>
          <w:szCs w:val="20"/>
          <w:color w:val="auto"/>
        </w:rPr>
      </w:pPr>
      <w:r>
        <w:rPr>
          <w:rFonts w:ascii="Arial" w:cs="Arial" w:eastAsia="Arial" w:hAnsi="Arial"/>
          <w:sz w:val="16"/>
          <w:szCs w:val="16"/>
          <w:b w:val="1"/>
          <w:bCs w:val="1"/>
          <w:color w:val="auto"/>
        </w:rPr>
        <w:t xml:space="preserve">10.6 Record Date for Voting. </w:t>
      </w:r>
      <w:r>
        <w:rPr>
          <w:rFonts w:ascii="Arial" w:cs="Arial" w:eastAsia="Arial" w:hAnsi="Arial"/>
          <w:sz w:val="16"/>
          <w:szCs w:val="16"/>
          <w:color w:val="auto"/>
        </w:rPr>
        <w:t>The directors may set a date as the record date for the purpose of determining shareholders entitled to vote at any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shareholders. The record date must not precede the date on which the meeting is to be held by less than 21 days or more than two months or, in the case of a general meeting requisitioned by shareholders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by more than four months. If no record date is set, the record date is 5 p.m. pacific time on the day immediately preceding the first date on which the notice is sent or, if no notice is sent, the beginning of the meeting. When a determination of shareholders entitled to vote at any meeting of shareholders has been made, as provided in this Section, the determination shall apply to any adjournment thereof except where the determination has been made through the closing of share transfer books and the stated period of closing has expired.</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10.7 Record Date for Other Purposes. </w:t>
      </w:r>
      <w:r>
        <w:rPr>
          <w:rFonts w:ascii="Arial" w:cs="Arial" w:eastAsia="Arial" w:hAnsi="Arial"/>
          <w:sz w:val="18"/>
          <w:szCs w:val="18"/>
          <w:color w:val="auto"/>
        </w:rPr>
        <w:t>The directors may set a date as the record date for the purpose of determining shareholders for any purpose.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record date must not precede the date on which the meeting is to be held by less than 21 days or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If no record date is set, the record date is 5 p.m. on the date on which the directors pass the resolution relating to the matter for which the record date is required.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10.8 Failure to Give Notice and Waiver of Notice. </w:t>
      </w:r>
      <w:r>
        <w:rPr>
          <w:rFonts w:ascii="Arial" w:cs="Arial" w:eastAsia="Arial" w:hAnsi="Arial"/>
          <w:sz w:val="18"/>
          <w:szCs w:val="18"/>
          <w:color w:val="auto"/>
        </w:rPr>
        <w:t>The accidental omission to send notice of any meeting to, or the non-receipt of any notice by,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persons entitled to notice does not invalidate any proceedings at that meeting. Any person entitled to notice of a meeting of shareholders may, in writing or otherwise, waive or reduce the period of notice of such meeting.</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 xml:space="preserve">Notice of Special Business at Meetings of Shareholders. </w:t>
      </w:r>
      <w:r>
        <w:rPr>
          <w:rFonts w:ascii="Arial" w:cs="Arial" w:eastAsia="Arial" w:hAnsi="Arial"/>
          <w:sz w:val="16"/>
          <w:szCs w:val="16"/>
          <w:color w:val="auto"/>
        </w:rPr>
        <w:t>If a meeting of shareholders is to consider special business within the meaning of Article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11.1, the notice of meeting must:</w:t>
      </w:r>
    </w:p>
    <w:p>
      <w:pPr>
        <w:spacing w:after="0" w:line="21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25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 at the Company's records office, or at such other reasonably accessible location in British Columbia as is specified in the notice; and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delivered during statutory business hours on any one or more specified days before the day set for the holding of the meeting.</w:t>
      </w: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10.10 Location of General Meetings. </w:t>
      </w:r>
      <w:r>
        <w:rPr>
          <w:rFonts w:ascii="Arial" w:cs="Arial" w:eastAsia="Arial" w:hAnsi="Arial"/>
          <w:sz w:val="18"/>
          <w:szCs w:val="18"/>
          <w:color w:val="auto"/>
        </w:rPr>
        <w:t>The Chairman of the Board, or the Board, by a resolution passed by a majority of the directors, may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of any meeting of shareholders, and such locations may be held outside of British Columbia.</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5"/>
          <w:szCs w:val="15"/>
          <w:b w:val="1"/>
          <w:bCs w:val="1"/>
          <w:color w:val="auto"/>
        </w:rPr>
        <w:t>Notice of Shareholder Business and Nominations.</w:t>
      </w:r>
    </w:p>
    <w:p>
      <w:pPr>
        <w:spacing w:after="0" w:line="22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Annual Meetings of Shareholders</w:t>
      </w: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auto"/>
        </w:rPr>
      </w:pPr>
    </w:p>
    <w:p>
      <w:pPr>
        <w:jc w:val="both"/>
        <w:ind w:left="1960" w:hanging="655"/>
        <w:spacing w:after="0" w:line="291" w:lineRule="auto"/>
        <w:tabs>
          <w:tab w:leader="none" w:pos="1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Nominations of persons for election to the Board and the proposal of business to be considered by the shareholders may be made at an annual meeting of shareholders (A) pursuant to the Company’s notice of meeting in accordance with Part 10 of these Articles,</w:t>
      </w:r>
    </w:p>
    <w:p>
      <w:pPr>
        <w:jc w:val="both"/>
        <w:ind w:left="196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(B) by or at the direction of the Board, (C) by or at the direction or request of one or more "qualified shareholders" pursuant to a valid "proposal", each as defined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made in accordance with Part 5, Division 7 of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(D) pursuant to a requisition of the shareholders that complies with and is made in accordance with section 167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(E) by any shareholder of the Company who was a shareholder of record at the time the notice was delivered, who is entitled to vote at the meeting and who complies with the notice procedures set forth below. For greater certainty, this Section 10.11(a) shall not apply to nominations of persons for election to the Board and the proposal of business to be considered by the shareholders pursuant to a shareholder requisition or a shareholder proposal specified in clauses (C) and (D) of the immediately preceding sentence that is made in accordance with the applicable provisions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jc w:val="both"/>
        <w:ind w:left="760" w:hanging="655"/>
        <w:spacing w:after="0" w:line="286"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shareholder pursuant to paragraph (i)(E) of this Section 10.11(a), the shareholder must have given timely notice thereof in writing to the Secretary of the Company in accordance with this Section 10.11(a) and, in the case of business other than nominations, such other business must otherwise be a proper matter for shareholder action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To be considered timely, a shareholder’s notice shall be delivered to the Secretary at the principal executive offices of the Company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Company. Notwithstanding the foregoing, the Company's initial annual meeting shall be deemed to occur on May 14, 2015, with the first anniversary of such initial meeting to be May 14, 2016, for purposes of providing notice pursuant to this section. In no event shall the public announcement of an adjournment of an annual meeting commence a new time period for the giving of a shareholder’s notice as described above.</w:t>
      </w:r>
    </w:p>
    <w:p>
      <w:pPr>
        <w:spacing w:after="0" w:line="174" w:lineRule="exact"/>
        <w:rPr>
          <w:rFonts w:ascii="Arial" w:cs="Arial" w:eastAsia="Arial" w:hAnsi="Arial"/>
          <w:sz w:val="16"/>
          <w:szCs w:val="16"/>
          <w:color w:val="auto"/>
        </w:rPr>
      </w:pPr>
    </w:p>
    <w:p>
      <w:pPr>
        <w:ind w:left="760" w:hanging="655"/>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shareholder’s notice shall set forth:</w:t>
      </w:r>
    </w:p>
    <w:p>
      <w:pPr>
        <w:spacing w:after="0" w:line="252" w:lineRule="exact"/>
        <w:rPr>
          <w:rFonts w:ascii="Arial" w:cs="Arial" w:eastAsia="Arial" w:hAnsi="Arial"/>
          <w:sz w:val="18"/>
          <w:szCs w:val="18"/>
          <w:color w:val="auto"/>
        </w:rPr>
      </w:pPr>
    </w:p>
    <w:p>
      <w:pPr>
        <w:jc w:val="both"/>
        <w:ind w:left="1720" w:hanging="917"/>
        <w:spacing w:after="0" w:line="259" w:lineRule="auto"/>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each person whom the shareholder proposes to nominate for election or re-election as a director, all information relating to such person that is required to be disclosed in solicitations of proxies for election of directors, including such person’s written consent to being named in the proxy statement as a nominee and to serving as a director if elected;</w:t>
      </w:r>
    </w:p>
    <w:p>
      <w:pPr>
        <w:spacing w:after="0" w:line="186" w:lineRule="exact"/>
        <w:rPr>
          <w:rFonts w:ascii="Arial" w:cs="Arial" w:eastAsia="Arial" w:hAnsi="Arial"/>
          <w:sz w:val="18"/>
          <w:szCs w:val="18"/>
          <w:color w:val="auto"/>
        </w:rPr>
      </w:pPr>
    </w:p>
    <w:p>
      <w:pPr>
        <w:jc w:val="both"/>
        <w:ind w:left="1720" w:hanging="911"/>
        <w:spacing w:after="0" w:line="255" w:lineRule="auto"/>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alter the Articles of the Company, the language of the proposed alteration), the reasons for conducting such business at the meeting and any material interest in such business of such shareholder and the beneficial owner, if any, on whose behalf the proposal is made; and</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9" w:name="page30"/>
    <w:bookmarkEnd w:id="29"/>
    <w:p>
      <w:pPr>
        <w:jc w:val="both"/>
        <w:ind w:left="1720" w:hanging="911"/>
        <w:spacing w:after="0" w:line="283" w:lineRule="auto"/>
        <w:tabs>
          <w:tab w:leader="none" w:pos="1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to the shareholder giving the notice and the beneficial owner, if any, on whose behalf the nomination or proposal is made (i) the name and address of such shareholder, as they appear on the Company’s books, and of such beneficial owner, (ii) the class or series and number of shares of the Company held of record and beneficially by such shareholder and such beneficial owner, (iii) a description of any agreement, arrangement or understanding with respect to the nomination or proposal between or among such shareholder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share appreciation or similar rights, hedging transactions, and borrowed or loaned shares) that has been entered into as of the date of the shareholder’s notice by, or on behalf of, such shareholder and such beneficial owners, the effect or intent of which is to mitigate loss to, manage risk or benefit of share price changes for, or increase or decrease the voting power of, such shareholder or such beneficial owner, with respect to shares of the Company, (v) the name in which all such shares are registered on the share transfer books of the Company, (vi) a representation that the shareholder is a holder of record of shares of the Company entitled to vote at such meeting and intends to appear at the meeting in person or by proxy to submit the business or nomination specified in such notice,</w:t>
      </w:r>
    </w:p>
    <w:p>
      <w:pPr>
        <w:spacing w:after="0" w:line="2" w:lineRule="exact"/>
        <w:rPr>
          <w:rFonts w:ascii="Arial" w:cs="Arial" w:eastAsia="Arial" w:hAnsi="Arial"/>
          <w:sz w:val="16"/>
          <w:szCs w:val="16"/>
          <w:color w:val="auto"/>
        </w:rPr>
      </w:pPr>
    </w:p>
    <w:p>
      <w:pPr>
        <w:jc w:val="both"/>
        <w:ind w:left="1720" w:firstLine="5"/>
        <w:spacing w:after="0" w:line="292" w:lineRule="auto"/>
        <w:tabs>
          <w:tab w:leader="none" w:pos="2099"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representation whether the shareholder or the beneficial owner, if any, intends or is part of a group which intends (a) to deliver a proxy statement and/or form of proxy to holders of at least the percentage of the Company’s outstanding share capital required to approve or adopt the proposal or elect the nominee and/or (b) otherwise to solicit proxies from shareholders in support of such proposal or nomination, and (viii) all other information relating to the proposed business or nomination which may be required to be disclosed under applicable law.</w:t>
      </w:r>
    </w:p>
    <w:p>
      <w:pPr>
        <w:spacing w:after="0" w:line="163"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In addition, a shareholder seeking to submit such business or nomination at the meeting shall promptly provide any other information reasonably requested by the Company. The foregoing notice requirements of this Section 10.11(a) shall be deemed satisfied by a shareholder with respect to business other than a nomination if the shareholder has notified the Company of his, her or its intention to present a proposal at an annual meeting in compliance with applicable rules and regulations promulgated under the Exchange Act and such shareholder’s proposal has been included in a proxy statement that has been prepared by the Company to solicit proxies for such annual meeting. The Company may require any proposed nominee to furnish such other information as it may reasonably require to determine the eligibility of such proposed nominee to serve as a director of the Company.</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30" w:name="page31"/>
    <w:bookmarkEnd w:id="30"/>
    <w:p>
      <w:pPr>
        <w:jc w:val="both"/>
        <w:ind w:left="1304" w:hanging="655"/>
        <w:spacing w:after="0" w:line="272" w:lineRule="auto"/>
        <w:tabs>
          <w:tab w:leader="none" w:pos="1304"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(ii) of this Section 10.11(a) to the contrary, in the event that the number of directors to be elected to the Board is increased and there is no public announcement by the Company naming all of the nominees for director or specifying the size of the increased Board at least 120 calendar days prior to the first anniversary of the preceding year’s annual meeting, a shareholder's notice required by this Section 10.11 shall also be considered timely, but only with respect to nominees for any new positions created by such increase, if it is delivered to the Secretary at the principal executive offices of the Company not later than the close of business on the 10th calendar day following the day on which such public announcement is first made by the Company.</w:t>
      </w:r>
    </w:p>
    <w:p>
      <w:pPr>
        <w:spacing w:after="0" w:line="177" w:lineRule="exact"/>
        <w:rPr>
          <w:rFonts w:ascii="Arial" w:cs="Arial" w:eastAsia="Arial" w:hAnsi="Arial"/>
          <w:sz w:val="17"/>
          <w:szCs w:val="17"/>
          <w:color w:val="auto"/>
        </w:rPr>
      </w:pPr>
    </w:p>
    <w:p>
      <w:pPr>
        <w:ind w:left="644" w:hanging="644"/>
        <w:spacing w:after="0"/>
        <w:tabs>
          <w:tab w:leader="none" w:pos="644" w:val="left"/>
        </w:tabs>
        <w:numPr>
          <w:ilvl w:val="0"/>
          <w:numId w:val="2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Special Meetings of the Shareholders</w:t>
      </w: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auto"/>
        </w:rPr>
      </w:pPr>
    </w:p>
    <w:p>
      <w:pPr>
        <w:jc w:val="both"/>
        <w:ind w:left="1304" w:hanging="655"/>
        <w:spacing w:after="0" w:line="297" w:lineRule="auto"/>
        <w:tabs>
          <w:tab w:leader="none" w:pos="1304" w:val="left"/>
        </w:tabs>
        <w:numPr>
          <w:ilvl w:val="1"/>
          <w:numId w:val="25"/>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shareholders as shall have been brought before the meeting (A) by or at the direction of the Board pursuant to the Company's notice of meeting under Section 10.4 of these Articles, (B) by or at the direction or request of one or more "qualified shareholders" pursuant to a valid "proposal", each as defined in the Business Corporations Act, and made in accordance with Part 5, Division 7 of the Business Corporations Act, or (C) pursuant to a requisition of the shareholders that complies with and is made in accordance with section 167 of the Business Corporations Act.</w:t>
      </w:r>
    </w:p>
    <w:p>
      <w:pPr>
        <w:spacing w:after="0" w:line="158" w:lineRule="exact"/>
        <w:rPr>
          <w:rFonts w:ascii="Arial" w:cs="Arial" w:eastAsia="Arial" w:hAnsi="Arial"/>
          <w:sz w:val="16"/>
          <w:szCs w:val="16"/>
          <w:color w:val="auto"/>
        </w:rPr>
      </w:pPr>
    </w:p>
    <w:p>
      <w:pPr>
        <w:jc w:val="both"/>
        <w:ind w:left="1304" w:hanging="655"/>
        <w:spacing w:after="0" w:line="268" w:lineRule="auto"/>
        <w:tabs>
          <w:tab w:leader="none" w:pos="1304"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may be made at a special meeting of shareholders at which directors are to be elected (A) by or at the direction of the Board pursuant to the Company's notice of meeting, provided that the Board has determined that directors shall be elected at such meeting, (B)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(C) pursuant to a requisition of the shareholders that complies with and is made in accordance with section 167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or (D) by any shareholder of the Company who is a shareholder of record at the time of giving of notice provided for in this Section 10.11 who shall be entitled to vote at the meeting and who complies with the notice procedures set forth in this Section 10.11. In the event the Company calls a special meeting of shareholders for the purpose of electing one or more directors to the Board, any shareholder may nominate a person or persons (as the case may be) for election to such position(s) as specified in the Company’s notice of meeting pursuant to paragraph (ii)(D) of this Section 10.11(b) if the shareholder’s notice required by paragraph (a)(iii) of this Section 10.11 is delivered to the Secretary at the principal executive offices of the Company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In no event shall the public announcement of an adjournment of a special meeting commence a new time period for the giving of a shareholder’s notice as described above.</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31" w:name="page32"/>
    <w:bookmarkEnd w:id="31"/>
    <w:p>
      <w:pPr>
        <w:ind w:left="1300" w:hanging="644"/>
        <w:spacing w:after="0"/>
        <w:tabs>
          <w:tab w:leader="none" w:pos="1300"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auto"/>
        </w:rPr>
      </w:pPr>
    </w:p>
    <w:p>
      <w:pPr>
        <w:jc w:val="both"/>
        <w:ind w:left="1960" w:hanging="655"/>
        <w:spacing w:after="0" w:line="255" w:lineRule="auto"/>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Only the persons who are nominated in accordance with the procedures set forth in this Article are eligible to serve as directors and only such business shall be conducted at a meeting of shareholders as shall have been brought before the meeting in accordance with the procedures set forth in this Section 10.11. Except as otherwise provided by law, the Notice of Articles or these Articles, the chairman of the meeting shall have the power and duty to determine whether a nomination or any business proposed to be brought before the meeting was made or proposed, as the case may be, in accordance with the procedures set forth in this Article and, if any proposed nomination or business in not in compliance with this Article, to declare that the defective proposal or nomination will be disregarded.</w:t>
      </w:r>
    </w:p>
    <w:p>
      <w:pPr>
        <w:spacing w:after="0" w:line="18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purposes of this Section 10.11, “public announcement” shall mean disclosure in a press release reported by a comparable US or Canadian national news service or in a document publicly filed by the Company with the Securities and Exchange Commission, and the Toronto Stock Exchange.</w:t>
      </w:r>
    </w:p>
    <w:p>
      <w:pPr>
        <w:spacing w:after="0" w:line="181"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the foregoing provisions, shareholders shall also comply with all applicable requirements of the Exchange Act and the rules and regulations thereunder with respect to the matters set forth in this Section 10.11. Nothing in this Section 10.11 shall be deemed to affect any rights (A) of shareholders to request inclusion of proposals in the Company’s proxy statement pursuant to Rule 14a-8 under the Exchange Act or (B) of the holders of any series of Preferred Shares to elect directors under an applicable Designation of Series of Class A Preferred Shares or Designation of Series of Class B Preferred Shares (as defined in Part 26 and 28 of these Articles).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MEETINGS OF SHAREHOLDERS</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 xml:space="preserve">Special Business. </w:t>
      </w:r>
      <w:r>
        <w:rPr>
          <w:rFonts w:ascii="Arial" w:cs="Arial" w:eastAsia="Arial" w:hAnsi="Arial"/>
          <w:sz w:val="16"/>
          <w:szCs w:val="16"/>
          <w:color w:val="auto"/>
        </w:rPr>
        <w:t>At a meeting of shareholders, the following business is special business:</w:t>
      </w:r>
    </w:p>
    <w:p>
      <w:pPr>
        <w:spacing w:after="0" w:line="229" w:lineRule="exact"/>
        <w:rPr>
          <w:sz w:val="20"/>
          <w:szCs w:val="20"/>
          <w:color w:val="auto"/>
        </w:rPr>
      </w:pPr>
    </w:p>
    <w:p>
      <w:pPr>
        <w:ind w:left="1300" w:right="2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an annual general meeting, all business is special business except for the following:</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business relating to the conduct of or voting at the meeting;</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consideration of any financial statements of the Company presented to the meeting;</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consideration of any reports of the directors or auditor;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setting or changing of the number of directors;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election or appointment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left="1960" w:hanging="655"/>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and remuneration of directors and officers, including "say-on-pay" and "say-when-on-pay" votes regarding director or officer compensation and any plans or programs regarding such compensation;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appointment of an auditor or the ratification of the Company's appointment of an auditor;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setting of the remuneration of an auditor;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business arising out of a report of the directors not requiring the passing of a special resolution or an exceptional resolution; and</w:t>
      </w:r>
    </w:p>
    <w:p>
      <w:pPr>
        <w:spacing w:after="0" w:line="275"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may be transacted at a meeting of shareholders without prior notice of the business being given to the shareholders.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11.2 Business Approval. </w:t>
      </w:r>
      <w:r>
        <w:rPr>
          <w:rFonts w:ascii="Arial" w:cs="Arial" w:eastAsia="Arial" w:hAnsi="Arial"/>
          <w:sz w:val="16"/>
          <w:szCs w:val="16"/>
          <w:color w:val="auto"/>
        </w:rPr>
        <w:t>Except as otherwise required by these Articles or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Company may by a resolution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shareholders approved by the majority of the votes cast by shareholders voting shares that carry the right to vote thereon approve any business to be considered by the shareholders, including special business, at any meeting of shareholders.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w:t>
      </w:r>
      <w:r>
        <w:rPr>
          <w:rFonts w:ascii="Arial" w:cs="Arial" w:eastAsia="Arial" w:hAnsi="Arial"/>
          <w:sz w:val="16"/>
          <w:szCs w:val="16"/>
          <w:i w:val="1"/>
          <w:iCs w:val="1"/>
          <w:color w:val="auto"/>
        </w:rPr>
        <w:t>Exchange Act</w:t>
      </w:r>
      <w:r>
        <w:rPr>
          <w:rFonts w:ascii="Arial" w:cs="Arial" w:eastAsia="Arial" w:hAnsi="Arial"/>
          <w:sz w:val="16"/>
          <w:szCs w:val="16"/>
          <w:color w:val="auto"/>
        </w:rPr>
        <w:t xml:space="preserve"> or any provision of the U.S. Internal Revenue Code of 1986, as amended (the “</w:t>
      </w:r>
      <w:r>
        <w:rPr>
          <w:rFonts w:ascii="Arial" w:cs="Arial" w:eastAsia="Arial" w:hAnsi="Arial"/>
          <w:sz w:val="16"/>
          <w:szCs w:val="16"/>
          <w:i w:val="1"/>
          <w:iCs w:val="1"/>
          <w:color w:val="auto"/>
        </w:rPr>
        <w:t>Internal Revenue Code</w:t>
      </w:r>
      <w:r>
        <w:rPr>
          <w:rFonts w:ascii="Arial" w:cs="Arial" w:eastAsia="Arial" w:hAnsi="Arial"/>
          <w:sz w:val="16"/>
          <w:szCs w:val="16"/>
          <w:color w:val="auto"/>
        </w:rPr>
        <w:t xml:space="preserve">”), in each case for which no higher voting requirement is specified by the </w:t>
      </w:r>
      <w:r>
        <w:rPr>
          <w:rFonts w:ascii="Arial" w:cs="Arial" w:eastAsia="Arial" w:hAnsi="Arial"/>
          <w:sz w:val="16"/>
          <w:szCs w:val="16"/>
          <w:i w:val="1"/>
          <w:iCs w:val="1"/>
          <w:color w:val="auto"/>
        </w:rPr>
        <w:t xml:space="preserve">Business Corporations Act </w:t>
      </w:r>
      <w:r>
        <w:rPr>
          <w:rFonts w:ascii="Arial" w:cs="Arial" w:eastAsia="Arial" w:hAnsi="Arial"/>
          <w:sz w:val="16"/>
          <w:szCs w:val="16"/>
          <w:color w:val="auto"/>
        </w:rPr>
        <w:t>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 for approval shall be the affirmative vote of the holders of a majority of the shares entitled to vote on, and who voted for or against or abstained from voting on, the matter.</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11.3 Actions Requiring a Special Resolution. </w:t>
      </w:r>
      <w:r>
        <w:rPr>
          <w:rFonts w:ascii="Arial" w:cs="Arial" w:eastAsia="Arial" w:hAnsi="Arial"/>
          <w:sz w:val="18"/>
          <w:szCs w:val="18"/>
          <w:color w:val="auto"/>
        </w:rPr>
        <w:t>The following actions that are required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to be passed by a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shareholders, being an arrangement, conversion, amalgamation, a sale, lease or a disposition of all or substantially all of its undertaking, continuation or liquidation, may be passed only with a special resolution having a requisite special majority of two-thirds of the votes cast at a meeting of shareholders.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11.4 Quorum. </w:t>
      </w:r>
      <w:r>
        <w:rPr>
          <w:rFonts w:ascii="Arial" w:cs="Arial" w:eastAsia="Arial" w:hAnsi="Arial"/>
          <w:sz w:val="17"/>
          <w:szCs w:val="17"/>
          <w:color w:val="auto"/>
        </w:rPr>
        <w:t>Except as otherwise provided by law, the Notice of Articles or these Articles, the holders of a majority of the voting power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the Company represented in person or by proxy, shall constitute a quorum at a meeting of shareholders, except that when specified business is to be voted on by a class or series of shares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Articles. The shareholders present in person or by proxy at a duly called meeting at which a quorum is present may continue to transact business until adjournment, notwithstanding the withdrawal of enough shareholders to leave less than a quorum.</w:t>
      </w:r>
    </w:p>
    <w:p>
      <w:pPr>
        <w:spacing w:after="0" w:line="1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 xml:space="preserve">One Shareholder May Constitute Quorum. </w:t>
      </w:r>
      <w:r>
        <w:rPr>
          <w:rFonts w:ascii="Arial" w:cs="Arial" w:eastAsia="Arial" w:hAnsi="Arial"/>
          <w:sz w:val="16"/>
          <w:szCs w:val="16"/>
          <w:color w:val="auto"/>
        </w:rPr>
        <w:t>If there is only one shareholder entitled to vote at a meeting of shareholders:</w:t>
      </w:r>
    </w:p>
    <w:p>
      <w:pPr>
        <w:spacing w:after="0" w:line="229"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quorum is one person who is, or who represents by proxy, that shareholder,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shareholder, present in person or by proxy, may constitute the meeting.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61" w:lineRule="auto"/>
        <w:rPr>
          <w:sz w:val="20"/>
          <w:szCs w:val="20"/>
          <w:color w:val="auto"/>
        </w:rPr>
      </w:pPr>
      <w:r>
        <w:rPr>
          <w:rFonts w:ascii="Arial" w:cs="Arial" w:eastAsia="Arial" w:hAnsi="Arial"/>
          <w:sz w:val="18"/>
          <w:szCs w:val="18"/>
          <w:b w:val="1"/>
          <w:bCs w:val="1"/>
          <w:color w:val="auto"/>
        </w:rPr>
        <w:t xml:space="preserve">11.6 Other Persons May Attend. </w:t>
      </w:r>
      <w:r>
        <w:rPr>
          <w:rFonts w:ascii="Arial" w:cs="Arial" w:eastAsia="Arial" w:hAnsi="Arial"/>
          <w:sz w:val="18"/>
          <w:szCs w:val="18"/>
          <w:color w:val="auto"/>
        </w:rPr>
        <w:t>The directors, the president (if any), the secretary (if any), the assistant secretary (if any), any lawyer for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11.7 Requirement of Quorum. </w:t>
      </w:r>
      <w:r>
        <w:rPr>
          <w:rFonts w:ascii="Arial" w:cs="Arial" w:eastAsia="Arial" w:hAnsi="Arial"/>
          <w:sz w:val="17"/>
          <w:szCs w:val="17"/>
          <w:color w:val="auto"/>
        </w:rPr>
        <w:t>No business, other than the adjournment of the meeting, may be transacted at any meeting of shareholders unless a quorum</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shareholders entitled to vote is present at the commencement of the meeting, but such quorum need not be present throughout the meeting.</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 xml:space="preserve">Lack of Quorum. </w:t>
      </w:r>
      <w:r>
        <w:rPr>
          <w:rFonts w:ascii="Arial" w:cs="Arial" w:eastAsia="Arial" w:hAnsi="Arial"/>
          <w:sz w:val="16"/>
          <w:szCs w:val="16"/>
          <w:color w:val="auto"/>
        </w:rPr>
        <w:t>If, within one-half hour from the time set for the holding of a meeting of shareholders, a quorum is not present:</w:t>
      </w:r>
    </w:p>
    <w:p>
      <w:pPr>
        <w:spacing w:after="0" w:line="229"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a general meeting requisitioned by shareholders, the meeting is dissolved,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case of any other meeting of shareholders, the meeting stands adjourned to the same day in the next week at the same time and place.</w:t>
      </w:r>
    </w:p>
    <w:p>
      <w:pPr>
        <w:spacing w:after="0" w:line="27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11.9 Quorum Required at Succeeding Meeting. </w:t>
      </w:r>
      <w:r>
        <w:rPr>
          <w:rFonts w:ascii="Arial" w:cs="Arial" w:eastAsia="Arial" w:hAnsi="Arial"/>
          <w:sz w:val="16"/>
          <w:szCs w:val="16"/>
          <w:color w:val="auto"/>
        </w:rPr>
        <w:t>No business may be transacted at any adjourned meeting of shareholders referred to in Article 11.8(b)</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 quorum of shareholders entitled to vote is present at the commencement of the meeting, but such quorum need not be present throughout the meeting.</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11.10 Chair. </w:t>
      </w:r>
      <w:r>
        <w:rPr>
          <w:rFonts w:ascii="Arial" w:cs="Arial" w:eastAsia="Arial" w:hAnsi="Arial"/>
          <w:sz w:val="18"/>
          <w:szCs w:val="18"/>
          <w:color w:val="auto"/>
        </w:rPr>
        <w:t>The chair of the shareholders' meetings shall be the Chairman of the Board, failing him/her, the then Chief Executive Officer, failing him/her,</w:t>
      </w:r>
      <w:r>
        <w:rPr>
          <w:rFonts w:ascii="Arial" w:cs="Arial" w:eastAsia="Arial" w:hAnsi="Arial"/>
          <w:sz w:val="18"/>
          <w:szCs w:val="18"/>
          <w:b w:val="1"/>
          <w:bCs w:val="1"/>
          <w:color w:val="auto"/>
        </w:rPr>
        <w:t xml:space="preserve"> </w:t>
      </w:r>
      <w:r>
        <w:rPr>
          <w:rFonts w:ascii="Arial" w:cs="Arial" w:eastAsia="Arial" w:hAnsi="Arial"/>
          <w:sz w:val="18"/>
          <w:szCs w:val="18"/>
          <w:color w:val="auto"/>
        </w:rPr>
        <w:t>whomever the Chairman of the Board appoints is entitled to chair the shareholders' meetings.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11.11 Inspectors of Elections; Opening and Closing the Polls. </w:t>
      </w:r>
      <w:r>
        <w:rPr>
          <w:rFonts w:ascii="Arial" w:cs="Arial" w:eastAsia="Arial" w:hAnsi="Arial"/>
          <w:sz w:val="17"/>
          <w:szCs w:val="17"/>
          <w:color w:val="auto"/>
        </w:rPr>
        <w:t>The Board by resolution shall appoint, or shall authorize an officer of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appoint, one or more inspectors, which inspector or inspectors may include individuals who serve the Company in other capacities, including, without limitation, as officers, employees, agents or representatives, to act at the meetings of shareholders and make a written report thereof. One or more persons may be designated as alternate inspector(s) to replace any inspector who fails to act. If no inspector or alternate has been appointed to act or is able to act at a meeting of the shareholders,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shareholders will vote at a meeting.</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11.12 Conduct of Meetings. </w:t>
      </w:r>
      <w:r>
        <w:rPr>
          <w:rFonts w:ascii="Arial" w:cs="Arial" w:eastAsia="Arial" w:hAnsi="Arial"/>
          <w:sz w:val="17"/>
          <w:szCs w:val="17"/>
          <w:color w:val="auto"/>
        </w:rPr>
        <w:t>The Board may to the extent not prohibited by law adopt such rules and regulations for the conduct of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as it shall deem appropriate. Except to the extent inconsistent with such rules and regulations as adopted by the Board,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Company,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shareholders are not required to be held in accordance with the rules of parliamentary procedure.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8"/>
          <w:szCs w:val="18"/>
          <w:b w:val="1"/>
          <w:bCs w:val="1"/>
          <w:color w:val="auto"/>
        </w:rPr>
        <w:t xml:space="preserve">11.13 Adjournments. </w:t>
      </w:r>
      <w:r>
        <w:rPr>
          <w:rFonts w:ascii="Arial" w:cs="Arial" w:eastAsia="Arial" w:hAnsi="Arial"/>
          <w:sz w:val="18"/>
          <w:szCs w:val="18"/>
          <w:color w:val="auto"/>
        </w:rPr>
        <w:t>The chair of a meeting of shareholders may, and if so directed by the meeting must, adjourn the meeting from time to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place to place, but no business may be transacted at any adjourned meeting other than the business left unfinished at the meeting from which the adjournment took place.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11.14 Notice of Adjourned Meeting. </w:t>
      </w:r>
      <w:r>
        <w:rPr>
          <w:rFonts w:ascii="Arial" w:cs="Arial" w:eastAsia="Arial" w:hAnsi="Arial"/>
          <w:sz w:val="18"/>
          <w:szCs w:val="18"/>
          <w:color w:val="auto"/>
        </w:rPr>
        <w:t>It is not necessary to give any notice of an adjourned meeting or of the business to be transacted at an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except that, when a meeting is adjourned for 30 days or more, notice of the adjourned meeting must be given as in the case of the original meeting.</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11.15 Decision by Show of Hands or Poll.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every motion put to a vote at a meeting of shareholders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decided on a show of hands unless a poll, before or on the declaration of the result of the vote by show of hands, is directed by the chair or demanded by at least one shareholder entitled to vote who is present in person or by proxy.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11.16 Declaration of Result. </w:t>
      </w:r>
      <w:r>
        <w:rPr>
          <w:rFonts w:ascii="Arial" w:cs="Arial" w:eastAsia="Arial" w:hAnsi="Arial"/>
          <w:sz w:val="18"/>
          <w:szCs w:val="18"/>
          <w:color w:val="auto"/>
        </w:rPr>
        <w:t>The chair of a meeting of shareholders must declare to the meeting the decision on every question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11.15, conclusive evidence without proof of the number or proportion of the votes recorded in favour of or against the resolution.</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11.17 Motion Need Not be Seconded. </w:t>
      </w:r>
      <w:r>
        <w:rPr>
          <w:rFonts w:ascii="Arial" w:cs="Arial" w:eastAsia="Arial" w:hAnsi="Arial"/>
          <w:sz w:val="18"/>
          <w:szCs w:val="18"/>
          <w:color w:val="auto"/>
        </w:rPr>
        <w:t>No motion proposed at a meeting of shareholders need be seconded unless the chair of the meeting rules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chair of any meeting of shareholders is entitled to propose or second a motion.</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 xml:space="preserve">Casting Vote. </w:t>
      </w:r>
      <w:r>
        <w:rPr>
          <w:rFonts w:ascii="Arial" w:cs="Arial" w:eastAsia="Arial" w:hAnsi="Arial"/>
          <w:sz w:val="16"/>
          <w:szCs w:val="16"/>
          <w:color w:val="auto"/>
        </w:rPr>
        <w:t>In case of an equality of votes, the chair of a meeting of shareholders does not have a second or casting vote.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11.19 Meetings by Remote Communication. </w:t>
      </w:r>
      <w:r>
        <w:rPr>
          <w:rFonts w:ascii="Arial" w:cs="Arial" w:eastAsia="Arial" w:hAnsi="Arial"/>
          <w:sz w:val="17"/>
          <w:szCs w:val="17"/>
          <w:color w:val="auto"/>
        </w:rPr>
        <w:t>If authorized by the Board, and subject to any guidelines and procedures that the Board may adopt,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shareholders and proxy holders not physically present at a meeting of shareholders may, by means of remote communication, participate in the meeting and be deemed present in person and vote at the meeting, whether the meeting is to be held in a designated place or solely by means of remote communication, provided that (a) the Company implements reasonable measures to verify that each person deemed present and permitted to vote at the meeting by means of remote communication is a shareholder or proxy holder; (b) the Company implements reasonable measures to provide shareholders and proxy holders a reasonable opportunity to participate in the meeting and to vote on matters submitted to the shareholders, including the opportunity to read or hear the proceedings in the meeting substantially concurrently with such proceedings; and (c) if the shareholder or proxy holder votes or takes other action at the meeting by means of remote communication, a record of the vote or other action is maintained by the Company. A shareholder or proxy holder who participates in a meeting in a manner contemplated by this Article 11.19 is deemed for all purposes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these Articles to be present at the meeting and to have agreed to participate in that manner.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SHAREHOLDERS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12.1 Number of Votes by Shareholder or by Shares. </w:t>
      </w:r>
      <w:r>
        <w:rPr>
          <w:rFonts w:ascii="Arial" w:cs="Arial" w:eastAsia="Arial" w:hAnsi="Arial"/>
          <w:sz w:val="18"/>
          <w:szCs w:val="18"/>
          <w:color w:val="auto"/>
        </w:rPr>
        <w:t>Subject to any special rights or restrictions attached to any shares and to the restrictions imposed on</w:t>
      </w:r>
      <w:r>
        <w:rPr>
          <w:rFonts w:ascii="Arial" w:cs="Arial" w:eastAsia="Arial" w:hAnsi="Arial"/>
          <w:sz w:val="18"/>
          <w:szCs w:val="18"/>
          <w:b w:val="1"/>
          <w:bCs w:val="1"/>
          <w:color w:val="auto"/>
        </w:rPr>
        <w:t xml:space="preserve"> </w:t>
      </w:r>
      <w:r>
        <w:rPr>
          <w:rFonts w:ascii="Arial" w:cs="Arial" w:eastAsia="Arial" w:hAnsi="Arial"/>
          <w:sz w:val="18"/>
          <w:szCs w:val="18"/>
          <w:color w:val="auto"/>
        </w:rPr>
        <w:t>joint shareholders under Article 12.3:</w:t>
      </w:r>
    </w:p>
    <w:p>
      <w:pPr>
        <w:spacing w:after="0" w:line="166"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 vote by show of hands, every person present who is a shareholder or proxy holder and entitled to vote on the matter has one vote; and</w:t>
      </w:r>
    </w:p>
    <w:p>
      <w:pPr>
        <w:spacing w:after="0" w:line="275"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12.2 Votes of Persons in Representative Capacity. </w:t>
      </w:r>
      <w:r>
        <w:rPr>
          <w:rFonts w:ascii="Arial" w:cs="Arial" w:eastAsia="Arial" w:hAnsi="Arial"/>
          <w:sz w:val="17"/>
          <w:szCs w:val="17"/>
          <w:color w:val="auto"/>
        </w:rPr>
        <w:t>A person who is not a shareholder may vote at a meeting of shareholders, whether on a show of hands</w:t>
      </w:r>
      <w:r>
        <w:rPr>
          <w:rFonts w:ascii="Arial" w:cs="Arial" w:eastAsia="Arial" w:hAnsi="Arial"/>
          <w:sz w:val="17"/>
          <w:szCs w:val="17"/>
          <w:b w:val="1"/>
          <w:bCs w:val="1"/>
          <w:color w:val="auto"/>
        </w:rPr>
        <w:t xml:space="preserve"> </w:t>
      </w:r>
      <w:r>
        <w:rPr>
          <w:rFonts w:ascii="Arial" w:cs="Arial" w:eastAsia="Arial" w:hAnsi="Arial"/>
          <w:sz w:val="17"/>
          <w:szCs w:val="17"/>
          <w:color w:val="auto"/>
        </w:rPr>
        <w:t>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Votes by Joint Holders. </w:t>
      </w:r>
      <w:r>
        <w:rPr>
          <w:rFonts w:ascii="Arial" w:cs="Arial" w:eastAsia="Arial" w:hAnsi="Arial"/>
          <w:sz w:val="16"/>
          <w:szCs w:val="16"/>
          <w:color w:val="auto"/>
        </w:rPr>
        <w:t>If there are joint shareholders registered in respect of any share:</w:t>
      </w:r>
    </w:p>
    <w:p>
      <w:pPr>
        <w:spacing w:after="0" w:line="229" w:lineRule="exact"/>
        <w:rPr>
          <w:sz w:val="20"/>
          <w:szCs w:val="20"/>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one of the joint shareholders may vote at any meeting, either personally or by proxy, in respect of the share as if that joint shareholder were solely entitled to it; or</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12.4 Legal Personal Representatives as Joint Shareholders. </w:t>
      </w:r>
      <w:r>
        <w:rPr>
          <w:rFonts w:ascii="Arial" w:cs="Arial" w:eastAsia="Arial" w:hAnsi="Arial"/>
          <w:sz w:val="18"/>
          <w:szCs w:val="18"/>
          <w:color w:val="auto"/>
        </w:rPr>
        <w:t>Two or more legal personal representatives of a shareholder in whose sole name any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are, for the purposes of Article 12.3, deemed to be joint shareholders.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12.5 Representative of a Corporate Shareholder. </w:t>
      </w:r>
      <w:r>
        <w:rPr>
          <w:rFonts w:ascii="Arial" w:cs="Arial" w:eastAsia="Arial" w:hAnsi="Arial"/>
          <w:sz w:val="18"/>
          <w:szCs w:val="18"/>
          <w:color w:val="auto"/>
        </w:rPr>
        <w:t>If an entity that is not an individual and that is not a subsidiary of the Company is a shareholder, that</w:t>
      </w:r>
      <w:r>
        <w:rPr>
          <w:rFonts w:ascii="Arial" w:cs="Arial" w:eastAsia="Arial" w:hAnsi="Arial"/>
          <w:sz w:val="18"/>
          <w:szCs w:val="18"/>
          <w:b w:val="1"/>
          <w:bCs w:val="1"/>
          <w:color w:val="auto"/>
        </w:rPr>
        <w:t xml:space="preserve"> </w:t>
      </w:r>
      <w:r>
        <w:rPr>
          <w:rFonts w:ascii="Arial" w:cs="Arial" w:eastAsia="Arial" w:hAnsi="Arial"/>
          <w:sz w:val="18"/>
          <w:szCs w:val="18"/>
          <w:color w:val="auto"/>
        </w:rPr>
        <w:t>entity may appoint a person to act as its representative at any meeting of shareholders of the Company, and:</w:t>
      </w:r>
    </w:p>
    <w:p>
      <w:pPr>
        <w:spacing w:after="0" w:line="166"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that purpose, the instrument appointing a representative must:</w:t>
      </w:r>
    </w:p>
    <w:p>
      <w:pPr>
        <w:spacing w:after="0" w:line="252" w:lineRule="exact"/>
        <w:rPr>
          <w:sz w:val="20"/>
          <w:szCs w:val="20"/>
          <w:color w:val="auto"/>
        </w:rPr>
      </w:pPr>
    </w:p>
    <w:p>
      <w:pPr>
        <w:jc w:val="both"/>
        <w:ind w:left="1960" w:hanging="655"/>
        <w:spacing w:after="0" w:line="264"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ind w:left="1960" w:hanging="655"/>
        <w:spacing w:after="0"/>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be provided, at the meeting, to the chair of the meeting or to a person designated by the chair of the meeting;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representative is appointed under this Article 12.5:</w:t>
      </w:r>
    </w:p>
    <w:p>
      <w:pPr>
        <w:spacing w:after="0" w:line="252"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representative is entitled to exercise in respect of and at that meeting the same rights on behalf of the entity that the representative represents as that corporation could exercise if it were a shareholder who is an individual, including, without limitation, the right to appoint a proxy holder; and</w:t>
      </w:r>
    </w:p>
    <w:p>
      <w:pPr>
        <w:spacing w:after="0" w:line="181" w:lineRule="exact"/>
        <w:rPr>
          <w:sz w:val="20"/>
          <w:szCs w:val="20"/>
          <w:color w:val="auto"/>
        </w:rPr>
      </w:pPr>
    </w:p>
    <w:p>
      <w:pPr>
        <w:ind w:left="1960" w:hanging="655"/>
        <w:spacing w:after="0" w:line="277" w:lineRule="auto"/>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12.6 Proxy Provisions Do Not Apply to All Companies. </w:t>
      </w:r>
      <w:r>
        <w:rPr>
          <w:rFonts w:ascii="Arial" w:cs="Arial" w:eastAsia="Arial" w:hAnsi="Arial"/>
          <w:sz w:val="18"/>
          <w:szCs w:val="18"/>
          <w:color w:val="auto"/>
        </w:rPr>
        <w:t>Articles 12.7 to 12.15 do not apply to the Company if and for so long as it is a public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the meaning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12.7 Appointment of Proxy Holders. </w:t>
      </w:r>
      <w:r>
        <w:rPr>
          <w:rFonts w:ascii="Arial" w:cs="Arial" w:eastAsia="Arial" w:hAnsi="Arial"/>
          <w:sz w:val="18"/>
          <w:szCs w:val="18"/>
          <w:color w:val="auto"/>
        </w:rPr>
        <w:t>Every shareholder of the Company, including an entity that is a shareholder but not a subsidiary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vote at a meeting of shareholders of the Company may, by proxy, appoint one or more (but not more than five) proxy holders to attend and act at the meeting in the manner, to the extent and with the powers conferred by the proxy.</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 xml:space="preserve">Alternate Proxy Holders. </w:t>
      </w:r>
      <w:r>
        <w:rPr>
          <w:rFonts w:ascii="Arial" w:cs="Arial" w:eastAsia="Arial" w:hAnsi="Arial"/>
          <w:sz w:val="16"/>
          <w:szCs w:val="16"/>
          <w:color w:val="auto"/>
        </w:rPr>
        <w:t>A shareholder may appoint one or more alternate proxy holders to act in the place of an absent proxy holder.</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12.9 When Proxy Holder Need Not Be Shareholder. </w:t>
      </w:r>
      <w:r>
        <w:rPr>
          <w:rFonts w:ascii="Arial" w:cs="Arial" w:eastAsia="Arial" w:hAnsi="Arial"/>
          <w:sz w:val="18"/>
          <w:szCs w:val="18"/>
          <w:color w:val="auto"/>
        </w:rPr>
        <w:t>A person must not be appointed as a proxy holder unless the person is a shareholder, although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is not a shareholder may be appointed as a proxy holder if:</w:t>
      </w:r>
    </w:p>
    <w:p>
      <w:pPr>
        <w:spacing w:after="0" w:line="16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 appointing the proxy holder is a corporation or a representative of a corporation appointed under Article 12.5;</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has at the time of the meeting for which the proxy holder is to be appointed only one shareholder entitled to vote at the meeting; or</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b w:val="1"/>
          <w:bCs w:val="1"/>
          <w:color w:val="auto"/>
        </w:rPr>
        <w:t xml:space="preserve">Deposit of Proxy. </w:t>
      </w:r>
      <w:r>
        <w:rPr>
          <w:rFonts w:ascii="Arial" w:cs="Arial" w:eastAsia="Arial" w:hAnsi="Arial"/>
          <w:sz w:val="16"/>
          <w:szCs w:val="16"/>
          <w:color w:val="auto"/>
        </w:rPr>
        <w:t>A proxy for a meeting of shareholders must:</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left="1300" w:right="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12.11 Validity of Proxy Vote. </w:t>
      </w:r>
      <w:r>
        <w:rPr>
          <w:rFonts w:ascii="Arial" w:cs="Arial" w:eastAsia="Arial" w:hAnsi="Arial"/>
          <w:sz w:val="18"/>
          <w:szCs w:val="18"/>
          <w:color w:val="auto"/>
        </w:rPr>
        <w:t>A vote given in accordance with the terms of a proxy is valid notwithstanding the death or incapacity of the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proxy and despite the revocation of the proxy or the revocation of the authority under which the proxy is given, unless notice in writing of that death, incapacity or revocation is received:</w:t>
      </w:r>
    </w:p>
    <w:p>
      <w:pPr>
        <w:spacing w:after="0" w:line="180" w:lineRule="exact"/>
        <w:rPr>
          <w:sz w:val="20"/>
          <w:szCs w:val="20"/>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the chair of the meeting, before the vote is taken.</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12.12 Form of Proxy. </w:t>
      </w:r>
      <w:r>
        <w:rPr>
          <w:rFonts w:ascii="Arial" w:cs="Arial" w:eastAsia="Arial" w:hAnsi="Arial"/>
          <w:sz w:val="18"/>
          <w:szCs w:val="18"/>
          <w:color w:val="auto"/>
        </w:rPr>
        <w:t>A proxy, whether for a specified meeting or otherwise, must be either in the following form or in any other form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chair of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undersigned, being a shareholder of the above named Company, hereby appoints ______________, or, failing that person, _____________ , as proxy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holder for the undersigned to attend, act and vote for and on behalf of the undersigned at the meeting of shareholders of the Company to be held on [ __ day</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of _______, 201__] and at any adjournment of that meeting.</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Signed this ___ day of _________, 201__.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shareholder</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shareholder - printed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 xml:space="preserve">Revocation of Proxy. </w:t>
      </w:r>
      <w:r>
        <w:rPr>
          <w:rFonts w:ascii="Arial" w:cs="Arial" w:eastAsia="Arial" w:hAnsi="Arial"/>
          <w:sz w:val="16"/>
          <w:szCs w:val="16"/>
          <w:color w:val="auto"/>
        </w:rPr>
        <w:t>Subject to Article 12.14, every proxy may be revoked by an instrument in writing that is:</w:t>
      </w:r>
    </w:p>
    <w:p>
      <w:pPr>
        <w:spacing w:after="0" w:line="229" w:lineRule="exact"/>
        <w:rPr>
          <w:sz w:val="20"/>
          <w:szCs w:val="20"/>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provided, at the meeting, to the chair of the meeting.</w:t>
      </w:r>
    </w:p>
    <w:p>
      <w:pPr>
        <w:spacing w:after="0" w:line="24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b w:val="1"/>
          <w:bCs w:val="1"/>
          <w:color w:val="auto"/>
        </w:rPr>
        <w:t xml:space="preserve">Revocation of Proxy Must Be Signed. </w:t>
      </w:r>
      <w:r>
        <w:rPr>
          <w:rFonts w:ascii="Arial" w:cs="Arial" w:eastAsia="Arial" w:hAnsi="Arial"/>
          <w:sz w:val="16"/>
          <w:szCs w:val="16"/>
          <w:color w:val="auto"/>
        </w:rPr>
        <w:t>An instrument referred to in Article 12.13 must be signed as follows:</w:t>
      </w:r>
    </w:p>
    <w:p>
      <w:pPr>
        <w:spacing w:after="0" w:line="229" w:lineRule="exact"/>
        <w:rPr>
          <w:sz w:val="20"/>
          <w:szCs w:val="20"/>
          <w:color w:val="auto"/>
        </w:rPr>
      </w:pPr>
    </w:p>
    <w:p>
      <w:pPr>
        <w:ind w:left="130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16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12.15 Production of Evidence of Authority to Vote. </w:t>
      </w:r>
      <w:r>
        <w:rPr>
          <w:rFonts w:ascii="Arial" w:cs="Arial" w:eastAsia="Arial" w:hAnsi="Arial"/>
          <w:sz w:val="17"/>
          <w:szCs w:val="17"/>
          <w:color w:val="auto"/>
        </w:rPr>
        <w:t>The chair of any meeting of shareholders may, but need not, inquire into the authority of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to vote at the meeting and may, but need not, demand from that person production of evidence as to the existence of the authority to vote.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12.16 Appointment of Attorney or Agent to Cast Vote in any other Corporation. </w:t>
      </w:r>
      <w:r>
        <w:rPr>
          <w:rFonts w:ascii="Arial" w:cs="Arial" w:eastAsia="Arial" w:hAnsi="Arial"/>
          <w:sz w:val="17"/>
          <w:szCs w:val="17"/>
          <w:color w:val="auto"/>
        </w:rPr>
        <w:t>Unless otherwise provided by directors resolution,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Chairman of the Board, the President or any Executive Vice President, Senior Vice President or Vice President may from time to time appoint an attorney or attorneys or agent or agents of the Company, in the name of and on behalf of the Company, to cast the votes which the Company may be entitled to cast as the holder of shares or other securities in any other entity, any of whose shares or other securities may be held by the Company, at meetings of the holders of the shares or other securities of the other entity, or to consent in writing, in the name of the Company as such holder, to any action by such other entity, and may instruct the person or persons so appointed as to the manner of casting such votes or giving such consent, and may execute or cause to be executed in the name and on behalf of the Company and under its corporate seal, if any, or otherwise, all such written proxies or other instruments as he or she may deem necessary or proper.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13.1 First Directors; Number of Directors. </w:t>
      </w:r>
      <w:r>
        <w:rPr>
          <w:rFonts w:ascii="Arial" w:cs="Arial" w:eastAsia="Arial" w:hAnsi="Arial"/>
          <w:sz w:val="18"/>
          <w:szCs w:val="18"/>
          <w:color w:val="auto"/>
        </w:rPr>
        <w:t>The first directors are the persons designated as directors of the Company in the Notice of Articles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the Company when it is recognized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number of directors, excluding additional directors appointed under Article 14.8, is set at:</w:t>
      </w:r>
    </w:p>
    <w:p>
      <w:pPr>
        <w:spacing w:after="0" w:line="18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 is a public company, the greater of three and the most recently set of:</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number of directors as determined by the Board;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number of directors set under Article 14.5;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 is not a public company, the most recently set of:</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number of directors as determined by the Board;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number of directors set under Article 14.5.</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13.2 Change in Number of Directors. </w:t>
      </w:r>
      <w:r>
        <w:rPr>
          <w:rFonts w:ascii="Arial" w:cs="Arial" w:eastAsia="Arial" w:hAnsi="Arial"/>
          <w:sz w:val="18"/>
          <w:szCs w:val="18"/>
          <w:color w:val="auto"/>
        </w:rPr>
        <w:t>If the number of directors is changed pursuant to Article 13.1, the majority of the directors during a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or if by written resolution, by unanimous written consent of the directors may appoint a director or directors, as the case may be, to accommodate any vacancies in the Board of directors resulting from the change in the number of directors set by the shareholders.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13.3 Directors' Acts Valid Despite Vacancy. </w:t>
      </w:r>
      <w:r>
        <w:rPr>
          <w:rFonts w:ascii="Arial" w:cs="Arial" w:eastAsia="Arial" w:hAnsi="Arial"/>
          <w:sz w:val="18"/>
          <w:szCs w:val="18"/>
          <w:color w:val="auto"/>
        </w:rPr>
        <w:t>An act or proceeding of the directors is not invalid merely because fewer than the number of directors set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required under these Articles is in office.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b w:val="1"/>
          <w:bCs w:val="1"/>
          <w:color w:val="auto"/>
        </w:rPr>
        <w:t xml:space="preserve">13.4 Remuneration of Directors. </w:t>
      </w:r>
      <w:r>
        <w:rPr>
          <w:rFonts w:ascii="Arial" w:cs="Arial" w:eastAsia="Arial" w:hAnsi="Arial"/>
          <w:sz w:val="18"/>
          <w:szCs w:val="18"/>
          <w:color w:val="auto"/>
        </w:rPr>
        <w:t>The directors are entitled to the remuneration for acting as directors, if any, as the directors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13.5 Reimbursement of Expenses of Directors. </w:t>
      </w:r>
      <w:r>
        <w:rPr>
          <w:rFonts w:ascii="Arial" w:cs="Arial" w:eastAsia="Arial" w:hAnsi="Arial"/>
          <w:sz w:val="18"/>
          <w:szCs w:val="18"/>
          <w:color w:val="auto"/>
        </w:rPr>
        <w:t>The Company must reimburse each director for the reasonable expenses that he or she may incur in and</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business of the Company.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13.6 Special Remuneration for Directors. </w:t>
      </w:r>
      <w:r>
        <w:rPr>
          <w:rFonts w:ascii="Arial" w:cs="Arial" w:eastAsia="Arial" w:hAnsi="Arial"/>
          <w:sz w:val="18"/>
          <w:szCs w:val="18"/>
          <w:color w:val="auto"/>
        </w:rPr>
        <w:t>If any director performs any professional or other services for the Company that in the opinion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13.7 Gratuity, Pension or Allowance on Retirement of Director. </w:t>
      </w:r>
      <w:r>
        <w:rPr>
          <w:rFonts w:ascii="Arial" w:cs="Arial" w:eastAsia="Arial" w:hAnsi="Arial"/>
          <w:sz w:val="18"/>
          <w:szCs w:val="18"/>
          <w:color w:val="auto"/>
        </w:rPr>
        <w:t>Unless otherwise determined by ordinary resolution, the directors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AND REMOVAL OF DIRECTORS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14.1 Procedure for Election of Directors; Required Vote. </w:t>
      </w:r>
      <w:r>
        <w:rPr>
          <w:rFonts w:ascii="Arial" w:cs="Arial" w:eastAsia="Arial" w:hAnsi="Arial"/>
          <w:sz w:val="18"/>
          <w:szCs w:val="18"/>
          <w:color w:val="auto"/>
        </w:rPr>
        <w:t>Election of directors at all meetings of the shareholders at which directors are to be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need not be by written ballot unless otherwise determined by the Board prior to such meeting, and, subject to the rights of the holders of any series of Preferred Shares to elect directors under an applicable series of Preferred Shares, a plurality of the votes of the shares present in person or represented by proxy at the meeting of shareholders and entitled to vote upon the election the directors shall elect directors.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14.2 Election and Rotation at Annual General Meeting. </w:t>
      </w:r>
      <w:r>
        <w:rPr>
          <w:rFonts w:ascii="Arial" w:cs="Arial" w:eastAsia="Arial" w:hAnsi="Arial"/>
          <w:sz w:val="18"/>
          <w:szCs w:val="18"/>
          <w:color w:val="auto"/>
        </w:rPr>
        <w:t>The directors of the Company shall be elected and divided into three classes, as nearly equal in</w:t>
      </w:r>
      <w:r>
        <w:rPr>
          <w:rFonts w:ascii="Arial" w:cs="Arial" w:eastAsia="Arial" w:hAnsi="Arial"/>
          <w:sz w:val="18"/>
          <w:szCs w:val="18"/>
          <w:b w:val="1"/>
          <w:bCs w:val="1"/>
          <w:color w:val="auto"/>
        </w:rPr>
        <w:t xml:space="preserve"> </w:t>
      </w:r>
      <w:r>
        <w:rPr>
          <w:rFonts w:ascii="Arial" w:cs="Arial" w:eastAsia="Arial" w:hAnsi="Arial"/>
          <w:sz w:val="18"/>
          <w:szCs w:val="18"/>
          <w:color w:val="auto"/>
        </w:rPr>
        <w:t>number as is ratably possible: Class I directors, Class II directors and Class III directors and shall retire in rotation such that each director is always appointed for a three-year term.</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director shall serve for a term ending on the third annual meeting following the annual meeting of shareholders at which such director was elected; provided, however, that the directors first elected to Class I shall serve for a term expiring at the next annual meeting of shareholders following the end of the 2017 calendar year, the directors first elected to Class II shall serve for a term expiring at the annual meeting of shareholders following the end of the 2015 calendar year, and the directors first elected to Class III shall serve for a term expiring at the annual meeting of shareholders following the end of the 2016 calendar year. Each director shall hold office until the annual meeting of shareholders at which such director's term expires and, the foregoing notwithstanding, shall serve until his or her successor shall have been duly elected and qualified or until his or her earlier death, resignation or removal.</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such annual election, the directors chosen to succeed those whose terms then expire shall be of the same class as the directors they succeed, unless, by reason of any intervening changes in the authorized number of directors, the Board shall have designated one or more directorships whose terms then expire as directorships of another class in order to more nearly achieve equality of number of directors among the classes. In the event of any changes in the authorized number of directors, each director then continuing to serve shall nevertheless continue as a director of the class of which he or she is a member until the expiration of his or her current term, or his or her prior death, resignation or removal. The Board, or shareholders, as applicable, shall specify the class to which a newly created directorship shall be allocated.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tabs>
          <w:tab w:leader="none" w:pos="5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 xml:space="preserve">Consent to be a Director. </w:t>
      </w:r>
      <w:r>
        <w:rPr>
          <w:rFonts w:ascii="Arial" w:cs="Arial" w:eastAsia="Arial" w:hAnsi="Arial"/>
          <w:sz w:val="16"/>
          <w:szCs w:val="16"/>
          <w:color w:val="auto"/>
        </w:rPr>
        <w:t>No election, appointment or designation of an individual as a director is valid unless:</w:t>
      </w:r>
    </w:p>
    <w:p>
      <w:pPr>
        <w:spacing w:after="0" w:line="22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individual is elected or appointed at a meeting at which the individual is present and the individual does not refuse, at the meeting, to be a director;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with respect to first directors, the designation is otherwise valid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 xml:space="preserve">Failure to Elect or Appoint Directors. </w:t>
      </w:r>
      <w:r>
        <w:rPr>
          <w:rFonts w:ascii="Arial" w:cs="Arial" w:eastAsia="Arial" w:hAnsi="Arial"/>
          <w:sz w:val="16"/>
          <w:szCs w:val="16"/>
          <w:color w:val="auto"/>
        </w:rPr>
        <w:t>If:</w:t>
      </w:r>
    </w:p>
    <w:p>
      <w:pPr>
        <w:spacing w:after="0" w:line="229" w:lineRule="exact"/>
        <w:rPr>
          <w:sz w:val="20"/>
          <w:szCs w:val="20"/>
          <w:color w:val="auto"/>
        </w:rPr>
      </w:pPr>
    </w:p>
    <w:p>
      <w:pPr>
        <w:ind w:left="130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Company fails to hold an annual general meeting,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shareholders fail, at the annual general meeting, to elect or appoint any directors;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each director then in office continues to hold office until the earlier of:</w:t>
      </w:r>
    </w:p>
    <w:p>
      <w:pPr>
        <w:spacing w:after="0" w:line="225" w:lineRule="exact"/>
        <w:rPr>
          <w:sz w:val="20"/>
          <w:szCs w:val="20"/>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his or her successor is elected or appointed;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date on which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14.5 Places of Retiring Directors Not Filled. </w:t>
      </w:r>
      <w:r>
        <w:rPr>
          <w:rFonts w:ascii="Arial" w:cs="Arial" w:eastAsia="Arial" w:hAnsi="Arial"/>
          <w:sz w:val="18"/>
          <w:szCs w:val="18"/>
          <w:color w:val="auto"/>
        </w:rPr>
        <w:t>If, at any meeting of shareholders at which there should be an election of directors, the places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14.6 Directors May Fill Vacancies. </w:t>
      </w:r>
      <w:r>
        <w:rPr>
          <w:rFonts w:ascii="Arial" w:cs="Arial" w:eastAsia="Arial" w:hAnsi="Arial"/>
          <w:sz w:val="18"/>
          <w:szCs w:val="18"/>
          <w:color w:val="auto"/>
        </w:rPr>
        <w:t>Any vacancy occurring in the Board may only be filled by a majority of the directors during a directors' meeting or if</w:t>
      </w:r>
      <w:r>
        <w:rPr>
          <w:rFonts w:ascii="Arial" w:cs="Arial" w:eastAsia="Arial" w:hAnsi="Arial"/>
          <w:sz w:val="18"/>
          <w:szCs w:val="18"/>
          <w:b w:val="1"/>
          <w:bCs w:val="1"/>
          <w:color w:val="auto"/>
        </w:rPr>
        <w:t xml:space="preserve"> </w:t>
      </w:r>
      <w:r>
        <w:rPr>
          <w:rFonts w:ascii="Arial" w:cs="Arial" w:eastAsia="Arial" w:hAnsi="Arial"/>
          <w:sz w:val="18"/>
          <w:szCs w:val="18"/>
          <w:color w:val="auto"/>
        </w:rPr>
        <w:t>by written resolution, by unanimous written consent of the directors.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14.7 Remaining Directors Power to Act. </w:t>
      </w:r>
      <w:r>
        <w:rPr>
          <w:rFonts w:ascii="Arial" w:cs="Arial" w:eastAsia="Arial" w:hAnsi="Arial"/>
          <w:sz w:val="18"/>
          <w:szCs w:val="18"/>
          <w:color w:val="auto"/>
        </w:rPr>
        <w:t>The directors may act notwithstanding any vacancy in the Board, but if the Company has fewer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 than the number set pursuant to these Articles as the quorum of directors, the directors may only act for the purpose of appointing directors up to that number or of summoning a meeting of shareholders for the purpose of filling any vacancies on the Board or,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for any other purpose.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line="282" w:lineRule="auto"/>
        <w:rPr>
          <w:sz w:val="20"/>
          <w:szCs w:val="20"/>
          <w:color w:val="auto"/>
        </w:rPr>
      </w:pPr>
      <w:r>
        <w:rPr>
          <w:rFonts w:ascii="Arial" w:cs="Arial" w:eastAsia="Arial" w:hAnsi="Arial"/>
          <w:sz w:val="18"/>
          <w:szCs w:val="18"/>
          <w:b w:val="1"/>
          <w:bCs w:val="1"/>
          <w:color w:val="auto"/>
        </w:rPr>
        <w:t xml:space="preserve">14.8 Additional Directors. </w:t>
      </w:r>
      <w:r>
        <w:rPr>
          <w:rFonts w:ascii="Arial" w:cs="Arial" w:eastAsia="Arial" w:hAnsi="Arial"/>
          <w:sz w:val="18"/>
          <w:szCs w:val="18"/>
          <w:color w:val="auto"/>
        </w:rPr>
        <w:t>Notwithstanding Articles 13.1 and 13.2, between annual general meetings, a majority of the directors may appoint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directors, but the number of additional directors appointed under this Article 14.8 must not at any time exceed:</w:t>
      </w:r>
    </w:p>
    <w:p>
      <w:pPr>
        <w:spacing w:after="0" w:line="166" w:lineRule="exact"/>
        <w:rPr>
          <w:sz w:val="20"/>
          <w:szCs w:val="20"/>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director so appointed shall hold office pursuant to the terms of the class of directors he or she was appointed to, and shall cease to hold office immediately before the next election or appointment of such class of directors under Article 14.2, and is eligible for re-election or re-appointment. For greater clarity, a director appointed to be a Class I director may hold office until the three-year term of the Class I directors has expired.</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 xml:space="preserve">Ceasing to be a Director. </w:t>
      </w:r>
      <w:r>
        <w:rPr>
          <w:rFonts w:ascii="Arial" w:cs="Arial" w:eastAsia="Arial" w:hAnsi="Arial"/>
          <w:sz w:val="16"/>
          <w:szCs w:val="16"/>
          <w:color w:val="auto"/>
        </w:rPr>
        <w:t>A director ceases to be a director when:</w:t>
      </w:r>
    </w:p>
    <w:p>
      <w:pPr>
        <w:spacing w:after="0" w:line="229"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of office of the director expires;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director resigns as a director by notice in writing or by electronic submission provided to the Company or a lawyer for the Company; or</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 is removed from office pursuant to Articles 14.10 or 14.11.</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14.10 Removal of Director by Shareholders. </w:t>
      </w:r>
      <w:r>
        <w:rPr>
          <w:rFonts w:ascii="Arial" w:cs="Arial" w:eastAsia="Arial" w:hAnsi="Arial"/>
          <w:sz w:val="18"/>
          <w:szCs w:val="18"/>
          <w:color w:val="auto"/>
        </w:rPr>
        <w:t>Pursuant to this Article 14.10, the shareholders may remove any director before the expiration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office by passing a special resolution with the requisite special majority of three-quarters of the votes cast at a meeting of shareholders entitled to vote in the election of directors, voting together as a single class. Upon such a vacancy being created, only the directors are entitled to appoint a director to fill the resulting vacancy.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14.11 Removal of Director by Directors. </w:t>
      </w:r>
      <w:r>
        <w:rPr>
          <w:rFonts w:ascii="Arial" w:cs="Arial" w:eastAsia="Arial" w:hAnsi="Arial"/>
          <w:sz w:val="18"/>
          <w:szCs w:val="18"/>
          <w:color w:val="auto"/>
        </w:rPr>
        <w:t>The directors may remove any director before the expiration of his or her term of office if the director is</w:t>
      </w:r>
      <w:r>
        <w:rPr>
          <w:rFonts w:ascii="Arial" w:cs="Arial" w:eastAsia="Arial" w:hAnsi="Arial"/>
          <w:sz w:val="18"/>
          <w:szCs w:val="18"/>
          <w:b w:val="1"/>
          <w:bCs w:val="1"/>
          <w:color w:val="auto"/>
        </w:rPr>
        <w:t xml:space="preserve"> </w:t>
      </w:r>
      <w:r>
        <w:rPr>
          <w:rFonts w:ascii="Arial" w:cs="Arial" w:eastAsia="Arial" w:hAnsi="Arial"/>
          <w:sz w:val="18"/>
          <w:szCs w:val="18"/>
          <w:color w:val="auto"/>
        </w:rPr>
        <w:t>convicted of an indictable offence, or if the director ceases to be qualified to act as a director of a company and does not promptly resign, and only the directors may appoint a director to fill the resulting vacancy.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15.1 Powers of Management. </w:t>
      </w:r>
      <w:r>
        <w:rPr>
          <w:rFonts w:ascii="Arial" w:cs="Arial" w:eastAsia="Arial" w:hAnsi="Arial"/>
          <w:sz w:val="18"/>
          <w:szCs w:val="18"/>
          <w:color w:val="auto"/>
        </w:rPr>
        <w:t>The directors must,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these Articles, manage or supervise the management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15.2 Appointment of Attorney of Company. </w:t>
      </w:r>
      <w:r>
        <w:rPr>
          <w:rFonts w:ascii="Arial" w:cs="Arial" w:eastAsia="Arial" w:hAnsi="Arial"/>
          <w:sz w:val="17"/>
          <w:szCs w:val="17"/>
          <w:color w:val="auto"/>
        </w:rPr>
        <w:t>The directors may from time to time, by power of attorney or other instrument, under seal if so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appoint any person to be the attorney of the Company for such purposes, and with such powers, authorities and discretions (not exceeding those vested in or exercisable by the directors under these Articles and excepting the power to fill vacancies in the Board,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INTEREST OF DIRECTORS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16.1 Obligation to Account for Profits. </w:t>
      </w:r>
      <w:r>
        <w:rPr>
          <w:rFonts w:ascii="Arial" w:cs="Arial" w:eastAsia="Arial" w:hAnsi="Arial"/>
          <w:sz w:val="17"/>
          <w:szCs w:val="17"/>
          <w:color w:val="auto"/>
        </w:rPr>
        <w:t>A director or senior officer who holds a disclosable interest (as that term is used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16.2 Restrictions on Voting by Reason of Interest. </w:t>
      </w:r>
      <w:r>
        <w:rPr>
          <w:rFonts w:ascii="Arial" w:cs="Arial" w:eastAsia="Arial" w:hAnsi="Arial"/>
          <w:sz w:val="18"/>
          <w:szCs w:val="18"/>
          <w:color w:val="auto"/>
        </w:rPr>
        <w:t>A director who holds a disclosable interest in a contract or transaction into which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16.3 Interested Director Counted in Quorum. </w:t>
      </w:r>
      <w:r>
        <w:rPr>
          <w:rFonts w:ascii="Arial" w:cs="Arial" w:eastAsia="Arial" w:hAnsi="Arial"/>
          <w:sz w:val="18"/>
          <w:szCs w:val="18"/>
          <w:color w:val="auto"/>
        </w:rPr>
        <w:t>A director who holds a disclosable interest in a contract or transaction into which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16.4 Disclosure of Conflict of Interest or Property. </w:t>
      </w:r>
      <w:r>
        <w:rPr>
          <w:rFonts w:ascii="Arial" w:cs="Arial" w:eastAsia="Arial" w:hAnsi="Arial"/>
          <w:sz w:val="18"/>
          <w:szCs w:val="18"/>
          <w:color w:val="auto"/>
        </w:rPr>
        <w:t>A director or senior officer who holds any office or possesses any property, right or interest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7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16.5 Director Holding Other Office in the Company. </w:t>
      </w:r>
      <w:r>
        <w:rPr>
          <w:rFonts w:ascii="Arial" w:cs="Arial" w:eastAsia="Arial" w:hAnsi="Arial"/>
          <w:sz w:val="16"/>
          <w:szCs w:val="16"/>
          <w:color w:val="auto"/>
        </w:rPr>
        <w:t>A director may hold any office or place of profit with the Company, other than the office of auditor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in addition to his or her office of director for the period and on the terms (as to remuneration or otherwise) that the directors may determine.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16.6 No Disqualification. </w:t>
      </w:r>
      <w:r>
        <w:rPr>
          <w:rFonts w:ascii="Arial" w:cs="Arial" w:eastAsia="Arial" w:hAnsi="Arial"/>
          <w:sz w:val="18"/>
          <w:szCs w:val="18"/>
          <w:color w:val="auto"/>
        </w:rPr>
        <w:t>No director or intended director is disqualified by his or her office from contracting with the Company either with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16.7 Professional Services by Director or Officer.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18"/>
          <w:szCs w:val="18"/>
          <w:b w:val="1"/>
          <w:bCs w:val="1"/>
          <w:color w:val="auto"/>
        </w:rPr>
        <w:t xml:space="preserve">16.8 Director or Officer in Other Corporations. </w:t>
      </w:r>
      <w:r>
        <w:rPr>
          <w:rFonts w:ascii="Arial" w:cs="Arial" w:eastAsia="Arial" w:hAnsi="Arial"/>
          <w:sz w:val="18"/>
          <w:szCs w:val="18"/>
          <w:color w:val="auto"/>
        </w:rPr>
        <w:t>A director or officer may be or become a director, officer or employee of, or otherwise interested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in which the Company may be interested as a shareholder or otherwise,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director or officer is not accountable to the Company for any remuneration or other benefits received by him or her as director, officer or employee of, or from his or her interest in, such other person.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17.1 Regular Meetings of Directors. </w:t>
      </w:r>
      <w:r>
        <w:rPr>
          <w:rFonts w:ascii="Arial" w:cs="Arial" w:eastAsia="Arial" w:hAnsi="Arial"/>
          <w:sz w:val="17"/>
          <w:szCs w:val="17"/>
          <w:color w:val="auto"/>
        </w:rPr>
        <w:t>The directors may meet together for the conduct of business, adjourn and otherwise regulate their meetings as they</w:t>
      </w:r>
      <w:r>
        <w:rPr>
          <w:rFonts w:ascii="Arial" w:cs="Arial" w:eastAsia="Arial" w:hAnsi="Arial"/>
          <w:sz w:val="17"/>
          <w:szCs w:val="17"/>
          <w:b w:val="1"/>
          <w:bCs w:val="1"/>
          <w:color w:val="auto"/>
        </w:rPr>
        <w:t xml:space="preserve"> </w:t>
      </w:r>
      <w:r>
        <w:rPr>
          <w:rFonts w:ascii="Arial" w:cs="Arial" w:eastAsia="Arial" w:hAnsi="Arial"/>
          <w:sz w:val="17"/>
          <w:szCs w:val="17"/>
          <w:color w:val="auto"/>
        </w:rPr>
        <w:t>think fit, and meetings of the directors held at regular intervals may be held at the place, at the time and on the notice, if any, as the directors may from time to time determine. The Chairman of the Board or any four directors may call a regular meeting of the directors at any time. The place of any meeting of the directors shall be the corporate headquarters of the Company unless otherwise agreed by a majority of the directors.</w:t>
      </w:r>
    </w:p>
    <w:p>
      <w:pPr>
        <w:spacing w:after="0" w:line="16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17.2 Special Meetings of Directors. </w:t>
      </w:r>
      <w:r>
        <w:rPr>
          <w:rFonts w:ascii="Arial" w:cs="Arial" w:eastAsia="Arial" w:hAnsi="Arial"/>
          <w:sz w:val="16"/>
          <w:szCs w:val="16"/>
          <w:color w:val="auto"/>
        </w:rPr>
        <w:t>A special meeting of the directors may be called at any time at the request of (a) the Chairman of the Board or (b) any</w:t>
      </w:r>
      <w:r>
        <w:rPr>
          <w:rFonts w:ascii="Arial" w:cs="Arial" w:eastAsia="Arial" w:hAnsi="Arial"/>
          <w:sz w:val="16"/>
          <w:szCs w:val="16"/>
          <w:b w:val="1"/>
          <w:bCs w:val="1"/>
          <w:color w:val="auto"/>
        </w:rPr>
        <w:t xml:space="preserve"> </w:t>
      </w:r>
      <w:r>
        <w:rPr>
          <w:rFonts w:ascii="Arial" w:cs="Arial" w:eastAsia="Arial" w:hAnsi="Arial"/>
          <w:sz w:val="16"/>
          <w:szCs w:val="16"/>
          <w:color w:val="auto"/>
        </w:rPr>
        <w:t>four directors. The place of any special meeting shall be the corporate headquarters of the Company unless otherwise agreed by a majority of the directors.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17.3 Voting at Meetings. </w:t>
      </w:r>
      <w:r>
        <w:rPr>
          <w:rFonts w:ascii="Arial" w:cs="Arial" w:eastAsia="Arial" w:hAnsi="Arial"/>
          <w:sz w:val="18"/>
          <w:szCs w:val="18"/>
          <w:color w:val="auto"/>
        </w:rPr>
        <w:t>Questions arising at any meeting of directors are to be decided by a majority of votes at which a quorum is present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an equality of votes, the chair of the meeting does not have a second or casting vote.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17.4 Chair of Meetings. </w:t>
      </w:r>
      <w:r>
        <w:rPr>
          <w:rFonts w:ascii="Arial" w:cs="Arial" w:eastAsia="Arial" w:hAnsi="Arial"/>
          <w:sz w:val="18"/>
          <w:szCs w:val="18"/>
          <w:color w:val="auto"/>
        </w:rPr>
        <w:t>The Chairman of the Board shall preside at all meetings of the shareholders and of the Board. He shall make reports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17.5 Meetings by Telephone or Other Communications Medium. </w:t>
      </w:r>
      <w:r>
        <w:rPr>
          <w:rFonts w:ascii="Arial" w:cs="Arial" w:eastAsia="Arial" w:hAnsi="Arial"/>
          <w:sz w:val="17"/>
          <w:szCs w:val="17"/>
          <w:color w:val="auto"/>
        </w:rPr>
        <w:t>A director may participate in a meeting of the directors or of any committee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 director who participates in a meeting in a manner contemplated by this Article 17.5 is deemed for all purposes of the </w:t>
      </w:r>
      <w:r>
        <w:rPr>
          <w:rFonts w:ascii="Arial" w:cs="Arial" w:eastAsia="Arial" w:hAnsi="Arial"/>
          <w:sz w:val="17"/>
          <w:szCs w:val="17"/>
          <w:i w:val="1"/>
          <w:iCs w:val="1"/>
          <w:color w:val="auto"/>
        </w:rPr>
        <w:t xml:space="preserve">Business Corporations Act </w:t>
      </w:r>
      <w:r>
        <w:rPr>
          <w:rFonts w:ascii="Arial" w:cs="Arial" w:eastAsia="Arial" w:hAnsi="Arial"/>
          <w:sz w:val="17"/>
          <w:szCs w:val="17"/>
          <w:color w:val="auto"/>
        </w:rPr>
        <w:t>and these Articles to be present at the meeting and to have agreed to participate in that manner.</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17.6 Notice of Meetings. </w:t>
      </w:r>
      <w:r>
        <w:rPr>
          <w:rFonts w:ascii="Arial" w:cs="Arial" w:eastAsia="Arial" w:hAnsi="Arial"/>
          <w:sz w:val="16"/>
          <w:szCs w:val="16"/>
          <w:color w:val="auto"/>
        </w:rPr>
        <w:t>Other than for meetings held at regular intervals as determined by the directors pursuant to Article 17.1, reasonable notice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regular and special meetings of the directors, specifying the place, day and time of that meeting must be given to each of the directors by any method set out in Article 23.1 and shall be delivered in person or by telephone or electronic transmission to each director or sent by first-class mail, addressed to each director. If the notice is mailed, it shall be deposited in the U.S. mail at least five days prior to any regular or special meeting. If the notice is delivered in person, by telephone or electronic transmission, it shall be delivered at least two days prior to any regular meeting and 24 hours prior to any special meeting. The notice for special meeting need not specify the purpose or place of the meeting if the meeting is to be held at the corporate headquarters of the Company. Neither the business to be transacted at, nor the purpose of, any regular or special meeting of the Board need be specified in the notice of such meeting, except for amendments to these Articles, as provided under section 9.5 of the Articles of the Company. A meeting may be held at any time without notice if all the directors are present or if those not present waive notice of the meeting in accordance with section 17.7 of these Articles.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tabs>
          <w:tab w:leader="none" w:pos="5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 xml:space="preserve">When Notice Not Required. </w:t>
      </w:r>
      <w:r>
        <w:rPr>
          <w:rFonts w:ascii="Arial" w:cs="Arial" w:eastAsia="Arial" w:hAnsi="Arial"/>
          <w:sz w:val="16"/>
          <w:szCs w:val="16"/>
          <w:color w:val="auto"/>
        </w:rPr>
        <w:t>It is not necessary to give notice of a meeting of the directors to a director if:</w:t>
      </w:r>
    </w:p>
    <w:p>
      <w:pPr>
        <w:spacing w:after="0" w:line="229" w:lineRule="exact"/>
        <w:rPr>
          <w:sz w:val="20"/>
          <w:szCs w:val="20"/>
          <w:color w:val="auto"/>
        </w:rPr>
      </w:pPr>
    </w:p>
    <w:p>
      <w:pPr>
        <w:ind w:left="130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meeting is to be held immediately following a meeting of shareholders at which directors are elected, or is the meeting of the directors at which that director is appointed;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director has waived notice of the meeting.</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17.8 Meeting Valid Despite Failure to Give Notice. </w:t>
      </w:r>
      <w:r>
        <w:rPr>
          <w:rFonts w:ascii="Arial" w:cs="Arial" w:eastAsia="Arial" w:hAnsi="Arial"/>
          <w:sz w:val="18"/>
          <w:szCs w:val="18"/>
          <w:color w:val="auto"/>
        </w:rPr>
        <w:t>The accidental omission to give notice of any meeting of directors to, or the non-receipt of 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by, any director does not invalidate any proceedings at that meeting.</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17.9 Waiver of Notice of Meetings. </w:t>
      </w:r>
      <w:r>
        <w:rPr>
          <w:rFonts w:ascii="Arial" w:cs="Arial" w:eastAsia="Arial" w:hAnsi="Arial"/>
          <w:sz w:val="17"/>
          <w:szCs w:val="17"/>
          <w:color w:val="auto"/>
        </w:rPr>
        <w:t>Any director may send to the Company a document signed by him or her waiving notice of any past, present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such director and all meetings of the directors so held are deemed not to be improperly called or constituted by reason of notice not having been given to such director.</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17.10 Quorum. </w:t>
      </w:r>
      <w:r>
        <w:rPr>
          <w:rFonts w:ascii="Arial" w:cs="Arial" w:eastAsia="Arial" w:hAnsi="Arial"/>
          <w:sz w:val="16"/>
          <w:szCs w:val="16"/>
          <w:color w:val="auto"/>
        </w:rPr>
        <w:t>The quorum necessary for the transaction of the business of the directors is deemed to be set at a majority of the entire Board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in person, telephonically or by proxy and those directors may constitute a meeting; however if at any meeting of the Board there is less than a quorum present, a majority of the directors present may adjourn the meeting from time to time without further notice. Subject to any provisions of any law and these Articles,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17.11 Validity of Acts Where Appointment Defective.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 act of a director or officer is not invalid merely</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an irregularity in the election or appointment or a defect in the qualification of that director or officer.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17.12 Action by Consent of Board</w:t>
      </w:r>
      <w:r>
        <w:rPr>
          <w:rFonts w:ascii="Arial" w:cs="Arial" w:eastAsia="Arial" w:hAnsi="Arial"/>
          <w:sz w:val="18"/>
          <w:szCs w:val="18"/>
          <w:color w:val="auto"/>
        </w:rPr>
        <w:t>. To the extent permitted by applicable law, the Board and any committee thereof may act without a meeting so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all members of the Board or committee have delivered, in writing or by electronic transmission, a consent with respect to any Board action taken in lieu of a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AND OTHER COMMITTEES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18.1 Appointment and Powers of Executive Committee. </w:t>
      </w:r>
      <w:r>
        <w:rPr>
          <w:rFonts w:ascii="Arial" w:cs="Arial" w:eastAsia="Arial" w:hAnsi="Arial"/>
          <w:sz w:val="16"/>
          <w:szCs w:val="16"/>
          <w:color w:val="auto"/>
        </w:rPr>
        <w:t>The directors may, by resolution, appoint an executive committee consisting of the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that they consider appropriate, and this committee has, during the intervals between meetings of the Board, all of the directors' powers, except:</w:t>
      </w:r>
    </w:p>
    <w:p>
      <w:pPr>
        <w:spacing w:after="0" w:line="120"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power to fill vacancies in the Board;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other powers, if any, as may be set out in the resolution or any subsequent directors' resolution.</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 xml:space="preserve">Appointment and Powers of Other Committees. </w:t>
      </w:r>
      <w:r>
        <w:rPr>
          <w:rFonts w:ascii="Arial" w:cs="Arial" w:eastAsia="Arial" w:hAnsi="Arial"/>
          <w:sz w:val="16"/>
          <w:szCs w:val="16"/>
          <w:color w:val="auto"/>
        </w:rPr>
        <w:t>The directors may, by resolution:</w:t>
      </w:r>
    </w:p>
    <w:p>
      <w:pPr>
        <w:spacing w:after="0" w:line="229"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appoint one or more committees (other than the executive committee) consisting of the director or directors that they consider appropriate;</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delegate to a committee appointed under paragraph (a) any of the directors' powers, except: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power to fill vacancies in the Board;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power to appoint or remove officers appointed by the directors;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make any delegation referred to in paragraph (b) subject to the conditions set out in the resolution or any subsequent directors' resolution.</w:t>
      </w:r>
    </w:p>
    <w:p>
      <w:pPr>
        <w:spacing w:after="0" w:line="27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 xml:space="preserve">Obligations of Committees. </w:t>
      </w:r>
      <w:r>
        <w:rPr>
          <w:rFonts w:ascii="Arial" w:cs="Arial" w:eastAsia="Arial" w:hAnsi="Arial"/>
          <w:sz w:val="16"/>
          <w:szCs w:val="16"/>
          <w:color w:val="auto"/>
        </w:rPr>
        <w:t>Any committee appointed under Articles 18.1 or 18.2, in the exercise of the powers delegated to it, must:</w:t>
      </w:r>
    </w:p>
    <w:p>
      <w:pPr>
        <w:spacing w:after="0" w:line="229"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conform to any rules that may from time to time be imposed on it by the directors;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 every act or thing done in exercise of those powers at such times as the directors may require.</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 xml:space="preserve">Powers of Board. </w:t>
      </w:r>
      <w:r>
        <w:rPr>
          <w:rFonts w:ascii="Arial" w:cs="Arial" w:eastAsia="Arial" w:hAnsi="Arial"/>
          <w:sz w:val="16"/>
          <w:szCs w:val="16"/>
          <w:color w:val="auto"/>
        </w:rPr>
        <w:t>The directors may, at any time, with respect to a committee appointed under Articles 18.1 or 18.2:</w:t>
      </w:r>
    </w:p>
    <w:p>
      <w:pPr>
        <w:spacing w:after="0" w:line="229" w:lineRule="exact"/>
        <w:rPr>
          <w:sz w:val="20"/>
          <w:szCs w:val="20"/>
          <w:color w:val="auto"/>
        </w:rPr>
      </w:pPr>
    </w:p>
    <w:p>
      <w:pPr>
        <w:ind w:left="1300" w:right="2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revoke or alter the authority given to the committee, or override a decision made by the committee, except as to acts done before such revocation, alteration or overriding;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terminate the appointment of, or change the membership of, the committee;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fill vacancies in the committee.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ind w:right="20"/>
        <w:spacing w:after="0" w:line="282" w:lineRule="auto"/>
        <w:rPr>
          <w:sz w:val="20"/>
          <w:szCs w:val="20"/>
          <w:color w:val="auto"/>
        </w:rPr>
      </w:pPr>
      <w:r>
        <w:rPr>
          <w:rFonts w:ascii="Arial" w:cs="Arial" w:eastAsia="Arial" w:hAnsi="Arial"/>
          <w:sz w:val="18"/>
          <w:szCs w:val="18"/>
          <w:b w:val="1"/>
          <w:bCs w:val="1"/>
          <w:color w:val="auto"/>
        </w:rPr>
        <w:t xml:space="preserve">18.5 Other Committee Matters. </w:t>
      </w:r>
      <w:r>
        <w:rPr>
          <w:rFonts w:ascii="Arial" w:cs="Arial" w:eastAsia="Arial" w:hAnsi="Arial"/>
          <w:sz w:val="18"/>
          <w:szCs w:val="18"/>
          <w:color w:val="auto"/>
        </w:rPr>
        <w:t>Subject to Article 18.3(a) and unless the directors otherwise provide in the resolution appointing the committee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resolution, with respect to a committee appointed under Articles 18.1 or 18.2:</w:t>
      </w:r>
    </w:p>
    <w:p>
      <w:pPr>
        <w:spacing w:after="0" w:line="166"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committee may meet and adjourn as it thinks proper;</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majority of the members of the committee constitutes a quorum of the committee;</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does not have a second or casting vote;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committee may appoint such subcommittees as it deems necessary or desirable.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19.1 Directors May Appoint Officers. </w:t>
      </w:r>
      <w:r>
        <w:rPr>
          <w:rFonts w:ascii="Arial" w:cs="Arial" w:eastAsia="Arial" w:hAnsi="Arial"/>
          <w:sz w:val="16"/>
          <w:szCs w:val="16"/>
          <w:color w:val="auto"/>
        </w:rPr>
        <w:t>The elected officers of the Company shall be selected by, and serve at the pleasure of, the Board. Such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authority and duties delegated to each of them, respectively, by the Board from time to time. The elected officers of the Company shall be a Chairman of the Board, a Chief Executive Officer, a President, a Secretary, a Treasurer, and such other officers (including, without limitation, Executive Vice Presidents, Senior Vice Presidents and Vice Presidents) as the Board from time to time may deem proper. The Chairman of the Board shall be chosen from among the directors. All officers elected by the Board shall each have such powers and duties as generally pertain to their respective offices, subject to the specific provisions of this section 19.1.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Company. Such other officers and agents shall have such duties and shall hold their offices for such terms as shall be provided in these Articles or as may be prescribed by the Board or such committee or by the Chairman of the Board, as the case may be.</w:t>
      </w:r>
    </w:p>
    <w:p>
      <w:pPr>
        <w:spacing w:after="0" w:line="16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19.2 Election and Term of Office. </w:t>
      </w:r>
      <w:r>
        <w:rPr>
          <w:rFonts w:ascii="Arial" w:cs="Arial" w:eastAsia="Arial" w:hAnsi="Arial"/>
          <w:sz w:val="16"/>
          <w:szCs w:val="16"/>
          <w:color w:val="auto"/>
        </w:rPr>
        <w:t>The elected officers of the Company shall be elected from time to time by the Board. Each officer shall hold office until</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person’s successor is duly elected and qualified or until such person’s death or until he or she resigns or is removed pursuant to these Articles.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19.3 Chairman of the Board. </w:t>
      </w:r>
      <w:r>
        <w:rPr>
          <w:rFonts w:ascii="Arial" w:cs="Arial" w:eastAsia="Arial" w:hAnsi="Arial"/>
          <w:sz w:val="18"/>
          <w:szCs w:val="18"/>
          <w:color w:val="auto"/>
        </w:rPr>
        <w:t>The Chairman of the Board shall preside at all meetings of the shareholders and of the Board. He shall make reports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19.4 Chief Executive Officer. </w:t>
      </w:r>
      <w:r>
        <w:rPr>
          <w:rFonts w:ascii="Arial" w:cs="Arial" w:eastAsia="Arial" w:hAnsi="Arial"/>
          <w:sz w:val="18"/>
          <w:szCs w:val="18"/>
          <w:color w:val="auto"/>
        </w:rPr>
        <w:t>The Chief Executive Officer shall be responsible for the general management of the affairs of the Company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all duties incidental to such person’s office which may be required by law and all such other duties as are properly required of him by the Board. Unless the Board has elected a vice-chairman and such vice-chairman is able to act in the place of the Chairman of the Board, the Chief Executive Officer, if he is also a director, shall, in the absence of or because of the inability to act of the Chairman of the Board, perform all duties of the Chairman of the Board and preside at all meetings of shareholders and the Board.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both"/>
        <w:spacing w:after="0" w:line="266" w:lineRule="auto"/>
        <w:rPr>
          <w:sz w:val="20"/>
          <w:szCs w:val="20"/>
          <w:color w:val="auto"/>
        </w:rPr>
      </w:pPr>
      <w:r>
        <w:rPr>
          <w:rFonts w:ascii="Arial" w:cs="Arial" w:eastAsia="Arial" w:hAnsi="Arial"/>
          <w:sz w:val="18"/>
          <w:szCs w:val="18"/>
          <w:b w:val="1"/>
          <w:bCs w:val="1"/>
          <w:color w:val="auto"/>
        </w:rPr>
        <w:t xml:space="preserve">19.5 President. </w:t>
      </w:r>
      <w:r>
        <w:rPr>
          <w:rFonts w:ascii="Arial" w:cs="Arial" w:eastAsia="Arial" w:hAnsi="Arial"/>
          <w:sz w:val="18"/>
          <w:szCs w:val="18"/>
          <w:color w:val="auto"/>
        </w:rPr>
        <w:t>The President shall act in a general executive capacity and shall assist the Chief Executive Officer in the administration and operation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business and general supervision of its policies and affairs. The President shall have such other powers and shall perform such other duties as are assigned to him by the Board or the Chairman of the Board.</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19.6 Vice Presidents. </w:t>
      </w:r>
      <w:r>
        <w:rPr>
          <w:rFonts w:ascii="Arial" w:cs="Arial" w:eastAsia="Arial" w:hAnsi="Arial"/>
          <w:sz w:val="18"/>
          <w:szCs w:val="18"/>
          <w:color w:val="auto"/>
        </w:rPr>
        <w:t>Any Executive Vice President, Senior Vice President and Vice President shall have such powers and perform such duties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him by the Board or the Chairman of the Board.</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19.7 Treasurer. </w:t>
      </w:r>
      <w:r>
        <w:rPr>
          <w:rFonts w:ascii="Arial" w:cs="Arial" w:eastAsia="Arial" w:hAnsi="Arial"/>
          <w:sz w:val="16"/>
          <w:szCs w:val="16"/>
          <w:color w:val="auto"/>
        </w:rPr>
        <w:t>The Treasurer shall exercise general supervision over the receipt, custody and disbursement of corporate funds. The Treasurer shall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the funds of the Company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19.8 Secretary. </w:t>
      </w:r>
      <w:r>
        <w:rPr>
          <w:rFonts w:ascii="Arial" w:cs="Arial" w:eastAsia="Arial" w:hAnsi="Arial"/>
          <w:sz w:val="17"/>
          <w:szCs w:val="17"/>
          <w:color w:val="auto"/>
        </w:rPr>
        <w:t>The Secretary shall keep or cause to be kept, in one or more books provided for that purpose, the minutes of all meetings of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of the Board and the shareholders. The Secretary shall see that all notices are duly given in accordance with the provisions of these Articles and as required by law; shall be custodian of the records and the seal of the Company and affix and attest the seal to all share certificates of the Company (unless the seal of the Company on such certificates shall be a facsimile, as hereinafter provided) and affix and attest the seal to all other documents to be executed on behalf of the Company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19.9 Assistant Secretaries. </w:t>
      </w:r>
      <w:r>
        <w:rPr>
          <w:rFonts w:ascii="Arial" w:cs="Arial" w:eastAsia="Arial" w:hAnsi="Arial"/>
          <w:sz w:val="18"/>
          <w:szCs w:val="18"/>
          <w:color w:val="auto"/>
        </w:rPr>
        <w:t>Assistant Secretaries shall have such of the authority and perform such of the duties of the Secretary as may be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these Articles or assigned to them by the Board, the Chairman 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19.10 Removal. </w:t>
      </w:r>
      <w:r>
        <w:rPr>
          <w:rFonts w:ascii="Arial" w:cs="Arial" w:eastAsia="Arial" w:hAnsi="Arial"/>
          <w:sz w:val="18"/>
          <w:szCs w:val="18"/>
          <w:color w:val="auto"/>
        </w:rPr>
        <w:t>Any officer elected, or agent appointed, by the Board may be removed by the affirmative vote of a majority of the Board or, except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an officer chosen by the Board, by the Chairman of the Board or any other officer upon whom such power of removal may be conferred by the Board. No elected officer shall have any contractual rights against the Company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spacing w:after="0" w:line="347" w:lineRule="auto"/>
        <w:rPr>
          <w:sz w:val="20"/>
          <w:szCs w:val="20"/>
          <w:color w:val="auto"/>
        </w:rPr>
      </w:pPr>
      <w:r>
        <w:rPr>
          <w:rFonts w:ascii="Arial" w:cs="Arial" w:eastAsia="Arial" w:hAnsi="Arial"/>
          <w:sz w:val="16"/>
          <w:szCs w:val="16"/>
          <w:b w:val="1"/>
          <w:bCs w:val="1"/>
          <w:color w:val="auto"/>
        </w:rPr>
        <w:t xml:space="preserve">19.11 Vacancies. </w:t>
      </w:r>
      <w:r>
        <w:rPr>
          <w:rFonts w:ascii="Arial" w:cs="Arial" w:eastAsia="Arial" w:hAnsi="Arial"/>
          <w:sz w:val="16"/>
          <w:szCs w:val="16"/>
          <w:color w:val="auto"/>
        </w:rPr>
        <w:t>A newly created elected office and a vacancy in any elected office because of death, resignation or removal may be filled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Chairman of the Board or any other officer upon whom such power may be conferred by the Board for the unexpired portion of the term.</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19.12</w:t>
      </w:r>
      <w:r>
        <w:rPr>
          <w:sz w:val="20"/>
          <w:szCs w:val="20"/>
          <w:color w:val="auto"/>
        </w:rPr>
        <w:tab/>
      </w:r>
      <w:r>
        <w:rPr>
          <w:rFonts w:ascii="Arial" w:cs="Arial" w:eastAsia="Arial" w:hAnsi="Arial"/>
          <w:sz w:val="16"/>
          <w:szCs w:val="16"/>
          <w:b w:val="1"/>
          <w:bCs w:val="1"/>
          <w:color w:val="auto"/>
        </w:rPr>
        <w:t xml:space="preserve">Functions, Duties and Powers of Officers. </w:t>
      </w:r>
      <w:r>
        <w:rPr>
          <w:rFonts w:ascii="Arial" w:cs="Arial" w:eastAsia="Arial" w:hAnsi="Arial"/>
          <w:sz w:val="16"/>
          <w:szCs w:val="16"/>
          <w:color w:val="auto"/>
        </w:rPr>
        <w:t>The directors may, for each officer:</w:t>
      </w:r>
    </w:p>
    <w:p>
      <w:pPr>
        <w:spacing w:after="0" w:line="229"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the functions and duties of the officer;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revoke, withdraw, alter or vary all or any of the functions, duties and powers of the officer.</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19.13 Qualifications. </w:t>
      </w:r>
      <w:r>
        <w:rPr>
          <w:rFonts w:ascii="Arial" w:cs="Arial" w:eastAsia="Arial" w:hAnsi="Arial"/>
          <w:sz w:val="18"/>
          <w:szCs w:val="18"/>
          <w:color w:val="auto"/>
        </w:rPr>
        <w:t>No officer may be appointed unless that officer is qualified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One person may hold</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one position as an officer of the Company. Any person appointed as the Chairman of the Board must be a director. Any other officer need not be a director.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20.1 Right to Indemnification. </w:t>
      </w:r>
      <w:r>
        <w:rPr>
          <w:rFonts w:ascii="Arial" w:cs="Arial" w:eastAsia="Arial" w:hAnsi="Arial"/>
          <w:sz w:val="16"/>
          <w:szCs w:val="16"/>
          <w:color w:val="auto"/>
        </w:rPr>
        <w:t>Each person who was or is made a party to or is threatened to be made a party to or is involved in any action, suit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proceeding, whether civil, criminal, administrative or investigative (hereinafter, a "proceeding"), by reason of the fact that such person, or a person of whom such person is the legal representative, is or was a director or officer of the Company or is or was serving at the request of the Company as a director, officer, employee or agent of another company or of a partnership, joint venture, trust or other unincorporated entity,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Company to the fullest extent authorized by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as the same exists or may hereafter be amended (but, in the case of any such amendment, to the fullest extent permitted by law, only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extent that such amendment permits the Company to provide broader indemnification rights than said law permitted the Company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Section 20.3, the Company shall indemnify any such person seeking indemnification in connection with a proceeding (or part thereof) initiated by such person only if such proceeding (or part thereof) was authorized by the Board. The right to indemnification conferred in this Section 20.1 shall be a contract right and shall include, to the fullest extent authorized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right to have the Company pay the expenses incurred in defending any such proceeding in advance of its final disposition, any advance payments to be paid by the Company within 20 calendar days after the receipt by the Company of a statement or statements from the claimant requesting such advance or advances from time to time; provided, however, that, if and to the extent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requires, the payment of such expenses incurred by a director or officer in such person’s capacity as a director or officer (and not in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capacity in which service was or is rendered by such person while a director or officer including, without limitation, service to an employee benefit plan) in advance of the final disposition of a proceeding shall be made only upon delivery to the Company of an undertaking, by or on behalf of such director or officer, to repay all amounts so advanced if it shall ultimately be determined that such director or officer is not entitled to be indemnified under this Section 20.1 or otherwise.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both"/>
        <w:spacing w:after="0" w:line="289" w:lineRule="auto"/>
        <w:rPr>
          <w:sz w:val="20"/>
          <w:szCs w:val="20"/>
          <w:color w:val="auto"/>
        </w:rPr>
      </w:pPr>
      <w:r>
        <w:rPr>
          <w:rFonts w:ascii="Arial" w:cs="Arial" w:eastAsia="Arial" w:hAnsi="Arial"/>
          <w:sz w:val="16"/>
          <w:szCs w:val="16"/>
          <w:b w:val="1"/>
          <w:bCs w:val="1"/>
          <w:color w:val="auto"/>
        </w:rPr>
        <w:t xml:space="preserve">20.2 Right of Claimant to Bring Suit. </w:t>
      </w:r>
      <w:r>
        <w:rPr>
          <w:rFonts w:ascii="Arial" w:cs="Arial" w:eastAsia="Arial" w:hAnsi="Arial"/>
          <w:sz w:val="16"/>
          <w:szCs w:val="16"/>
          <w:color w:val="auto"/>
        </w:rPr>
        <w:t>If a claim under Section 20.1 of these Articles is not paid in full by the Company within 60 calendar days after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claim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which makes it permissible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for the Company to indemnify the claimant for the amount claimed, but the burden of proving such defense shall be on the Company. Neither the failure of the Company (including its Board, independent legal counsel or its shareholders) to have made a determination prior to the circumstances that the claimant has met the applicable standard of conduct set forth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nor an actual determination by the Company (including its Board, independent legal counsel or its shareholders) that the claimant has not met such applicable standard of conduct, shall be a defense to the action or create a presumption that the claimant has not met the applicable standard of conduct.</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20.3 Non-Exclusivity of Rights. </w:t>
      </w:r>
      <w:r>
        <w:rPr>
          <w:rFonts w:ascii="Arial" w:cs="Arial" w:eastAsia="Arial" w:hAnsi="Arial"/>
          <w:sz w:val="18"/>
          <w:szCs w:val="18"/>
          <w:color w:val="auto"/>
        </w:rPr>
        <w:t>The right to indemnification and the payment of expenses incurred in defending a proceeding in advance of its final</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conferred in this Part 20 is not exclusive of any other right which any person may have or hereafter acquire under any statute, provision of the Notice of Articles, these Articles, agreement, vote of shareholders or disinterested directors or otherwise. No repeal or modification of these Articles shall in any way diminish or adversely affect the rights of any director, officer, employee or agent of the Company to indemnification hereunder in respect of any occurrence or matter arising prior to any such repeal or modification.</w:t>
      </w:r>
    </w:p>
    <w:p>
      <w:pPr>
        <w:spacing w:after="0" w:line="184"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20.4 Indemnification of Other Persons. </w:t>
      </w:r>
      <w:r>
        <w:rPr>
          <w:rFonts w:ascii="Arial" w:cs="Arial" w:eastAsia="Arial" w:hAnsi="Arial"/>
          <w:sz w:val="16"/>
          <w:szCs w:val="16"/>
          <w:color w:val="auto"/>
        </w:rPr>
        <w:t>Subject to any restrictions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Company may grant rights to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rights to have the Company pay the expenses incurred in defending any proceeding in advance of its final disposition to any person.</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20.5 Non-Compliance with Business Corporations Act. </w:t>
      </w:r>
      <w:r>
        <w:rPr>
          <w:rFonts w:ascii="Arial" w:cs="Arial" w:eastAsia="Arial" w:hAnsi="Arial"/>
          <w:sz w:val="18"/>
          <w:szCs w:val="18"/>
          <w:color w:val="auto"/>
        </w:rPr>
        <w:t>The failure of a director or officer of the Company to comply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or these Articles does not invalidate any indemnity to which he or she is entitled under this Article 20.</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20.6 Company May Purchase Insurance. </w:t>
      </w:r>
      <w:r>
        <w:rPr>
          <w:rFonts w:ascii="Arial" w:cs="Arial" w:eastAsia="Arial" w:hAnsi="Arial"/>
          <w:sz w:val="18"/>
          <w:szCs w:val="18"/>
          <w:color w:val="auto"/>
        </w:rPr>
        <w:t>The Company may purchase and maintain insurance for the benefit of any person (or his or her heirs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representatives) who:</w:t>
      </w:r>
    </w:p>
    <w:p>
      <w:pPr>
        <w:spacing w:after="0" w:line="166"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the Company;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an entity at a time when the entity is or was an affiliate of the Company;</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the request of the Company, is or was a director, officer, employee or agent of an entity or of a partnership, trust, joint venture or other unincorporated entity;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the request of the Company, holds or held a position equivalent to that of a director or officer of a partnership, trust, joint venture or other unincorporated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any liability incurred by him or her as such director, officer, employee or agent or person who holds or held such equivalent position.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282" w:lineRule="auto"/>
        <w:rPr>
          <w:sz w:val="20"/>
          <w:szCs w:val="20"/>
          <w:color w:val="auto"/>
        </w:rPr>
      </w:pPr>
      <w:r>
        <w:rPr>
          <w:rFonts w:ascii="Arial" w:cs="Arial" w:eastAsia="Arial" w:hAnsi="Arial"/>
          <w:sz w:val="18"/>
          <w:szCs w:val="18"/>
          <w:b w:val="1"/>
          <w:bCs w:val="1"/>
          <w:color w:val="auto"/>
        </w:rPr>
        <w:t xml:space="preserve">20.7 Amendment, Repeal or Modification. </w:t>
      </w:r>
      <w:r>
        <w:rPr>
          <w:rFonts w:ascii="Arial" w:cs="Arial" w:eastAsia="Arial" w:hAnsi="Arial"/>
          <w:sz w:val="18"/>
          <w:szCs w:val="18"/>
          <w:color w:val="auto"/>
        </w:rPr>
        <w:t>Any amendment, repeal or modification of these provisions will be prospective only and would not affect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on liability of a director for acts or omissions that occurred prior to any such amendment, repeal or modification.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21.1 Payment of Dividends Subject to Special Rights. </w:t>
      </w:r>
      <w:r>
        <w:rPr>
          <w:rFonts w:ascii="Arial" w:cs="Arial" w:eastAsia="Arial" w:hAnsi="Arial"/>
          <w:sz w:val="18"/>
          <w:szCs w:val="18"/>
          <w:color w:val="auto"/>
        </w:rPr>
        <w:t>The provisions of this Article 21 are subject to the rights, if any, of shareholders holding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special rights as to dividends.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21.2 Declaration of Dividends.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rights of the holders of issued shares of the Company, the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declare and authorize payment of such dividends as they may deem advisable.</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 xml:space="preserve">No Notice Required. </w:t>
      </w:r>
      <w:r>
        <w:rPr>
          <w:rFonts w:ascii="Arial" w:cs="Arial" w:eastAsia="Arial" w:hAnsi="Arial"/>
          <w:sz w:val="16"/>
          <w:szCs w:val="16"/>
          <w:color w:val="auto"/>
        </w:rPr>
        <w:t>The directors need not give notice to any shareholder of any declaration under Article 21.2.</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21.4 Record Date. </w:t>
      </w:r>
      <w:r>
        <w:rPr>
          <w:rFonts w:ascii="Arial" w:cs="Arial" w:eastAsia="Arial" w:hAnsi="Arial"/>
          <w:sz w:val="18"/>
          <w:szCs w:val="18"/>
          <w:color w:val="auto"/>
        </w:rPr>
        <w:t>The directors may set a date as the record date for the purpose of determining shareholders entitled to receive payment of a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record date must not precede the date on which the dividend is to be paid by more than two months. If no record date is set, the record date is 5 p.m. on the date on which the directors pass the resolution declaring the dividend.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21.5 Manner of Paying Dividend. </w:t>
      </w:r>
      <w:r>
        <w:rPr>
          <w:rFonts w:ascii="Arial" w:cs="Arial" w:eastAsia="Arial" w:hAnsi="Arial"/>
          <w:sz w:val="18"/>
          <w:szCs w:val="18"/>
          <w:color w:val="auto"/>
        </w:rPr>
        <w:t>A resolution declaring a dividend may direct payment of the dividend wholly or partly by the distribution of cash,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assets, of fully paid shares or of bonds, debentures or other securities of the Company, or in any one or more of those ways.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21.6 Settlement of Difficulties. </w:t>
      </w:r>
      <w:r>
        <w:rPr>
          <w:rFonts w:ascii="Arial" w:cs="Arial" w:eastAsia="Arial" w:hAnsi="Arial"/>
          <w:sz w:val="18"/>
          <w:szCs w:val="18"/>
          <w:color w:val="auto"/>
        </w:rPr>
        <w:t>If any difficulty arises in regard to a distribution under Article 21.5, the directors may settle the difficulty as they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and, in particular, may:</w:t>
      </w:r>
    </w:p>
    <w:p>
      <w:pPr>
        <w:spacing w:after="0" w:line="166"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set the value for distribution of specific assets;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vest any such specific assets in trustees for the persons entitled to the dividend.</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 xml:space="preserve">When Dividend Payable. </w:t>
      </w:r>
      <w:r>
        <w:rPr>
          <w:rFonts w:ascii="Arial" w:cs="Arial" w:eastAsia="Arial" w:hAnsi="Arial"/>
          <w:sz w:val="16"/>
          <w:szCs w:val="16"/>
          <w:color w:val="auto"/>
        </w:rPr>
        <w:t>Any dividend may be made payable on such date as is fixed by the directors.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21.8 Dividends to be Paid in Accordance with Number of Shares. </w:t>
      </w:r>
      <w:r>
        <w:rPr>
          <w:rFonts w:ascii="Arial" w:cs="Arial" w:eastAsia="Arial" w:hAnsi="Arial"/>
          <w:sz w:val="18"/>
          <w:szCs w:val="18"/>
          <w:color w:val="auto"/>
        </w:rPr>
        <w:t>All dividends on shares of any class or series of shares must be declared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number of such shares held.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21.9 Receipt by Joint Shareholders. </w:t>
      </w:r>
      <w:r>
        <w:rPr>
          <w:rFonts w:ascii="Arial" w:cs="Arial" w:eastAsia="Arial" w:hAnsi="Arial"/>
          <w:sz w:val="18"/>
          <w:szCs w:val="18"/>
          <w:color w:val="auto"/>
        </w:rPr>
        <w:t>If several persons are joint shareholders of any share, any one of them may give an effective receipt for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bonus or other money payable in respect of the share.</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6"/>
          <w:szCs w:val="16"/>
          <w:b w:val="1"/>
          <w:bCs w:val="1"/>
          <w:color w:val="auto"/>
        </w:rPr>
        <w:t xml:space="preserve">Dividend Bears No Interest. </w:t>
      </w:r>
      <w:r>
        <w:rPr>
          <w:rFonts w:ascii="Arial" w:cs="Arial" w:eastAsia="Arial" w:hAnsi="Arial"/>
          <w:sz w:val="16"/>
          <w:szCs w:val="16"/>
          <w:color w:val="auto"/>
        </w:rPr>
        <w:t>No dividend bears interest against the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8"/>
          <w:szCs w:val="18"/>
          <w:b w:val="1"/>
          <w:bCs w:val="1"/>
          <w:color w:val="auto"/>
        </w:rPr>
        <w:t xml:space="preserve">21.11 Fractional Dividends. </w:t>
      </w:r>
      <w:r>
        <w:rPr>
          <w:rFonts w:ascii="Arial" w:cs="Arial" w:eastAsia="Arial" w:hAnsi="Arial"/>
          <w:sz w:val="18"/>
          <w:szCs w:val="18"/>
          <w:color w:val="auto"/>
        </w:rPr>
        <w:t>If a dividend to which a shareholder is entitled includes a fraction of the smallest monetary unit of the currency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that fraction may be disregarded in making payment of the dividend and that payment represents full payment of the dividend.</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21.12 Payment of Dividends. </w:t>
      </w:r>
      <w:r>
        <w:rPr>
          <w:rFonts w:ascii="Arial" w:cs="Arial" w:eastAsia="Arial" w:hAnsi="Arial"/>
          <w:sz w:val="16"/>
          <w:szCs w:val="16"/>
          <w:color w:val="auto"/>
        </w:rPr>
        <w:t>Any dividend or other distribution payable in cash in respect of shares may be paid by cheque, made payable to the order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21.13 Capitalization of Surplus. </w:t>
      </w:r>
      <w:r>
        <w:rPr>
          <w:rFonts w:ascii="Arial" w:cs="Arial" w:eastAsia="Arial" w:hAnsi="Arial"/>
          <w:sz w:val="18"/>
          <w:szCs w:val="18"/>
          <w:color w:val="auto"/>
        </w:rPr>
        <w:t>Notwithstanding anything contained in these Articles, the directors may from time to time capitalize any surplus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may from time to time issue, as fully paid, shares or any bonds, debentures or other securities of the Company as a dividend representing the surplus or any part of the surplus.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RECORDS AND REPORTS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22.1 Recording of Financial Affairs. </w:t>
      </w:r>
      <w:r>
        <w:rPr>
          <w:rFonts w:ascii="Arial" w:cs="Arial" w:eastAsia="Arial" w:hAnsi="Arial"/>
          <w:sz w:val="18"/>
          <w:szCs w:val="18"/>
          <w:color w:val="auto"/>
        </w:rPr>
        <w:t>The directors must cause adequate accounting records to be kept to record properly the financial affairs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 of the Company and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22.2 Inspection of Records. </w:t>
      </w:r>
      <w:r>
        <w:rPr>
          <w:rFonts w:ascii="Arial" w:cs="Arial" w:eastAsia="Arial" w:hAnsi="Arial"/>
          <w:sz w:val="17"/>
          <w:szCs w:val="17"/>
          <w:color w:val="auto"/>
        </w:rPr>
        <w:t>Upon receipt of a shareholder request, the directors may, but need not, determine that the shareholders are entitled to inspect</w:t>
      </w:r>
      <w:r>
        <w:rPr>
          <w:rFonts w:ascii="Arial" w:cs="Arial" w:eastAsia="Arial" w:hAnsi="Arial"/>
          <w:sz w:val="17"/>
          <w:szCs w:val="17"/>
          <w:b w:val="1"/>
          <w:bCs w:val="1"/>
          <w:color w:val="auto"/>
        </w:rPr>
        <w:t xml:space="preserve"> </w:t>
      </w:r>
      <w:r>
        <w:rPr>
          <w:rFonts w:ascii="Arial" w:cs="Arial" w:eastAsia="Arial" w:hAnsi="Arial"/>
          <w:sz w:val="17"/>
          <w:szCs w:val="17"/>
          <w:color w:val="auto"/>
        </w:rPr>
        <w:t>or obtain a copy of any accounting records of the Company, with such determination to be made by way of a directors' resolution.</w:t>
      </w:r>
    </w:p>
    <w:p>
      <w:pPr>
        <w:spacing w:after="0" w:line="13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23</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23.1 Method of Giving Notice. </w:t>
      </w:r>
      <w:r>
        <w:rPr>
          <w:rFonts w:ascii="Arial" w:cs="Arial" w:eastAsia="Arial" w:hAnsi="Arial"/>
          <w:sz w:val="18"/>
          <w:szCs w:val="18"/>
          <w:color w:val="auto"/>
        </w:rPr>
        <w:t>Unless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or these Articles provides otherwise, a notice, statement, report, consent, waiver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record required or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to be sent by or to a person may be sent by any one of the following methods:</w:t>
      </w:r>
    </w:p>
    <w:p>
      <w:pPr>
        <w:spacing w:after="0" w:line="180"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mail addressed to the person at the applicable address for that person as follows: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a record mailed to a shareholder, the shareholder's registered address;</w:t>
      </w:r>
    </w:p>
    <w:p>
      <w:pPr>
        <w:spacing w:after="0" w:line="252"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any other case, the mailing address of the intended recipient;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delivery at the applicable address for that person as follows, addressed to the person:</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a record delivered to a shareholder, the shareholder's registered address;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ind w:left="1960" w:hanging="655"/>
        <w:spacing w:after="0" w:line="308" w:lineRule="auto"/>
        <w:tabs>
          <w:tab w:leader="none" w:pos="19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any other case, the delivery address of the intended recipient;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sending the record by email to the email address provided by the intended recipient for the sending of that record or records of that class;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physical delivery to the intended recipient; or</w:t>
      </w:r>
    </w:p>
    <w:p>
      <w:pPr>
        <w:spacing w:after="0" w:line="25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otherwise permitted by any securities legislation (together with all regulations and rules made and promulgated thereunder and all administrative policy statements, blanket orders, and rulings, notices, and other administrative directions issued by securities commissions or similar authorities appointed thereunder) in any province or territory of Canada or in the federal jurisdiction of the United States or in any state of the United States that is applicable to the Company.</w:t>
      </w:r>
    </w:p>
    <w:p>
      <w:pPr>
        <w:spacing w:after="0" w:line="1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23.2 Deemed Receipt of Mailing. </w:t>
      </w:r>
      <w:r>
        <w:rPr>
          <w:rFonts w:ascii="Arial" w:cs="Arial" w:eastAsia="Arial" w:hAnsi="Arial"/>
          <w:sz w:val="16"/>
          <w:szCs w:val="16"/>
          <w:color w:val="auto"/>
        </w:rPr>
        <w:t>A record that is mailed to a person by ordinary mail to the applicable address for that person referred to in Article 23.1 is</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received by the person to whom it was mailed on the day, Saturdays, Sundays and holidays excepted, following the date of mailing.</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23.3 Certificate of Sending. </w:t>
      </w:r>
      <w:r>
        <w:rPr>
          <w:rFonts w:ascii="Arial" w:cs="Arial" w:eastAsia="Arial" w:hAnsi="Arial"/>
          <w:sz w:val="18"/>
          <w:szCs w:val="18"/>
          <w:color w:val="auto"/>
        </w:rPr>
        <w:t>A certificate signed by the secretary, if any, or other officer of the Company or of any other entity acting in that behalf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stating that a notice, statement, report, consent, waiver or other record was addressed as required by Article 23.1, prepaid and mailed or otherwise sent as permitted by Article 23.1 is conclusive evidence of that fact.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23.4 Notice to Joint Shareholders. </w:t>
      </w:r>
      <w:r>
        <w:rPr>
          <w:rFonts w:ascii="Arial" w:cs="Arial" w:eastAsia="Arial" w:hAnsi="Arial"/>
          <w:sz w:val="18"/>
          <w:szCs w:val="18"/>
          <w:color w:val="auto"/>
        </w:rPr>
        <w:t>A notice, statement, report, consent, waiver or other record may be provided by the Company to the joint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 by providing the record to the joint shareholder first named in the central securities register in respect of the share.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23.5 Notice to Trustees. </w:t>
      </w:r>
      <w:r>
        <w:rPr>
          <w:rFonts w:ascii="Arial" w:cs="Arial" w:eastAsia="Arial" w:hAnsi="Arial"/>
          <w:sz w:val="18"/>
          <w:szCs w:val="18"/>
          <w:color w:val="auto"/>
        </w:rPr>
        <w:t>A notice, statement, report, consent, waiver or other record may be provided by the Company to the persons entitled to a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 of the death, bankruptcy or incapacity of a shareholder by:</w:t>
      </w:r>
    </w:p>
    <w:p>
      <w:pPr>
        <w:spacing w:after="0" w:line="166"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mailing the record, addressed to them:</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at the address, if any, supplied to the Company for that purpose by the persons claiming to be so entitled; or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 address referred to in paragraph (a)(ii) has not been supplied to the Company, by giving the notice in a manner in which it might have been given if the death, bankruptcy or incapacity had not occurred.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 AND EXECUTION OF DOCUMENTS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24.1 Who May Attest Seal. </w:t>
      </w:r>
      <w:r>
        <w:rPr>
          <w:rFonts w:ascii="Arial" w:cs="Arial" w:eastAsia="Arial" w:hAnsi="Arial"/>
          <w:sz w:val="18"/>
          <w:szCs w:val="18"/>
          <w:color w:val="auto"/>
        </w:rPr>
        <w:t>Except as provided in Articles 24.2 and 24.3, the Company's seal, if any, must not be impressed on any record except when</w:t>
      </w:r>
      <w:r>
        <w:rPr>
          <w:rFonts w:ascii="Arial" w:cs="Arial" w:eastAsia="Arial" w:hAnsi="Arial"/>
          <w:sz w:val="18"/>
          <w:szCs w:val="18"/>
          <w:b w:val="1"/>
          <w:bCs w:val="1"/>
          <w:color w:val="auto"/>
        </w:rPr>
        <w:t xml:space="preserve"> </w:t>
      </w:r>
      <w:r>
        <w:rPr>
          <w:rFonts w:ascii="Arial" w:cs="Arial" w:eastAsia="Arial" w:hAnsi="Arial"/>
          <w:sz w:val="18"/>
          <w:szCs w:val="18"/>
          <w:color w:val="auto"/>
        </w:rPr>
        <w:t>that impression is attested by the signatures of:</w:t>
      </w:r>
    </w:p>
    <w:p>
      <w:pPr>
        <w:spacing w:after="0" w:line="166"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two directors;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Secretary or any Assistant Secretary;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officer, together with any director;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Company only has one director, that director;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one or more directors or officers or persons as may be determined by the directors.</w:t>
      </w:r>
    </w:p>
    <w:p>
      <w:pPr>
        <w:spacing w:after="0" w:line="24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24.2 Sealing Copies. </w:t>
      </w:r>
      <w:r>
        <w:rPr>
          <w:rFonts w:ascii="Arial" w:cs="Arial" w:eastAsia="Arial" w:hAnsi="Arial"/>
          <w:sz w:val="17"/>
          <w:szCs w:val="17"/>
          <w:color w:val="auto"/>
        </w:rPr>
        <w:t>For the purpose of certifying under seal a certificate of incumbency of the directors or officers of the Company or a true copy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or other document, despite Article 24.1, the impression of the seal may be attested by the signature of any director or officer.</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24.3 Mechanical Reproduction of Seal. </w:t>
      </w:r>
      <w:r>
        <w:rPr>
          <w:rFonts w:ascii="Arial" w:cs="Arial" w:eastAsia="Arial" w:hAnsi="Arial"/>
          <w:sz w:val="16"/>
          <w:szCs w:val="16"/>
          <w:color w:val="auto"/>
        </w:rPr>
        <w:t>The directors may authorize the seal to be impressed by third parties on share certificates or bonds, debentures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Chairman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24.4 Execution of Documents Generally. </w:t>
      </w:r>
      <w:r>
        <w:rPr>
          <w:rFonts w:ascii="Arial" w:cs="Arial" w:eastAsia="Arial" w:hAnsi="Arial"/>
          <w:sz w:val="16"/>
          <w:szCs w:val="16"/>
          <w:color w:val="auto"/>
        </w:rPr>
        <w:t>The directors may from time to time appoint any one or more persons, officers or directors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executing any instrument, document or agreement in the name of and on behalf of the Company for which the seal need not be affixed, and if no such person, officer or director is appointed, then any one officer or director of the Company may execute such instrument, document or agreement.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Company. Subject to any restrictions imposed by the Board, the Chairman of the Board, the Chief Executive Officer, the President or any Executive Vice President, Senior Vice President or Vice President of the Company may delegate contractual powers to others under such person’s jurisdiction, it being understood, however, that any such delegation of power shall not relieve the officer of responsibility with respect to the exercise of the delegated power.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25.1 Special Rights and Restrictions. </w:t>
      </w:r>
      <w:r>
        <w:rPr>
          <w:rFonts w:ascii="Arial" w:cs="Arial" w:eastAsia="Arial" w:hAnsi="Arial"/>
          <w:sz w:val="18"/>
          <w:szCs w:val="18"/>
          <w:color w:val="auto"/>
        </w:rPr>
        <w:t>The Company is authorized to issue up to 550,000,000 shares of a class designated as "Common Shares"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par value and such shares shall have attached thereto the following rights, privileges, restrictions and conditions.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25.2 Voting Rights. </w:t>
      </w:r>
      <w:r>
        <w:rPr>
          <w:rFonts w:ascii="Arial" w:cs="Arial" w:eastAsia="Arial" w:hAnsi="Arial"/>
          <w:sz w:val="17"/>
          <w:szCs w:val="17"/>
          <w:color w:val="auto"/>
        </w:rPr>
        <w:t>The holders of the Common Shares shall be entitled to receive notice of, and to attend, all meetings of the shareholders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shall have one (1) vote for each Common Share held at all meetings of the shareholders of the Company, except for meetings at which only holders of another specified class or series of shares of the Company are entitled to vote separately as a class or series.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25.3 Dividends. </w:t>
      </w:r>
      <w:r>
        <w:rPr>
          <w:rFonts w:ascii="Arial" w:cs="Arial" w:eastAsia="Arial" w:hAnsi="Arial"/>
          <w:sz w:val="18"/>
          <w:szCs w:val="18"/>
          <w:color w:val="auto"/>
        </w:rPr>
        <w:t>Subject to the prior rights and preferences attaching to any other class of shares of the Company, the right to receive any dividend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such amount and in such form as the directors of the Company may from time to time determine, and all dividends which the directors of the Company may declare on the Common Shares shall be declared and paid in equal amounts per share on all Common Shares at the time outstanding. For greater certainty, the Board may in their absolute discretion declare dividends on any one or more classes of shares in the Company to the exclusion of all other classes of shares of the Company.</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25.4 Dissolution. </w:t>
      </w:r>
      <w:r>
        <w:rPr>
          <w:rFonts w:ascii="Arial" w:cs="Arial" w:eastAsia="Arial" w:hAnsi="Arial"/>
          <w:sz w:val="18"/>
          <w:szCs w:val="18"/>
          <w:color w:val="auto"/>
        </w:rPr>
        <w:t>In the event of the dissolution, liquidation or winding-up of the Company, whether voluntary or involuntary, or any other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of the Company among its shareholders for the purpose of winding-up its affairs, the holders of the Common Shares shall, subject to the prior rights of the holders of the Preferred Shares, be entitled to receive the remaining property and assets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26.1 Special Rights and Restrictions. </w:t>
      </w:r>
      <w:r>
        <w:rPr>
          <w:rFonts w:ascii="Arial" w:cs="Arial" w:eastAsia="Arial" w:hAnsi="Arial"/>
          <w:sz w:val="16"/>
          <w:szCs w:val="16"/>
          <w:color w:val="auto"/>
        </w:rPr>
        <w:t>The Company is authorized to issue a class A of preferred shares, up to a maximum of 50,000,000 shares,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 to be the aggregate number of class A and class B preferred shares to be issued by the Company, to be designated as "Class A Preferred Shares", without par value, which may be issued in one or more series as determined by the directors of the Company. The Class A Preferred Shares shall be entitled to receive notice of any meeting of shareholders and shall be entitled to such number of votes per Class A Preferred Share as authorized by the directors, by resolution, at or prior to the time of the creation or designation of the applicable series, except as otherwise required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addition to such rights respecting voting, the Class A Preferred Shares shall have attached thereto the following rights, privileges, restrictions and conditions:</w:t>
      </w:r>
    </w:p>
    <w:p>
      <w:pPr>
        <w:spacing w:after="0" w:line="160" w:lineRule="exact"/>
        <w:rPr>
          <w:sz w:val="20"/>
          <w:szCs w:val="20"/>
          <w:color w:val="auto"/>
        </w:rPr>
      </w:pPr>
    </w:p>
    <w:p>
      <w:pPr>
        <w:ind w:left="130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special rights and restrictions attached to the Class A Preferred Shares authorize the directors, by resolution, to do one or more of the following:</w:t>
      </w:r>
    </w:p>
    <w:p>
      <w:pPr>
        <w:spacing w:after="0" w:line="170" w:lineRule="exact"/>
        <w:rPr>
          <w:sz w:val="20"/>
          <w:szCs w:val="20"/>
          <w:color w:val="auto"/>
        </w:rPr>
      </w:pPr>
    </w:p>
    <w:p>
      <w:pPr>
        <w:ind w:left="1960" w:hanging="655"/>
        <w:spacing w:after="0" w:line="277"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and designate any series of Class A Preferred Shares and authorize the alteration of the Notice of Articles to provide for such series;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jc w:val="both"/>
        <w:ind w:left="1304" w:right="20" w:hanging="655"/>
        <w:spacing w:after="0" w:line="264"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81" w:lineRule="exact"/>
        <w:rPr>
          <w:rFonts w:ascii="Arial" w:cs="Arial" w:eastAsia="Arial" w:hAnsi="Arial"/>
          <w:sz w:val="18"/>
          <w:szCs w:val="18"/>
          <w:color w:val="auto"/>
        </w:rPr>
      </w:pPr>
    </w:p>
    <w:p>
      <w:pPr>
        <w:ind w:left="1304" w:right="20" w:hanging="655"/>
        <w:spacing w:after="0" w:line="277"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70"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86" w:lineRule="exact"/>
        <w:rPr>
          <w:rFonts w:ascii="Arial" w:cs="Arial" w:eastAsia="Arial" w:hAnsi="Arial"/>
          <w:sz w:val="18"/>
          <w:szCs w:val="18"/>
          <w:color w:val="auto"/>
        </w:rPr>
      </w:pPr>
    </w:p>
    <w:p>
      <w:pPr>
        <w:ind w:left="2264" w:hanging="917"/>
        <w:spacing w:after="0"/>
        <w:tabs>
          <w:tab w:leader="none" w:pos="2264"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252" w:lineRule="exact"/>
        <w:rPr>
          <w:rFonts w:ascii="Arial" w:cs="Arial" w:eastAsia="Arial" w:hAnsi="Arial"/>
          <w:sz w:val="18"/>
          <w:szCs w:val="18"/>
          <w:color w:val="auto"/>
        </w:rPr>
      </w:pPr>
    </w:p>
    <w:p>
      <w:pPr>
        <w:ind w:left="2264" w:hanging="911"/>
        <w:spacing w:after="0"/>
        <w:tabs>
          <w:tab w:leader="none" w:pos="2264" w:val="left"/>
        </w:tabs>
        <w:numPr>
          <w:ilvl w:val="2"/>
          <w:numId w:val="67"/>
        </w:numPr>
        <w:rPr>
          <w:rFonts w:ascii="Arial" w:cs="Arial" w:eastAsia="Arial" w:hAnsi="Arial"/>
          <w:sz w:val="17"/>
          <w:szCs w:val="17"/>
          <w:color w:val="auto"/>
        </w:rPr>
      </w:pPr>
      <w:r>
        <w:rPr>
          <w:rFonts w:ascii="Arial" w:cs="Arial" w:eastAsia="Arial" w:hAnsi="Arial"/>
          <w:sz w:val="17"/>
          <w:szCs w:val="17"/>
          <w:color w:val="auto"/>
        </w:rPr>
        <w:t>the redemption provisions, if any, applicable to such series, including the redemption price or prices to be paid;</w:t>
      </w:r>
    </w:p>
    <w:p>
      <w:pPr>
        <w:spacing w:after="0" w:line="263" w:lineRule="exact"/>
        <w:rPr>
          <w:rFonts w:ascii="Arial" w:cs="Arial" w:eastAsia="Arial" w:hAnsi="Arial"/>
          <w:sz w:val="17"/>
          <w:szCs w:val="17"/>
          <w:color w:val="auto"/>
        </w:rPr>
      </w:pPr>
    </w:p>
    <w:p>
      <w:pPr>
        <w:ind w:left="2264" w:hanging="911"/>
        <w:spacing w:after="0" w:line="277" w:lineRule="auto"/>
        <w:tabs>
          <w:tab w:leader="none" w:pos="2264" w:val="left"/>
        </w:tabs>
        <w:numPr>
          <w:ilvl w:val="2"/>
          <w:numId w:val="67"/>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such series, and the dates and preferences of dividends on such series;</w:t>
      </w:r>
    </w:p>
    <w:p>
      <w:pPr>
        <w:spacing w:after="0" w:line="170" w:lineRule="exact"/>
        <w:rPr>
          <w:rFonts w:ascii="Arial" w:cs="Arial" w:eastAsia="Arial" w:hAnsi="Arial"/>
          <w:sz w:val="18"/>
          <w:szCs w:val="18"/>
          <w:color w:val="auto"/>
        </w:rPr>
      </w:pPr>
    </w:p>
    <w:p>
      <w:pPr>
        <w:ind w:left="2264" w:hanging="917"/>
        <w:spacing w:after="0" w:line="277" w:lineRule="auto"/>
        <w:tabs>
          <w:tab w:leader="none" w:pos="2264"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rights of such series upon the voluntary or involuntary dissolution of, or upon any distribution of the assets of, the Company;</w:t>
      </w:r>
    </w:p>
    <w:p>
      <w:pPr>
        <w:spacing w:after="0" w:line="170" w:lineRule="exact"/>
        <w:rPr>
          <w:rFonts w:ascii="Arial" w:cs="Arial" w:eastAsia="Arial" w:hAnsi="Arial"/>
          <w:sz w:val="18"/>
          <w:szCs w:val="18"/>
          <w:color w:val="auto"/>
        </w:rPr>
      </w:pPr>
    </w:p>
    <w:p>
      <w:pPr>
        <w:jc w:val="both"/>
        <w:ind w:left="2264" w:hanging="906"/>
        <w:spacing w:after="0" w:line="312" w:lineRule="auto"/>
        <w:tabs>
          <w:tab w:leader="none" w:pos="2264" w:val="left"/>
        </w:tabs>
        <w:numPr>
          <w:ilvl w:val="2"/>
          <w:numId w:val="67"/>
        </w:numPr>
        <w:rPr>
          <w:rFonts w:ascii="Arial" w:cs="Arial" w:eastAsia="Arial" w:hAnsi="Arial"/>
          <w:sz w:val="16"/>
          <w:szCs w:val="16"/>
          <w:color w:val="auto"/>
        </w:rPr>
      </w:pPr>
      <w:r>
        <w:rPr>
          <w:rFonts w:ascii="Arial" w:cs="Arial" w:eastAsia="Arial" w:hAnsi="Arial"/>
          <w:sz w:val="16"/>
          <w:szCs w:val="16"/>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46" w:lineRule="exact"/>
        <w:rPr>
          <w:rFonts w:ascii="Arial" w:cs="Arial" w:eastAsia="Arial" w:hAnsi="Arial"/>
          <w:sz w:val="16"/>
          <w:szCs w:val="16"/>
          <w:color w:val="auto"/>
        </w:rPr>
      </w:pPr>
    </w:p>
    <w:p>
      <w:pPr>
        <w:ind w:left="2264" w:hanging="902"/>
        <w:spacing w:after="0"/>
        <w:tabs>
          <w:tab w:leader="none" w:pos="22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Company or any other entity;</w:t>
      </w:r>
    </w:p>
    <w:p>
      <w:pPr>
        <w:spacing w:after="0" w:line="252" w:lineRule="exact"/>
        <w:rPr>
          <w:rFonts w:ascii="Arial" w:cs="Arial" w:eastAsia="Arial" w:hAnsi="Arial"/>
          <w:sz w:val="18"/>
          <w:szCs w:val="18"/>
          <w:color w:val="auto"/>
        </w:rPr>
      </w:pPr>
    </w:p>
    <w:p>
      <w:pPr>
        <w:ind w:left="2264" w:hanging="917"/>
        <w:spacing w:after="0"/>
        <w:tabs>
          <w:tab w:leader="none" w:pos="2264"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and</w:t>
      </w:r>
    </w:p>
    <w:p>
      <w:pPr>
        <w:spacing w:after="0" w:line="252" w:lineRule="exact"/>
        <w:rPr>
          <w:rFonts w:ascii="Arial" w:cs="Arial" w:eastAsia="Arial" w:hAnsi="Arial"/>
          <w:sz w:val="18"/>
          <w:szCs w:val="18"/>
          <w:color w:val="auto"/>
        </w:rPr>
      </w:pPr>
    </w:p>
    <w:p>
      <w:pPr>
        <w:ind w:left="2264" w:hanging="917"/>
        <w:spacing w:after="0" w:line="277" w:lineRule="auto"/>
        <w:tabs>
          <w:tab w:leader="none" w:pos="2264"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powers, preferences, rights, qualifications, limitations or restrictions thereof;</w:t>
      </w:r>
    </w:p>
    <w:p>
      <w:pPr>
        <w:spacing w:after="0" w:line="170" w:lineRule="exact"/>
        <w:rPr>
          <w:sz w:val="20"/>
          <w:szCs w:val="20"/>
          <w:color w:val="auto"/>
        </w:rPr>
      </w:pPr>
    </w:p>
    <w:p>
      <w:pPr>
        <w:ind w:left="644" w:right="20"/>
        <w:spacing w:after="0" w:line="277" w:lineRule="auto"/>
        <w:rPr>
          <w:sz w:val="20"/>
          <w:szCs w:val="20"/>
          <w:color w:val="auto"/>
        </w:rPr>
      </w:pPr>
      <w:r>
        <w:rPr>
          <w:rFonts w:ascii="Arial" w:cs="Arial" w:eastAsia="Arial" w:hAnsi="Arial"/>
          <w:sz w:val="18"/>
          <w:szCs w:val="18"/>
          <w:color w:val="auto"/>
        </w:rPr>
        <w:t>all as shall be determined from time to time by the Board and shall be stated in a resolution or resolutions providing for the issuance of such Class A Preferred Shares (a "</w:t>
      </w:r>
      <w:r>
        <w:rPr>
          <w:rFonts w:ascii="Arial" w:cs="Arial" w:eastAsia="Arial" w:hAnsi="Arial"/>
          <w:sz w:val="18"/>
          <w:szCs w:val="18"/>
          <w:b w:val="1"/>
          <w:bCs w:val="1"/>
          <w:color w:val="auto"/>
        </w:rPr>
        <w:t>Designation of Series of Class A Preferred Shares</w:t>
      </w:r>
      <w:r>
        <w:rPr>
          <w:rFonts w:ascii="Arial" w:cs="Arial" w:eastAsia="Arial" w:hAnsi="Arial"/>
          <w:sz w:val="18"/>
          <w:szCs w:val="18"/>
          <w:color w:val="auto"/>
        </w:rPr>
        <w:t>");</w:t>
      </w:r>
    </w:p>
    <w:p>
      <w:pPr>
        <w:spacing w:after="0" w:line="170" w:lineRule="exact"/>
        <w:rPr>
          <w:sz w:val="20"/>
          <w:szCs w:val="20"/>
          <w:color w:val="auto"/>
        </w:rPr>
      </w:pPr>
    </w:p>
    <w:p>
      <w:pPr>
        <w:jc w:val="both"/>
        <w:ind w:left="644" w:hanging="644"/>
        <w:spacing w:after="0" w:line="264"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directors are authorized to issue a first series of up to 50,000,000 series 1 Class A Preferred Shares, with such limit to be the aggregate number of class A and class B preferred shares to be issued by the Company, designated as the "Class A Series 1 Preferred Shares", having the rights, privileges, restrictions and conditions as set out in Part 27 of these Articles; and</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56" w:name="page57"/>
    <w:bookmarkEnd w:id="56"/>
    <w:p>
      <w:pPr>
        <w:jc w:val="both"/>
        <w:ind w:left="1300" w:hanging="644"/>
        <w:spacing w:after="0" w:line="259"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authorized shares of the Class A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A Preferred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SERIES 1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Part 27 of the Articles was replaced by the directors resolutions dated November 26, 2017 and received at the Records Office March 28, 2018. Attached as Schedule A to these Articles.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B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28.1 Special Rights and Restrictions. </w:t>
      </w:r>
      <w:r>
        <w:rPr>
          <w:rFonts w:ascii="Arial" w:cs="Arial" w:eastAsia="Arial" w:hAnsi="Arial"/>
          <w:sz w:val="16"/>
          <w:szCs w:val="16"/>
          <w:color w:val="auto"/>
        </w:rPr>
        <w:t>The Company is authorized to issue a class B of preferred shares, up to a maximum of 50,000,000 shares,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 to be the aggregate number of class A and class B preferred shares to be issued by the Company, to be designated as "Class B Preferred Shares", without par value, which may be issued in one or more series as determined by the directors of the Company. The Class B Preferred Shares shall not be entitled to receive notice of any meeting of shareholders or to vote at any such meeting, except as otherwise required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addition to such rights respecting voting, the Class B Preferred Shares shall have attached thereto the following rights, privileges, restrictions and conditions:</w:t>
      </w:r>
    </w:p>
    <w:p>
      <w:pPr>
        <w:spacing w:after="0" w:line="158" w:lineRule="exact"/>
        <w:rPr>
          <w:sz w:val="20"/>
          <w:szCs w:val="20"/>
          <w:color w:val="auto"/>
        </w:rPr>
      </w:pPr>
    </w:p>
    <w:p>
      <w:pPr>
        <w:ind w:left="130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special rights and restrictions attached to the Class B Preferred Shares authorize the directors, by resolution, to do one or more of the following:</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create and designate any series of Class B Preferred Shares and authorize the alteration of the Notice of Articles to provide for such series;</w:t>
      </w:r>
    </w:p>
    <w:p>
      <w:pPr>
        <w:spacing w:after="0" w:line="170"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81"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jc w:val="both"/>
        <w:ind w:left="1304" w:hanging="655"/>
        <w:spacing w:after="0" w:line="259" w:lineRule="auto"/>
        <w:tabs>
          <w:tab w:leader="none" w:pos="1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86" w:lineRule="exact"/>
        <w:rPr>
          <w:rFonts w:ascii="Arial" w:cs="Arial" w:eastAsia="Arial" w:hAnsi="Arial"/>
          <w:sz w:val="18"/>
          <w:szCs w:val="18"/>
          <w:color w:val="auto"/>
        </w:rPr>
      </w:pPr>
    </w:p>
    <w:p>
      <w:pPr>
        <w:ind w:left="2264" w:hanging="917"/>
        <w:spacing w:after="0"/>
        <w:tabs>
          <w:tab w:leader="none" w:pos="2264"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252" w:lineRule="exact"/>
        <w:rPr>
          <w:rFonts w:ascii="Arial" w:cs="Arial" w:eastAsia="Arial" w:hAnsi="Arial"/>
          <w:sz w:val="18"/>
          <w:szCs w:val="18"/>
          <w:color w:val="auto"/>
        </w:rPr>
      </w:pPr>
    </w:p>
    <w:p>
      <w:pPr>
        <w:ind w:left="2264" w:hanging="911"/>
        <w:spacing w:after="0"/>
        <w:tabs>
          <w:tab w:leader="none" w:pos="2264" w:val="left"/>
        </w:tabs>
        <w:numPr>
          <w:ilvl w:val="2"/>
          <w:numId w:val="72"/>
        </w:numPr>
        <w:rPr>
          <w:rFonts w:ascii="Arial" w:cs="Arial" w:eastAsia="Arial" w:hAnsi="Arial"/>
          <w:sz w:val="17"/>
          <w:szCs w:val="17"/>
          <w:color w:val="auto"/>
        </w:rPr>
      </w:pPr>
      <w:r>
        <w:rPr>
          <w:rFonts w:ascii="Arial" w:cs="Arial" w:eastAsia="Arial" w:hAnsi="Arial"/>
          <w:sz w:val="17"/>
          <w:szCs w:val="17"/>
          <w:color w:val="auto"/>
        </w:rPr>
        <w:t>the redemption provisions, if any, applicable to such series, including the redemption price or prices to be paid;</w:t>
      </w:r>
    </w:p>
    <w:p>
      <w:pPr>
        <w:spacing w:after="0" w:line="263" w:lineRule="exact"/>
        <w:rPr>
          <w:rFonts w:ascii="Arial" w:cs="Arial" w:eastAsia="Arial" w:hAnsi="Arial"/>
          <w:sz w:val="17"/>
          <w:szCs w:val="17"/>
          <w:color w:val="auto"/>
        </w:rPr>
      </w:pPr>
    </w:p>
    <w:p>
      <w:pPr>
        <w:ind w:left="2264" w:hanging="911"/>
        <w:spacing w:after="0" w:line="277" w:lineRule="auto"/>
        <w:tabs>
          <w:tab w:leader="none" w:pos="2264" w:val="left"/>
        </w:tabs>
        <w:numPr>
          <w:ilvl w:val="2"/>
          <w:numId w:val="72"/>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such series, and the dates and preferences of dividends on such series;</w:t>
      </w:r>
    </w:p>
    <w:p>
      <w:pPr>
        <w:spacing w:after="0" w:line="170" w:lineRule="exact"/>
        <w:rPr>
          <w:rFonts w:ascii="Arial" w:cs="Arial" w:eastAsia="Arial" w:hAnsi="Arial"/>
          <w:sz w:val="18"/>
          <w:szCs w:val="18"/>
          <w:color w:val="auto"/>
        </w:rPr>
      </w:pPr>
    </w:p>
    <w:p>
      <w:pPr>
        <w:ind w:left="2264" w:hanging="917"/>
        <w:spacing w:after="0" w:line="277" w:lineRule="auto"/>
        <w:tabs>
          <w:tab w:leader="none" w:pos="2264"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rights of such series upon the voluntary or involuntary dissolution of, or upon any distribution of the assets of, the Company;</w:t>
      </w:r>
    </w:p>
    <w:p>
      <w:pPr>
        <w:spacing w:after="0" w:line="170" w:lineRule="exact"/>
        <w:rPr>
          <w:rFonts w:ascii="Arial" w:cs="Arial" w:eastAsia="Arial" w:hAnsi="Arial"/>
          <w:sz w:val="18"/>
          <w:szCs w:val="18"/>
          <w:color w:val="auto"/>
        </w:rPr>
      </w:pPr>
    </w:p>
    <w:p>
      <w:pPr>
        <w:jc w:val="both"/>
        <w:ind w:left="2264" w:hanging="906"/>
        <w:spacing w:after="0" w:line="312" w:lineRule="auto"/>
        <w:tabs>
          <w:tab w:leader="none" w:pos="2264" w:val="left"/>
        </w:tabs>
        <w:numPr>
          <w:ilvl w:val="2"/>
          <w:numId w:val="72"/>
        </w:numPr>
        <w:rPr>
          <w:rFonts w:ascii="Arial" w:cs="Arial" w:eastAsia="Arial" w:hAnsi="Arial"/>
          <w:sz w:val="16"/>
          <w:szCs w:val="16"/>
          <w:color w:val="auto"/>
        </w:rPr>
      </w:pPr>
      <w:r>
        <w:rPr>
          <w:rFonts w:ascii="Arial" w:cs="Arial" w:eastAsia="Arial" w:hAnsi="Arial"/>
          <w:sz w:val="16"/>
          <w:szCs w:val="16"/>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46" w:lineRule="exact"/>
        <w:rPr>
          <w:rFonts w:ascii="Arial" w:cs="Arial" w:eastAsia="Arial" w:hAnsi="Arial"/>
          <w:sz w:val="16"/>
          <w:szCs w:val="16"/>
          <w:color w:val="auto"/>
        </w:rPr>
      </w:pPr>
    </w:p>
    <w:p>
      <w:pPr>
        <w:ind w:left="2264" w:hanging="902"/>
        <w:spacing w:after="0"/>
        <w:tabs>
          <w:tab w:leader="none" w:pos="226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Company or any other entity;</w:t>
      </w:r>
    </w:p>
    <w:p>
      <w:pPr>
        <w:spacing w:after="0" w:line="252" w:lineRule="exact"/>
        <w:rPr>
          <w:rFonts w:ascii="Arial" w:cs="Arial" w:eastAsia="Arial" w:hAnsi="Arial"/>
          <w:sz w:val="18"/>
          <w:szCs w:val="18"/>
          <w:color w:val="auto"/>
        </w:rPr>
      </w:pPr>
    </w:p>
    <w:p>
      <w:pPr>
        <w:ind w:left="2264" w:hanging="917"/>
        <w:spacing w:after="0"/>
        <w:tabs>
          <w:tab w:leader="none" w:pos="2264"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and</w:t>
      </w:r>
    </w:p>
    <w:p>
      <w:pPr>
        <w:spacing w:after="0" w:line="252" w:lineRule="exact"/>
        <w:rPr>
          <w:rFonts w:ascii="Arial" w:cs="Arial" w:eastAsia="Arial" w:hAnsi="Arial"/>
          <w:sz w:val="18"/>
          <w:szCs w:val="18"/>
          <w:color w:val="auto"/>
        </w:rPr>
      </w:pPr>
    </w:p>
    <w:p>
      <w:pPr>
        <w:ind w:left="2264" w:hanging="917"/>
        <w:spacing w:after="0" w:line="277" w:lineRule="auto"/>
        <w:tabs>
          <w:tab w:leader="none" w:pos="2264"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powers, preferences, rights, qualifications, limitations or restrictions thereof;</w:t>
      </w:r>
    </w:p>
    <w:p>
      <w:pPr>
        <w:spacing w:after="0" w:line="170" w:lineRule="exact"/>
        <w:rPr>
          <w:sz w:val="20"/>
          <w:szCs w:val="20"/>
          <w:color w:val="auto"/>
        </w:rPr>
      </w:pPr>
    </w:p>
    <w:p>
      <w:pPr>
        <w:ind w:left="644" w:right="20"/>
        <w:spacing w:after="0" w:line="277" w:lineRule="auto"/>
        <w:rPr>
          <w:sz w:val="20"/>
          <w:szCs w:val="20"/>
          <w:color w:val="auto"/>
        </w:rPr>
      </w:pPr>
      <w:r>
        <w:rPr>
          <w:rFonts w:ascii="Arial" w:cs="Arial" w:eastAsia="Arial" w:hAnsi="Arial"/>
          <w:sz w:val="18"/>
          <w:szCs w:val="18"/>
          <w:color w:val="auto"/>
        </w:rPr>
        <w:t>all as shall be determined from time to time by the Board and shall be stated in a resolution or resolutions providing for the issuance of such Class B Preferred Shares (a "</w:t>
      </w:r>
      <w:r>
        <w:rPr>
          <w:rFonts w:ascii="Arial" w:cs="Arial" w:eastAsia="Arial" w:hAnsi="Arial"/>
          <w:sz w:val="18"/>
          <w:szCs w:val="18"/>
          <w:b w:val="1"/>
          <w:bCs w:val="1"/>
          <w:color w:val="auto"/>
        </w:rPr>
        <w:t>Designation of Series of Class B Preferred Shares</w:t>
      </w:r>
      <w:r>
        <w:rPr>
          <w:rFonts w:ascii="Arial" w:cs="Arial" w:eastAsia="Arial" w:hAnsi="Arial"/>
          <w:sz w:val="18"/>
          <w:szCs w:val="18"/>
          <w:color w:val="auto"/>
        </w:rPr>
        <w:t>"); and</w:t>
      </w:r>
    </w:p>
    <w:p>
      <w:pPr>
        <w:spacing w:after="0" w:line="170" w:lineRule="exact"/>
        <w:rPr>
          <w:sz w:val="20"/>
          <w:szCs w:val="20"/>
          <w:color w:val="auto"/>
        </w:rPr>
      </w:pPr>
    </w:p>
    <w:p>
      <w:pPr>
        <w:jc w:val="both"/>
        <w:ind w:left="644" w:hanging="644"/>
        <w:spacing w:after="0" w:line="264" w:lineRule="auto"/>
        <w:tabs>
          <w:tab w:leader="none" w:pos="6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directors are authorized to issue a first series of up to 50,000,000 series 1 Class B Preferred Shares, with such limit to be the aggregate number of class A and class B preferred shares to be issued by the Company, designated as the "Class B Series 1 Preferred Shares", having the rights, privileges, restrictions and conditions as set out in Part 29 of these Articles; and</w:t>
      </w:r>
    </w:p>
    <w:p>
      <w:pPr>
        <w:spacing w:after="0" w:line="181" w:lineRule="exact"/>
        <w:rPr>
          <w:rFonts w:ascii="Arial" w:cs="Arial" w:eastAsia="Arial" w:hAnsi="Arial"/>
          <w:sz w:val="18"/>
          <w:szCs w:val="18"/>
          <w:color w:val="auto"/>
        </w:rPr>
      </w:pPr>
    </w:p>
    <w:p>
      <w:pPr>
        <w:jc w:val="both"/>
        <w:ind w:left="644" w:hanging="644"/>
        <w:spacing w:after="0" w:line="276" w:lineRule="auto"/>
        <w:tabs>
          <w:tab w:leader="none" w:pos="644"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as required by law, holders of Class B Preferred Shares, being non-voting preferred shares, shall not be entitled to receive notice of any meeting of shareholders at which they are not entitled to vote. The number of authorized shares of the Class B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B Preferred Shares.</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B SERIES 1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29.1 Special Rights and Restrictions. </w:t>
      </w:r>
      <w:r>
        <w:rPr>
          <w:rFonts w:ascii="Arial" w:cs="Arial" w:eastAsia="Arial" w:hAnsi="Arial"/>
          <w:sz w:val="17"/>
          <w:szCs w:val="17"/>
          <w:color w:val="auto"/>
        </w:rPr>
        <w:t>The Company is authorized to issue up to 50,000,000 Class B Series 1 Preferred Shares, with such limit to be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27.1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SERIES 1 PREFERRED SHARES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221" w:lineRule="exact"/>
        <w:rPr>
          <w:sz w:val="20"/>
          <w:szCs w:val="20"/>
          <w:color w:val="auto"/>
        </w:rPr>
      </w:pPr>
    </w:p>
    <w:p>
      <w:pPr>
        <w:jc w:val="both"/>
        <w:ind w:left="1300" w:hanging="644"/>
        <w:spacing w:after="0" w:line="266"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Dividends</w:t>
      </w:r>
      <w:r>
        <w:rPr>
          <w:rFonts w:ascii="Arial" w:cs="Arial" w:eastAsia="Arial" w:hAnsi="Arial"/>
          <w:sz w:val="18"/>
          <w:szCs w:val="18"/>
          <w:color w:val="auto"/>
        </w:rPr>
        <w:t>”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27.1.9(a) Distribution</w:t>
      </w:r>
      <w:r>
        <w:rPr>
          <w:rFonts w:ascii="Arial" w:cs="Arial" w:eastAsia="Arial" w:hAnsi="Arial"/>
          <w:sz w:val="18"/>
          <w:szCs w:val="18"/>
          <w:color w:val="auto"/>
        </w:rPr>
        <w:t>” shall have the meaning set forth in Article 27.1.9(d)(v)(A).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27.1.9(b) Distribution</w:t>
      </w:r>
      <w:r>
        <w:rPr>
          <w:rFonts w:ascii="Arial" w:cs="Arial" w:eastAsia="Arial" w:hAnsi="Arial"/>
          <w:sz w:val="18"/>
          <w:szCs w:val="18"/>
          <w:color w:val="auto"/>
        </w:rPr>
        <w:t>” shall have the meaning set forth in Article 27.1.9(d)(v)(B).</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27.1.9(d) Distribution</w:t>
      </w:r>
      <w:r>
        <w:rPr>
          <w:rFonts w:ascii="Arial" w:cs="Arial" w:eastAsia="Arial" w:hAnsi="Arial"/>
          <w:sz w:val="18"/>
          <w:szCs w:val="18"/>
          <w:color w:val="auto"/>
        </w:rPr>
        <w:t>” shall have the meaning set forth in Article 27.1.9(d)(v)(B).</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w:t>
      </w:r>
      <w:r>
        <w:rPr>
          <w:rFonts w:ascii="Arial" w:cs="Arial" w:eastAsia="Arial" w:hAnsi="Arial"/>
          <w:sz w:val="18"/>
          <w:szCs w:val="18"/>
          <w:color w:val="auto"/>
        </w:rPr>
        <w:t>” shall have the meaning set forth in Article 27.1.6(d)(i).</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 Time</w:t>
      </w:r>
      <w:r>
        <w:rPr>
          <w:rFonts w:ascii="Arial" w:cs="Arial" w:eastAsia="Arial" w:hAnsi="Arial"/>
          <w:sz w:val="18"/>
          <w:szCs w:val="18"/>
          <w:color w:val="auto"/>
        </w:rPr>
        <w:t>” shall have the meaning set forth in Article 27.1.6(d)(i).</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VWAP</w:t>
      </w:r>
      <w:r>
        <w:rPr>
          <w:rFonts w:ascii="Arial" w:cs="Arial" w:eastAsia="Arial" w:hAnsi="Arial"/>
          <w:sz w:val="18"/>
          <w:szCs w:val="18"/>
          <w:color w:val="auto"/>
        </w:rPr>
        <w:t>” per share over a certain period shall mean the arithmetic average of the VWAP per share for each Trading Day in such period.</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or Sunday or any other day on which commercial banks in New York City or the province of British Columbia, Canada are authorized or required by law or executive order to close.</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Dividends</w:t>
      </w:r>
      <w:r>
        <w:rPr>
          <w:rFonts w:ascii="Arial" w:cs="Arial" w:eastAsia="Arial" w:hAnsi="Arial"/>
          <w:sz w:val="18"/>
          <w:szCs w:val="18"/>
          <w:color w:val="auto"/>
        </w:rPr>
        <w:t>” shall have the meaning set forth in Article 27.1.3(a).</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as of any Business Day shall mean 5:00 p.m. (New York City time) on such Business Day.</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w:t>
      </w:r>
      <w:r>
        <w:rPr>
          <w:rFonts w:ascii="Arial" w:cs="Arial" w:eastAsia="Arial" w:hAnsi="Arial"/>
          <w:sz w:val="18"/>
          <w:szCs w:val="18"/>
          <w:color w:val="auto"/>
        </w:rPr>
        <w:t>” means Early Conversion, Forced Conversion, Mandatory Conversion or Automatic Conversion, as applicable.</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mean the Early Conversion Date, the Forced Conversion Date, the Mandatory Conversion Date or the Automatic Conversion Date, as applicable.</w:t>
      </w:r>
    </w:p>
    <w:p>
      <w:pPr>
        <w:spacing w:after="0" w:line="161"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shall mean, as of any time, US$10,000 divided by the Conversion Rate as of such time.</w:t>
      </w:r>
    </w:p>
    <w:p>
      <w:pPr>
        <w:spacing w:after="0" w:line="225" w:lineRule="exact"/>
        <w:rPr>
          <w:rFonts w:ascii="Arial" w:cs="Arial" w:eastAsia="Arial" w:hAnsi="Arial"/>
          <w:sz w:val="18"/>
          <w:szCs w:val="18"/>
          <w:color w:val="auto"/>
        </w:rPr>
      </w:pPr>
    </w:p>
    <w:p>
      <w:pPr>
        <w:ind w:left="644" w:right="20" w:hanging="644"/>
        <w:spacing w:after="0" w:line="282"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equal 3,030.3030 Common Shares per each US$10,000 of Liquidation Preference of Class A Series 1 Preferred Shares, subject to adjustment in accordance with Article 27.1.9, rounded to the nearest 1/10,000th of a share.</w:t>
      </w:r>
    </w:p>
    <w:p>
      <w:pPr>
        <w:spacing w:after="0" w:line="161"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per Common Share (or, in the case of Article 27.1.9(d), per Common Share, shares, capital stock or equity interests, as applicable) on any date means for the purposes of determining an adjustment to the Conversion Rate:</w:t>
      </w:r>
    </w:p>
    <w:p>
      <w:pPr>
        <w:spacing w:after="0" w:line="165"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1"/>
          <w:numId w:val="76"/>
        </w:numPr>
        <w:rPr>
          <w:rFonts w:ascii="Arial" w:cs="Arial" w:eastAsia="Arial" w:hAnsi="Arial"/>
          <w:sz w:val="16"/>
          <w:szCs w:val="16"/>
          <w:color w:val="auto"/>
        </w:rPr>
      </w:pPr>
      <w:r>
        <w:rPr>
          <w:rFonts w:ascii="Arial" w:cs="Arial" w:eastAsia="Arial" w:hAnsi="Arial"/>
          <w:sz w:val="16"/>
          <w:szCs w:val="16"/>
          <w:color w:val="auto"/>
        </w:rPr>
        <w:t>for purposes of any adjustment pursuant to Article 27.1.9(d) relating to a Spin-Off, the Average VWAP per Common Share, share,</w:t>
      </w:r>
    </w:p>
    <w:p>
      <w:pPr>
        <w:spacing w:after="0" w:line="46" w:lineRule="exact"/>
        <w:rPr>
          <w:sz w:val="20"/>
          <w:szCs w:val="20"/>
          <w:color w:val="auto"/>
        </w:rPr>
      </w:pPr>
    </w:p>
    <w:p>
      <w:pPr>
        <w:jc w:val="both"/>
        <w:ind w:left="1304"/>
        <w:spacing w:after="0" w:line="255" w:lineRule="auto"/>
        <w:rPr>
          <w:sz w:val="20"/>
          <w:szCs w:val="20"/>
          <w:color w:val="auto"/>
        </w:rPr>
      </w:pPr>
      <w:r>
        <w:rPr>
          <w:rFonts w:ascii="Arial" w:cs="Arial" w:eastAsia="Arial" w:hAnsi="Arial"/>
          <w:sz w:val="18"/>
          <w:szCs w:val="18"/>
          <w:color w:val="auto"/>
        </w:rPr>
        <w:t>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spacing w:after="0" w:line="190" w:lineRule="exact"/>
        <w:rPr>
          <w:sz w:val="20"/>
          <w:szCs w:val="20"/>
          <w:color w:val="auto"/>
        </w:rPr>
      </w:pPr>
    </w:p>
    <w:p>
      <w:pPr>
        <w:jc w:val="both"/>
        <w:ind w:left="1304" w:hanging="655"/>
        <w:spacing w:after="0" w:line="264" w:lineRule="auto"/>
        <w:tabs>
          <w:tab w:leader="none" w:pos="1304"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purposes of any adjustment pursuant to Article 27.1.9(f), the Average VWAP per Common Share over the 10 consecutive Trading Day period commencing on, and including, the Trading Day next succeeding the Expiration Date of the relevant tender offer or exchange offer.</w:t>
      </w:r>
    </w:p>
    <w:p>
      <w:pPr>
        <w:spacing w:after="0" w:line="177" w:lineRule="exact"/>
        <w:rPr>
          <w:rFonts w:ascii="Arial" w:cs="Arial" w:eastAsia="Arial" w:hAnsi="Arial"/>
          <w:sz w:val="18"/>
          <w:szCs w:val="18"/>
          <w:color w:val="auto"/>
        </w:rPr>
      </w:pPr>
    </w:p>
    <w:p>
      <w:pPr>
        <w:ind w:left="644" w:hanging="644"/>
        <w:spacing w:after="0"/>
        <w:tabs>
          <w:tab w:leader="none" w:pos="644"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 Payment Date</w:t>
      </w:r>
      <w:r>
        <w:rPr>
          <w:rFonts w:ascii="Arial" w:cs="Arial" w:eastAsia="Arial" w:hAnsi="Arial"/>
          <w:sz w:val="17"/>
          <w:szCs w:val="17"/>
          <w:color w:val="auto"/>
        </w:rPr>
        <w:t>” shall mean March 30, June 30, September 30 and December 30 of each year, commencing June 30, 2018.</w:t>
      </w:r>
    </w:p>
    <w:p>
      <w:pPr>
        <w:spacing w:after="0" w:line="236" w:lineRule="exact"/>
        <w:rPr>
          <w:rFonts w:ascii="Arial" w:cs="Arial" w:eastAsia="Arial" w:hAnsi="Arial"/>
          <w:sz w:val="17"/>
          <w:szCs w:val="17"/>
          <w:color w:val="auto"/>
        </w:rPr>
      </w:pPr>
    </w:p>
    <w:p>
      <w:pPr>
        <w:jc w:val="both"/>
        <w:ind w:left="644" w:hanging="644"/>
        <w:spacing w:after="0" w:line="266" w:lineRule="auto"/>
        <w:tabs>
          <w:tab w:leader="none" w:pos="64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Rate</w:t>
      </w:r>
      <w:r>
        <w:rPr>
          <w:rFonts w:ascii="Arial" w:cs="Arial" w:eastAsia="Arial" w:hAnsi="Arial"/>
          <w:sz w:val="18"/>
          <w:szCs w:val="18"/>
          <w:color w:val="auto"/>
        </w:rPr>
        <w:t>” shall mean, as of any date of determination, the rate per annum of 2.0%, subject to increase and subsequent decrease as set forth in Section 3(e)(iv) of the Registration Rights, Lock-Up and Standstill Agreement, dated as of April 2, 2018, between the Company and the shareholders party thereto, as may be amended from time to time.</w:t>
      </w:r>
    </w:p>
    <w:p>
      <w:pPr>
        <w:spacing w:after="0" w:line="176" w:lineRule="exact"/>
        <w:rPr>
          <w:rFonts w:ascii="Arial" w:cs="Arial" w:eastAsia="Arial" w:hAnsi="Arial"/>
          <w:sz w:val="18"/>
          <w:szCs w:val="18"/>
          <w:color w:val="auto"/>
        </w:rPr>
      </w:pPr>
    </w:p>
    <w:p>
      <w:pPr>
        <w:ind w:left="644" w:right="20" w:hanging="644"/>
        <w:spacing w:after="0" w:line="282" w:lineRule="auto"/>
        <w:tabs>
          <w:tab w:leader="none" w:pos="64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Record Date</w:t>
      </w:r>
      <w:r>
        <w:rPr>
          <w:rFonts w:ascii="Arial" w:cs="Arial" w:eastAsia="Arial" w:hAnsi="Arial"/>
          <w:sz w:val="18"/>
          <w:szCs w:val="18"/>
          <w:color w:val="auto"/>
        </w:rPr>
        <w:t>” shall mean, with respect to any Dividend Payment Date, the March 25, June 25, September 25 or December 24 immediately preceding such Dividend Payment Date.</w:t>
      </w:r>
    </w:p>
    <w:p>
      <w:pPr>
        <w:spacing w:after="0" w:line="165" w:lineRule="exact"/>
        <w:rPr>
          <w:rFonts w:ascii="Arial" w:cs="Arial" w:eastAsia="Arial" w:hAnsi="Arial"/>
          <w:sz w:val="18"/>
          <w:szCs w:val="18"/>
          <w:color w:val="auto"/>
        </w:rPr>
      </w:pPr>
    </w:p>
    <w:p>
      <w:pPr>
        <w:ind w:left="5004" w:hanging="96"/>
        <w:spacing w:after="0"/>
        <w:tabs>
          <w:tab w:leader="none" w:pos="5004" w:val="left"/>
        </w:tabs>
        <w:numPr>
          <w:ilvl w:val="2"/>
          <w:numId w:val="7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0" w:right="239" w:bottom="1440" w:gutter="0" w:footer="0" w:header="0"/>
        </w:sectPr>
      </w:pPr>
    </w:p>
    <w:bookmarkStart w:id="61" w:name="page62"/>
    <w:bookmarkEnd w:id="61"/>
    <w:p>
      <w:pPr>
        <w:ind w:left="644" w:hanging="644"/>
        <w:spacing w:after="0"/>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w:t>
      </w:r>
      <w:r>
        <w:rPr>
          <w:rFonts w:ascii="Arial" w:cs="Arial" w:eastAsia="Arial" w:hAnsi="Arial"/>
          <w:sz w:val="18"/>
          <w:szCs w:val="18"/>
          <w:color w:val="auto"/>
        </w:rPr>
        <w:t>” shall have the meaning set forth in Article 27.1.6(a)(i).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 Date</w:t>
      </w:r>
      <w:r>
        <w:rPr>
          <w:rFonts w:ascii="Arial" w:cs="Arial" w:eastAsia="Arial" w:hAnsi="Arial"/>
          <w:sz w:val="18"/>
          <w:szCs w:val="18"/>
          <w:color w:val="auto"/>
        </w:rPr>
        <w:t>” shall have the meaning set forth in Article 27.1.6(a)(i).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 Effective Date</w:t>
      </w:r>
      <w:r>
        <w:rPr>
          <w:rFonts w:ascii="Arial" w:cs="Arial" w:eastAsia="Arial" w:hAnsi="Arial"/>
          <w:sz w:val="18"/>
          <w:szCs w:val="18"/>
          <w:color w:val="auto"/>
        </w:rPr>
        <w:t>” shall have the meaning set forth in Article 27.1.6(a)(iii).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shall have the meaning set forth in Article 27.1.10(a).</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when used with respect to any issuance or distribution on the Common Shares or any other securities, means the first date on which the Common Shares or such other securities trade without the right to receive such issuance or distribution.</w:t>
      </w:r>
    </w:p>
    <w:p>
      <w:pPr>
        <w:spacing w:after="0" w:line="161" w:lineRule="exact"/>
        <w:rPr>
          <w:rFonts w:ascii="Arial" w:cs="Arial" w:eastAsia="Arial" w:hAnsi="Arial"/>
          <w:sz w:val="18"/>
          <w:szCs w:val="18"/>
          <w:color w:val="auto"/>
        </w:rPr>
      </w:pPr>
    </w:p>
    <w:p>
      <w:pPr>
        <w:ind w:left="644" w:hanging="644"/>
        <w:spacing w:after="0"/>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shall have the meaning set forth in Article 27.1.9(f)(i).</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fair market value as determined in good faith by the Board (or an authorized committee thereof), whose determination shall be conclusive and final.</w:t>
      </w:r>
    </w:p>
    <w:p>
      <w:pPr>
        <w:spacing w:after="0" w:line="162" w:lineRule="exact"/>
        <w:rPr>
          <w:sz w:val="20"/>
          <w:szCs w:val="20"/>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Conversion</w:t>
      </w:r>
      <w:r>
        <w:rPr>
          <w:rFonts w:ascii="Arial" w:cs="Arial" w:eastAsia="Arial" w:hAnsi="Arial"/>
          <w:sz w:val="18"/>
          <w:szCs w:val="18"/>
          <w:color w:val="auto"/>
        </w:rPr>
        <w:t>” shall have the meaning set forth in Article 27.1.6(b)(i).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Conversion Date</w:t>
      </w:r>
      <w:r>
        <w:rPr>
          <w:rFonts w:ascii="Arial" w:cs="Arial" w:eastAsia="Arial" w:hAnsi="Arial"/>
          <w:sz w:val="18"/>
          <w:szCs w:val="18"/>
          <w:color w:val="auto"/>
        </w:rPr>
        <w:t>” shall have the meaning set forth in Article 27.1.6(b)(ii).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Conversion Notice</w:t>
      </w:r>
      <w:r>
        <w:rPr>
          <w:rFonts w:ascii="Arial" w:cs="Arial" w:eastAsia="Arial" w:hAnsi="Arial"/>
          <w:sz w:val="18"/>
          <w:szCs w:val="18"/>
          <w:color w:val="auto"/>
        </w:rPr>
        <w:t>” shall have the meaning set forth in Article 27.1.6(b)(ii).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Conversion Notice Date</w:t>
      </w:r>
      <w:r>
        <w:rPr>
          <w:rFonts w:ascii="Arial" w:cs="Arial" w:eastAsia="Arial" w:hAnsi="Arial"/>
          <w:sz w:val="18"/>
          <w:szCs w:val="18"/>
          <w:color w:val="auto"/>
        </w:rPr>
        <w:t>” shall have the meaning set forth in Article 27.1.6(b)(ii).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shall mean the original date of issuance of the Class A Series 1 Preferred Shares.</w:t>
      </w:r>
    </w:p>
    <w:p>
      <w:pPr>
        <w:spacing w:after="0" w:line="225" w:lineRule="exact"/>
        <w:rPr>
          <w:rFonts w:ascii="Arial" w:cs="Arial" w:eastAsia="Arial" w:hAnsi="Arial"/>
          <w:sz w:val="18"/>
          <w:szCs w:val="18"/>
          <w:color w:val="auto"/>
        </w:rPr>
      </w:pPr>
    </w:p>
    <w:p>
      <w:pPr>
        <w:ind w:left="644" w:hanging="644"/>
        <w:spacing w:after="0" w:line="347" w:lineRule="auto"/>
        <w:tabs>
          <w:tab w:leader="none" w:pos="644"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shall mean, with respect to each Class A Series 1 Preferred Share, $10,000, subject to increase in accordance with Article 27.1.3(c), and, with respect to any Conversion only, shall include any Accrued Dividends as provided in Article 27.1.3(e).</w:t>
      </w:r>
    </w:p>
    <w:p>
      <w:pPr>
        <w:spacing w:after="0" w:line="116" w:lineRule="exact"/>
        <w:rPr>
          <w:rFonts w:ascii="Arial" w:cs="Arial" w:eastAsia="Arial" w:hAnsi="Arial"/>
          <w:sz w:val="16"/>
          <w:szCs w:val="16"/>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w:t>
      </w:r>
      <w:r>
        <w:rPr>
          <w:rFonts w:ascii="Arial" w:cs="Arial" w:eastAsia="Arial" w:hAnsi="Arial"/>
          <w:sz w:val="18"/>
          <w:szCs w:val="18"/>
          <w:color w:val="auto"/>
        </w:rPr>
        <w:t>” shall have the meaning set forth in Article 27.1.6(c)(i).</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 Date</w:t>
      </w:r>
      <w:r>
        <w:rPr>
          <w:rFonts w:ascii="Arial" w:cs="Arial" w:eastAsia="Arial" w:hAnsi="Arial"/>
          <w:sz w:val="18"/>
          <w:szCs w:val="18"/>
          <w:color w:val="auto"/>
        </w:rPr>
        <w:t>” means June 30, 2023.</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 Issuance Date</w:t>
      </w:r>
      <w:r>
        <w:rPr>
          <w:rFonts w:ascii="Arial" w:cs="Arial" w:eastAsia="Arial" w:hAnsi="Arial"/>
          <w:sz w:val="18"/>
          <w:szCs w:val="18"/>
          <w:color w:val="auto"/>
        </w:rPr>
        <w:t>” shall have the meaning set forth in Article 27.1.6(c)(ii).</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Ownership Notice</w:t>
      </w:r>
      <w:r>
        <w:rPr>
          <w:rFonts w:ascii="Arial" w:cs="Arial" w:eastAsia="Arial" w:hAnsi="Arial"/>
          <w:sz w:val="18"/>
          <w:szCs w:val="18"/>
          <w:color w:val="auto"/>
        </w:rPr>
        <w:t xml:space="preserve">” shall mean any written notice of the Company containing the information, if any, required to be set forth or stated on certificates pursuant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which shall include the information set forth in Exhibit B.</w:t>
      </w:r>
    </w:p>
    <w:p>
      <w:pPr>
        <w:spacing w:after="0" w:line="161"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shall have the meaning set forth in Article 27.1.7(a).</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shall have the meaning set forth in Article 27.1.10(a).</w:t>
      </w:r>
    </w:p>
    <w:p>
      <w:pPr>
        <w:spacing w:after="0" w:line="229" w:lineRule="exact"/>
        <w:rPr>
          <w:rFonts w:ascii="Arial" w:cs="Arial" w:eastAsia="Arial" w:hAnsi="Arial"/>
          <w:sz w:val="18"/>
          <w:szCs w:val="18"/>
          <w:color w:val="auto"/>
        </w:rPr>
      </w:pPr>
    </w:p>
    <w:p>
      <w:pPr>
        <w:ind w:left="5004" w:hanging="96"/>
        <w:spacing w:after="0"/>
        <w:tabs>
          <w:tab w:leader="none" w:pos="5004" w:val="left"/>
        </w:tabs>
        <w:numPr>
          <w:ilvl w:val="1"/>
          <w:numId w:val="8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0" w:right="239" w:bottom="1440" w:gutter="0" w:footer="0" w:header="0"/>
        </w:sectPr>
      </w:pPr>
    </w:p>
    <w:bookmarkStart w:id="62" w:name="page63"/>
    <w:bookmarkEnd w:id="62"/>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Period</w:t>
      </w:r>
      <w:r>
        <w:rPr>
          <w:rFonts w:ascii="Arial" w:cs="Arial" w:eastAsia="Arial" w:hAnsi="Arial"/>
          <w:sz w:val="18"/>
          <w:szCs w:val="18"/>
          <w:color w:val="auto"/>
        </w:rPr>
        <w:t>” means the 10-consecutive Trading Day period before a Conversion Date.</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means a distribution by the Company to all holders of Common Shares consisting of common shares or capital stock of, or similar equity interests in, or relating to, a subsidiary or other business unit of the Company.</w:t>
      </w:r>
    </w:p>
    <w:p>
      <w:pPr>
        <w:spacing w:after="0" w:line="161"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w:t>
      </w:r>
      <w:r>
        <w:rPr>
          <w:rFonts w:ascii="Arial" w:cs="Arial" w:eastAsia="Arial" w:hAnsi="Arial"/>
          <w:sz w:val="18"/>
          <w:szCs w:val="18"/>
          <w:b w:val="1"/>
          <w:bCs w:val="1"/>
          <w:color w:val="auto"/>
        </w:rPr>
        <w:t>Trading Day</w:t>
      </w:r>
      <w:r>
        <w:rPr>
          <w:rFonts w:ascii="Arial" w:cs="Arial" w:eastAsia="Arial" w:hAnsi="Arial"/>
          <w:sz w:val="18"/>
          <w:szCs w:val="18"/>
          <w:color w:val="auto"/>
        </w:rPr>
        <w:t>” shall mean a Business Day.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set forth in Article 27.1.9(d)(iv).</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Exchange Property</w:t>
      </w:r>
      <w:r>
        <w:rPr>
          <w:rFonts w:ascii="Arial" w:cs="Arial" w:eastAsia="Arial" w:hAnsi="Arial"/>
          <w:sz w:val="18"/>
          <w:szCs w:val="18"/>
          <w:color w:val="auto"/>
        </w:rPr>
        <w:t>” shall have the meaning set forth in Article 27.1.10(a).</w:t>
      </w:r>
    </w:p>
    <w:p>
      <w:pPr>
        <w:spacing w:after="0" w:line="225"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w:t>
      </w:r>
      <w:r>
        <w:rPr>
          <w:rFonts w:ascii="Arial" w:cs="Arial" w:eastAsia="Arial" w:hAnsi="Arial"/>
          <w:sz w:val="18"/>
          <w:szCs w:val="18"/>
          <w:color w:val="auto"/>
        </w:rPr>
        <w:t>”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27.1.2</w:t>
      </w:r>
      <w:r>
        <w:rPr>
          <w:sz w:val="20"/>
          <w:szCs w:val="20"/>
          <w:color w:val="auto"/>
        </w:rPr>
        <w:tab/>
      </w:r>
      <w:r>
        <w:rPr>
          <w:rFonts w:ascii="Arial" w:cs="Arial" w:eastAsia="Arial" w:hAnsi="Arial"/>
          <w:sz w:val="16"/>
          <w:szCs w:val="16"/>
          <w:b w:val="1"/>
          <w:bCs w:val="1"/>
          <w:color w:val="auto"/>
        </w:rPr>
        <w:t>Amount; Ranking</w:t>
      </w:r>
    </w:p>
    <w:p>
      <w:pPr>
        <w:spacing w:after="0" w:line="229" w:lineRule="exact"/>
        <w:rPr>
          <w:sz w:val="20"/>
          <w:szCs w:val="20"/>
          <w:color w:val="auto"/>
        </w:rPr>
      </w:pPr>
    </w:p>
    <w:p>
      <w:pPr>
        <w:ind w:left="130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shall be created from the Class A Series 1 Preferred Shares of the Company authorized to be issued pursuant to the Articles of the Company, 9,679 Class A Series 1 Preferred Shares.</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Class A Series 1 Preferred Shares that are redeemed, purchased or otherwise acquired by the Company, or converted into Common Shares, shall be cancelled, shall revert to authorized but unissued Class A Series 1 Preferred Shares and shall not be reissued.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27.1.3</w:t>
      </w:r>
      <w:r>
        <w:rPr>
          <w:sz w:val="20"/>
          <w:szCs w:val="20"/>
          <w:color w:val="auto"/>
        </w:rPr>
        <w:tab/>
      </w:r>
      <w:r>
        <w:rPr>
          <w:rFonts w:ascii="Arial" w:cs="Arial" w:eastAsia="Arial" w:hAnsi="Arial"/>
          <w:sz w:val="15"/>
          <w:szCs w:val="15"/>
          <w:b w:val="1"/>
          <w:bCs w:val="1"/>
          <w:color w:val="auto"/>
        </w:rPr>
        <w:t>Dividends</w:t>
      </w:r>
    </w:p>
    <w:p>
      <w:pPr>
        <w:spacing w:after="0" w:line="229" w:lineRule="exact"/>
        <w:rPr>
          <w:sz w:val="20"/>
          <w:szCs w:val="20"/>
          <w:color w:val="auto"/>
        </w:rPr>
      </w:pPr>
    </w:p>
    <w:p>
      <w:pPr>
        <w:jc w:val="both"/>
        <w:ind w:left="1300" w:hanging="644"/>
        <w:spacing w:after="0" w:line="25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Holders of Class A Series 1 Preferred Shares shall be entitled to receive, with respect to each Class A Series 1 Preferred Share, and as, when and if declared by the Board out of funds of the Company legally available for payment, cash dividends (“</w:t>
      </w:r>
      <w:r>
        <w:rPr>
          <w:rFonts w:ascii="Arial" w:cs="Arial" w:eastAsia="Arial" w:hAnsi="Arial"/>
          <w:sz w:val="18"/>
          <w:szCs w:val="18"/>
          <w:b w:val="1"/>
          <w:bCs w:val="1"/>
          <w:color w:val="auto"/>
        </w:rPr>
        <w:t>Cash Dividends</w:t>
      </w:r>
      <w:r>
        <w:rPr>
          <w:rFonts w:ascii="Arial" w:cs="Arial" w:eastAsia="Arial" w:hAnsi="Arial"/>
          <w:sz w:val="18"/>
          <w:szCs w:val="18"/>
          <w:color w:val="auto"/>
        </w:rPr>
        <w:t>”)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spacing w:after="0" w:line="188" w:lineRule="exact"/>
        <w:rPr>
          <w:rFonts w:ascii="Arial" w:cs="Arial" w:eastAsia="Arial" w:hAnsi="Arial"/>
          <w:sz w:val="18"/>
          <w:szCs w:val="18"/>
          <w:color w:val="auto"/>
        </w:rPr>
      </w:pPr>
    </w:p>
    <w:p>
      <w:pPr>
        <w:ind w:left="5660" w:hanging="96"/>
        <w:spacing w:after="0"/>
        <w:tabs>
          <w:tab w:leader="none" w:pos="5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jc w:val="both"/>
        <w:ind w:left="1300" w:hanging="644"/>
        <w:spacing w:after="0" w:line="255"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spacing w:after="0" w:line="189"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w:t>
      </w:r>
    </w:p>
    <w:p>
      <w:pPr>
        <w:spacing w:after="0" w:line="189"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w:t>
      </w:r>
    </w:p>
    <w:p>
      <w:pPr>
        <w:spacing w:after="0" w:line="154" w:lineRule="exact"/>
        <w:rPr>
          <w:rFonts w:ascii="Arial" w:cs="Arial" w:eastAsia="Arial" w:hAnsi="Arial"/>
          <w:sz w:val="16"/>
          <w:szCs w:val="16"/>
          <w:color w:val="auto"/>
        </w:rPr>
      </w:pPr>
    </w:p>
    <w:p>
      <w:pPr>
        <w:jc w:val="both"/>
        <w:ind w:left="1300" w:hanging="644"/>
        <w:spacing w:after="0" w:line="302" w:lineRule="auto"/>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27.1.4</w:t>
      </w:r>
      <w:r>
        <w:rPr>
          <w:sz w:val="20"/>
          <w:szCs w:val="20"/>
          <w:color w:val="auto"/>
        </w:rPr>
        <w:tab/>
      </w:r>
      <w:r>
        <w:rPr>
          <w:rFonts w:ascii="Arial" w:cs="Arial" w:eastAsia="Arial" w:hAnsi="Arial"/>
          <w:sz w:val="16"/>
          <w:szCs w:val="16"/>
          <w:b w:val="1"/>
          <w:bCs w:val="1"/>
          <w:color w:val="auto"/>
        </w:rPr>
        <w:t>Liquidation, Dissolution or Winding-Up</w:t>
      </w:r>
    </w:p>
    <w:p>
      <w:pPr>
        <w:spacing w:after="0" w:line="229" w:lineRule="exact"/>
        <w:rPr>
          <w:sz w:val="20"/>
          <w:szCs w:val="20"/>
          <w:color w:val="auto"/>
        </w:rPr>
      </w:pPr>
    </w:p>
    <w:p>
      <w:pPr>
        <w:jc w:val="both"/>
        <w:ind w:left="1300" w:hanging="644"/>
        <w:spacing w:after="0" w:line="273" w:lineRule="auto"/>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In the event of the liquidation, dissolution or winding-up of the Company or other distribution of assets of the Company among its shareholders for the purpose of winding-up its affairs, the holders of the Class A Series 1 Preferred Shares shall be entitled to receive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the Liquidation Preference and Accrued Dividends for each Class A Series 1 Preferred Share held before any amount shall be paid or</w:t>
      </w:r>
      <w:r>
        <w:rPr>
          <w:rFonts w:ascii="Arial" w:cs="Arial" w:eastAsia="Arial" w:hAnsi="Arial"/>
          <w:sz w:val="17"/>
          <w:szCs w:val="17"/>
          <w:i w:val="1"/>
          <w:iCs w:val="1"/>
          <w:color w:val="auto"/>
        </w:rPr>
        <w:t xml:space="preserve"> </w:t>
      </w:r>
      <w:r>
        <w:rPr>
          <w:rFonts w:ascii="Arial" w:cs="Arial" w:eastAsia="Arial" w:hAnsi="Arial"/>
          <w:sz w:val="17"/>
          <w:szCs w:val="17"/>
          <w:color w:val="auto"/>
        </w:rPr>
        <w:t>any property or assets of the Company distributed to the holders of Common Shares or shares ranking junior to the Class A Series 1 Preferred Shares. Upon payment of the amount so payable to them, the holders of the Class A Series 1 Preferred Shares shall not be entitled to share in any further distribution of the property or assets of the Company.</w:t>
      </w:r>
    </w:p>
    <w:p>
      <w:pPr>
        <w:spacing w:after="0" w:line="178" w:lineRule="exact"/>
        <w:rPr>
          <w:rFonts w:ascii="Arial" w:cs="Arial" w:eastAsia="Arial" w:hAnsi="Arial"/>
          <w:sz w:val="17"/>
          <w:szCs w:val="17"/>
          <w:color w:val="auto"/>
        </w:rPr>
      </w:pPr>
    </w:p>
    <w:p>
      <w:pPr>
        <w:ind w:left="5660" w:hanging="96"/>
        <w:spacing w:after="0"/>
        <w:tabs>
          <w:tab w:leader="none" w:pos="5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spacing w:after="0"/>
        <w:tabs>
          <w:tab w:leader="none" w:pos="640" w:val="left"/>
        </w:tabs>
        <w:rPr>
          <w:sz w:val="20"/>
          <w:szCs w:val="20"/>
          <w:color w:val="auto"/>
        </w:rPr>
      </w:pPr>
      <w:r>
        <w:rPr>
          <w:rFonts w:ascii="Arial" w:cs="Arial" w:eastAsia="Arial" w:hAnsi="Arial"/>
          <w:sz w:val="18"/>
          <w:szCs w:val="18"/>
          <w:b w:val="1"/>
          <w:bCs w:val="1"/>
          <w:color w:val="auto"/>
        </w:rPr>
        <w:t>27.1.5</w:t>
      </w:r>
      <w:r>
        <w:rPr>
          <w:sz w:val="20"/>
          <w:szCs w:val="20"/>
          <w:color w:val="auto"/>
        </w:rPr>
        <w:tab/>
      </w:r>
      <w:r>
        <w:rPr>
          <w:rFonts w:ascii="Arial" w:cs="Arial" w:eastAsia="Arial" w:hAnsi="Arial"/>
          <w:sz w:val="16"/>
          <w:szCs w:val="16"/>
          <w:b w:val="1"/>
          <w:bCs w:val="1"/>
          <w:color w:val="auto"/>
        </w:rPr>
        <w:t>Voting Rights.</w:t>
      </w:r>
    </w:p>
    <w:p>
      <w:pPr>
        <w:spacing w:after="0" w:line="229" w:lineRule="exact"/>
        <w:rPr>
          <w:sz w:val="20"/>
          <w:szCs w:val="20"/>
          <w:color w:val="auto"/>
        </w:rPr>
      </w:pPr>
    </w:p>
    <w:p>
      <w:pPr>
        <w:ind w:left="130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Each Class A Series 1 Preferred Share shall have only such voting rights as prescribed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in connection with such voting rights, shall be entitled to one vote per Class A Series 1 Preferred Share.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27.1.6</w:t>
      </w:r>
      <w:r>
        <w:rPr>
          <w:sz w:val="20"/>
          <w:szCs w:val="20"/>
          <w:color w:val="auto"/>
        </w:rPr>
        <w:tab/>
      </w:r>
      <w:r>
        <w:rPr>
          <w:rFonts w:ascii="Arial" w:cs="Arial" w:eastAsia="Arial" w:hAnsi="Arial"/>
          <w:sz w:val="15"/>
          <w:szCs w:val="15"/>
          <w:b w:val="1"/>
          <w:bCs w:val="1"/>
          <w:color w:val="auto"/>
        </w:rPr>
        <w:t>Conversion</w:t>
      </w:r>
    </w:p>
    <w:p>
      <w:pPr>
        <w:spacing w:after="0" w:line="229"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Early Conversion at the Option of the Holder</w:t>
      </w:r>
    </w:p>
    <w:p>
      <w:pPr>
        <w:spacing w:after="0" w:line="225"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holders of the Class A Series 1 Preferred Shares shall have the right, exercisable from time to time, to convert their Class A Series 1 Preferred Shares, in whole or in part (but in no event less than whole Class A Series 1 Preferred Shares), at any time after April 2, 2020 and prior to the Mandatory Conversion Date (“</w:t>
      </w:r>
      <w:r>
        <w:rPr>
          <w:rFonts w:ascii="Arial" w:cs="Arial" w:eastAsia="Arial" w:hAnsi="Arial"/>
          <w:sz w:val="18"/>
          <w:szCs w:val="18"/>
          <w:b w:val="1"/>
          <w:bCs w:val="1"/>
          <w:color w:val="auto"/>
        </w:rPr>
        <w:t>Early Conversion</w:t>
      </w:r>
      <w:r>
        <w:rPr>
          <w:rFonts w:ascii="Arial" w:cs="Arial" w:eastAsia="Arial" w:hAnsi="Arial"/>
          <w:sz w:val="18"/>
          <w:szCs w:val="18"/>
          <w:color w:val="auto"/>
        </w:rPr>
        <w:t>”), into Common Shares at the Conversion Rate then in effect, subject to satisfaction of the Conversion procedures set forth in this Article 27.1.6(a) (the date of issuance of such Shares, the “</w:t>
      </w:r>
      <w:r>
        <w:rPr>
          <w:rFonts w:ascii="Arial" w:cs="Arial" w:eastAsia="Arial" w:hAnsi="Arial"/>
          <w:sz w:val="18"/>
          <w:szCs w:val="18"/>
          <w:b w:val="1"/>
          <w:bCs w:val="1"/>
          <w:color w:val="auto"/>
        </w:rPr>
        <w:t>Early Conversion Date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960" w:hanging="655"/>
        <w:spacing w:after="0" w:line="312" w:lineRule="auto"/>
        <w:tabs>
          <w:tab w:leader="none" w:pos="19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spacing w:after="0" w:line="146"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Early Conversion shall be effective on the date on which a holder of Class A Series 1 Preferred Shares has satisfied the foregoing requirements, to the extent applicable (such date, the “</w:t>
      </w:r>
      <w:r>
        <w:rPr>
          <w:rFonts w:ascii="Arial" w:cs="Arial" w:eastAsia="Arial" w:hAnsi="Arial"/>
          <w:sz w:val="16"/>
          <w:szCs w:val="16"/>
          <w:b w:val="1"/>
          <w:bCs w:val="1"/>
          <w:color w:val="auto"/>
        </w:rPr>
        <w:t>Early Conversion Effective Date</w:t>
      </w:r>
      <w:r>
        <w:rPr>
          <w:rFonts w:ascii="Arial" w:cs="Arial" w:eastAsia="Arial" w:hAnsi="Arial"/>
          <w:sz w:val="16"/>
          <w:szCs w:val="16"/>
          <w:color w:val="auto"/>
        </w:rPr>
        <w:t>”).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68" w:lineRule="exact"/>
        <w:rPr>
          <w:rFonts w:ascii="Arial" w:cs="Arial" w:eastAsia="Arial" w:hAnsi="Arial"/>
          <w:sz w:val="16"/>
          <w:szCs w:val="16"/>
          <w:color w:val="auto"/>
        </w:rPr>
      </w:pPr>
    </w:p>
    <w:p>
      <w:pPr>
        <w:ind w:left="5660" w:hanging="96"/>
        <w:spacing w:after="0"/>
        <w:tabs>
          <w:tab w:leader="none" w:pos="56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jc w:val="both"/>
        <w:ind w:left="1304" w:hanging="655"/>
        <w:spacing w:after="0" w:line="272" w:lineRule="auto"/>
        <w:tabs>
          <w:tab w:leader="none" w:pos="1304"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 on such applicable Early Conversion Date, 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w:t>
      </w:r>
    </w:p>
    <w:p>
      <w:pPr>
        <w:spacing w:after="0" w:line="177" w:lineRule="exact"/>
        <w:rPr>
          <w:rFonts w:ascii="Arial" w:cs="Arial" w:eastAsia="Arial" w:hAnsi="Arial"/>
          <w:sz w:val="17"/>
          <w:szCs w:val="17"/>
          <w:color w:val="auto"/>
        </w:rPr>
      </w:pPr>
    </w:p>
    <w:p>
      <w:pPr>
        <w:jc w:val="both"/>
        <w:ind w:left="1304" w:hanging="655"/>
        <w:spacing w:after="0" w:line="279" w:lineRule="auto"/>
        <w:tabs>
          <w:tab w:leader="none" w:pos="1304" w:val="left"/>
        </w:tabs>
        <w:numPr>
          <w:ilvl w:val="1"/>
          <w:numId w:val="88"/>
        </w:numPr>
        <w:rPr>
          <w:rFonts w:ascii="Arial" w:cs="Arial" w:eastAsia="Arial" w:hAnsi="Arial"/>
          <w:sz w:val="17"/>
          <w:szCs w:val="17"/>
          <w:color w:val="auto"/>
        </w:rPr>
      </w:pPr>
      <w:r>
        <w:rPr>
          <w:rFonts w:ascii="Arial" w:cs="Arial" w:eastAsia="Arial" w:hAnsi="Arial"/>
          <w:sz w:val="17"/>
          <w:szCs w:val="17"/>
          <w:color w:val="auto"/>
        </w:rPr>
        <w:t>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spacing w:after="0" w:line="171" w:lineRule="exact"/>
        <w:rPr>
          <w:rFonts w:ascii="Arial" w:cs="Arial" w:eastAsia="Arial" w:hAnsi="Arial"/>
          <w:sz w:val="17"/>
          <w:szCs w:val="17"/>
          <w:color w:val="auto"/>
        </w:rPr>
      </w:pPr>
    </w:p>
    <w:p>
      <w:pPr>
        <w:ind w:left="644" w:hanging="644"/>
        <w:spacing w:after="0"/>
        <w:tabs>
          <w:tab w:leader="none" w:pos="64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Forced Conversion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5"/>
        <w:spacing w:after="0" w:line="276" w:lineRule="auto"/>
        <w:tabs>
          <w:tab w:leader="none" w:pos="1304"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Company shall have the right, at any time and from time to time, to cause the outstanding Class A Series 1 Preferred Shares to be converted, in whole or in part, into Common Shares at the Conversion Rate then in effect (“</w:t>
      </w:r>
      <w:r>
        <w:rPr>
          <w:rFonts w:ascii="Arial" w:cs="Arial" w:eastAsia="Arial" w:hAnsi="Arial"/>
          <w:sz w:val="17"/>
          <w:szCs w:val="17"/>
          <w:b w:val="1"/>
          <w:bCs w:val="1"/>
          <w:color w:val="auto"/>
        </w:rPr>
        <w:t>Forced Conversion</w:t>
      </w:r>
      <w:r>
        <w:rPr>
          <w:rFonts w:ascii="Arial" w:cs="Arial" w:eastAsia="Arial" w:hAnsi="Arial"/>
          <w:sz w:val="17"/>
          <w:szCs w:val="17"/>
          <w:color w:val="auto"/>
        </w:rPr>
        <w:t>”);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w:t>
      </w:r>
    </w:p>
    <w:p>
      <w:pPr>
        <w:spacing w:after="0" w:line="172" w:lineRule="exact"/>
        <w:rPr>
          <w:rFonts w:ascii="Arial" w:cs="Arial" w:eastAsia="Arial" w:hAnsi="Arial"/>
          <w:sz w:val="17"/>
          <w:szCs w:val="17"/>
          <w:color w:val="auto"/>
        </w:rPr>
      </w:pPr>
    </w:p>
    <w:p>
      <w:pPr>
        <w:jc w:val="both"/>
        <w:ind w:left="1304" w:hanging="655"/>
        <w:spacing w:after="0" w:line="259" w:lineRule="auto"/>
        <w:tabs>
          <w:tab w:leader="none" w:pos="13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convert Class A Series 1 Preferred Shares into Common Shares pursuant to this Article 27.1.6(b), the Company shall give written notice (the “</w:t>
      </w:r>
      <w:r>
        <w:rPr>
          <w:rFonts w:ascii="Arial" w:cs="Arial" w:eastAsia="Arial" w:hAnsi="Arial"/>
          <w:sz w:val="18"/>
          <w:szCs w:val="18"/>
          <w:b w:val="1"/>
          <w:bCs w:val="1"/>
          <w:color w:val="auto"/>
        </w:rPr>
        <w:t>Forced Conversion Notice</w:t>
      </w:r>
      <w:r>
        <w:rPr>
          <w:rFonts w:ascii="Arial" w:cs="Arial" w:eastAsia="Arial" w:hAnsi="Arial"/>
          <w:sz w:val="18"/>
          <w:szCs w:val="18"/>
          <w:color w:val="auto"/>
        </w:rPr>
        <w:t>” and the date of such notice, the “</w:t>
      </w:r>
      <w:r>
        <w:rPr>
          <w:rFonts w:ascii="Arial" w:cs="Arial" w:eastAsia="Arial" w:hAnsi="Arial"/>
          <w:sz w:val="18"/>
          <w:szCs w:val="18"/>
          <w:b w:val="1"/>
          <w:bCs w:val="1"/>
          <w:color w:val="auto"/>
        </w:rPr>
        <w:t>Forced Conversion Notice Date</w:t>
      </w:r>
      <w:r>
        <w:rPr>
          <w:rFonts w:ascii="Arial" w:cs="Arial" w:eastAsia="Arial" w:hAnsi="Arial"/>
          <w:sz w:val="18"/>
          <w:szCs w:val="18"/>
          <w:color w:val="auto"/>
        </w:rPr>
        <w:t>”) to each holder of Class A Series 1 Preferred Shares stating that the Company elects to force Conversion of such Class A Series 1 Preferred Shares pursuant to this Article 27.1.6(b) and shall state therein:</w:t>
      </w:r>
    </w:p>
    <w:p>
      <w:pPr>
        <w:spacing w:after="0" w:line="186" w:lineRule="exact"/>
        <w:rPr>
          <w:rFonts w:ascii="Arial" w:cs="Arial" w:eastAsia="Arial" w:hAnsi="Arial"/>
          <w:sz w:val="18"/>
          <w:szCs w:val="18"/>
          <w:color w:val="auto"/>
        </w:rPr>
      </w:pPr>
    </w:p>
    <w:p>
      <w:pPr>
        <w:ind w:left="1944" w:hanging="647"/>
        <w:spacing w:after="0"/>
        <w:tabs>
          <w:tab w:leader="none" w:pos="1944"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number of Class A Series 1 Preferred Shares to be converted;</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Conversion Rate on the Forced Conversion Notice Date; and</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Company’s computation of the number of Common Shares to be received by such holder.</w:t>
      </w:r>
    </w:p>
    <w:p>
      <w:pPr>
        <w:spacing w:after="0" w:line="225" w:lineRule="exact"/>
        <w:rPr>
          <w:sz w:val="20"/>
          <w:szCs w:val="20"/>
          <w:color w:val="auto"/>
        </w:rPr>
      </w:pPr>
    </w:p>
    <w:p>
      <w:pPr>
        <w:jc w:val="both"/>
        <w:ind w:left="1304" w:right="20"/>
        <w:spacing w:after="0" w:line="264" w:lineRule="auto"/>
        <w:rPr>
          <w:sz w:val="20"/>
          <w:szCs w:val="20"/>
          <w:color w:val="auto"/>
        </w:rPr>
      </w:pPr>
      <w:r>
        <w:rPr>
          <w:rFonts w:ascii="Arial" w:cs="Arial" w:eastAsia="Arial" w:hAnsi="Arial"/>
          <w:sz w:val="18"/>
          <w:szCs w:val="18"/>
          <w:color w:val="auto"/>
        </w:rPr>
        <w:t>If the Company validly delivers a Forced Conversion Notice in accordance with this Article 27.1.6(b), the Company shall issue the Common Shares as soon as reasonably practicable, but not later than 10 Business Days thereafter (the date of issuance of such shares, the “</w:t>
      </w:r>
      <w:r>
        <w:rPr>
          <w:rFonts w:ascii="Arial" w:cs="Arial" w:eastAsia="Arial" w:hAnsi="Arial"/>
          <w:sz w:val="18"/>
          <w:szCs w:val="18"/>
          <w:b w:val="1"/>
          <w:bCs w:val="1"/>
          <w:color w:val="auto"/>
        </w:rPr>
        <w:t>Forced Conversion Date</w:t>
      </w:r>
      <w:r>
        <w:rPr>
          <w:rFonts w:ascii="Arial" w:cs="Arial" w:eastAsia="Arial" w:hAnsi="Arial"/>
          <w:sz w:val="18"/>
          <w:szCs w:val="18"/>
          <w:color w:val="auto"/>
        </w:rPr>
        <w:t>”).</w:t>
      </w:r>
    </w:p>
    <w:p>
      <w:pPr>
        <w:spacing w:after="0" w:line="18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66" w:name="page67"/>
    <w:bookmarkEnd w:id="66"/>
    <w:p>
      <w:pPr>
        <w:jc w:val="both"/>
        <w:ind w:left="1304" w:hanging="655"/>
        <w:spacing w:after="0" w:line="286" w:lineRule="auto"/>
        <w:tabs>
          <w:tab w:leader="none" w:pos="1304"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71" w:lineRule="exact"/>
        <w:rPr>
          <w:rFonts w:ascii="Arial" w:cs="Arial" w:eastAsia="Arial" w:hAnsi="Arial"/>
          <w:sz w:val="16"/>
          <w:szCs w:val="16"/>
          <w:color w:val="auto"/>
        </w:rPr>
      </w:pPr>
    </w:p>
    <w:p>
      <w:pPr>
        <w:jc w:val="both"/>
        <w:ind w:left="1304" w:hanging="655"/>
        <w:spacing w:after="0" w:line="302" w:lineRule="auto"/>
        <w:tabs>
          <w:tab w:leader="none" w:pos="1304"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p>
    <w:p>
      <w:pPr>
        <w:spacing w:after="0" w:line="221" w:lineRule="exact"/>
        <w:rPr>
          <w:rFonts w:ascii="Arial" w:cs="Arial" w:eastAsia="Arial" w:hAnsi="Arial"/>
          <w:sz w:val="18"/>
          <w:szCs w:val="18"/>
          <w:color w:val="auto"/>
        </w:rPr>
      </w:pPr>
    </w:p>
    <w:p>
      <w:pPr>
        <w:ind w:left="1304" w:hanging="655"/>
        <w:spacing w:after="0" w:line="282" w:lineRule="auto"/>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Each Class A Series 1 Preferred Share shall automatically convert on the Mandatory Conversion Date (“</w:t>
      </w:r>
      <w:r>
        <w:rPr>
          <w:rFonts w:ascii="Arial" w:cs="Arial" w:eastAsia="Arial" w:hAnsi="Arial"/>
          <w:sz w:val="18"/>
          <w:szCs w:val="18"/>
          <w:b w:val="1"/>
          <w:bCs w:val="1"/>
          <w:color w:val="auto"/>
        </w:rPr>
        <w:t>Mandatory Conversion</w:t>
      </w:r>
      <w:r>
        <w:rPr>
          <w:rFonts w:ascii="Arial" w:cs="Arial" w:eastAsia="Arial" w:hAnsi="Arial"/>
          <w:sz w:val="18"/>
          <w:szCs w:val="18"/>
          <w:color w:val="auto"/>
        </w:rPr>
        <w:t>”) into Common Shares at the Conversion Rate in effect on such date.</w:t>
      </w:r>
    </w:p>
    <w:p>
      <w:pPr>
        <w:spacing w:after="0" w:line="165" w:lineRule="exact"/>
        <w:rPr>
          <w:rFonts w:ascii="Arial" w:cs="Arial" w:eastAsia="Arial" w:hAnsi="Arial"/>
          <w:sz w:val="18"/>
          <w:szCs w:val="18"/>
          <w:color w:val="auto"/>
        </w:rPr>
      </w:pPr>
    </w:p>
    <w:p>
      <w:pPr>
        <w:jc w:val="both"/>
        <w:ind w:left="1304" w:hanging="655"/>
        <w:spacing w:after="0" w:line="267" w:lineRule="auto"/>
        <w:tabs>
          <w:tab w:leader="none" w:pos="1304"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w:t>
      </w:r>
      <w:r>
        <w:rPr>
          <w:rFonts w:ascii="Arial" w:cs="Arial" w:eastAsia="Arial" w:hAnsi="Arial"/>
          <w:sz w:val="17"/>
          <w:szCs w:val="17"/>
          <w:b w:val="1"/>
          <w:bCs w:val="1"/>
          <w:color w:val="auto"/>
        </w:rPr>
        <w:t>Mandatory Conversion Issuance Date</w:t>
      </w:r>
      <w:r>
        <w:rPr>
          <w:rFonts w:ascii="Arial" w:cs="Arial" w:eastAsia="Arial" w:hAnsi="Arial"/>
          <w:sz w:val="17"/>
          <w:szCs w:val="17"/>
          <w:color w:val="auto"/>
        </w:rPr>
        <w:t>”). On the Mandatory Conversion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92" w:lineRule="exact"/>
        <w:rPr>
          <w:rFonts w:ascii="Arial" w:cs="Arial" w:eastAsia="Arial" w:hAnsi="Arial"/>
          <w:sz w:val="17"/>
          <w:szCs w:val="17"/>
          <w:color w:val="auto"/>
        </w:rPr>
      </w:pPr>
    </w:p>
    <w:p>
      <w:pPr>
        <w:ind w:left="5004" w:hanging="96"/>
        <w:spacing w:after="0"/>
        <w:tabs>
          <w:tab w:leader="none" w:pos="5004" w:val="left"/>
        </w:tabs>
        <w:numPr>
          <w:ilvl w:val="2"/>
          <w:numId w:val="91"/>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67" w:name="page68"/>
    <w:bookmarkEnd w:id="67"/>
    <w:p>
      <w:pPr>
        <w:ind w:left="644" w:hanging="644"/>
        <w:spacing w:after="0"/>
        <w:tabs>
          <w:tab w:leader="none" w:pos="64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Automatic Conversion on Change of Control</w:t>
      </w:r>
    </w:p>
    <w:p>
      <w:pPr>
        <w:spacing w:after="0" w:line="225" w:lineRule="exact"/>
        <w:rPr>
          <w:rFonts w:ascii="Arial" w:cs="Arial" w:eastAsia="Arial" w:hAnsi="Arial"/>
          <w:sz w:val="18"/>
          <w:szCs w:val="18"/>
          <w:color w:val="auto"/>
        </w:rPr>
      </w:pPr>
    </w:p>
    <w:p>
      <w:pPr>
        <w:jc w:val="both"/>
        <w:ind w:left="1304" w:hanging="655"/>
        <w:spacing w:after="0" w:line="272" w:lineRule="auto"/>
        <w:tabs>
          <w:tab w:leader="none" w:pos="1304" w:val="left"/>
        </w:tabs>
        <w:numPr>
          <w:ilvl w:val="1"/>
          <w:numId w:val="92"/>
        </w:numPr>
        <w:rPr>
          <w:rFonts w:ascii="Arial" w:cs="Arial" w:eastAsia="Arial" w:hAnsi="Arial"/>
          <w:sz w:val="17"/>
          <w:szCs w:val="17"/>
          <w:color w:val="auto"/>
        </w:rPr>
      </w:pPr>
      <w:r>
        <w:rPr>
          <w:rFonts w:ascii="Arial" w:cs="Arial" w:eastAsia="Arial" w:hAnsi="Arial"/>
          <w:sz w:val="17"/>
          <w:szCs w:val="17"/>
          <w:color w:val="auto"/>
        </w:rPr>
        <w:t>Immediately prior to the consummation of a Change of Control, each Class A Series 1 Preferred Share shall automatically convert (“</w:t>
      </w:r>
      <w:r>
        <w:rPr>
          <w:rFonts w:ascii="Arial" w:cs="Arial" w:eastAsia="Arial" w:hAnsi="Arial"/>
          <w:sz w:val="17"/>
          <w:szCs w:val="17"/>
          <w:b w:val="1"/>
          <w:bCs w:val="1"/>
          <w:color w:val="auto"/>
        </w:rPr>
        <w:t>Automatic Conversion</w:t>
      </w:r>
      <w:r>
        <w:rPr>
          <w:rFonts w:ascii="Arial" w:cs="Arial" w:eastAsia="Arial" w:hAnsi="Arial"/>
          <w:sz w:val="17"/>
          <w:szCs w:val="17"/>
          <w:color w:val="auto"/>
        </w:rPr>
        <w:t>”) into Common Shares at the Conversion Rate in effect on such date (the “</w:t>
      </w:r>
      <w:r>
        <w:rPr>
          <w:rFonts w:ascii="Arial" w:cs="Arial" w:eastAsia="Arial" w:hAnsi="Arial"/>
          <w:sz w:val="17"/>
          <w:szCs w:val="17"/>
          <w:b w:val="1"/>
          <w:bCs w:val="1"/>
          <w:color w:val="auto"/>
        </w:rPr>
        <w:t>Automatic 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Time</w:t>
      </w:r>
      <w:r>
        <w:rPr>
          <w:rFonts w:ascii="Arial" w:cs="Arial" w:eastAsia="Arial" w:hAnsi="Arial"/>
          <w:sz w:val="17"/>
          <w:szCs w:val="17"/>
          <w:color w:val="auto"/>
        </w:rPr>
        <w:t>”). Such Automatic Conversion shall be automatic, without need for any further action by the holders of Class A Series 1</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w:t>
      </w:r>
    </w:p>
    <w:p>
      <w:pPr>
        <w:spacing w:after="0" w:line="177" w:lineRule="exact"/>
        <w:rPr>
          <w:rFonts w:ascii="Arial" w:cs="Arial" w:eastAsia="Arial" w:hAnsi="Arial"/>
          <w:sz w:val="17"/>
          <w:szCs w:val="17"/>
          <w:color w:val="auto"/>
        </w:rPr>
      </w:pPr>
    </w:p>
    <w:p>
      <w:pPr>
        <w:jc w:val="both"/>
        <w:ind w:left="1304" w:hanging="655"/>
        <w:spacing w:after="0" w:line="272" w:lineRule="auto"/>
        <w:tabs>
          <w:tab w:leader="none" w:pos="1304"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 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spacing w:after="0" w:line="177"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General Conversion Provisions</w:t>
      </w:r>
      <w:r>
        <w:rPr>
          <w:rFonts w:ascii="Arial" w:cs="Arial" w:eastAsia="Arial" w:hAnsi="Arial"/>
          <w:sz w:val="18"/>
          <w:szCs w:val="18"/>
          <w:color w:val="auto"/>
        </w:rPr>
        <w:t>. The Company shall be entitled to register the Common Shares issued on a Conversion, and make such payment, in the name of the holder of Class A Series 1 Preferred Shares as shown on the records of the Company.</w:t>
      </w:r>
    </w:p>
    <w:p>
      <w:pPr>
        <w:spacing w:after="0" w:line="170" w:lineRule="exact"/>
        <w:rPr>
          <w:rFonts w:ascii="Arial" w:cs="Arial" w:eastAsia="Arial" w:hAnsi="Arial"/>
          <w:sz w:val="18"/>
          <w:szCs w:val="18"/>
          <w:color w:val="auto"/>
        </w:rPr>
      </w:pPr>
    </w:p>
    <w:p>
      <w:pPr>
        <w:ind w:left="5004" w:hanging="96"/>
        <w:spacing w:after="0"/>
        <w:tabs>
          <w:tab w:leader="none" w:pos="5004" w:val="left"/>
        </w:tabs>
        <w:numPr>
          <w:ilvl w:val="2"/>
          <w:numId w:val="92"/>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68" w:name="page69"/>
    <w:bookmarkEnd w:id="68"/>
    <w:p>
      <w:pPr>
        <w:spacing w:after="0"/>
        <w:tabs>
          <w:tab w:leader="none" w:pos="640" w:val="left"/>
        </w:tabs>
        <w:rPr>
          <w:sz w:val="20"/>
          <w:szCs w:val="20"/>
          <w:color w:val="auto"/>
        </w:rPr>
      </w:pPr>
      <w:r>
        <w:rPr>
          <w:rFonts w:ascii="Arial" w:cs="Arial" w:eastAsia="Arial" w:hAnsi="Arial"/>
          <w:sz w:val="18"/>
          <w:szCs w:val="18"/>
          <w:b w:val="1"/>
          <w:bCs w:val="1"/>
          <w:color w:val="auto"/>
        </w:rPr>
        <w:t>27.1.7</w:t>
      </w:r>
      <w:r>
        <w:rPr>
          <w:sz w:val="20"/>
          <w:szCs w:val="20"/>
          <w:color w:val="auto"/>
        </w:rPr>
        <w:tab/>
      </w:r>
      <w:r>
        <w:rPr>
          <w:rFonts w:ascii="Arial" w:cs="Arial" w:eastAsia="Arial" w:hAnsi="Arial"/>
          <w:sz w:val="16"/>
          <w:szCs w:val="16"/>
          <w:b w:val="1"/>
          <w:bCs w:val="1"/>
          <w:color w:val="auto"/>
        </w:rPr>
        <w:t>Redemption</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Redemption at the Company’s Option</w:t>
      </w:r>
      <w:r>
        <w:rPr>
          <w:rFonts w:ascii="Arial" w:cs="Arial" w:eastAsia="Arial" w:hAnsi="Arial"/>
          <w:sz w:val="18"/>
          <w:szCs w:val="18"/>
          <w:color w:val="auto"/>
        </w:rPr>
        <w:t>.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w:t>
      </w:r>
    </w:p>
    <w:p>
      <w:pPr>
        <w:spacing w:after="0" w:line="189" w:lineRule="exact"/>
        <w:rPr>
          <w:rFonts w:ascii="Arial" w:cs="Arial" w:eastAsia="Arial" w:hAnsi="Arial"/>
          <w:sz w:val="18"/>
          <w:szCs w:val="18"/>
          <w:color w:val="auto"/>
        </w:rPr>
      </w:pPr>
    </w:p>
    <w:p>
      <w:pPr>
        <w:ind w:left="1960" w:hanging="655"/>
        <w:spacing w:after="0"/>
        <w:tabs>
          <w:tab w:leader="none" w:pos="1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number of Class A Series 1 Preferred Shares to be redeemed;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redemption price as provided in Article 27.1.7(a); and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place or places where certificates for such Class A Series 1 Preferred Shares are to be surrendered for payment of the redemption price.</w:t>
      </w:r>
    </w:p>
    <w:p>
      <w:pPr>
        <w:spacing w:after="0" w:line="170" w:lineRule="exact"/>
        <w:rPr>
          <w:rFonts w:ascii="Arial" w:cs="Arial" w:eastAsia="Arial" w:hAnsi="Arial"/>
          <w:sz w:val="18"/>
          <w:szCs w:val="18"/>
          <w:color w:val="auto"/>
        </w:rPr>
      </w:pPr>
    </w:p>
    <w:p>
      <w:pPr>
        <w:jc w:val="both"/>
        <w:ind w:left="1300" w:hanging="644"/>
        <w:spacing w:after="0" w:line="288"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Effectiveness of Redemption</w:t>
      </w:r>
      <w:r>
        <w:rPr>
          <w:rFonts w:ascii="Arial" w:cs="Arial" w:eastAsia="Arial" w:hAnsi="Arial"/>
          <w:sz w:val="16"/>
          <w:szCs w:val="16"/>
          <w:color w:val="auto"/>
        </w:rPr>
        <w:t xml:space="preserve">. If notice of redemption has been duly given and if on or before the Redemption Date specified in the notice all funds necessary for the redemption have been deposited by the Company,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with a bank or trust company doing business in New York City, and having a capital and surplus of at least $50 million and selected by the Board,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27.1.8</w:t>
      </w:r>
      <w:r>
        <w:rPr>
          <w:sz w:val="20"/>
          <w:szCs w:val="20"/>
          <w:color w:val="auto"/>
        </w:rPr>
        <w:tab/>
      </w:r>
      <w:r>
        <w:rPr>
          <w:rFonts w:ascii="Arial" w:cs="Arial" w:eastAsia="Arial" w:hAnsi="Arial"/>
          <w:sz w:val="16"/>
          <w:szCs w:val="16"/>
          <w:b w:val="1"/>
          <w:bCs w:val="1"/>
          <w:color w:val="auto"/>
        </w:rPr>
        <w:t>No Fractional Shares</w:t>
      </w:r>
    </w:p>
    <w:p>
      <w:pPr>
        <w:spacing w:after="0" w:line="229"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fractional Common Shares shall be issued upon Conversion, whether voluntary or mandatory.</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both"/>
        <w:ind w:left="1300" w:hanging="644"/>
        <w:spacing w:after="0" w:line="259"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27.1.9</w:t>
      </w:r>
      <w:r>
        <w:rPr>
          <w:sz w:val="20"/>
          <w:szCs w:val="20"/>
          <w:color w:val="auto"/>
        </w:rPr>
        <w:tab/>
      </w:r>
      <w:r>
        <w:rPr>
          <w:rFonts w:ascii="Arial" w:cs="Arial" w:eastAsia="Arial" w:hAnsi="Arial"/>
          <w:sz w:val="16"/>
          <w:szCs w:val="16"/>
          <w:b w:val="1"/>
          <w:bCs w:val="1"/>
          <w:color w:val="auto"/>
        </w:rPr>
        <w:t>Anti-Dilution Adjustments to the Conversion 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Conversion Rate shall be subject to the following adjustments:</w:t>
      </w:r>
    </w:p>
    <w:p>
      <w:pPr>
        <w:spacing w:after="0" w:line="225"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spacing w:after="0" w:line="181" w:lineRule="exact"/>
        <w:rPr>
          <w:rFonts w:ascii="Arial" w:cs="Arial" w:eastAsia="Arial" w:hAnsi="Arial"/>
          <w:sz w:val="18"/>
          <w:szCs w:val="18"/>
          <w:color w:val="auto"/>
        </w:rPr>
      </w:pPr>
    </w:p>
    <w:p>
      <w:pPr>
        <w:ind w:left="2600" w:hanging="647"/>
        <w:spacing w:after="0" w:line="277" w:lineRule="auto"/>
        <w:tabs>
          <w:tab w:leader="none" w:pos="26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numerator of which is the number of Common Shares outstanding at 5:00 p.m., New York City time, on the date fixed for such determination; and</w:t>
      </w:r>
    </w:p>
    <w:p>
      <w:pPr>
        <w:spacing w:after="0" w:line="170" w:lineRule="exact"/>
        <w:rPr>
          <w:rFonts w:ascii="Arial" w:cs="Arial" w:eastAsia="Arial" w:hAnsi="Arial"/>
          <w:sz w:val="18"/>
          <w:szCs w:val="18"/>
          <w:color w:val="auto"/>
        </w:rPr>
      </w:pPr>
    </w:p>
    <w:p>
      <w:pPr>
        <w:jc w:val="both"/>
        <w:ind w:left="2600" w:right="20" w:hanging="647"/>
        <w:spacing w:after="0" w:line="264" w:lineRule="auto"/>
        <w:tabs>
          <w:tab w:leader="none" w:pos="26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denominator of which is the sum of the number of Common Shares outstanding at 5:00 p.m., New York City time, on the date fixed for such determination and the total number of Common Shares constituting such dividend or other distribution.</w:t>
      </w:r>
    </w:p>
    <w:p>
      <w:pPr>
        <w:spacing w:after="0" w:line="181" w:lineRule="exact"/>
        <w:rPr>
          <w:rFonts w:ascii="Arial" w:cs="Arial" w:eastAsia="Arial" w:hAnsi="Arial"/>
          <w:sz w:val="18"/>
          <w:szCs w:val="18"/>
          <w:color w:val="auto"/>
        </w:rPr>
      </w:pPr>
    </w:p>
    <w:p>
      <w:pPr>
        <w:jc w:val="both"/>
        <w:ind w:left="1960" w:hanging="655"/>
        <w:spacing w:after="0" w:line="272" w:lineRule="auto"/>
        <w:tabs>
          <w:tab w:leader="none" w:pos="19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Issuance of Stock Purchase Rights</w:t>
      </w:r>
    </w:p>
    <w:p>
      <w:pPr>
        <w:spacing w:after="0" w:line="225"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spacing w:after="0" w:line="193" w:lineRule="exact"/>
        <w:rPr>
          <w:rFonts w:ascii="Arial" w:cs="Arial" w:eastAsia="Arial" w:hAnsi="Arial"/>
          <w:sz w:val="18"/>
          <w:szCs w:val="18"/>
          <w:color w:val="auto"/>
        </w:rPr>
      </w:pPr>
    </w:p>
    <w:p>
      <w:pPr>
        <w:ind w:left="5620" w:hanging="98"/>
        <w:spacing w:after="0"/>
        <w:tabs>
          <w:tab w:leader="none" w:pos="5620" w:val="left"/>
        </w:tabs>
        <w:numPr>
          <w:ilvl w:val="3"/>
          <w:numId w:val="9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both"/>
        <w:ind w:left="1944" w:hanging="647"/>
        <w:spacing w:after="0" w:line="342" w:lineRule="auto"/>
        <w:tabs>
          <w:tab w:leader="none" w:pos="1944"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numerator of which is the sum of the number of Common Shares outstanding at 5:00 p.m., New York City time, on the date fixed for such determination and the number of Common Shares issuable pursuant to such rights or warrants; and</w:t>
      </w:r>
    </w:p>
    <w:p>
      <w:pPr>
        <w:spacing w:after="0" w:line="123" w:lineRule="exact"/>
        <w:rPr>
          <w:rFonts w:ascii="Arial" w:cs="Arial" w:eastAsia="Arial" w:hAnsi="Arial"/>
          <w:sz w:val="16"/>
          <w:szCs w:val="16"/>
          <w:color w:val="auto"/>
        </w:rPr>
      </w:pPr>
    </w:p>
    <w:p>
      <w:pPr>
        <w:jc w:val="both"/>
        <w:ind w:left="1944" w:hanging="647"/>
        <w:spacing w:after="0" w:line="264" w:lineRule="auto"/>
        <w:tabs>
          <w:tab w:leader="none" w:pos="1944"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spacing w:after="0" w:line="181" w:lineRule="exact"/>
        <w:rPr>
          <w:rFonts w:ascii="Arial" w:cs="Arial" w:eastAsia="Arial" w:hAnsi="Arial"/>
          <w:sz w:val="18"/>
          <w:szCs w:val="18"/>
          <w:color w:val="auto"/>
        </w:rPr>
      </w:pPr>
    </w:p>
    <w:p>
      <w:pPr>
        <w:jc w:val="both"/>
        <w:ind w:left="1304" w:hanging="655"/>
        <w:spacing w:after="0" w:line="286" w:lineRule="auto"/>
        <w:tabs>
          <w:tab w:leader="none" w:pos="1304" w:val="left"/>
        </w:tabs>
        <w:numPr>
          <w:ilvl w:val="1"/>
          <w:numId w:val="98"/>
        </w:numPr>
        <w:rPr>
          <w:rFonts w:ascii="Arial" w:cs="Arial" w:eastAsia="Arial" w:hAnsi="Arial"/>
          <w:sz w:val="16"/>
          <w:szCs w:val="16"/>
          <w:color w:val="auto"/>
        </w:rPr>
      </w:pPr>
      <w:r>
        <w:rPr>
          <w:rFonts w:ascii="Arial" w:cs="Arial" w:eastAsia="Arial" w:hAnsi="Arial"/>
          <w:sz w:val="16"/>
          <w:szCs w:val="16"/>
          <w:color w:val="auto"/>
        </w:rPr>
        <w:t>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 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spacing w:after="0" w:line="171" w:lineRule="exact"/>
        <w:rPr>
          <w:rFonts w:ascii="Arial" w:cs="Arial" w:eastAsia="Arial" w:hAnsi="Arial"/>
          <w:sz w:val="16"/>
          <w:szCs w:val="16"/>
          <w:color w:val="auto"/>
        </w:rPr>
      </w:pPr>
    </w:p>
    <w:p>
      <w:pPr>
        <w:ind w:left="644" w:hanging="644"/>
        <w:spacing w:after="0"/>
        <w:tabs>
          <w:tab w:leader="none" w:pos="64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Subdivisions and Combinations of the Common Shares</w:t>
      </w:r>
    </w:p>
    <w:p>
      <w:pPr>
        <w:spacing w:after="0" w:line="225"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spacing w:after="0" w:line="181" w:lineRule="exact"/>
        <w:rPr>
          <w:rFonts w:ascii="Arial" w:cs="Arial" w:eastAsia="Arial" w:hAnsi="Arial"/>
          <w:sz w:val="18"/>
          <w:szCs w:val="18"/>
          <w:color w:val="auto"/>
        </w:rPr>
      </w:pPr>
    </w:p>
    <w:p>
      <w:pPr>
        <w:ind w:left="1944" w:right="20" w:hanging="647"/>
        <w:spacing w:after="0" w:line="277" w:lineRule="auto"/>
        <w:tabs>
          <w:tab w:leader="none" w:pos="1944"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numerator of which is the number of Common Shares that would be outstanding immediately after, and solely as a result of, such subdivision or combination; and</w:t>
      </w:r>
    </w:p>
    <w:p>
      <w:pPr>
        <w:spacing w:after="0" w:line="170" w:lineRule="exact"/>
        <w:rPr>
          <w:rFonts w:ascii="Arial" w:cs="Arial" w:eastAsia="Arial" w:hAnsi="Arial"/>
          <w:sz w:val="18"/>
          <w:szCs w:val="18"/>
          <w:color w:val="auto"/>
        </w:rPr>
      </w:pPr>
    </w:p>
    <w:p>
      <w:pPr>
        <w:ind w:left="4964" w:hanging="101"/>
        <w:spacing w:after="0"/>
        <w:tabs>
          <w:tab w:leader="none" w:pos="4964" w:val="left"/>
        </w:tabs>
        <w:numPr>
          <w:ilvl w:val="3"/>
          <w:numId w:val="99"/>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71" w:name="page72"/>
    <w:bookmarkEnd w:id="71"/>
    <w:p>
      <w:pPr>
        <w:ind w:left="1944" w:hanging="647"/>
        <w:spacing w:after="0" w:line="277" w:lineRule="auto"/>
        <w:tabs>
          <w:tab w:leader="none" w:pos="1944"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denominator of which is the number of Common Shares outstanding immediately prior to such subdivision or combination.</w:t>
      </w:r>
    </w:p>
    <w:p>
      <w:pPr>
        <w:spacing w:after="0" w:line="170"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adjustment made pursuant to this Article 27.1.9(c) shall become effective immediately after 5:00 p.m., New York City time, on the effective date of such subdivision or combination.</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Debt or Asset Distribution</w:t>
      </w:r>
    </w:p>
    <w:p>
      <w:pPr>
        <w:spacing w:after="0" w:line="225"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 (3)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spacing w:after="0" w:line="193" w:lineRule="exact"/>
        <w:rPr>
          <w:rFonts w:ascii="Arial" w:cs="Arial" w:eastAsia="Arial" w:hAnsi="Arial"/>
          <w:sz w:val="18"/>
          <w:szCs w:val="18"/>
          <w:color w:val="auto"/>
        </w:rPr>
      </w:pPr>
    </w:p>
    <w:p>
      <w:pPr>
        <w:ind w:left="1944" w:hanging="647"/>
        <w:spacing w:after="0"/>
        <w:tabs>
          <w:tab w:leader="none" w:pos="1944"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and</w:t>
      </w:r>
    </w:p>
    <w:p>
      <w:pPr>
        <w:spacing w:after="0" w:line="225" w:lineRule="exact"/>
        <w:rPr>
          <w:rFonts w:ascii="Arial" w:cs="Arial" w:eastAsia="Arial" w:hAnsi="Arial"/>
          <w:sz w:val="18"/>
          <w:szCs w:val="18"/>
          <w:color w:val="auto"/>
        </w:rPr>
      </w:pPr>
    </w:p>
    <w:p>
      <w:pPr>
        <w:jc w:val="both"/>
        <w:ind w:left="1944" w:right="20" w:hanging="647"/>
        <w:spacing w:after="0" w:line="264" w:lineRule="auto"/>
        <w:tabs>
          <w:tab w:leader="none" w:pos="1944"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minus the Fair Market Value, on such date fixed for determination, of the portion of the evidences of indebtedness, shares, securities, rights to acquire the Company’s shares, cash or other assets so distributed applicable to one Common Share.</w:t>
      </w:r>
    </w:p>
    <w:p>
      <w:pPr>
        <w:spacing w:after="0" w:line="181" w:lineRule="exact"/>
        <w:rPr>
          <w:sz w:val="20"/>
          <w:szCs w:val="20"/>
          <w:color w:val="auto"/>
        </w:rPr>
      </w:pPr>
    </w:p>
    <w:p>
      <w:pPr>
        <w:ind w:left="1304" w:hanging="655"/>
        <w:spacing w:after="0" w:line="277" w:lineRule="auto"/>
        <w:tabs>
          <w:tab w:leader="none" w:pos="13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a Spin-Off, the Conversion Rate in effect at 5:00 p.m., New York City time, on the date fixed for the determination of holders of Common Shares entitled to receive such distribution shall be multiplied by a fraction:</w:t>
      </w:r>
    </w:p>
    <w:p>
      <w:pPr>
        <w:spacing w:after="0" w:line="170" w:lineRule="exact"/>
        <w:rPr>
          <w:rFonts w:ascii="Arial" w:cs="Arial" w:eastAsia="Arial" w:hAnsi="Arial"/>
          <w:sz w:val="18"/>
          <w:szCs w:val="18"/>
          <w:color w:val="auto"/>
        </w:rPr>
      </w:pPr>
    </w:p>
    <w:p>
      <w:pPr>
        <w:jc w:val="both"/>
        <w:ind w:left="1944" w:hanging="647"/>
        <w:spacing w:after="0" w:line="244" w:lineRule="auto"/>
        <w:tabs>
          <w:tab w:leader="none" w:pos="1944"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numerator of which is the sum of the Current Market Price of the Common Shares and the Fair Market Value of the portion of those shares or similar equity interests so distributed that is applicable to one Common Share as of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Trading Day after the effective date for such distribution (or, if such shares or equity interests are listed on a U.S. national or regional securities exchange, the Current Market Price of such securities); and</w:t>
      </w:r>
    </w:p>
    <w:p>
      <w:pPr>
        <w:spacing w:after="0" w:line="197" w:lineRule="exact"/>
        <w:rPr>
          <w:rFonts w:ascii="Arial" w:cs="Arial" w:eastAsia="Arial" w:hAnsi="Arial"/>
          <w:sz w:val="17"/>
          <w:szCs w:val="17"/>
          <w:color w:val="auto"/>
        </w:rPr>
      </w:pPr>
    </w:p>
    <w:p>
      <w:pPr>
        <w:ind w:left="1944" w:hanging="647"/>
        <w:spacing w:after="0"/>
        <w:tabs>
          <w:tab w:leader="none" w:pos="194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of the Common Shares.</w:t>
      </w:r>
    </w:p>
    <w:p>
      <w:pPr>
        <w:spacing w:after="0" w:line="225" w:lineRule="exact"/>
        <w:rPr>
          <w:rFonts w:ascii="Arial" w:cs="Arial" w:eastAsia="Arial" w:hAnsi="Arial"/>
          <w:sz w:val="18"/>
          <w:szCs w:val="18"/>
          <w:color w:val="auto"/>
        </w:rPr>
      </w:pPr>
    </w:p>
    <w:p>
      <w:pPr>
        <w:jc w:val="both"/>
        <w:ind w:left="1304" w:hanging="655"/>
        <w:spacing w:after="0" w:line="271" w:lineRule="auto"/>
        <w:tabs>
          <w:tab w:leader="none" w:pos="13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spacing w:after="0" w:line="178" w:lineRule="exact"/>
        <w:rPr>
          <w:rFonts w:ascii="Arial" w:cs="Arial" w:eastAsia="Arial" w:hAnsi="Arial"/>
          <w:sz w:val="17"/>
          <w:szCs w:val="17"/>
          <w:color w:val="auto"/>
        </w:rPr>
      </w:pPr>
    </w:p>
    <w:p>
      <w:pPr>
        <w:ind w:left="4964" w:hanging="101"/>
        <w:spacing w:after="0"/>
        <w:tabs>
          <w:tab w:leader="none" w:pos="496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72" w:name="page73"/>
    <w:bookmarkEnd w:id="72"/>
    <w:p>
      <w:pPr>
        <w:jc w:val="both"/>
        <w:ind w:left="760" w:hanging="655"/>
        <w:spacing w:after="0" w:line="282" w:lineRule="auto"/>
        <w:tabs>
          <w:tab w:leader="none" w:pos="7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 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w:t>
      </w:r>
    </w:p>
    <w:p>
      <w:pPr>
        <w:spacing w:after="0" w:line="12" w:lineRule="exact"/>
        <w:rPr>
          <w:rFonts w:ascii="Arial" w:cs="Arial" w:eastAsia="Arial" w:hAnsi="Arial"/>
          <w:sz w:val="16"/>
          <w:szCs w:val="16"/>
          <w:color w:val="auto"/>
        </w:rPr>
      </w:pPr>
    </w:p>
    <w:p>
      <w:pPr>
        <w:jc w:val="both"/>
        <w:ind w:left="760" w:hanging="7"/>
        <w:spacing w:after="0" w:line="270" w:lineRule="auto"/>
        <w:tabs>
          <w:tab w:leader="none" w:pos="102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78" w:lineRule="exact"/>
        <w:rPr>
          <w:rFonts w:ascii="Arial" w:cs="Arial" w:eastAsia="Arial" w:hAnsi="Arial"/>
          <w:sz w:val="17"/>
          <w:szCs w:val="17"/>
          <w:color w:val="auto"/>
        </w:rPr>
      </w:pPr>
    </w:p>
    <w:p>
      <w:pPr>
        <w:ind w:left="4420" w:hanging="101"/>
        <w:spacing w:after="0"/>
        <w:tabs>
          <w:tab w:leader="none" w:pos="44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73" w:name="page74"/>
    <w:bookmarkEnd w:id="73"/>
    <w:p>
      <w:pPr>
        <w:ind w:left="760" w:hanging="655"/>
        <w:spacing w:after="0" w:line="277" w:lineRule="auto"/>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purposes of Article 27.1.9(a), Article 27.1.9(b) and this Article 27.1.9(d), if any dividend or distribution to which this Article 27.1.9(d) is applicable includes one or both of:</w:t>
      </w:r>
    </w:p>
    <w:p>
      <w:pPr>
        <w:spacing w:after="0" w:line="166" w:lineRule="exact"/>
        <w:rPr>
          <w:rFonts w:ascii="Arial" w:cs="Arial" w:eastAsia="Arial" w:hAnsi="Arial"/>
          <w:sz w:val="18"/>
          <w:szCs w:val="18"/>
          <w:color w:val="auto"/>
        </w:rPr>
      </w:pPr>
    </w:p>
    <w:p>
      <w:pPr>
        <w:ind w:left="1400" w:hanging="647"/>
        <w:spacing w:after="0" w:line="282" w:lineRule="auto"/>
        <w:tabs>
          <w:tab w:leader="none" w:pos="14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dividend or distribution of Common Shares to which Article 27.1.9(a) is applicable (the “</w:t>
      </w:r>
      <w:r>
        <w:rPr>
          <w:rFonts w:ascii="Arial" w:cs="Arial" w:eastAsia="Arial" w:hAnsi="Arial"/>
          <w:sz w:val="18"/>
          <w:szCs w:val="18"/>
          <w:b w:val="1"/>
          <w:bCs w:val="1"/>
          <w:color w:val="auto"/>
        </w:rPr>
        <w:t>Article 27.1.9(a)</w:t>
      </w:r>
      <w:r>
        <w:rPr>
          <w:rFonts w:ascii="Arial" w:cs="Arial" w:eastAsia="Arial" w:hAnsi="Arial"/>
          <w:sz w:val="18"/>
          <w:szCs w:val="18"/>
          <w:color w:val="auto"/>
        </w:rPr>
        <w:t xml:space="preserve"> </w:t>
      </w:r>
      <w:r>
        <w:rPr>
          <w:rFonts w:ascii="Arial" w:cs="Arial" w:eastAsia="Arial" w:hAnsi="Arial"/>
          <w:sz w:val="18"/>
          <w:szCs w:val="18"/>
          <w:b w:val="1"/>
          <w:bCs w:val="1"/>
          <w:color w:val="auto"/>
        </w:rPr>
        <w:t>Distribution</w:t>
      </w:r>
      <w:r>
        <w:rPr>
          <w:rFonts w:ascii="Arial" w:cs="Arial" w:eastAsia="Arial" w:hAnsi="Arial"/>
          <w:sz w:val="18"/>
          <w:szCs w:val="18"/>
          <w:color w:val="auto"/>
        </w:rPr>
        <w:t>”); or</w:t>
      </w:r>
    </w:p>
    <w:p>
      <w:pPr>
        <w:spacing w:after="0" w:line="161" w:lineRule="exact"/>
        <w:rPr>
          <w:rFonts w:ascii="Arial" w:cs="Arial" w:eastAsia="Arial" w:hAnsi="Arial"/>
          <w:sz w:val="18"/>
          <w:szCs w:val="18"/>
          <w:color w:val="auto"/>
        </w:rPr>
      </w:pPr>
    </w:p>
    <w:p>
      <w:pPr>
        <w:ind w:left="1400" w:hanging="647"/>
        <w:spacing w:after="0"/>
        <w:tabs>
          <w:tab w:leader="none" w:pos="14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 issuance of rights or warrants to which Article 27.1.9(b) is applicable (the “</w:t>
      </w:r>
      <w:r>
        <w:rPr>
          <w:rFonts w:ascii="Arial" w:cs="Arial" w:eastAsia="Arial" w:hAnsi="Arial"/>
          <w:sz w:val="17"/>
          <w:szCs w:val="17"/>
          <w:b w:val="1"/>
          <w:bCs w:val="1"/>
          <w:color w:val="auto"/>
        </w:rPr>
        <w:t>Article 27.1.9(b) Distribution</w:t>
      </w:r>
      <w:r>
        <w:rPr>
          <w:rFonts w:ascii="Arial" w:cs="Arial" w:eastAsia="Arial" w:hAnsi="Arial"/>
          <w:sz w:val="17"/>
          <w:szCs w:val="17"/>
          <w:color w:val="auto"/>
        </w:rPr>
        <w:t>”), then</w:t>
      </w:r>
    </w:p>
    <w:p>
      <w:pPr>
        <w:spacing w:after="0" w:line="240" w:lineRule="exact"/>
        <w:rPr>
          <w:rFonts w:ascii="Arial" w:cs="Arial" w:eastAsia="Arial" w:hAnsi="Arial"/>
          <w:sz w:val="17"/>
          <w:szCs w:val="17"/>
          <w:color w:val="auto"/>
        </w:rPr>
      </w:pPr>
    </w:p>
    <w:p>
      <w:pPr>
        <w:jc w:val="both"/>
        <w:ind w:left="2040" w:hanging="639"/>
        <w:spacing w:after="0" w:line="279" w:lineRule="auto"/>
        <w:tabs>
          <w:tab w:leader="none" w:pos="204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such dividend or distribution, other than the Article 27.1.9(a) Distribution, if any, and the Article 27.1.9(b) Distribution, if any, shall be deemed to be a dividend or distribution to which this Article 27.1.9(d) is applicable (the “</w:t>
      </w:r>
      <w:r>
        <w:rPr>
          <w:rFonts w:ascii="Arial" w:cs="Arial" w:eastAsia="Arial" w:hAnsi="Arial"/>
          <w:sz w:val="17"/>
          <w:szCs w:val="17"/>
          <w:b w:val="1"/>
          <w:bCs w:val="1"/>
          <w:color w:val="auto"/>
        </w:rPr>
        <w:t>Article 27.1.9(d) Distribution</w:t>
      </w:r>
      <w:r>
        <w:rPr>
          <w:rFonts w:ascii="Arial" w:cs="Arial" w:eastAsia="Arial" w:hAnsi="Arial"/>
          <w:sz w:val="17"/>
          <w:szCs w:val="17"/>
          <w:color w:val="auto"/>
        </w:rPr>
        <w:t>”) and any Conversion Rate adjustment required by this Article 27.1.9(d) with respect to such Article 27.1.9(d) Distribution shall then be made; and</w:t>
      </w:r>
    </w:p>
    <w:p>
      <w:pPr>
        <w:spacing w:after="0" w:line="171" w:lineRule="exact"/>
        <w:rPr>
          <w:rFonts w:ascii="Arial" w:cs="Arial" w:eastAsia="Arial" w:hAnsi="Arial"/>
          <w:sz w:val="17"/>
          <w:szCs w:val="17"/>
          <w:color w:val="auto"/>
        </w:rPr>
      </w:pPr>
    </w:p>
    <w:p>
      <w:pPr>
        <w:jc w:val="both"/>
        <w:ind w:left="2040" w:hanging="639"/>
        <w:spacing w:after="0" w:line="259" w:lineRule="auto"/>
        <w:tabs>
          <w:tab w:leader="none" w:pos="20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Article 27.1.9(a) Distribution, if any, and Article 27.1.9(b) Distribution, if any, shall be deemed to immediately follow the Article 27.1.9(d) Distribution and any Conversion Rate adjustment required by Article 27.1.9(a) and Article 27.1.9(b) with respect thereto shall then be made, except that, if determined by the Company:</w:t>
      </w:r>
    </w:p>
    <w:p>
      <w:pPr>
        <w:spacing w:after="0" w:line="186" w:lineRule="exact"/>
        <w:rPr>
          <w:rFonts w:ascii="Arial" w:cs="Arial" w:eastAsia="Arial" w:hAnsi="Arial"/>
          <w:sz w:val="18"/>
          <w:szCs w:val="18"/>
          <w:color w:val="auto"/>
        </w:rPr>
      </w:pPr>
    </w:p>
    <w:p>
      <w:pPr>
        <w:jc w:val="both"/>
        <w:ind w:left="2700" w:hanging="651"/>
        <w:spacing w:after="0" w:line="259" w:lineRule="auto"/>
        <w:tabs>
          <w:tab w:leader="none" w:pos="2700" w:val="left"/>
        </w:tabs>
        <w:numPr>
          <w:ilvl w:val="3"/>
          <w:numId w:val="105"/>
        </w:numPr>
        <w:rPr>
          <w:rFonts w:ascii="Arial" w:cs="Arial" w:eastAsia="Arial" w:hAnsi="Arial"/>
          <w:sz w:val="18"/>
          <w:szCs w:val="18"/>
          <w:color w:val="auto"/>
        </w:rPr>
      </w:pPr>
      <w:r>
        <w:rPr>
          <w:rFonts w:ascii="Arial" w:cs="Arial" w:eastAsia="Arial" w:hAnsi="Arial"/>
          <w:sz w:val="18"/>
          <w:szCs w:val="18"/>
          <w:color w:val="auto"/>
        </w:rPr>
        <w:t>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spacing w:after="0" w:line="187" w:lineRule="exact"/>
        <w:rPr>
          <w:sz w:val="20"/>
          <w:szCs w:val="20"/>
          <w:color w:val="auto"/>
        </w:rPr>
      </w:pPr>
    </w:p>
    <w:p>
      <w:pPr>
        <w:jc w:val="both"/>
        <w:ind w:left="2700" w:hanging="651"/>
        <w:spacing w:after="0" w:line="264" w:lineRule="auto"/>
        <w:tabs>
          <w:tab w:leader="none" w:pos="2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Common Shares included in any Article 27.1.9(a) Distribution or Article 27.1.9(b) Distribution shall be deemed not to be “outstanding at 5:00 p.m., New York City time, on the date fixed for such determination” within the meaning of Article 27.1.9(a) and Article 27.1.9(b).</w:t>
      </w:r>
    </w:p>
    <w:p>
      <w:pPr>
        <w:spacing w:after="0" w:line="181" w:lineRule="exact"/>
        <w:rPr>
          <w:rFonts w:ascii="Arial" w:cs="Arial" w:eastAsia="Arial" w:hAnsi="Arial"/>
          <w:sz w:val="18"/>
          <w:szCs w:val="18"/>
          <w:color w:val="auto"/>
        </w:rPr>
      </w:pPr>
    </w:p>
    <w:p>
      <w:pPr>
        <w:ind w:left="4420" w:hanging="101"/>
        <w:spacing w:after="0"/>
        <w:tabs>
          <w:tab w:leader="none" w:pos="4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74" w:name="page75"/>
    <w:bookmarkEnd w:id="74"/>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Cash Distributions</w:t>
      </w:r>
    </w:p>
    <w:p>
      <w:pPr>
        <w:spacing w:after="0" w:line="225" w:lineRule="exact"/>
        <w:rPr>
          <w:rFonts w:ascii="Arial" w:cs="Arial" w:eastAsia="Arial" w:hAnsi="Arial"/>
          <w:sz w:val="18"/>
          <w:szCs w:val="18"/>
          <w:color w:val="auto"/>
        </w:rPr>
      </w:pPr>
    </w:p>
    <w:p>
      <w:pPr>
        <w:jc w:val="both"/>
        <w:ind w:left="1304" w:hanging="655"/>
        <w:spacing w:after="0" w:line="273" w:lineRule="auto"/>
        <w:tabs>
          <w:tab w:leader="none" w:pos="130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 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spacing w:after="0" w:line="178" w:lineRule="exact"/>
        <w:rPr>
          <w:rFonts w:ascii="Arial" w:cs="Arial" w:eastAsia="Arial" w:hAnsi="Arial"/>
          <w:sz w:val="17"/>
          <w:szCs w:val="17"/>
          <w:color w:val="auto"/>
        </w:rPr>
      </w:pPr>
    </w:p>
    <w:p>
      <w:pPr>
        <w:ind w:left="1944" w:hanging="647"/>
        <w:spacing w:after="0"/>
        <w:tabs>
          <w:tab w:leader="none" w:pos="194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per share of Common Shares; and</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per share of Common Shares minus the amount per share of such dividend or other distribution.</w:t>
      </w:r>
    </w:p>
    <w:p>
      <w:pPr>
        <w:spacing w:after="0" w:line="170"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 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spacing w:after="0" w:line="193"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Self Tender Offers and Exchange Offers</w:t>
      </w:r>
    </w:p>
    <w:p>
      <w:pPr>
        <w:spacing w:after="0" w:line="225" w:lineRule="exact"/>
        <w:rPr>
          <w:rFonts w:ascii="Arial" w:cs="Arial" w:eastAsia="Arial" w:hAnsi="Arial"/>
          <w:sz w:val="18"/>
          <w:szCs w:val="18"/>
          <w:color w:val="auto"/>
        </w:rPr>
      </w:pPr>
    </w:p>
    <w:p>
      <w:pPr>
        <w:jc w:val="both"/>
        <w:ind w:left="1304" w:hanging="655"/>
        <w:spacing w:after="0" w:line="276" w:lineRule="auto"/>
        <w:tabs>
          <w:tab w:leader="none" w:pos="130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If the Company or any subsidiary of the Company successfully completes a tender or exchange offer pursuant to a Schedule TO or registration statement on Form S-4 (or any successor form) for 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w:t>
      </w:r>
      <w:r>
        <w:rPr>
          <w:rFonts w:ascii="Arial" w:cs="Arial" w:eastAsia="Arial" w:hAnsi="Arial"/>
          <w:sz w:val="17"/>
          <w:szCs w:val="17"/>
          <w:b w:val="1"/>
          <w:bCs w:val="1"/>
          <w:color w:val="auto"/>
        </w:rPr>
        <w:t>Expiration Date</w:t>
      </w:r>
      <w:r>
        <w:rPr>
          <w:rFonts w:ascii="Arial" w:cs="Arial" w:eastAsia="Arial" w:hAnsi="Arial"/>
          <w:sz w:val="17"/>
          <w:szCs w:val="17"/>
          <w:color w:val="auto"/>
        </w:rPr>
        <w:t>”) shall be multiplied by a fraction:</w:t>
      </w:r>
    </w:p>
    <w:p>
      <w:pPr>
        <w:spacing w:after="0" w:line="172" w:lineRule="exact"/>
        <w:rPr>
          <w:rFonts w:ascii="Arial" w:cs="Arial" w:eastAsia="Arial" w:hAnsi="Arial"/>
          <w:sz w:val="17"/>
          <w:szCs w:val="17"/>
          <w:color w:val="auto"/>
        </w:rPr>
      </w:pPr>
    </w:p>
    <w:p>
      <w:pPr>
        <w:ind w:left="1944" w:hanging="647"/>
        <w:spacing w:after="0"/>
        <w:tabs>
          <w:tab w:leader="none" w:pos="194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numerator of which shall be equal to the sum of:</w:t>
      </w:r>
    </w:p>
    <w:p>
      <w:pPr>
        <w:spacing w:after="0" w:line="225" w:lineRule="exact"/>
        <w:rPr>
          <w:rFonts w:ascii="Arial" w:cs="Arial" w:eastAsia="Arial" w:hAnsi="Arial"/>
          <w:sz w:val="18"/>
          <w:szCs w:val="18"/>
          <w:color w:val="auto"/>
        </w:rPr>
      </w:pPr>
    </w:p>
    <w:p>
      <w:pPr>
        <w:ind w:left="2584" w:hanging="639"/>
        <w:spacing w:after="0" w:line="277" w:lineRule="auto"/>
        <w:tabs>
          <w:tab w:leader="none" w:pos="2584" w:val="left"/>
        </w:tabs>
        <w:numPr>
          <w:ilvl w:val="3"/>
          <w:numId w:val="107"/>
        </w:numPr>
        <w:rPr>
          <w:rFonts w:ascii="Arial" w:cs="Arial" w:eastAsia="Arial" w:hAnsi="Arial"/>
          <w:sz w:val="18"/>
          <w:szCs w:val="18"/>
          <w:color w:val="auto"/>
        </w:rPr>
      </w:pPr>
      <w:r>
        <w:rPr>
          <w:rFonts w:ascii="Arial" w:cs="Arial" w:eastAsia="Arial" w:hAnsi="Arial"/>
          <w:sz w:val="18"/>
          <w:szCs w:val="18"/>
          <w:color w:val="auto"/>
        </w:rPr>
        <w:t>the aggregate cash and Fair Market Value on the Expiration Date of any other consideration paid or payable for Common Shares purchased in such tender or exchange offer; and</w:t>
      </w:r>
    </w:p>
    <w:p>
      <w:pPr>
        <w:spacing w:after="0" w:line="170" w:lineRule="exact"/>
        <w:rPr>
          <w:rFonts w:ascii="Arial" w:cs="Arial" w:eastAsia="Arial" w:hAnsi="Arial"/>
          <w:sz w:val="18"/>
          <w:szCs w:val="18"/>
          <w:color w:val="auto"/>
        </w:rPr>
      </w:pPr>
    </w:p>
    <w:p>
      <w:pPr>
        <w:ind w:left="2584" w:right="20" w:hanging="639"/>
        <w:spacing w:after="0" w:line="277" w:lineRule="auto"/>
        <w:tabs>
          <w:tab w:leader="none" w:pos="2584" w:val="left"/>
        </w:tabs>
        <w:numPr>
          <w:ilvl w:val="3"/>
          <w:numId w:val="107"/>
        </w:numPr>
        <w:rPr>
          <w:rFonts w:ascii="Arial" w:cs="Arial" w:eastAsia="Arial" w:hAnsi="Arial"/>
          <w:sz w:val="18"/>
          <w:szCs w:val="18"/>
          <w:color w:val="auto"/>
        </w:rPr>
      </w:pPr>
      <w:r>
        <w:rPr>
          <w:rFonts w:ascii="Arial" w:cs="Arial" w:eastAsia="Arial" w:hAnsi="Arial"/>
          <w:sz w:val="18"/>
          <w:szCs w:val="18"/>
          <w:color w:val="auto"/>
        </w:rPr>
        <w:t>the product of (x) the Current Market Price and (y) the number of Common Shares outstanding at the time such tender or exchange offer expires, less any purchased shares; and</w:t>
      </w:r>
    </w:p>
    <w:p>
      <w:pPr>
        <w:spacing w:after="0" w:line="170" w:lineRule="exact"/>
        <w:rPr>
          <w:rFonts w:ascii="Arial" w:cs="Arial" w:eastAsia="Arial" w:hAnsi="Arial"/>
          <w:sz w:val="18"/>
          <w:szCs w:val="18"/>
          <w:color w:val="auto"/>
        </w:rPr>
      </w:pPr>
    </w:p>
    <w:p>
      <w:pPr>
        <w:ind w:left="4964" w:hanging="101"/>
        <w:spacing w:after="0"/>
        <w:tabs>
          <w:tab w:leader="none" w:pos="4964" w:val="left"/>
        </w:tabs>
        <w:numPr>
          <w:ilvl w:val="4"/>
          <w:numId w:val="107"/>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-1382395</wp:posOffset>
            </wp:positionV>
            <wp:extent cx="285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75" w:name="page76"/>
    <w:bookmarkEnd w:id="75"/>
    <w:p>
      <w:pPr>
        <w:ind w:left="1944" w:hanging="647"/>
        <w:spacing w:after="0"/>
        <w:tabs>
          <w:tab w:leader="none" w:pos="1944"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denominator of which shall be equal to the product of:</w:t>
      </w:r>
    </w:p>
    <w:p>
      <w:pPr>
        <w:spacing w:after="0" w:line="225" w:lineRule="exact"/>
        <w:rPr>
          <w:rFonts w:ascii="Arial" w:cs="Arial" w:eastAsia="Arial" w:hAnsi="Arial"/>
          <w:sz w:val="18"/>
          <w:szCs w:val="18"/>
          <w:color w:val="auto"/>
        </w:rPr>
      </w:pPr>
    </w:p>
    <w:p>
      <w:pPr>
        <w:ind w:left="2584" w:hanging="639"/>
        <w:spacing w:after="0"/>
        <w:tabs>
          <w:tab w:leader="none" w:pos="2584" w:val="left"/>
        </w:tabs>
        <w:numPr>
          <w:ilvl w:val="3"/>
          <w:numId w:val="108"/>
        </w:numPr>
        <w:rPr>
          <w:rFonts w:ascii="Arial" w:cs="Arial" w:eastAsia="Arial" w:hAnsi="Arial"/>
          <w:sz w:val="18"/>
          <w:szCs w:val="18"/>
          <w:color w:val="auto"/>
        </w:rPr>
      </w:pPr>
      <w:r>
        <w:rPr>
          <w:rFonts w:ascii="Arial" w:cs="Arial" w:eastAsia="Arial" w:hAnsi="Arial"/>
          <w:sz w:val="18"/>
          <w:szCs w:val="18"/>
          <w:color w:val="auto"/>
        </w:rPr>
        <w:t>the Current Market Price; and</w:t>
      </w:r>
    </w:p>
    <w:p>
      <w:pPr>
        <w:spacing w:after="0" w:line="225" w:lineRule="exact"/>
        <w:rPr>
          <w:rFonts w:ascii="Arial" w:cs="Arial" w:eastAsia="Arial" w:hAnsi="Arial"/>
          <w:sz w:val="18"/>
          <w:szCs w:val="18"/>
          <w:color w:val="auto"/>
        </w:rPr>
      </w:pPr>
    </w:p>
    <w:p>
      <w:pPr>
        <w:ind w:left="2584" w:hanging="639"/>
        <w:spacing w:after="0" w:line="277" w:lineRule="auto"/>
        <w:tabs>
          <w:tab w:leader="none" w:pos="2584" w:val="left"/>
        </w:tabs>
        <w:numPr>
          <w:ilvl w:val="3"/>
          <w:numId w:val="108"/>
        </w:numPr>
        <w:rPr>
          <w:rFonts w:ascii="Arial" w:cs="Arial" w:eastAsia="Arial" w:hAnsi="Arial"/>
          <w:sz w:val="18"/>
          <w:szCs w:val="18"/>
          <w:color w:val="auto"/>
        </w:rPr>
      </w:pPr>
      <w:r>
        <w:rPr>
          <w:rFonts w:ascii="Arial" w:cs="Arial" w:eastAsia="Arial" w:hAnsi="Arial"/>
          <w:sz w:val="18"/>
          <w:szCs w:val="18"/>
          <w:color w:val="auto"/>
        </w:rPr>
        <w:t>the number of Common Shares outstanding at the time such tender or exchange offer expires, including any purchased shares.</w:t>
      </w:r>
    </w:p>
    <w:p>
      <w:pPr>
        <w:spacing w:after="0" w:line="170" w:lineRule="exact"/>
        <w:rPr>
          <w:rFonts w:ascii="Arial" w:cs="Arial" w:eastAsia="Arial" w:hAnsi="Arial"/>
          <w:sz w:val="18"/>
          <w:szCs w:val="18"/>
          <w:color w:val="auto"/>
        </w:rPr>
      </w:pPr>
    </w:p>
    <w:p>
      <w:pPr>
        <w:jc w:val="both"/>
        <w:ind w:left="1304" w:hanging="655"/>
        <w:spacing w:after="0" w:line="275" w:lineRule="auto"/>
        <w:tabs>
          <w:tab w:leader="none" w:pos="130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adjustment made pursuant to this Article 27.1.9(f) shall become effective immediately after 5:00 p.m., New York City time, on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Trading Day immediately following the Expiration Date but will be given effect as of 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 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spacing w:after="0" w:line="182" w:lineRule="exact"/>
        <w:rPr>
          <w:rFonts w:ascii="Arial" w:cs="Arial" w:eastAsia="Arial" w:hAnsi="Arial"/>
          <w:sz w:val="16"/>
          <w:szCs w:val="16"/>
          <w:color w:val="auto"/>
        </w:rPr>
      </w:pPr>
    </w:p>
    <w:p>
      <w:pPr>
        <w:jc w:val="both"/>
        <w:ind w:left="644" w:hanging="644"/>
        <w:spacing w:after="0" w:line="269" w:lineRule="auto"/>
        <w:tabs>
          <w:tab w:leader="none" w:pos="644"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Fair Market Value in Excess of Current Market Price</w:t>
      </w:r>
      <w:r>
        <w:rPr>
          <w:rFonts w:ascii="Arial" w:cs="Arial" w:eastAsia="Arial" w:hAnsi="Arial"/>
          <w:sz w:val="17"/>
          <w:szCs w:val="17"/>
          <w:color w:val="auto"/>
        </w:rPr>
        <w:t>.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spacing w:after="0" w:line="182" w:lineRule="exact"/>
        <w:rPr>
          <w:rFonts w:ascii="Arial" w:cs="Arial" w:eastAsia="Arial" w:hAnsi="Arial"/>
          <w:sz w:val="17"/>
          <w:szCs w:val="17"/>
          <w:color w:val="auto"/>
        </w:rPr>
      </w:pPr>
    </w:p>
    <w:p>
      <w:pPr>
        <w:ind w:left="4964" w:hanging="101"/>
        <w:spacing w:after="0"/>
        <w:tabs>
          <w:tab w:leader="none" w:pos="4964" w:val="left"/>
        </w:tabs>
        <w:numPr>
          <w:ilvl w:val="4"/>
          <w:numId w:val="110"/>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76" w:name="page77"/>
    <w:bookmarkEnd w:id="76"/>
    <w:p>
      <w:pPr>
        <w:jc w:val="both"/>
        <w:ind w:left="644" w:hanging="644"/>
        <w:spacing w:after="0" w:line="270" w:lineRule="auto"/>
        <w:tabs>
          <w:tab w:leader="none" w:pos="64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Rights Plans</w:t>
      </w:r>
      <w:r>
        <w:rPr>
          <w:rFonts w:ascii="Arial" w:cs="Arial" w:eastAsia="Arial" w:hAnsi="Arial"/>
          <w:sz w:val="17"/>
          <w:szCs w:val="17"/>
          <w:color w:val="auto"/>
        </w:rPr>
        <w:t>. To the extent that the Company has a rights plan in effect with respect to the Common Shares on any Conversion Date, upon Conversion of any Class A Series 1 Preferred Shares, converting 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spacing w:after="0" w:line="181" w:lineRule="exact"/>
        <w:rPr>
          <w:rFonts w:ascii="Arial" w:cs="Arial" w:eastAsia="Arial" w:hAnsi="Arial"/>
          <w:sz w:val="17"/>
          <w:szCs w:val="17"/>
          <w:color w:val="auto"/>
        </w:rPr>
      </w:pPr>
    </w:p>
    <w:p>
      <w:pPr>
        <w:jc w:val="both"/>
        <w:ind w:left="644" w:hanging="644"/>
        <w:spacing w:after="0" w:line="257" w:lineRule="auto"/>
        <w:tabs>
          <w:tab w:leader="none" w:pos="64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Adjustment for Tax Reasons</w:t>
      </w:r>
      <w:r>
        <w:rPr>
          <w:rFonts w:ascii="Arial" w:cs="Arial" w:eastAsia="Arial" w:hAnsi="Arial"/>
          <w:sz w:val="18"/>
          <w:szCs w:val="18"/>
          <w:color w:val="auto"/>
        </w:rPr>
        <w:t>.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 issuance of rights or warrants to acquire Common Shares) or from any event treated as such for income tax purposes or for any other reason; provided that the same proportionate adjustment must be made to the Conversion Rate.</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Calculation of Adjustments; Adjustments to Threshold Appreciation Price, Initial Price and Share Price</w:t>
      </w:r>
    </w:p>
    <w:p>
      <w:pPr>
        <w:spacing w:after="0" w:line="228"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111"/>
        </w:numPr>
        <w:rPr>
          <w:rFonts w:ascii="Arial" w:cs="Arial" w:eastAsia="Arial" w:hAnsi="Arial"/>
          <w:sz w:val="31"/>
          <w:szCs w:val="31"/>
          <w:color w:val="auto"/>
          <w:vertAlign w:val="superscript"/>
        </w:rPr>
      </w:pPr>
      <w:r>
        <w:rPr>
          <w:rFonts w:ascii="Arial" w:cs="Arial" w:eastAsia="Arial" w:hAnsi="Arial"/>
          <w:sz w:val="16"/>
          <w:szCs w:val="16"/>
          <w:color w:val="auto"/>
        </w:rPr>
        <w:t>All adjustments to the Conversion Rate shall be calculated to the nearest 1/10,000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spacing w:after="0" w:line="193" w:lineRule="exact"/>
        <w:rPr>
          <w:rFonts w:ascii="Arial" w:cs="Arial" w:eastAsia="Arial" w:hAnsi="Arial"/>
          <w:sz w:val="31"/>
          <w:szCs w:val="31"/>
          <w:color w:val="auto"/>
          <w:vertAlign w:val="superscript"/>
        </w:rPr>
      </w:pPr>
    </w:p>
    <w:p>
      <w:pPr>
        <w:jc w:val="both"/>
        <w:ind w:left="1304" w:hanging="655"/>
        <w:spacing w:after="0" w:line="255" w:lineRule="auto"/>
        <w:tabs>
          <w:tab w:leader="none" w:pos="130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193"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spacing w:after="0" w:line="189" w:lineRule="exact"/>
        <w:rPr>
          <w:rFonts w:ascii="Arial" w:cs="Arial" w:eastAsia="Arial" w:hAnsi="Arial"/>
          <w:sz w:val="18"/>
          <w:szCs w:val="18"/>
          <w:color w:val="auto"/>
        </w:rPr>
      </w:pPr>
    </w:p>
    <w:p>
      <w:pPr>
        <w:ind w:left="4964" w:hanging="101"/>
        <w:spacing w:after="0"/>
        <w:tabs>
          <w:tab w:leader="none" w:pos="4964" w:val="left"/>
        </w:tabs>
        <w:numPr>
          <w:ilvl w:val="2"/>
          <w:numId w:val="111"/>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77" w:name="page78"/>
    <w:bookmarkEnd w:id="77"/>
    <w:p>
      <w:pPr>
        <w:jc w:val="both"/>
        <w:ind w:left="2600" w:hanging="647"/>
        <w:spacing w:after="0" w:line="264" w:lineRule="auto"/>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181"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upon the issuance of any Common Shares or options or rights to purchase those shares pursuant to any present or future employee, director or consultant benefit, compensation or stock purchase plan or program of or assumed by the Company or any of its subsidiaries;</w:t>
      </w:r>
    </w:p>
    <w:p>
      <w:pPr>
        <w:spacing w:after="0" w:line="181"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upon the issuance of any Common Shares pursuant to any option, warrant, right or exercisable, exchangeable or convertible security outstanding as of the Issue Date;</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a change in the par value of the Common Shares;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for stock repurchases that are not tender offers or exchange offers, including structured or derivative transactions; or</w:t>
      </w:r>
    </w:p>
    <w:p>
      <w:pPr>
        <w:spacing w:after="0" w:line="236" w:lineRule="exact"/>
        <w:rPr>
          <w:rFonts w:ascii="Arial" w:cs="Arial" w:eastAsia="Arial" w:hAnsi="Arial"/>
          <w:sz w:val="17"/>
          <w:szCs w:val="17"/>
          <w:color w:val="auto"/>
        </w:rPr>
      </w:pPr>
    </w:p>
    <w:p>
      <w:pPr>
        <w:ind w:left="2600" w:hanging="647"/>
        <w:spacing w:after="0"/>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Accrued Dividends.</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Notice of Adjustment</w:t>
      </w:r>
      <w:r>
        <w:rPr>
          <w:rFonts w:ascii="Arial" w:cs="Arial" w:eastAsia="Arial" w:hAnsi="Arial"/>
          <w:sz w:val="18"/>
          <w:szCs w:val="18"/>
          <w:color w:val="auto"/>
        </w:rPr>
        <w: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27.1.10 Recapitalization, Reclassifications and Changes of Common Shares</w:t>
      </w:r>
    </w:p>
    <w:p>
      <w:pPr>
        <w:spacing w:after="0" w:line="225"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the event of the following, other than on a transaction which results in a Change of Control (each, a “</w:t>
      </w:r>
      <w:r>
        <w:rPr>
          <w:rFonts w:ascii="Arial" w:cs="Arial" w:eastAsia="Arial" w:hAnsi="Arial"/>
          <w:sz w:val="17"/>
          <w:szCs w:val="17"/>
          <w:b w:val="1"/>
          <w:bCs w:val="1"/>
          <w:color w:val="auto"/>
        </w:rPr>
        <w:t>Reorganization Event</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property and assets of the Company;</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reclassification of Common Shares into securities other than Common Shares; or</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statutory exchange or arrangement of securities of the Company with another Person (other than in connection with a merger or acquisition);</w:t>
      </w:r>
    </w:p>
    <w:p>
      <w:pPr>
        <w:spacing w:after="0" w:line="170" w:lineRule="exact"/>
        <w:rPr>
          <w:rFonts w:ascii="Arial" w:cs="Arial" w:eastAsia="Arial" w:hAnsi="Arial"/>
          <w:sz w:val="18"/>
          <w:szCs w:val="18"/>
          <w:color w:val="auto"/>
        </w:rPr>
      </w:pPr>
    </w:p>
    <w:p>
      <w:pPr>
        <w:ind w:left="5620" w:hanging="101"/>
        <w:spacing w:after="0"/>
        <w:tabs>
          <w:tab w:leader="none" w:pos="56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jc w:val="both"/>
        <w:ind w:left="1300"/>
        <w:spacing w:after="0" w:line="255" w:lineRule="auto"/>
        <w:rPr>
          <w:sz w:val="20"/>
          <w:szCs w:val="20"/>
          <w:color w:val="auto"/>
        </w:rPr>
      </w:pPr>
      <w:r>
        <w:rPr>
          <w:rFonts w:ascii="Arial" w:cs="Arial" w:eastAsia="Arial" w:hAnsi="Arial"/>
          <w:sz w:val="18"/>
          <w:szCs w:val="18"/>
          <w:color w:val="auto"/>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w:t>
      </w:r>
      <w:r>
        <w:rPr>
          <w:rFonts w:ascii="Arial" w:cs="Arial" w:eastAsia="Arial" w:hAnsi="Arial"/>
          <w:sz w:val="18"/>
          <w:szCs w:val="18"/>
          <w:b w:val="1"/>
          <w:bCs w:val="1"/>
          <w:color w:val="auto"/>
        </w:rPr>
        <w:t>Exchange Property</w:t>
      </w:r>
      <w:r>
        <w:rPr>
          <w:rFonts w:ascii="Arial" w:cs="Arial" w:eastAsia="Arial" w:hAnsi="Arial"/>
          <w:sz w:val="18"/>
          <w:szCs w:val="18"/>
          <w:color w:val="auto"/>
        </w:rPr>
        <w:t>,” with each “</w:t>
      </w:r>
      <w:r>
        <w:rPr>
          <w:rFonts w:ascii="Arial" w:cs="Arial" w:eastAsia="Arial" w:hAnsi="Arial"/>
          <w:sz w:val="18"/>
          <w:szCs w:val="18"/>
          <w:b w:val="1"/>
          <w:bCs w:val="1"/>
          <w:color w:val="auto"/>
        </w:rPr>
        <w:t>Unit of Exchange Property</w:t>
      </w:r>
      <w:r>
        <w:rPr>
          <w:rFonts w:ascii="Arial" w:cs="Arial" w:eastAsia="Arial" w:hAnsi="Arial"/>
          <w:sz w:val="18"/>
          <w:szCs w:val="18"/>
          <w:color w:val="auto"/>
        </w:rPr>
        <w:t>” meaning the kind and amount of such Exchange Property that a holder of one Common Share is entitled to receive).</w:t>
      </w:r>
    </w:p>
    <w:p>
      <w:pPr>
        <w:spacing w:after="0" w:line="189" w:lineRule="exact"/>
        <w:rPr>
          <w:sz w:val="20"/>
          <w:szCs w:val="20"/>
          <w:color w:val="auto"/>
        </w:rPr>
      </w:pPr>
    </w:p>
    <w:p>
      <w:pPr>
        <w:jc w:val="both"/>
        <w:ind w:left="1300" w:hanging="644"/>
        <w:spacing w:after="0" w:line="269" w:lineRule="auto"/>
        <w:tabs>
          <w:tab w:leader="none" w:pos="13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 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spacing w:after="0" w:line="182"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above provisions of this Article 27.1.10 shall apply to any shares or capital stock of the Company (or any successor thereto) received by the holders of Common Shares in connection with any such Reorganization Event.</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27.1.11 Other Provisions.</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any of the Class A Series 1 Preferred Shares are issued in uncertificated, book entry form as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Articles of the Company, then within a reasonable time after the issuance or transfer of such uncertificated shares, the Company shall send to the registered owner thereof an Ownership Notice.</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ensure that all Common Shares issued upon a Conversion will be listed and posted for trading on each stock exchange on which the Common Shares are then listed and posted for trading.</w:t>
      </w:r>
    </w:p>
    <w:p>
      <w:pPr>
        <w:spacing w:after="0" w:line="170" w:lineRule="exact"/>
        <w:rPr>
          <w:rFonts w:ascii="Arial" w:cs="Arial" w:eastAsia="Arial" w:hAnsi="Arial"/>
          <w:sz w:val="18"/>
          <w:szCs w:val="18"/>
          <w:color w:val="auto"/>
        </w:rPr>
      </w:pPr>
    </w:p>
    <w:p>
      <w:pPr>
        <w:ind w:left="5620" w:hanging="101"/>
        <w:spacing w:after="0"/>
        <w:tabs>
          <w:tab w:leader="none" w:pos="5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Holder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order to Convert Class A Series 1 Preferred Shares)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undersigned hereby irrevocably elects to convert (the “</w:t>
      </w:r>
      <w:r>
        <w:rPr>
          <w:rFonts w:ascii="Arial" w:cs="Arial" w:eastAsia="Arial" w:hAnsi="Arial"/>
          <w:sz w:val="18"/>
          <w:szCs w:val="18"/>
          <w:b w:val="1"/>
          <w:bCs w:val="1"/>
          <w:color w:val="auto"/>
        </w:rPr>
        <w:t>Conversion</w:t>
      </w:r>
      <w:r>
        <w:rPr>
          <w:rFonts w:ascii="Arial" w:cs="Arial" w:eastAsia="Arial" w:hAnsi="Arial"/>
          <w:sz w:val="18"/>
          <w:szCs w:val="18"/>
          <w:color w:val="auto"/>
        </w:rPr>
        <w:t>”) Class A Series 1 Preferred Shares (the “</w:t>
      </w:r>
      <w:r>
        <w:rPr>
          <w:rFonts w:ascii="Arial" w:cs="Arial" w:eastAsia="Arial" w:hAnsi="Arial"/>
          <w:sz w:val="18"/>
          <w:szCs w:val="18"/>
          <w:b w:val="1"/>
          <w:bCs w:val="1"/>
          <w:color w:val="auto"/>
        </w:rPr>
        <w:t>Class A Series 1 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of Civeo Corporation (hereinafter called the “</w:t>
      </w:r>
      <w:r>
        <w:rPr>
          <w:rFonts w:ascii="Arial" w:cs="Arial" w:eastAsia="Arial" w:hAnsi="Arial"/>
          <w:sz w:val="18"/>
          <w:szCs w:val="18"/>
          <w:b w:val="1"/>
          <w:bCs w:val="1"/>
          <w:color w:val="auto"/>
        </w:rPr>
        <w:t>Company</w:t>
      </w:r>
      <w:r>
        <w:rPr>
          <w:rFonts w:ascii="Arial" w:cs="Arial" w:eastAsia="Arial" w:hAnsi="Arial"/>
          <w:sz w:val="18"/>
          <w:szCs w:val="18"/>
          <w:color w:val="auto"/>
        </w:rPr>
        <w:t>”), represented by stock certificate No(s). [ ] (the “</w:t>
      </w:r>
      <w:r>
        <w:rPr>
          <w:rFonts w:ascii="Arial" w:cs="Arial" w:eastAsia="Arial" w:hAnsi="Arial"/>
          <w:sz w:val="18"/>
          <w:szCs w:val="18"/>
          <w:b w:val="1"/>
          <w:bCs w:val="1"/>
          <w:color w:val="auto"/>
        </w:rPr>
        <w:t>Class A Series 1 Preferred Shares Certificates</w:t>
      </w:r>
      <w:r>
        <w:rPr>
          <w:rFonts w:ascii="Arial" w:cs="Arial" w:eastAsia="Arial" w:hAnsi="Arial"/>
          <w:sz w:val="18"/>
          <w:szCs w:val="18"/>
          <w:color w:val="auto"/>
        </w:rPr>
        <w:t>”), into Common Shares, without par value, of the Company (the “</w:t>
      </w:r>
      <w:r>
        <w:rPr>
          <w:rFonts w:ascii="Arial" w:cs="Arial" w:eastAsia="Arial" w:hAnsi="Arial"/>
          <w:sz w:val="18"/>
          <w:szCs w:val="18"/>
          <w:b w:val="1"/>
          <w:bCs w:val="1"/>
          <w:color w:val="auto"/>
        </w:rPr>
        <w:t>Common Shares</w:t>
      </w:r>
      <w:r>
        <w:rPr>
          <w:rFonts w:ascii="Arial" w:cs="Arial" w:eastAsia="Arial" w:hAnsi="Arial"/>
          <w:sz w:val="18"/>
          <w:szCs w:val="18"/>
          <w:color w:val="auto"/>
        </w:rPr>
        <w:t>”) according to the conditions of the Articles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herein shall have the meanings ascribed thereto in or pursuant to the Articles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61575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Class A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-130810</wp:posOffset>
            </wp:positionV>
            <wp:extent cx="5720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-130810</wp:posOffset>
            </wp:positionV>
            <wp:extent cx="4707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54286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663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663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663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jc w:val="both"/>
        <w:ind w:left="340" w:hanging="332"/>
        <w:spacing w:after="0" w:line="255" w:lineRule="auto"/>
        <w:tabs>
          <w:tab w:leader="none" w:pos="102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Class A Series 1 Preferred Shares are evidenced by a Share Certificate, the Company is not required to issue Common Shares until the original Class A Series 1 Preferred Shares Certificate(s) (or evidence of loss, theft or destruction thereof) to be converted are received by the Company or its transfer agent.</w:t>
      </w:r>
    </w:p>
    <w:p>
      <w:pPr>
        <w:spacing w:after="0" w:line="190" w:lineRule="exact"/>
        <w:rPr>
          <w:sz w:val="20"/>
          <w:szCs w:val="20"/>
          <w:color w:val="auto"/>
        </w:rPr>
      </w:pPr>
    </w:p>
    <w:p>
      <w:pPr>
        <w:ind w:left="860" w:hanging="852"/>
        <w:spacing w:after="0"/>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Address where Common Shares and any other payments or certificates shall be sent by the Company.</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OWNERSHIP NOTICE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special rights or restrictions attached to each Class A Series 1 Preferred Share. A copy of the full text of those special rights or restrictions may be obtained, without charge, at the registered or records office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58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LOCK-UP AND STANDSTILL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REGISTRATION RIGHTS, LOCK-UP AND STANDSTILL AGREEMENT (as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April 2, 2018 by and among Civeo Corporation, a corporation organized and existing under the laws of British Columbia, Canada (the “</w:t>
      </w:r>
      <w:r>
        <w:rPr>
          <w:rFonts w:ascii="Arial" w:cs="Arial" w:eastAsia="Arial" w:hAnsi="Arial"/>
          <w:sz w:val="16"/>
          <w:szCs w:val="16"/>
          <w:u w:val="single" w:color="auto"/>
          <w:color w:val="auto"/>
        </w:rPr>
        <w:t>Corporation</w:t>
      </w:r>
      <w:r>
        <w:rPr>
          <w:rFonts w:ascii="Arial" w:cs="Arial" w:eastAsia="Arial" w:hAnsi="Arial"/>
          <w:sz w:val="16"/>
          <w:szCs w:val="16"/>
          <w:color w:val="auto"/>
        </w:rPr>
        <w:t>”), and each of the other parties set forth on the signature pages hereto under the caption “Shareholders” (each, a “</w:t>
      </w:r>
      <w:r>
        <w:rPr>
          <w:rFonts w:ascii="Arial" w:cs="Arial" w:eastAsia="Arial" w:hAnsi="Arial"/>
          <w:sz w:val="16"/>
          <w:szCs w:val="16"/>
          <w:u w:val="single" w:color="auto"/>
          <w:color w:val="auto"/>
        </w:rPr>
        <w:t>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Shareholders</w:t>
      </w:r>
      <w:r>
        <w:rPr>
          <w:rFonts w:ascii="Arial" w:cs="Arial" w:eastAsia="Arial" w:hAnsi="Arial"/>
          <w:sz w:val="16"/>
          <w:szCs w:val="16"/>
          <w:color w:val="auto"/>
        </w:rPr>
        <w:t xml:space="preserve">”). Unless otherwise specified, capitalized terms used herein shall have the respective meanings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The Corporation and the other parties hereto are sometimes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and each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the Shareholders are acquiring, upon completion of the transactions pursuant to the Share Purchase Agreement (referred to below), Common Shares and Preferred Shares convertible into Common Shares of the Corporation pursuant to that certain Share Purchase Agreement dated as of November 26, 2017 by and among the Corporation, Noralta Lodge Ltd. and the other parties thereto, as amended by that certain Amending Agreement dated as of March 15, 2018 (as so amended,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and</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Purchase Agreement contemplates the execution and delivery of this Agreement by the Corporation and the Shareholders concurrently with completion of the transactions under the Purchase Agreement;</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for other good and valuable consideration, the receipt and sufficiency of which are hereby acknowledged, the Parties, intending to be legally bound, hereby agree as follows:</w:t>
      </w:r>
    </w:p>
    <w:p>
      <w:pPr>
        <w:spacing w:after="0" w:line="12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 Person that directly, or indirectly through one or more intermediaries, controls or is controlled by, or is under common control with, such specified Person. For the purposes of this definition, “control” (including, with correlative meanings, the terms “controlled by” and “under common control with”), as used with respect to any Person, means the possession, directly or indirectly, of the power to direct or cause the direction of the management or policies of such Person, whether through the ownership of shares of or other equity interests in that Person, by agreement or otherwise.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w:t>
      </w:r>
      <w:r>
        <w:rPr>
          <w:rFonts w:ascii="Arial" w:cs="Arial" w:eastAsia="Arial" w:hAnsi="Arial"/>
          <w:sz w:val="18"/>
          <w:szCs w:val="18"/>
          <w:color w:val="auto"/>
        </w:rPr>
        <w:t>” means the Articles of the Corporation, as the same hereafter may be amended, restated or supplemented from time to time (except as otherwise specified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means an “automatic shelf registration statement” as defined in Rule 405 promulgated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of the United States Code or any similar federal, state, Canadian, provincial or other foreign law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relief of debtors.</w:t>
      </w:r>
    </w:p>
    <w:p>
      <w:pPr>
        <w:spacing w:after="0" w:line="21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w:t>
      </w:r>
      <w:r>
        <w:rPr>
          <w:rFonts w:ascii="Arial" w:cs="Arial" w:eastAsia="Arial" w:hAnsi="Arial"/>
          <w:sz w:val="16"/>
          <w:szCs w:val="16"/>
          <w:u w:val="single" w:color="auto"/>
          <w:color w:val="auto"/>
        </w:rPr>
        <w:t>Beneficial Owner</w:t>
      </w:r>
      <w:r>
        <w:rPr>
          <w:rFonts w:ascii="Arial" w:cs="Arial" w:eastAsia="Arial" w:hAnsi="Arial"/>
          <w:sz w:val="16"/>
          <w:szCs w:val="16"/>
          <w:color w:val="auto"/>
        </w:rPr>
        <w:t>” and “</w:t>
      </w:r>
      <w:r>
        <w:rPr>
          <w:rFonts w:ascii="Arial" w:cs="Arial" w:eastAsia="Arial" w:hAnsi="Arial"/>
          <w:sz w:val="16"/>
          <w:szCs w:val="16"/>
          <w:u w:val="single" w:color="auto"/>
          <w:color w:val="auto"/>
        </w:rPr>
        <w:t>Beneficially Own</w:t>
      </w:r>
      <w:r>
        <w:rPr>
          <w:rFonts w:ascii="Arial" w:cs="Arial" w:eastAsia="Arial" w:hAnsi="Arial"/>
          <w:sz w:val="16"/>
          <w:szCs w:val="16"/>
          <w:color w:val="auto"/>
        </w:rPr>
        <w:t>”, with respect to any security, refer to ownership by any Person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and shall otherwise be interpreted in accordance with the term “beneficial ownership” as defined in Rule 13d-3 adopted by the SEC under the Exchange Act.</w:t>
      </w:r>
    </w:p>
    <w:p>
      <w:pPr>
        <w:spacing w:after="0" w:line="15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workforce accommodations, catering, facilities management, water systems and/or logistics to third-party businesses.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excluding Saturdays, Sundays or any day which is a legal holiday under the laws of the State of Texas or is a day on which banking institutions are authorized or required by law or other governmental action to close.</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has the meaning specified in Article 27.1.1(j) of the Articles, as in effect on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contemplated by clause (ii) of the definition thereof that would not qualify as a Change of Control thereunder but would result in a Change of Control under clause (i) of the definition thereof shall not constitute a Change of Control under this Agreement. For the avoidance of doubt, any transaction or series of related transactions pursuant to which the Corporation is consolidated, merged, combined or amalgamated with another corporation or entity, and, as a result of such consolidation, merger, combination or amalgamation, at least 50% of the outstanding voting securities of the surviving or resulting corporation or entity are then owned by the former shareholders of the Corporation, shall not constitute a Change of Control hereunder.</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common equity interests in the Corporation designated as “Common Shares” in the Articles.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means a Person that is, directly or indirectly, engaged in the Business and is determined in good faith by the Corporation to be a competitor, directly or indirectly, with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Shareholder shall be permitted to submit to the Corporation a list of potential competitors and receive a reasonably prompt response from the Corporation with respect to which (if any) of such potential competitors are Competitors, as determined by the Corporation.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Registration Dividend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3(e)(iv)</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Registration Rights</w:t>
      </w:r>
      <w:r>
        <w:rPr>
          <w:rFonts w:ascii="Arial" w:cs="Arial" w:eastAsia="Arial" w:hAnsi="Arial"/>
          <w:sz w:val="18"/>
          <w:szCs w:val="18"/>
          <w:color w:val="auto"/>
        </w:rPr>
        <w:t>” means registration rights granted to any Person (or Persons) in connection with any single acquisition, financing or other transaction (or series of related acquisitions, financings or other transactions) involving such Person (or Persons), with respect to not more than an aggregate of five percent of the Common Shares outstanding as of the closing of such single acquisition, financing or other transaction (or series of related acquisitions, financings or other transactions) involving such Person (or Persons).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Common Shares</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Preferred Shares</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Shares</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Escrowed Shares Agreement</w:t>
      </w:r>
      <w:r>
        <w:rPr>
          <w:rFonts w:ascii="Arial" w:cs="Arial" w:eastAsia="Arial" w:hAnsi="Arial"/>
          <w:sz w:val="16"/>
          <w:szCs w:val="16"/>
          <w:color w:val="auto"/>
        </w:rPr>
        <w:t>” means each of the Escrowed Shares Escrow Agreement and the Supplemental Escrow Agreement,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 may be.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Shares Escrow Agreement</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and any successor statute thereto, and the rules and regulations promulgated thereunder.</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Group</w:t>
      </w:r>
      <w:r>
        <w:rPr>
          <w:rFonts w:ascii="Arial" w:cs="Arial" w:eastAsia="Arial" w:hAnsi="Arial"/>
          <w:sz w:val="18"/>
          <w:szCs w:val="18"/>
          <w:color w:val="auto"/>
        </w:rPr>
        <w:t>” means, with respect to any natural person: (i) any lineal descendant or ancestor or sibling (in each case, by birth or adoption) of such natural person or of such natural person's spouse; (ii) any spouse of such natural person or of any of the Persons described in the immediately preceding clause (i); and (iii) any trust or other bona fide estate-planning vehicle, the only beneficiaries of which are such natural person and any of the foregoing Persons described in the immediately preceding clauses (i) and (ii).</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FINRA</w:t>
      </w:r>
      <w:r>
        <w:rPr>
          <w:rFonts w:ascii="Arial" w:cs="Arial" w:eastAsia="Arial" w:hAnsi="Arial"/>
          <w:sz w:val="17"/>
          <w:szCs w:val="17"/>
          <w:color w:val="auto"/>
        </w:rPr>
        <w:t>” means the Financial Industry Regulatory Authority or any successor agency having jurisdiction under the Exchange Act.</w:t>
      </w:r>
    </w:p>
    <w:p>
      <w:pPr>
        <w:spacing w:after="0" w:line="23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any court or other tribunal).</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“group” as such term is used under Rule 13d-5(b) under the Exchange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or “</w:t>
      </w:r>
      <w:r>
        <w:rPr>
          <w:rFonts w:ascii="Arial" w:cs="Arial" w:eastAsia="Arial" w:hAnsi="Arial"/>
          <w:sz w:val="18"/>
          <w:szCs w:val="18"/>
          <w:u w:val="single" w:color="auto"/>
          <w:color w:val="auto"/>
        </w:rPr>
        <w:t>Party</w:t>
      </w:r>
      <w:r>
        <w:rPr>
          <w:rFonts w:ascii="Arial" w:cs="Arial" w:eastAsia="Arial" w:hAnsi="Arial"/>
          <w:sz w:val="18"/>
          <w:szCs w:val="18"/>
          <w:color w:val="auto"/>
        </w:rPr>
        <w:t>”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trust, estate, joint venture, Governmental Authority or other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preferred equity interests in the Corporation designated as “Class A Series 1 Preferred Shares” in the Articles.</w:t>
      </w:r>
    </w:p>
    <w:p>
      <w:pPr>
        <w:spacing w:after="0" w:line="2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claim, suit, investigation, audit, controversy, arbitration or proceeding (including an investigation or partial proceeding, such as a deposition), whether commenced or threatened.</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included in any Registration Statement (including a prospectus that discloses information previously omitted from a prospectus filed as part of an effective Registration Statement in reliance upon Rule 430A promulgated under the Securities Act and any free writing prospectus),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7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the offer and sale of Common Shares to the public pursuant to a Registration Statement that has been filed and become effective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all the Shares held by the Shareholders as of the date hereof (including any Escrowed Common Shares), any Shares issued upon conversion of the Preferred Shares held by the Shareholders as of the date hereof (or released to the Shareholders from the Escrowed Preferred Shares) and any other securities issued or issuable with respect to any such Shares by way of share split, or in connection with a combination of shares, share dividend, recapitalization, conversion, reclassification or similar event. As to any particular Registrable Securities, such securities shall cease to be Registrable Securities when: (i) they are Transferred in a Public Offering in accordance with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(ii) they become Rule 144 Eligible Securities; (iii) they have been Transferred pursuant to any section of Rule 144; (iv) they have been Transferred in a private transaction in which the transferor’s rights under this Agreement are not assigned to the transferee of such securities; or (v) they shall have ceased to be outstanding after issuance thereof. A Person is deemed, and shall only be deemed, to be a holder of Registrable Securities if: (i) such Person directly holds Registrable Securities; and</w:t>
      </w:r>
    </w:p>
    <w:p>
      <w:pPr>
        <w:spacing w:after="0" w:line="1" w:lineRule="exact"/>
        <w:rPr>
          <w:sz w:val="20"/>
          <w:szCs w:val="20"/>
          <w:color w:val="auto"/>
        </w:rPr>
      </w:pPr>
    </w:p>
    <w:p>
      <w:pPr>
        <w:ind w:left="5660" w:right="1900" w:hanging="5652"/>
        <w:spacing w:after="0" w:line="511" w:lineRule="auto"/>
        <w:tabs>
          <w:tab w:leader="none" w:pos="2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Person is a Shareholder. For the avoidance of doubt, Preferred Shares shall in no event be Registrable Securities hereunder.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Corporation under the Securities Act which covers the offering of any of the Registrable Securities pursuant to the provisions of this Agreement, including any Prospectus or amendments and supplements to such registration statement, including post-effective amendments, all exhibits and all material incorporated by reference or deemed to be incorporated by reference in such registration statement.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10b5-1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3(e)(ii)</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 as such Rule may be amended from time to time, or any similar rule or regulation hereafter adopted by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 Eligible Securities</w:t>
      </w:r>
      <w:r>
        <w:rPr>
          <w:rFonts w:ascii="Arial" w:cs="Arial" w:eastAsia="Arial" w:hAnsi="Arial"/>
          <w:sz w:val="17"/>
          <w:szCs w:val="17"/>
          <w:color w:val="auto"/>
        </w:rPr>
        <w:t>” means Shares that may be sold pursuant to Rule 144, without being subject to the volume limitations set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forth in Rule 144.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successor agency having jurisdiction under the Securities Act.</w:t>
      </w:r>
    </w:p>
    <w:p>
      <w:pPr>
        <w:spacing w:after="0" w:line="2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 and any successor statute thereto, and the rules and regulations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Change of Control</w:t>
      </w:r>
      <w:r>
        <w:rPr>
          <w:rFonts w:ascii="Arial" w:cs="Arial" w:eastAsia="Arial" w:hAnsi="Arial"/>
          <w:sz w:val="18"/>
          <w:szCs w:val="18"/>
          <w:color w:val="auto"/>
        </w:rPr>
        <w:t>” shall mean the occurrence of any of the following events: (i) any Shareholder and its Affiliates become the Beneficial Owners of more than 50% of the outstanding Common Shares (or equivalent, assuming conversion of the Preferred Shares held by such Shareholder and its Affiliates); (ii) a merger or consolidation of the Corporation with or into another Person or the merger or consolidation of another Person into the Corporation, as a result of which transaction or series of related transactions any Shareholder and its Affiliates become the Beneficial Owners of more than 50% of the Common Shares (or equivalent, assuming conversion of the Preferred Shares held by such Shareholder and its Affiliates) outstanding immediately after such transaction or transactions; or (iii) the consummation of the sale, transfer, lease or other disposition (but not including a transfer, lease or other disposition by pledge or mortgage to a bona fide lender) of all or substantially all of the assets of the Corporation and its Subsidiaries to any Shareholder or its Affiliates.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subject to the provisions of </w:t>
      </w:r>
      <w:r>
        <w:rPr>
          <w:rFonts w:ascii="Arial" w:cs="Arial" w:eastAsia="Arial" w:hAnsi="Arial"/>
          <w:sz w:val="18"/>
          <w:szCs w:val="18"/>
          <w:u w:val="single" w:color="auto"/>
          <w:color w:val="auto"/>
        </w:rPr>
        <w:t>Section 3(j)</w:t>
      </w:r>
      <w:r>
        <w:rPr>
          <w:rFonts w:ascii="Arial" w:cs="Arial" w:eastAsia="Arial" w:hAnsi="Arial"/>
          <w:sz w:val="18"/>
          <w:szCs w:val="18"/>
          <w:color w:val="auto"/>
        </w:rPr>
        <w:t xml:space="preserve">, the Common Shares held by any of the Shareholders and acquired pursuant to the Purchase Agreement or upon conversion of the Preferred Shares held by any of the Shareholders and acquired pursuant to the Purchase Agreement and shall include the Escrowed Common Shares until such time as such Escrowed Common Shares are released to the Corporation pursuant to the terms of the Purchase Agreement and the applicable Escrowed Shares Agreement. For purposes of the restrictions on Transfer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only, “Shares” shall also include the Preferred Shares held by any of the Shareholders and acquired pursuant to the Purchase Agreement, including the Escrowed Preferred Shares until such time as such Escrowed Preferred Shares are released to the Corporation pursuant to the terms of the Purchase Agreement and the applicable Escrow Shares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means a Registration Statement on an appropriate form to permit the public resale of the Registrable Securities from time to time as permitted by Rule 415 of the Securities Act (or any similar provision then in force under the Securities Act).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Shareholder</w:t>
      </w:r>
      <w:r>
        <w:rPr>
          <w:rFonts w:ascii="Arial" w:cs="Arial" w:eastAsia="Arial" w:hAnsi="Arial"/>
          <w:sz w:val="18"/>
          <w:szCs w:val="18"/>
          <w:color w:val="auto"/>
        </w:rPr>
        <w:t>” means each of the Torgerson Family Trust and 989677 Alberta Ltd. and their Permitted Transferees.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association, joint venture or other business entity of which more than 50% of the total voting power of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Escrow Agreement</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3(e)(iv)</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Event</w:t>
      </w:r>
      <w:r>
        <w:rPr>
          <w:rFonts w:ascii="Arial" w:cs="Arial" w:eastAsia="Arial" w:hAnsi="Arial"/>
          <w:sz w:val="17"/>
          <w:szCs w:val="17"/>
          <w:color w:val="auto"/>
        </w:rPr>
        <w:t>” means any of the following: (a) the Corporation, pursuant to or within the meaning of any Bankruptcy Law, commences a voluntary case, consents to the entry of an order for relief against it in an involuntary case, consents to the appointment of a Bankruptcy Custodian of it or for all or substantially all of its property, or makes a general assignment for the benefit of its creditors; (b) a court of competent jurisdiction enters an order or decree under any Bankruptcy Law that remains unstayed and in effect for 90 days and that (i) is for relief against the Corporation as debtor in an involuntary case, (ii) appoints a Bankruptcy Custodian of the Corporation or a Bankruptcy Custodian for all or substantially all of the property of the Corporation, or (iii) orders the liquidation of the Corporation; or (c) a Change of Control is consummated.</w:t>
      </w:r>
    </w:p>
    <w:p>
      <w:pPr>
        <w:spacing w:after="0" w:line="17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means any direct or indirect sale, transfer, assignment, distribution, exchange, pledge, encumbrance, appointment or other disposition (whether with or without consideration and whether voluntary, involuntary or by operation of law, including to the Corporation or any of its Subsidiaries) of any Shares or any interest therein (including any option to buy or sell), including any transaction the intent or effect of which is to reduce the risk of owning Shares (including, for example, engaging in a put, call, short-sale, straddle or similar market transaction with respect to any Shares or any interest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during any period that neither Lance Torgerson nor any designee of a Standstill Shareholder serves on the board of directors of the Corporation, any bona fide pledge of ten percent or less of the number of a Shareholder’s Shares (calculated assuming conversion of such Shareholder’s Preferred Shares) shall not constitute a Transfer under this Agreement, provided that any Transfer of such Shares by or to the pledgee upon or after a default in the obligation secured by the pledge shall be deemed a Transfer by such Shareholder hereunder. For purposes hereof, a release of Escrowed Shares to the Corporation or any Shareholder pursuant to the Escrowed Shares Escrow Agreement or the Supplemental Escrow Agreement shall not be a Transfer subject to the provisions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Public Offering</w:t>
      </w:r>
      <w:r>
        <w:rPr>
          <w:rFonts w:ascii="Arial" w:cs="Arial" w:eastAsia="Arial" w:hAnsi="Arial"/>
          <w:sz w:val="18"/>
          <w:szCs w:val="18"/>
          <w:color w:val="auto"/>
        </w:rPr>
        <w:t>” or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Public Offering in which Common Shares are sold to an underwriter or underwriters for reoffering to the public. For the avoidance of doubt, any offering or sale of Common Shares by the Corporation pursuant to an “at-the-market” offering as defined in Rule 415(a)(4) of the Securities Act shall not be considered an underwritten Public Offering or underwritten offering hereunder.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xml:space="preserve"> ” has the meaning set forth in </w:t>
      </w:r>
      <w:r>
        <w:rPr>
          <w:rFonts w:ascii="Arial" w:cs="Arial" w:eastAsia="Arial" w:hAnsi="Arial"/>
          <w:sz w:val="18"/>
          <w:szCs w:val="18"/>
          <w:u w:val="single" w:color="auto"/>
          <w:color w:val="auto"/>
        </w:rPr>
        <w:t>Section 6(c)(i)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means a well-known seasoned issuer (as defined in the rules and regulations of the SEC).</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87" w:lineRule="auto"/>
        <w:tabs>
          <w:tab w:leader="none" w:pos="242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General Transfer Restrictions. Each Shareholder covenants and agrees that, except as permitted by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2(d)</w:t>
      </w:r>
      <w:r>
        <w:rPr>
          <w:rFonts w:ascii="Arial" w:cs="Arial" w:eastAsia="Arial" w:hAnsi="Arial"/>
          <w:sz w:val="16"/>
          <w:szCs w:val="16"/>
          <w:color w:val="auto"/>
        </w:rPr>
        <w:t xml:space="preserve">, such Shareholder will not Transfer any Shares without the prior written consent of the Corporation, and each Standstill Shareholder further covenants and agrees that, prior to the date that is 18 months after the date of this Agreement, except as permitted by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no Standstill Shareholder (or any Permitted Transferee thereof) shall Transfer any Shares hereunder, including pursuant to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without the prior written consent of the Corporation. Each Shareholder understands and agrees that the issuance and transfer of the Shares held by such Shareholder on the date hereof have not been registered under the Securities Act or under any securities laws of any state or other jurisdiction and, therefore, such Shares may not be resold or otherwise transferred by such Shareholder without compliance with the registration provisions of the Securities Act and any other applicable securities laws or applicable exemptions therefrom. Accordingly, no Shareholder shall Transfer such Shares (or solicit any offers in respect of any Transfer of such Shares), except in compliance with the Securities Act, any applicable securities laws of any applicable state or other jurisdiction and any restrictions on Transfer contained in this Agreement. No Shareholder shall avoid any of the restrictions or obligations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by undergoing an ownership change itself or Transferring any Shares to any other Person and then Transferring or permitting the Transfer of such other Person in whole or in part.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p>
      <w:pPr>
        <w:jc w:val="both"/>
        <w:ind w:firstLine="1953"/>
        <w:spacing w:after="0" w:line="270" w:lineRule="auto"/>
        <w:tabs>
          <w:tab w:leader="none" w:pos="2420"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Certain Permitted Transfers</w:t>
      </w:r>
      <w:r>
        <w:rPr>
          <w:rFonts w:ascii="Arial" w:cs="Arial" w:eastAsia="Arial" w:hAnsi="Arial"/>
          <w:sz w:val="17"/>
          <w:szCs w:val="17"/>
          <w:color w:val="auto"/>
        </w:rPr>
        <w:t xml:space="preserve">. Notwithstanding the general Transfer restrictions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 (i) any Shareholder may Transfer any or all of such Shareholder’s Shares to an Affiliate of such Shareholder (it being understood that any such Transfer shall be conditioned on the receipt of an undertaking by such transferee to Transfer such Shares back to such Shareholder if such transferee ceases to be an Affiliate of such Shareholder); (ii) any Shareholder who is a natural person may Transfer any or all of such Shareholder’s Shares among such Shareholder’s Family Group (it being understood that any such Transfer shall be conditioned on the receipt of an undertaking by such transferee to Transfer such Shareholder’s Shares back to such Shareholder if such transferee ceases to be a member of such Shareholder’s Family Group, other than as a result of the death of such Shareholder); and (iii) upon the death of any Shareholder who is a natural person, such Shareholder’s Shares may be Transferred by the will or other instrument taking effect at death of such Shareholder or by applicable laws of descent and distribution to such Shareholder’s estate, executors, administrators, personal representatives, heirs, legatees or distributees.</w:t>
      </w:r>
    </w:p>
    <w:p>
      <w:pPr>
        <w:spacing w:after="0" w:line="181" w:lineRule="exact"/>
        <w:rPr>
          <w:rFonts w:ascii="Arial" w:cs="Arial" w:eastAsia="Arial" w:hAnsi="Arial"/>
          <w:sz w:val="17"/>
          <w:szCs w:val="17"/>
          <w:color w:val="auto"/>
        </w:rPr>
      </w:pPr>
    </w:p>
    <w:p>
      <w:pPr>
        <w:jc w:val="both"/>
        <w:ind w:firstLine="1953"/>
        <w:spacing w:after="0" w:line="255" w:lineRule="auto"/>
        <w:tabs>
          <w:tab w:leader="none" w:pos="2383"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Permitted Transferees Bound</w:t>
      </w:r>
      <w:r>
        <w:rPr>
          <w:rFonts w:ascii="Arial" w:cs="Arial" w:eastAsia="Arial" w:hAnsi="Arial"/>
          <w:sz w:val="18"/>
          <w:szCs w:val="18"/>
          <w:color w:val="auto"/>
        </w:rPr>
        <w:t xml:space="preserve">. Except in the case of a Transfer in accordance with the provisions of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no Transfer permitted under the terms of (i) the first sentence of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or (ii)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 effective unless the transferee of such Shares (each, a “</w:t>
      </w:r>
      <w:r>
        <w:rPr>
          <w:rFonts w:ascii="Arial" w:cs="Arial" w:eastAsia="Arial" w:hAnsi="Arial"/>
          <w:sz w:val="18"/>
          <w:szCs w:val="18"/>
          <w:u w:val="single" w:color="auto"/>
          <w:color w:val="auto"/>
        </w:rPr>
        <w:t>Permitted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if not already bound by this Agreement, has complied with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by delivering to the Corporation a written acknowledgment and agreement in form and substance reasonably satisfactory to the Corporation that such Shares to be received by such Permitted Transferee shall remain subject to all of the provisions of this Agreement, and that such Permitted Transferee shall be bound by, and shall be a party to, this Agreement as the holder of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Transfer by any Shareholder of Shares to a Permitted Transferee shall relieve such Shareholder of any of its obligations under this Agreement.</w:t>
      </w:r>
    </w:p>
    <w:p>
      <w:pPr>
        <w:spacing w:after="0" w:line="189" w:lineRule="exact"/>
        <w:rPr>
          <w:rFonts w:ascii="Arial" w:cs="Arial" w:eastAsia="Arial" w:hAnsi="Arial"/>
          <w:sz w:val="18"/>
          <w:szCs w:val="18"/>
          <w:color w:val="auto"/>
        </w:rPr>
      </w:pPr>
    </w:p>
    <w:p>
      <w:pPr>
        <w:jc w:val="both"/>
        <w:ind w:firstLine="1953"/>
        <w:spacing w:after="0" w:line="289" w:lineRule="auto"/>
        <w:tabs>
          <w:tab w:leader="none" w:pos="2447"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Other Permitted Transfers</w:t>
      </w:r>
      <w:r>
        <w:rPr>
          <w:rFonts w:ascii="Arial" w:cs="Arial" w:eastAsia="Arial" w:hAnsi="Arial"/>
          <w:sz w:val="16"/>
          <w:szCs w:val="16"/>
          <w:color w:val="auto"/>
        </w:rPr>
        <w:t xml:space="preserve">. Notwithstanding the foregoing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subject to the first sentence of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any Shareholder may Transfer any or all of such Shareholder’s Shares (other than any Preferred Shares): (i) in any Public Offering (including any Shelf Takedown); or (ii) subject to the provisions of </w:t>
      </w:r>
      <w:r>
        <w:rPr>
          <w:rFonts w:ascii="Arial" w:cs="Arial" w:eastAsia="Arial" w:hAnsi="Arial"/>
          <w:sz w:val="16"/>
          <w:szCs w:val="16"/>
          <w:u w:val="single" w:color="auto"/>
          <w:color w:val="auto"/>
        </w:rPr>
        <w:t>Section 3(g)</w:t>
      </w:r>
      <w:r>
        <w:rPr>
          <w:rFonts w:ascii="Arial" w:cs="Arial" w:eastAsia="Arial" w:hAnsi="Arial"/>
          <w:sz w:val="16"/>
          <w:szCs w:val="16"/>
          <w:color w:val="auto"/>
        </w:rPr>
        <w:t xml:space="preserve">, in a sale transaction pursuant to and in accordance with Rule 144; provided that, in each case, any such Transfer shall not, when taken together with any and all other Transfers pursuant to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during the period of 90 consecutive days ending on the date of such Transfer (which date, for the purposes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be the trade date for such Transfer, rather than the settlement date for such Transfer), involve a number of Shares in excess of ten percent of the number of such Shareholder’s Shares issued to such Shareholder pursuant to the Purchase Agreement (calculated assuming conversion of such Shareholder’s Preferred Shares, if any). For the avoidance of doubt,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does not apply to any Transfer of Preferred Shares. Notwithstanding the foregoing, the volume restrictions set forth in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not apply to a Transfer by a Requesting Holder in a Public Offering pursuant to a Piggyback Request in accordance with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953"/>
        <w:spacing w:after="0" w:line="284" w:lineRule="auto"/>
        <w:tabs>
          <w:tab w:leader="none" w:pos="2423"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Certain Transferees to Become Parties</w:t>
      </w:r>
      <w:r>
        <w:rPr>
          <w:rFonts w:ascii="Arial" w:cs="Arial" w:eastAsia="Arial" w:hAnsi="Arial"/>
          <w:sz w:val="16"/>
          <w:szCs w:val="16"/>
          <w:color w:val="auto"/>
        </w:rPr>
        <w:t xml:space="preserve">. Except in the case of a Transfer in accordance with the provisions of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any transferee receiving Shares in a Transfer permitted pursuant to (i) the first sentence of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or (ii)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shall become a Shareholder, a party to this Agreement and subject to the terms and conditions of, and be bound by and entitled to enforce, this Agreement to the same extent, and in the same capacity, as the Person that Transfers such Shares to such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Transfer by any holder of Shares to a Permitted Transferee shall relieve such holder of any of its obligations under this Agreement. Prior to the Transfer of any Shares to any transferee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and as a condition thereto, each Shareholder effecting such Transfer shall (i) cause such transferee to deliver to the Corporation its written agreement, in form and substance reasonably satisfactory to the Corporation, to be bound by the terms and conditions of this Agreement, if not already bound by this Agreement,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remain directly liable for the performance by such Permitted Transferee of all obligations of such transferee under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jc w:val="both"/>
        <w:ind w:firstLine="1953"/>
        <w:spacing w:after="0" w:line="255" w:lineRule="auto"/>
        <w:tabs>
          <w:tab w:leader="none" w:pos="235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Transfers to Competitors or Greater Than 10% Holders</w:t>
      </w:r>
      <w:r>
        <w:rPr>
          <w:rFonts w:ascii="Arial" w:cs="Arial" w:eastAsia="Arial" w:hAnsi="Arial"/>
          <w:sz w:val="18"/>
          <w:szCs w:val="18"/>
          <w:color w:val="auto"/>
        </w:rPr>
        <w:t xml:space="preserve">. Notwithstanding anything to the contrary in the foregoing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without the prior written consent of the Corporation, no Shareholder may Transfer any Shares to (i) any Competitor or (ii) any Person who, either alone or as part of a Group, is, or would become after giving effect to such Transfer, the Beneficial Owner of, or otherwise has, or would have, the right to acquire, through any option, warrant, forward contract, share loan, swap, contract of sale or other derivative or similar agreement, more than ten percent of the Common Shares then outstanding, in either case other than through Transfers in accordance with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in an underwritten Public Offering or in a market transaction pursuant to Rule 144.</w:t>
      </w:r>
    </w:p>
    <w:p>
      <w:pPr>
        <w:spacing w:after="0" w:line="193" w:lineRule="exact"/>
        <w:rPr>
          <w:rFonts w:ascii="Arial" w:cs="Arial" w:eastAsia="Arial" w:hAnsi="Arial"/>
          <w:sz w:val="18"/>
          <w:szCs w:val="18"/>
          <w:color w:val="auto"/>
        </w:rPr>
      </w:pPr>
    </w:p>
    <w:p>
      <w:pPr>
        <w:ind w:firstLine="1953"/>
        <w:spacing w:after="0" w:line="277" w:lineRule="auto"/>
        <w:tabs>
          <w:tab w:leader="none" w:pos="24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Impermissible Transfer</w:t>
      </w:r>
      <w:r>
        <w:rPr>
          <w:rFonts w:ascii="Arial" w:cs="Arial" w:eastAsia="Arial" w:hAnsi="Arial"/>
          <w:sz w:val="18"/>
          <w:szCs w:val="18"/>
          <w:color w:val="auto"/>
        </w:rPr>
        <w:t xml:space="preserve">. Any attempted Transfer of Shares not permitted under the terms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null and void, and the Corporation shall not in any way give effect to any such impermissible Transfer.</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48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Period of Restriction</w:t>
      </w:r>
      <w:r>
        <w:rPr>
          <w:rFonts w:ascii="Arial" w:cs="Arial" w:eastAsia="Arial" w:hAnsi="Arial"/>
          <w:sz w:val="18"/>
          <w:szCs w:val="18"/>
          <w:color w:val="auto"/>
        </w:rPr>
        <w:t xml:space="preserve">. The foregoing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expire automatically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86" w:lineRule="exact"/>
        <w:rPr>
          <w:rFonts w:ascii="Arial" w:cs="Arial" w:eastAsia="Arial" w:hAnsi="Arial"/>
          <w:sz w:val="18"/>
          <w:szCs w:val="18"/>
          <w:color w:val="auto"/>
        </w:rPr>
      </w:pPr>
    </w:p>
    <w:p>
      <w:pPr>
        <w:ind w:firstLine="1953"/>
        <w:spacing w:after="0" w:line="308" w:lineRule="auto"/>
        <w:tabs>
          <w:tab w:leader="none" w:pos="2434"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Each Shareholder agrees that the certificates evidencing the Shares held by such Shareholder will bear legends substantially in the form set forth below and containing such other information as the Corporation may deem necessary or appropriate:</w:t>
      </w:r>
    </w:p>
    <w:p>
      <w:pPr>
        <w:spacing w:after="0" w:line="143" w:lineRule="exact"/>
        <w:rPr>
          <w:sz w:val="20"/>
          <w:szCs w:val="20"/>
          <w:color w:val="auto"/>
        </w:rPr>
      </w:pPr>
    </w:p>
    <w:p>
      <w:pPr>
        <w:jc w:val="both"/>
        <w:ind w:left="1300" w:right="660"/>
        <w:spacing w:after="0" w:line="258" w:lineRule="auto"/>
        <w:rPr>
          <w:sz w:val="20"/>
          <w:szCs w:val="20"/>
          <w:color w:val="auto"/>
        </w:rPr>
      </w:pPr>
      <w:r>
        <w:rPr>
          <w:rFonts w:ascii="Arial" w:cs="Arial" w:eastAsia="Arial" w:hAnsi="Arial"/>
          <w:sz w:val="18"/>
          <w:szCs w:val="18"/>
          <w:b w:val="1"/>
          <w:bCs w:val="1"/>
          <w:color w:val="auto"/>
        </w:rPr>
        <w:t>Except pursuant to the terms of the Registration Rights, Lock-Up and Standstill Agreement among the issuer, the holder of this certificate and the other parties thereto, the shares represented by this certificate may not be sold, transferred, assigned, distributed, exchanged, pledged, encumbered, appointed or otherwise disposed of, and the issuer shall not be required to give effect to any attempted sale, transfer, assignment, distribution, exchange, pledge, encumbrance, appointment or other disposition of any of those shares.</w:t>
      </w:r>
    </w:p>
    <w:p>
      <w:pPr>
        <w:spacing w:after="0" w:line="184" w:lineRule="exact"/>
        <w:rPr>
          <w:sz w:val="20"/>
          <w:szCs w:val="20"/>
          <w:color w:val="auto"/>
        </w:rPr>
      </w:pPr>
    </w:p>
    <w:p>
      <w:pPr>
        <w:jc w:val="both"/>
        <w:ind w:left="1300" w:right="660"/>
        <w:spacing w:after="0" w:line="261" w:lineRule="auto"/>
        <w:rPr>
          <w:sz w:val="20"/>
          <w:szCs w:val="20"/>
          <w:color w:val="auto"/>
        </w:rPr>
      </w:pPr>
      <w:r>
        <w:rPr>
          <w:rFonts w:ascii="Arial" w:cs="Arial" w:eastAsia="Arial" w:hAnsi="Arial"/>
          <w:sz w:val="18"/>
          <w:szCs w:val="18"/>
          <w:b w:val="1"/>
          <w:bCs w:val="1"/>
          <w:color w:val="auto"/>
        </w:rPr>
        <w:t>The shares represented hereby have been issued pursuant to a claim of exemption under the U.S. Securities Act of 1933 and other applicable securities laws and may not be sold or otherwise transferred without compliance with the registration provisions of the U.S. Securities Act of 1933 and any other applicable securities laws or in accordance with applicable exemptions therefrom.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jc w:val="both"/>
        <w:ind w:firstLine="1297"/>
        <w:spacing w:after="0" w:line="297" w:lineRule="auto"/>
        <w:rPr>
          <w:sz w:val="20"/>
          <w:szCs w:val="20"/>
          <w:color w:val="auto"/>
        </w:rPr>
      </w:pPr>
      <w:r>
        <w:rPr>
          <w:rFonts w:ascii="Arial" w:cs="Arial" w:eastAsia="Arial" w:hAnsi="Arial"/>
          <w:sz w:val="16"/>
          <w:szCs w:val="16"/>
          <w:color w:val="auto"/>
        </w:rPr>
        <w:t xml:space="preserve">The Corporation may instruct any transfer agent for the Common Shares or Preferred Shares not to register the Transfer of any Shares subject to the restrictions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Whenever the Common Shares represented by any such certificate no longer constitute Shares pursuant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or are being Transferred in a transaction upon consummation of which such Common Shares will no longer constitute Shares pursuant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the holder of such certificate shall be entitled to receive from the Corporation, at the Corporation’s sole cost and expense and upon receipt by the Corporation of appropriate certifications, a new certificate not bearing the legends set forth in this </w:t>
      </w:r>
      <w:r>
        <w:rPr>
          <w:rFonts w:ascii="Arial" w:cs="Arial" w:eastAsia="Arial" w:hAnsi="Arial"/>
          <w:sz w:val="16"/>
          <w:szCs w:val="16"/>
          <w:u w:val="single" w:color="auto"/>
          <w:color w:val="auto"/>
        </w:rPr>
        <w:t>Section 2(i)</w:t>
      </w:r>
      <w:r>
        <w:rPr>
          <w:rFonts w:ascii="Arial" w:cs="Arial" w:eastAsia="Arial" w:hAnsi="Arial"/>
          <w:sz w:val="16"/>
          <w:szCs w:val="16"/>
          <w:color w:val="auto"/>
        </w:rPr>
        <w: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84" w:lineRule="auto"/>
        <w:tabs>
          <w:tab w:leader="none" w:pos="245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3(b)</w:t>
      </w:r>
      <w:r>
        <w:rPr>
          <w:rFonts w:ascii="Arial" w:cs="Arial" w:eastAsia="Arial" w:hAnsi="Arial"/>
          <w:sz w:val="16"/>
          <w:szCs w:val="16"/>
          <w:color w:val="auto"/>
        </w:rPr>
        <w:t>, if the Corporation proposes to file a Registration Statement under the Securities Act (on a form of Registration Statement that would permit registration of the offering and sale of Registrable Securities) providing for the public offering of Common Shares, for its own account or for the account of a selling shareholder, for sale to the public in an underwritten Public Offering for cash, the Corporation will give written notice (a “</w:t>
      </w:r>
      <w:r>
        <w:rPr>
          <w:rFonts w:ascii="Arial" w:cs="Arial" w:eastAsia="Arial" w:hAnsi="Arial"/>
          <w:sz w:val="16"/>
          <w:szCs w:val="16"/>
          <w:u w:val="single" w:color="auto"/>
          <w:color w:val="auto"/>
        </w:rPr>
        <w:t>Piggyback Notice</w:t>
      </w:r>
      <w:r>
        <w:rPr>
          <w:rFonts w:ascii="Arial" w:cs="Arial" w:eastAsia="Arial" w:hAnsi="Arial"/>
          <w:sz w:val="16"/>
          <w:szCs w:val="16"/>
          <w:color w:val="auto"/>
        </w:rPr>
        <w:t xml:space="preserve">”) to all holders of Registrable Securities of its intention to do so. Each holder of Registrable Securities agrees that the fact that such a Piggyback Notice has been delivered shall constitute confidential information and such holder agrees not to disclose that such Piggyback Notice has been delivered or effect any public sale or distribution of Common Shares until the earlier of (i) the date that the applicable Registration Statement has been filed with the SEC and (ii) 20 days after the date of such Piggyback Notice. The </w:t>
      </w:r>
      <w:r>
        <w:rPr>
          <w:rFonts w:ascii="Arial" w:cs="Arial" w:eastAsia="Arial" w:hAnsi="Arial"/>
          <w:sz w:val="16"/>
          <w:szCs w:val="16"/>
          <w:u w:val="single" w:color="auto"/>
          <w:color w:val="auto"/>
        </w:rPr>
        <w:t>Piggyback</w:t>
      </w:r>
      <w:r>
        <w:rPr>
          <w:rFonts w:ascii="Arial" w:cs="Arial" w:eastAsia="Arial" w:hAnsi="Arial"/>
          <w:sz w:val="16"/>
          <w:szCs w:val="16"/>
          <w:color w:val="auto"/>
        </w:rPr>
        <w:t xml:space="preserve"> Notice shall offer such holders the opportunity to include (or cause to be included) in such Registration Statement the number of Registrable Securities as each such holder may request. Any such holder may, by written response (a “</w:t>
      </w:r>
      <w:r>
        <w:rPr>
          <w:rFonts w:ascii="Arial" w:cs="Arial" w:eastAsia="Arial" w:hAnsi="Arial"/>
          <w:sz w:val="16"/>
          <w:szCs w:val="16"/>
          <w:u w:val="single" w:color="auto"/>
          <w:color w:val="auto"/>
        </w:rPr>
        <w:t>Piggyback Request</w:t>
      </w:r>
      <w:r>
        <w:rPr>
          <w:rFonts w:ascii="Arial" w:cs="Arial" w:eastAsia="Arial" w:hAnsi="Arial"/>
          <w:sz w:val="16"/>
          <w:szCs w:val="16"/>
          <w:color w:val="auto"/>
        </w:rPr>
        <w:t xml:space="preserve">”) delivered to the Corporation within five days after the effectiveness under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of such Piggyback Notice, request that all or a specified part of the Registrable Securities held by such holder be included in such Registration Statement (each such holder being a “</w:t>
      </w:r>
      <w:r>
        <w:rPr>
          <w:rFonts w:ascii="Arial" w:cs="Arial" w:eastAsia="Arial" w:hAnsi="Arial"/>
          <w:sz w:val="16"/>
          <w:szCs w:val="16"/>
          <w:u w:val="single" w:color="auto"/>
          <w:color w:val="auto"/>
        </w:rPr>
        <w:t>Requesting Holder</w:t>
      </w:r>
      <w:r>
        <w:rPr>
          <w:rFonts w:ascii="Arial" w:cs="Arial" w:eastAsia="Arial" w:hAnsi="Arial"/>
          <w:sz w:val="16"/>
          <w:szCs w:val="16"/>
          <w:color w:val="auto"/>
        </w:rPr>
        <w:t xml:space="preserve">”), which request shall inform the Corporation of the number of shares of Registrable Securities such holder wishes to include in such Registration Statement and provide the Corporation with such information with respect to such holder as shall be reasonably necessary in order to assure compliance with federal and applicable state securities laws. If no request for inclusion from a holder is received within the time period specified in the immediately preceding sentence, such holder shall have no further right to participate in such Registration Statement and any Public Offering pursuant thereto. Following the end of such time period, the Corporation will use commercially reasonable efforts to cause to be included in such registered Public Offering under the Securities Act all shares of Registrable Securities which the Corporation has been so requested to register by any Requesting Holders, to the extent required to permit the disposition (in accordance with the methods to be used by the Corporation or other holders of Common Shares in such Public Offering) of the Registrable Securities to be so registered;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at any time after giving written notice of its intention to undertake an underwritten Public Offering and prior to the closing of such underwritten Public Offering, the Corporation shall determine for any reason not to undertake or to delay such underwritten Public Offering, the Corporation may, at its election, give written notice of such determination to the Requesting Holders and (x) in the case of a determination not to undertake such underwritten Public Offering, shall be relieved of its obligation to sell any Registrable Securities in connection with such terminated underwritten Public Offering, and (y) in the case of a determination to delay such underwritten Public Offering, shall be permitted to delay offering any Registrable Securities for the same period as the delay in the underwritten Public Offering; and (ii) all Requesting Holders must, with respect to their Registrable Securities to be offered and sold in such Public Offering, sell such Registrable Securities to the underwriters selected by the Corporation, on the same terms and conditions as applicable to the Corporation (with such differences as may be customary or appropriate in combined primary and secondary offerings and applied in a manner that does not discriminate among holders that are similarly situated with respect to the circumstances related thereto, in accordance with the terms of this Agreement). For the avoidance of doubt, the Corporation shall not be required to register any Registrable Securities upon the request of any holder pursuant to a Registration Statement, or to permit the related Prospectus or prospectus supplement to be used, in connection with any offering or Transfer of Registrable Securities by a holder other than pursuant to an underwritten Public Offering.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ind w:firstLine="1953"/>
        <w:spacing w:after="0" w:line="277" w:lineRule="auto"/>
        <w:tabs>
          <w:tab w:leader="none" w:pos="2379"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Excluded Transactions</w:t>
      </w:r>
      <w:r>
        <w:rPr>
          <w:rFonts w:ascii="Arial" w:cs="Arial" w:eastAsia="Arial" w:hAnsi="Arial"/>
          <w:sz w:val="18"/>
          <w:szCs w:val="18"/>
          <w:color w:val="auto"/>
        </w:rPr>
        <w:t xml:space="preserve">. The Corporation shall not be obligated to provide any Piggyback Notice with respect to, or effect the registration of the offer and sale of any Registrable Securities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incidental to any Public Offering:</w:t>
      </w:r>
    </w:p>
    <w:p>
      <w:pPr>
        <w:spacing w:after="0" w:line="170" w:lineRule="exact"/>
        <w:rPr>
          <w:sz w:val="20"/>
          <w:szCs w:val="20"/>
          <w:color w:val="auto"/>
        </w:rPr>
      </w:pPr>
    </w:p>
    <w:p>
      <w:pPr>
        <w:ind w:left="2340" w:hanging="387"/>
        <w:spacing w:after="0"/>
        <w:tabs>
          <w:tab w:leader="none" w:pos="2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relating to any employee benefit, compensation, incentive or savings plans or dividend reinvestment plans;</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relating to the acquisition or merger after the date hereof by the Corporation or any of its Subsidiaries of or with any other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2440" w:hanging="487"/>
        <w:spacing w:after="0"/>
        <w:tabs>
          <w:tab w:leader="none" w:pos="2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under the Corporation’s existing shelf registration statement on Form S-3 (Reg. No. 333-212754);</w:t>
      </w:r>
    </w:p>
    <w:p>
      <w:pPr>
        <w:spacing w:after="0" w:line="225" w:lineRule="exact"/>
        <w:rPr>
          <w:rFonts w:ascii="Arial" w:cs="Arial" w:eastAsia="Arial" w:hAnsi="Arial"/>
          <w:sz w:val="18"/>
          <w:szCs w:val="18"/>
          <w:color w:val="auto"/>
        </w:rPr>
      </w:pPr>
    </w:p>
    <w:p>
      <w:pPr>
        <w:ind w:left="660" w:firstLine="1293"/>
        <w:spacing w:after="0" w:line="277" w:lineRule="auto"/>
        <w:tabs>
          <w:tab w:leader="none" w:pos="253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be registered on a registration statement on Form S-4 or Form S-8 (or any successor forms thereto) or a registration statement for the offering or sale of Common Shares issuable upon conversion of debt securities; or</w:t>
      </w:r>
    </w:p>
    <w:p>
      <w:pPr>
        <w:spacing w:after="0" w:line="170" w:lineRule="exact"/>
        <w:rPr>
          <w:rFonts w:ascii="Arial" w:cs="Arial" w:eastAsia="Arial" w:hAnsi="Arial"/>
          <w:sz w:val="18"/>
          <w:szCs w:val="18"/>
          <w:color w:val="auto"/>
        </w:rPr>
      </w:pPr>
    </w:p>
    <w:p>
      <w:pPr>
        <w:ind w:left="2380" w:hanging="427"/>
        <w:spacing w:after="0"/>
        <w:tabs>
          <w:tab w:leader="none" w:pos="23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only to existing holders of securities issued by the Corporation (including the Shareholders).</w:t>
      </w:r>
    </w:p>
    <w:p>
      <w:pPr>
        <w:spacing w:after="0" w:line="225" w:lineRule="exact"/>
        <w:rPr>
          <w:sz w:val="20"/>
          <w:szCs w:val="20"/>
          <w:color w:val="auto"/>
        </w:rPr>
      </w:pPr>
    </w:p>
    <w:p>
      <w:pPr>
        <w:jc w:val="both"/>
        <w:ind w:firstLine="1953"/>
        <w:spacing w:after="0" w:line="289" w:lineRule="auto"/>
        <w:tabs>
          <w:tab w:leader="none" w:pos="2504"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Certain Obligations of Requesting Holders</w:t>
      </w:r>
      <w:r>
        <w:rPr>
          <w:rFonts w:ascii="Arial" w:cs="Arial" w:eastAsia="Arial" w:hAnsi="Arial"/>
          <w:sz w:val="16"/>
          <w:szCs w:val="16"/>
          <w:color w:val="auto"/>
        </w:rPr>
        <w:t xml:space="preserve">. Any Requesting Holders participating in any underwritten Public Offering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take all such actions and execute all such documents and instruments that are reasonably requested by the Corporation to effect the offer and sale, in such Public Offering, of the Registrable Securities they have requested to be included in such Public Offering pursuant to a Piggyback Request, including becoming parties to the underwriting agreement entered into by the Corporation and any other selling shareholders in connection therewith and being liable (severally, and not jointly and severally) in respect of the representations and warranties by such selling shareholder, and the other agreements (including customary selling shareholder questionnaires, powers of attorney, representations, warranties, indemnification and contribution arrangements and “lock-up” agreements) for the benefit of the underwriters. In connection with any Public Offering, no Shareholder who has provided a Piggyback Request with respect thereto may, after such time as the Corporation has delivered to such Requesting Holder the expected range of pricing for the Common Shares to be offered and sold in any such Public Offering, thereafter elect to withdraw therefrom without the written consent of the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jc w:val="both"/>
        <w:ind w:firstLine="1953"/>
        <w:spacing w:after="0" w:line="286" w:lineRule="auto"/>
        <w:tabs>
          <w:tab w:leader="none" w:pos="2379"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Underwriters’ Cutback</w:t>
      </w:r>
      <w:r>
        <w:rPr>
          <w:rFonts w:ascii="Arial" w:cs="Arial" w:eastAsia="Arial" w:hAnsi="Arial"/>
          <w:sz w:val="16"/>
          <w:szCs w:val="16"/>
          <w:color w:val="auto"/>
        </w:rPr>
        <w:t xml:space="preserve">. In connection with any underwritten Public Offering, the underwriters may determine that marketing factors (including an adverse effect on the per-share offering price) require a limitation of the number of shares to be underwritten. Notwithstanding any contrary provision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subject to the terms of this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the underwriters may limit the number of shares which would otherwise be included in such Public Offering by the exclusion of any or all Registrable Securities from such Public Offering (it being understood that the number of Common Shares which the Corporation seeks to have included in such Public Offering shall not be subject to exclusion, in whole or in part, under this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Upon receipt of notice from the underwriters of the need to reduce the number of shares to be included in any underwritten Public Offering pursuant to the foregoing provisions of this </w:t>
      </w:r>
      <w:r>
        <w:rPr>
          <w:rFonts w:ascii="Arial" w:cs="Arial" w:eastAsia="Arial" w:hAnsi="Arial"/>
          <w:sz w:val="16"/>
          <w:szCs w:val="16"/>
          <w:u w:val="single" w:color="auto"/>
          <w:color w:val="auto"/>
        </w:rPr>
        <w:t>Section 3</w:t>
      </w:r>
      <w:r>
        <w:rPr>
          <w:rFonts w:ascii="Arial" w:cs="Arial" w:eastAsia="Arial" w:hAnsi="Arial"/>
          <w:sz w:val="16"/>
          <w:szCs w:val="16"/>
          <w:color w:val="auto"/>
        </w:rPr>
        <w:t>, the Corporation shall advise all Requesting Holders with respect to such Public Offering, and the number of Common Shares, including Registrable Securities, that may be included in such Public Offering shall be allocated in the following manner, unless the underwriters in their discretion shall determine in good faith that marketing factors require a different allocation: Common Shares, other than Registrable Securities, requested to be included in such Public Offering by Persons other than the Requesting Holders shall be excluded; and, if a limitation on the number of Common Shares is still required, the number of Registrable Securities shall be allocated among holders thereof in proportion, as nearly as practicable, to the respective amounts of Common Shares which each Shareholder requested to be so included. No Common Shares designated for exclusion from a Public Offering by reason of the underwriters’ marketing limitation shall be included in such Public Offering.</w:t>
      </w:r>
    </w:p>
    <w:p>
      <w:pPr>
        <w:spacing w:after="0" w:line="174" w:lineRule="exact"/>
        <w:rPr>
          <w:rFonts w:ascii="Arial" w:cs="Arial" w:eastAsia="Arial" w:hAnsi="Arial"/>
          <w:sz w:val="16"/>
          <w:szCs w:val="16"/>
          <w:color w:val="auto"/>
        </w:rPr>
      </w:pPr>
    </w:p>
    <w:p>
      <w:pPr>
        <w:ind w:left="2380" w:hanging="427"/>
        <w:spacing w:after="0"/>
        <w:tabs>
          <w:tab w:leader="none" w:pos="23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3"/>
        <w:spacing w:after="0" w:line="287" w:lineRule="auto"/>
        <w:tabs>
          <w:tab w:leader="none" w:pos="2419"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As soon as practicable following the date that is 18 months after the date of this Agreement, but in no event more than 30 days thereafter, the Corporation shall use its commercially reasonable efforts to prepare and file a Shelf Registration Statement under the Securities Act covering the Public Offering of the Registrable Securities held by the Standstill Shareholders. The Corporation shall use its commercially reasonable efforts to cause such Shelf Registration Statement to become effective within 150 days after the date of filing of such Shelf Registration Statement. A Shelf Registration Statement filed pursuant to this </w:t>
      </w:r>
      <w:r>
        <w:rPr>
          <w:rFonts w:ascii="Arial" w:cs="Arial" w:eastAsia="Arial" w:hAnsi="Arial"/>
          <w:sz w:val="16"/>
          <w:szCs w:val="16"/>
          <w:u w:val="single" w:color="auto"/>
          <w:color w:val="auto"/>
        </w:rPr>
        <w:t>Section 3(e)(i)</w:t>
      </w:r>
      <w:r>
        <w:rPr>
          <w:rFonts w:ascii="Arial" w:cs="Arial" w:eastAsia="Arial" w:hAnsi="Arial"/>
          <w:sz w:val="16"/>
          <w:szCs w:val="16"/>
          <w:color w:val="auto"/>
        </w:rPr>
        <w:t xml:space="preserve"> shall be on Form S-3 (or any successor provision to Form S-3) for so long as the Corporation is eligible to use Form S-3 and, if the Corporation is a WKSI at the time a Shelf Registration Statement is required to be filed hereunder, such Shelf Registration Statement shall be filed as an Automatic Shelf Registration Statement. If the Corporation is not eligible to use Form S-3 at the time a Shelf Registration Statement is required to be filed hereunder, such Shelf Registration Statement shall be on such other form of the SEC as shall be selected by the Corporation. As soon as practicable following the date that a Shelf Registration Statement filed pursuant to this </w:t>
      </w:r>
      <w:r>
        <w:rPr>
          <w:rFonts w:ascii="Arial" w:cs="Arial" w:eastAsia="Arial" w:hAnsi="Arial"/>
          <w:sz w:val="16"/>
          <w:szCs w:val="16"/>
          <w:u w:val="single" w:color="auto"/>
          <w:color w:val="auto"/>
        </w:rPr>
        <w:t>Section 3(e)(i)</w:t>
      </w:r>
      <w:r>
        <w:rPr>
          <w:rFonts w:ascii="Arial" w:cs="Arial" w:eastAsia="Arial" w:hAnsi="Arial"/>
          <w:sz w:val="16"/>
          <w:szCs w:val="16"/>
          <w:color w:val="auto"/>
        </w:rPr>
        <w:t xml:space="preserve"> becomes effective, but in any event within five Business Days of such date, the Corporation shall provide the Standstill Shareholders with written notice of the effectiveness of such Shelf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notice shall be required if such Shelf Registration Statement is an Automatic Shelf Registration Statement.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jc w:val="both"/>
        <w:ind w:left="-540" w:firstLine="1293"/>
        <w:spacing w:after="0" w:line="291" w:lineRule="auto"/>
        <w:tabs>
          <w:tab w:leader="none" w:pos="1228"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Right to Effect a Shelf Takedown</w:t>
      </w:r>
      <w:r>
        <w:rPr>
          <w:rFonts w:ascii="Arial" w:cs="Arial" w:eastAsia="Arial" w:hAnsi="Arial"/>
          <w:sz w:val="16"/>
          <w:szCs w:val="16"/>
          <w:color w:val="auto"/>
        </w:rPr>
        <w:t>. Following the date that is 18 months after the date of this Agreement, from time to time when a Shelf Registration Statement is effective, each Standstill Shareholder that has Registrable Securities covered by such Shelf Registration Statement shall be entitled to sell such Registrable Securities pursuant to the plan of distribution in such Shelf Registration Statement (each,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Takedown</w:t>
      </w:r>
      <w:r>
        <w:rPr>
          <w:rFonts w:ascii="Arial" w:cs="Arial" w:eastAsia="Arial" w:hAnsi="Arial"/>
          <w:sz w:val="16"/>
          <w:szCs w:val="16"/>
          <w:color w:val="auto"/>
        </w:rPr>
        <w:t>”), including pursuant to any sale pursuant to a plan that complies with Rule 10b5-1 under the Exchange Act (a “</w:t>
      </w:r>
      <w:r>
        <w:rPr>
          <w:rFonts w:ascii="Arial" w:cs="Arial" w:eastAsia="Arial" w:hAnsi="Arial"/>
          <w:sz w:val="16"/>
          <w:szCs w:val="16"/>
          <w:u w:val="single" w:color="auto"/>
          <w:color w:val="auto"/>
        </w:rPr>
        <w:t>Rule 10b5-1 Plan</w:t>
      </w:r>
      <w:r>
        <w:rPr>
          <w:rFonts w:ascii="Arial" w:cs="Arial" w:eastAsia="Arial" w:hAnsi="Arial"/>
          <w:sz w:val="16"/>
          <w:szCs w:val="16"/>
          <w:color w:val="auto"/>
        </w:rPr>
        <w:t xml:space="preserve">”), but only in accordance with the limitations set forth in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holder of Registrable Securities shall be entitled to request that a Shelf Takedown be an underwritten offering. Each Standstill Shareholder shall also give the Corporation prompt written notice of the consummation of each Shelf Takedown or the entry into a Rule 10b5-1 Plan in respect of the Registrable Securities.</w:t>
      </w:r>
    </w:p>
    <w:p>
      <w:pPr>
        <w:spacing w:after="0" w:line="167" w:lineRule="exact"/>
        <w:rPr>
          <w:rFonts w:ascii="Arial" w:cs="Arial" w:eastAsia="Arial" w:hAnsi="Arial"/>
          <w:sz w:val="16"/>
          <w:szCs w:val="16"/>
          <w:color w:val="auto"/>
        </w:rPr>
      </w:pPr>
    </w:p>
    <w:p>
      <w:pPr>
        <w:jc w:val="both"/>
        <w:ind w:left="-540" w:firstLine="1293"/>
        <w:spacing w:after="0" w:line="286" w:lineRule="auto"/>
        <w:tabs>
          <w:tab w:leader="none" w:pos="1454"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Delay Rights</w:t>
      </w:r>
      <w:r>
        <w:rPr>
          <w:rFonts w:ascii="Arial" w:cs="Arial" w:eastAsia="Arial" w:hAnsi="Arial"/>
          <w:sz w:val="16"/>
          <w:szCs w:val="16"/>
          <w:color w:val="auto"/>
        </w:rPr>
        <w:t xml:space="preserve">. Notwithstanding anything to the contrary contained herein, the Corporation may delay the filing or effectiveness of a Shelf Registration Statement required by this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and may, upon written notice to any Standstill Shareholder whose Registrable Securities are included in the Shelf Registration Statement, suspend such Standstill Shareholder’s use of any prospectus which is a part of the Shelf Registration Statement (in which event such Standstill Shareholder shall discontinue sales of the Registrable Securities pursuant to the Shelf Registration Statement) if (a) the Corporation is pursuing an acquisition, merger, reorganization, disposition or similar transaction and the Corporation determines in good faith that the Corporation’s ability to pursue or consummate such a transaction would be materially and adversely affected by any required disclosure of such transaction in the Shelf Registration Statement or (b) the Corporation has experienced some other non-public event the disclosure of which at such time, in the good faith judgment of the Corporation, would materially and adversely affect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Standstill Shareholders be suspended from selling Registrable Securities pursuant to the Shelf Registration Statement for a period that exceeds an aggregate of 60 days in any 180 day period. Upon disclosure of such information or the termination of the condition described above, the Corporation shall provide prompt notice to the Standstill Shareholders whose Registrable Securities are included in the Shelf Registration Statement, and shall promptly terminate any suspension of sales it has put into effect under this clause (iii) and shall take such other actions necessary or appropriate to permit registered sales of Registrable Securities as contemplated in this Agreement.</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94" w:name="page95"/>
    <w:bookmarkEnd w:id="94"/>
    <w:p>
      <w:pPr>
        <w:jc w:val="both"/>
        <w:ind w:left="660" w:firstLine="1293"/>
        <w:spacing w:after="0" w:line="286" w:lineRule="auto"/>
        <w:tabs>
          <w:tab w:leader="none" w:pos="257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Failure to Become Effective</w:t>
      </w:r>
      <w:r>
        <w:rPr>
          <w:rFonts w:ascii="Arial" w:cs="Arial" w:eastAsia="Arial" w:hAnsi="Arial"/>
          <w:sz w:val="16"/>
          <w:szCs w:val="16"/>
          <w:color w:val="auto"/>
        </w:rPr>
        <w:t xml:space="preserve">. If a Shelf Registration Statement required by </w:t>
      </w:r>
      <w:r>
        <w:rPr>
          <w:rFonts w:ascii="Arial" w:cs="Arial" w:eastAsia="Arial" w:hAnsi="Arial"/>
          <w:sz w:val="16"/>
          <w:szCs w:val="16"/>
          <w:u w:val="single" w:color="auto"/>
          <w:color w:val="auto"/>
        </w:rPr>
        <w:t>Section 3(e)(i)</w:t>
      </w:r>
      <w:r>
        <w:rPr>
          <w:rFonts w:ascii="Arial" w:cs="Arial" w:eastAsia="Arial" w:hAnsi="Arial"/>
          <w:sz w:val="16"/>
          <w:szCs w:val="16"/>
          <w:color w:val="auto"/>
        </w:rPr>
        <w:t xml:space="preserve"> does not become or is not declared effective within 180 days after the date that is 18 months after the date of this Agreement (such 180th day, the “</w:t>
      </w:r>
      <w:r>
        <w:rPr>
          <w:rFonts w:ascii="Arial" w:cs="Arial" w:eastAsia="Arial" w:hAnsi="Arial"/>
          <w:sz w:val="16"/>
          <w:szCs w:val="16"/>
          <w:u w:val="single" w:color="auto"/>
          <w:color w:val="auto"/>
        </w:rPr>
        <w:t>Target Effective Date</w:t>
      </w:r>
      <w:r>
        <w:rPr>
          <w:rFonts w:ascii="Arial" w:cs="Arial" w:eastAsia="Arial" w:hAnsi="Arial"/>
          <w:sz w:val="16"/>
          <w:szCs w:val="16"/>
          <w:color w:val="auto"/>
        </w:rPr>
        <w:t>”), then, the Dividend Rate (as defined in the Articles) with respect to the Preferred Shares held by the Standstill Shareholders will be increased by (i) 0.25% per annum commencing on the first Dividend Payment Date (as defined in the Articles) immediately following the Target Effective Date and</w:t>
      </w:r>
    </w:p>
    <w:p>
      <w:pPr>
        <w:spacing w:after="0" w:line="1" w:lineRule="exact"/>
        <w:rPr>
          <w:rFonts w:ascii="Arial" w:cs="Arial" w:eastAsia="Arial" w:hAnsi="Arial"/>
          <w:sz w:val="16"/>
          <w:szCs w:val="16"/>
          <w:color w:val="auto"/>
        </w:rPr>
      </w:pPr>
    </w:p>
    <w:p>
      <w:pPr>
        <w:jc w:val="both"/>
        <w:ind w:left="660" w:hanging="4"/>
        <w:spacing w:after="0" w:line="252" w:lineRule="auto"/>
        <w:tabs>
          <w:tab w:leader="none" w:pos="92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 additional 0.25% per annum commencing on each subsequent Dividend Payment Date (as defined in the Articles), up to a maximum increase of 1.00% per annum (“Delayed Registration Dividend Adjustment”), until such time as the Shelf Registration Statement is declared effective or there are no longer any Registrable Securities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failure of the Shelf Registration Statement to become or be declared effective is due primarily to effects, events or circumstances arising out of or related to (a) a breach of any representation or warranty or any covenant by any party to the Purchase Agreement other than the Corporation or (b) a failure by a Standstill Shareholder to furnish to the Corporation the information specified in the second paragraph of </w:t>
      </w:r>
      <w:r>
        <w:rPr>
          <w:rFonts w:ascii="Arial" w:cs="Arial" w:eastAsia="Arial" w:hAnsi="Arial"/>
          <w:sz w:val="18"/>
          <w:szCs w:val="18"/>
          <w:u w:val="single" w:color="auto"/>
          <w:color w:val="auto"/>
        </w:rPr>
        <w:t>Section 3(f)</w:t>
      </w:r>
      <w:r>
        <w:rPr>
          <w:rFonts w:ascii="Arial" w:cs="Arial" w:eastAsia="Arial" w:hAnsi="Arial"/>
          <w:sz w:val="18"/>
          <w:szCs w:val="18"/>
          <w:color w:val="auto"/>
        </w:rPr>
        <w:t>, then no Delayed Registration Dividend Adjustment shall be payable hereunder for such failure.</w:t>
      </w:r>
    </w:p>
    <w:p>
      <w:pPr>
        <w:spacing w:after="0" w:line="193" w:lineRule="exact"/>
        <w:rPr>
          <w:sz w:val="20"/>
          <w:szCs w:val="20"/>
          <w:color w:val="auto"/>
        </w:rPr>
      </w:pPr>
    </w:p>
    <w:p>
      <w:pPr>
        <w:ind w:right="20" w:firstLine="1953"/>
        <w:spacing w:after="0" w:line="277" w:lineRule="auto"/>
        <w:tabs>
          <w:tab w:leader="none" w:pos="236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If and in each case when any Registrable Securities are included in a Public Offering as provided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Corporation shall (in each case, subject to the limitations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3(e)</w:t>
      </w:r>
      <w:r>
        <w:rPr>
          <w:rFonts w:ascii="Arial" w:cs="Arial" w:eastAsia="Arial" w:hAnsi="Arial"/>
          <w:sz w:val="18"/>
          <w:szCs w:val="18"/>
          <w:color w:val="auto"/>
        </w:rPr>
        <w:t>):</w:t>
      </w:r>
    </w:p>
    <w:p>
      <w:pPr>
        <w:spacing w:after="0" w:line="170" w:lineRule="exact"/>
        <w:rPr>
          <w:sz w:val="20"/>
          <w:szCs w:val="20"/>
          <w:color w:val="auto"/>
        </w:rPr>
      </w:pPr>
    </w:p>
    <w:p>
      <w:pPr>
        <w:jc w:val="both"/>
        <w:ind w:left="660" w:firstLine="1293"/>
        <w:spacing w:after="0" w:line="288" w:lineRule="auto"/>
        <w:tabs>
          <w:tab w:leader="none" w:pos="235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the applicable Registration Statement and the Prospectus used in connection therewith as may be necessary to (A) keep such Registration Statement effective for a period not in excess of the later of (x) four years (or such shorter period which will terminate when all Registrable Securities covered by such Registration Statement have been sold) and</w:t>
      </w:r>
    </w:p>
    <w:p>
      <w:pPr>
        <w:jc w:val="both"/>
        <w:ind w:left="660" w:hanging="4"/>
        <w:spacing w:after="0" w:line="254" w:lineRule="auto"/>
        <w:tabs>
          <w:tab w:leader="none" w:pos="92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date that is one year after the date on which the last Escrowed Shares are released from escrow pursuant to the Purchase Agreement and the applicable Escrowed Shares Agreement and (B) comply with the provisions of the Securities Act and the Exchange Act with respect to the disposition of all securities covered by such Registration Statement during such period in accordance with the intended methods of disposition by the seller or sellers thereof set forth in such Registration Statement;</w:t>
      </w:r>
    </w:p>
    <w:p>
      <w:pPr>
        <w:spacing w:after="0" w:line="189" w:lineRule="exact"/>
        <w:rPr>
          <w:rFonts w:ascii="Arial" w:cs="Arial" w:eastAsia="Arial" w:hAnsi="Arial"/>
          <w:sz w:val="18"/>
          <w:szCs w:val="18"/>
          <w:color w:val="auto"/>
        </w:rPr>
      </w:pPr>
    </w:p>
    <w:p>
      <w:pPr>
        <w:jc w:val="both"/>
        <w:ind w:left="660" w:firstLine="1293"/>
        <w:spacing w:after="0" w:line="297" w:lineRule="auto"/>
        <w:tabs>
          <w:tab w:leader="none" w:pos="240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furnish or make available to each holder of such Registrable Securities such number of copies of such Registration Statement and of each amendment and supplement thereto (in each case including all exhibits filed therewith), such number of copies of the Prospectus included in such Registration Statement (including each preliminary Prospectus and summary Prospectus), in conformity with the requirements of the Securities Act, and such other documents as such holder may reasonably request in order to facilitate the offering and sale of such Registrable Securities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may furnish or make available any such documents in electronic format;</w:t>
      </w:r>
    </w:p>
    <w:p>
      <w:pPr>
        <w:spacing w:after="0" w:line="158" w:lineRule="exact"/>
        <w:rPr>
          <w:sz w:val="20"/>
          <w:szCs w:val="20"/>
          <w:color w:val="auto"/>
        </w:rPr>
      </w:pPr>
    </w:p>
    <w:p>
      <w:pPr>
        <w:jc w:val="both"/>
        <w:ind w:left="660" w:firstLine="1293"/>
        <w:spacing w:after="0" w:line="273" w:lineRule="auto"/>
        <w:tabs>
          <w:tab w:leader="none" w:pos="250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use commercially reasonable efforts to register or qualify such Registrable Securities covered by such registration in such jurisdictions as each holder of such Registrable Securities may reasonably request, and do any and all other acts and things which may be reasonably necessary or advisable to enable such holder to consummate the offer and sale in such jurisdictions of such Registrable Securities owned by such holder, except that the Corporation shall not for any such purpose be required to qualify generally to do business as a foreign corporation in any jurisdiction where, but for the requirements of this clause (iii), it would not be obligated to be so qualified or to consent to general service of process or become subject to taxation in any such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jc w:val="both"/>
        <w:ind w:left="-540" w:firstLine="1293"/>
        <w:spacing w:after="0" w:line="270" w:lineRule="auto"/>
        <w:tabs>
          <w:tab w:leader="none" w:pos="127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promptly notify each holder of such Registrable Securities, at any time when a Prospectus relating thereto is required to be delivered under the Securities Act, of the Corporation’s becoming aware that the Prospectus included in such Registration Statement, as then in effect, includes an untrue statement of a material fact or omits to state a material fact required to be stated therein or necessary to make the statements therein not misleading in the light of the circumstances under which they were made, and at the request of any such holder, prepare and furnish or make available to such holder a reasonable number of copies of an amended or supplemental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the light of the circumstances under which they were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may furnish or make available any such amended or supplemental Prospectus in electronic format;</w:t>
      </w:r>
    </w:p>
    <w:p>
      <w:pPr>
        <w:spacing w:after="0" w:line="181" w:lineRule="exact"/>
        <w:rPr>
          <w:rFonts w:ascii="Arial" w:cs="Arial" w:eastAsia="Arial" w:hAnsi="Arial"/>
          <w:sz w:val="17"/>
          <w:szCs w:val="17"/>
          <w:color w:val="auto"/>
        </w:rPr>
      </w:pPr>
    </w:p>
    <w:p>
      <w:pPr>
        <w:ind w:left="1180" w:hanging="427"/>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otherwise use commercially reasonable efforts to comply with all applicable rules and regulations of the SEC;</w:t>
      </w:r>
    </w:p>
    <w:p>
      <w:pPr>
        <w:spacing w:after="0" w:line="225" w:lineRule="exact"/>
        <w:rPr>
          <w:rFonts w:ascii="Arial" w:cs="Arial" w:eastAsia="Arial" w:hAnsi="Arial"/>
          <w:sz w:val="18"/>
          <w:szCs w:val="18"/>
          <w:color w:val="auto"/>
        </w:rPr>
      </w:pPr>
    </w:p>
    <w:p>
      <w:pPr>
        <w:ind w:left="-540" w:firstLine="1293"/>
        <w:spacing w:after="0" w:line="277" w:lineRule="auto"/>
        <w:tabs>
          <w:tab w:leader="none" w:pos="13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cooperate with each underwriter or agent, if any, participating in the disposition of such Registrable Securities and its counsel in connection with any filings required to be made with FINRA;</w:t>
      </w:r>
    </w:p>
    <w:p>
      <w:pPr>
        <w:spacing w:after="0" w:line="170" w:lineRule="exact"/>
        <w:rPr>
          <w:rFonts w:ascii="Arial" w:cs="Arial" w:eastAsia="Arial" w:hAnsi="Arial"/>
          <w:sz w:val="18"/>
          <w:szCs w:val="18"/>
          <w:color w:val="auto"/>
        </w:rPr>
      </w:pPr>
    </w:p>
    <w:p>
      <w:pPr>
        <w:jc w:val="both"/>
        <w:ind w:left="-540" w:firstLine="1293"/>
        <w:spacing w:after="0" w:line="264" w:lineRule="auto"/>
        <w:tabs>
          <w:tab w:leader="none" w:pos="12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use commercially reasonable efforts to list such Registrable Securities on any securities exchange or authorize for quotation on each other market on which Common Shares are then listed or authorized for quotation at the Corporation’s initiation, if such Registrable Securities are not already so listed or authorized for quotation;</w:t>
      </w:r>
    </w:p>
    <w:p>
      <w:pPr>
        <w:spacing w:after="0" w:line="181" w:lineRule="exact"/>
        <w:rPr>
          <w:rFonts w:ascii="Arial" w:cs="Arial" w:eastAsia="Arial" w:hAnsi="Arial"/>
          <w:sz w:val="18"/>
          <w:szCs w:val="18"/>
          <w:color w:val="auto"/>
        </w:rPr>
      </w:pPr>
    </w:p>
    <w:p>
      <w:pPr>
        <w:jc w:val="both"/>
        <w:ind w:left="-540" w:firstLine="1293"/>
        <w:spacing w:after="0" w:line="287" w:lineRule="auto"/>
        <w:tabs>
          <w:tab w:leader="none" w:pos="13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make available for inspection by any holder of such Registrable Securities, by any managing underwriter or underwriters participating in any such Public Offering and by any attorney, accountant or other agent retained by any such holder of Registrable Securities or any such managing underwriter, all pertinent financial and other records, pertinent corporate documents and properties of the Corporation, and cause the Corporation’s officers, directors and employees to supply all information reasonably requested by any such holder, underwriter, attorney, accountant or agent in connection with such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information that is not generally publicly available at the time of delivery of such information shall be kept confidential by such Persons unless (A) disclosure of such information is required by court or administrative order, (B) disclosure of such information, in the opinion of counsel to such Person, is required by applicable law or applicable legal process or (C) such information becomes generally available to the public other than as a result of a non-permitted disclosure or failure to safeguard by such Person (in the case of a proposed disclosure pursuant to the immediately preceding clauses (A) or (B), such Person shall be required to give the Corporation written notice of the proposed disclosure prior to such disclosure and, if requested by the Corporation, assist the Corporation (at the Corporation’s sole cost and expense) in seeking to prevent or limit the proposed disclosure); and without limiting the foregoing, no such information shall be used by such Person as the basis for any market transactions in securities of the Corporation or its Subsidiaries in violation of applicable law;</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96" w:name="page97"/>
    <w:bookmarkEnd w:id="96"/>
    <w:p>
      <w:pPr>
        <w:jc w:val="both"/>
        <w:ind w:left="660" w:firstLine="1293"/>
        <w:spacing w:after="0" w:line="272" w:lineRule="auto"/>
        <w:tabs>
          <w:tab w:leader="none" w:pos="244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notify the holders of such Registrable Securities and any managing underwriter or agent, promptly, and confirm the notice in writing (A) when the Registration Statement, or any post-effective amendment to the Registration Statement, shall have become effective, or any supplement to the Prospectus or any amendment to the Prospectus shall have been filed, (B) of the receipt of any comments from the SEC, (C) of any request of the SEC to amend the Registration Statement or amend or supplement the Prospectus or for additional information and (D) of the issuance by the SEC of any stop order suspending the effectiveness of the Registration Statement or of any order preventing or suspending the use of any preliminary Prospectus, or of the suspension of the qualification of the Registration Statement for offering or sale in any jurisdiction, or of the institution or threatening of any proceedings for any of such purposes;</w:t>
      </w:r>
    </w:p>
    <w:p>
      <w:pPr>
        <w:spacing w:after="0" w:line="177" w:lineRule="exact"/>
        <w:rPr>
          <w:rFonts w:ascii="Arial" w:cs="Arial" w:eastAsia="Arial" w:hAnsi="Arial"/>
          <w:sz w:val="17"/>
          <w:szCs w:val="17"/>
          <w:color w:val="auto"/>
        </w:rPr>
      </w:pPr>
    </w:p>
    <w:p>
      <w:pPr>
        <w:jc w:val="both"/>
        <w:ind w:left="660" w:firstLine="1293"/>
        <w:spacing w:after="0" w:line="264" w:lineRule="auto"/>
        <w:tabs>
          <w:tab w:leader="none" w:pos="260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use commercially reasonable efforts to prevent the issuance of any stop order suspending the effectiveness of the Registration Statement or of any order preventing or suspending the use of any preliminary Prospectus and, if any such order is issued, to obtain the withdrawal of any such order as soon as practicable; and</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52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cooperate with the holders of such Registrable Securities and the managing underwriter or agent, if any, to facilitate the timely preparation and delivery of certificates (not bearing any restrictive legends) representing Registrable Securities to be sold in such Public Offering, and enable such securities to be in such denominations and registered in such names as the managing underwriter or agent, if any, or such holders may request.</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The Corporation may require each holder of Registrable Securities that has requested to include, or will have included, any Registrable Securities in a Public Offering or a Shelf Registration Statement in accordance with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to furnish to the Corporation in writing such information required in connection with such Public Offering or Shelf Registration Statement regarding such holder of Registrable Securities and the distribution of such Registrable Securities as the Corporation may, from time to time, reasonably request in writing and the Corporation may exclude from such Public Offering or Shelf Registration Statement the Registrable Securities of any holder who unreasonably fails to furnish such information within a reasonable time after receiving such request.</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Upon any determination by the Corporation of the existence of facts or circumstances resulting in the application of </w:t>
      </w:r>
      <w:r>
        <w:rPr>
          <w:rFonts w:ascii="Arial" w:cs="Arial" w:eastAsia="Arial" w:hAnsi="Arial"/>
          <w:sz w:val="18"/>
          <w:szCs w:val="18"/>
          <w:u w:val="single" w:color="auto"/>
          <w:color w:val="auto"/>
        </w:rPr>
        <w:t>Section 3(f)(iv)</w:t>
      </w:r>
      <w:r>
        <w:rPr>
          <w:rFonts w:ascii="Arial" w:cs="Arial" w:eastAsia="Arial" w:hAnsi="Arial"/>
          <w:sz w:val="18"/>
          <w:szCs w:val="18"/>
          <w:color w:val="auto"/>
        </w:rPr>
        <w:t xml:space="preserve"> or the occurrence of any event of the kind described in clause (B), (C) or (D) of </w:t>
      </w:r>
      <w:r>
        <w:rPr>
          <w:rFonts w:ascii="Arial" w:cs="Arial" w:eastAsia="Arial" w:hAnsi="Arial"/>
          <w:sz w:val="18"/>
          <w:szCs w:val="18"/>
          <w:u w:val="single" w:color="auto"/>
          <w:color w:val="auto"/>
        </w:rPr>
        <w:t>Section 3(f)(ix)</w:t>
      </w:r>
      <w:r>
        <w:rPr>
          <w:rFonts w:ascii="Arial" w:cs="Arial" w:eastAsia="Arial" w:hAnsi="Arial"/>
          <w:sz w:val="18"/>
          <w:szCs w:val="18"/>
          <w:color w:val="auto"/>
        </w:rPr>
        <w:t xml:space="preserve">, all disposition efforts with respect to any Registrable Securities included in any Public Offering or Shelf Registration Statement will forthwith be discontinued until the Corporation has furnished or made available the supplemented or amended Prospectus contemplated by </w:t>
      </w:r>
      <w:r>
        <w:rPr>
          <w:rFonts w:ascii="Arial" w:cs="Arial" w:eastAsia="Arial" w:hAnsi="Arial"/>
          <w:sz w:val="18"/>
          <w:szCs w:val="18"/>
          <w:u w:val="single" w:color="auto"/>
          <w:color w:val="auto"/>
        </w:rPr>
        <w:t>Section 3(f)(iv)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3(f)(ix)</w:t>
      </w:r>
      <w:r>
        <w:rPr>
          <w:rFonts w:ascii="Arial" w:cs="Arial" w:eastAsia="Arial" w:hAnsi="Arial"/>
          <w:sz w:val="18"/>
          <w:szCs w:val="18"/>
          <w:color w:val="auto"/>
        </w:rPr>
        <w:t>, or until the Corporation has advised all holders of such Registrable Securities that the use of the applicable Prospectus may be resumed.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jc w:val="both"/>
        <w:ind w:firstLine="1953"/>
        <w:spacing w:after="0" w:line="270" w:lineRule="auto"/>
        <w:tabs>
          <w:tab w:leader="none" w:pos="2461"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Lock-Up Arrangements</w:t>
      </w:r>
      <w:r>
        <w:rPr>
          <w:rFonts w:ascii="Arial" w:cs="Arial" w:eastAsia="Arial" w:hAnsi="Arial"/>
          <w:sz w:val="17"/>
          <w:szCs w:val="17"/>
          <w:color w:val="auto"/>
        </w:rPr>
        <w:t xml:space="preserve">. Notwithstanding any other provision of this Agreement, without the prior written consent of the underwriters managing any underwritten Public Offering, for a period beginning seven days immediately preceding, and ending on the 90th day following, the effective date of the Registration Statement used in connection with such Public Offering, neither the Corporation nor any Shareholder (whether or not a selling shareholder pursuant to such Public Offering) shall (i) offer, pledge, sell, contract to sell, sell any option or contract to purchase, purchase any option or contract to sell, grant any option, right or warrant to purchase, lend or otherwise Transfer, directly or indirectly, any Common Shares or any securities convertible into or exercisable or exchangeable for Common Shares, except pursuant to such Public Offering, or (ii) enter into any swap or other arrangement that transfers to another, in whole or in part, any of the economic consequences of ownership of Common Shares, whether any such transaction described in clauses (i) or (ii) above is to be settled by delivery of Common Shares or such other securities, in cash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restrictions shall not apply to: (A) Transfers to a Permitted Transferee of such holder in accordance with the terms of this Agreement; or (B) any transaction referred to in clause (i), (ii) or (v) of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953"/>
        <w:spacing w:after="0" w:line="269" w:lineRule="auto"/>
        <w:tabs>
          <w:tab w:leader="none" w:pos="2447"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Except as provided in the last sentence of this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the Corporation will pay or otherwise bear all the expense attributable to the registration of Registrable Securities under the Securities Act for sale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including all of the following: (i) registration and filing fees payable under the Securities Act; (ii) filing fees payable to FINRA; (iii) fees and expenses attributable to the listing of the Common Shares that are Registrable Securities on each securities exchange on which the Common Shares are then listed or included at the Corporation’s initiation; (iv) registrar and transfer agents’ fees; (v) fees and disbursements of the Corporation’s counsel and independent registered public accounting firm; (vi) printing expenses; (vii) messenger and delivery expenses; (viii) the Corporation’s internal expenses, including the salaries and expenses of its employees; and (ix) reasonable fees and expenses of one legal counsel selected by the majority-in-interest of the Requesting Holders participating in any Public Offering. Each Requesting Holder participating in any Public Offering will pay or otherwise bear all underwriting commissions and discounts and transfer taxes or stamp or other duties attributable to such Requesting Holder’s sale or other disposition of shares of Registrable Securities, and other than as set forth in the foregoing clause (ix), each such Requesting Holder will pay or otherwise bear (i) the fees and expenses of that Requesting Holder’s counsel and any other advisor or other Person such Requesting Holder may retain in connection with such Public Offering, and (ii) such Requesting Holder’s internal expenses, including the salaries and expenses of its employees (if any).</w:t>
      </w:r>
    </w:p>
    <w:p>
      <w:pPr>
        <w:spacing w:after="0" w:line="179" w:lineRule="exact"/>
        <w:rPr>
          <w:rFonts w:ascii="Arial" w:cs="Arial" w:eastAsia="Arial" w:hAnsi="Arial"/>
          <w:sz w:val="17"/>
          <w:szCs w:val="17"/>
          <w:color w:val="auto"/>
        </w:rPr>
      </w:pPr>
    </w:p>
    <w:p>
      <w:pPr>
        <w:ind w:firstLine="1953"/>
        <w:spacing w:after="0" w:line="308" w:lineRule="auto"/>
        <w:tabs>
          <w:tab w:leader="none" w:pos="234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Transfers of Registration Rights</w:t>
      </w:r>
      <w:r>
        <w:rPr>
          <w:rFonts w:ascii="Arial" w:cs="Arial" w:eastAsia="Arial" w:hAnsi="Arial"/>
          <w:sz w:val="17"/>
          <w:szCs w:val="17"/>
          <w:color w:val="auto"/>
        </w:rPr>
        <w:t xml:space="preserve">. A Shareholder may not transfer the registration rights provided for in this Agreement to any other Person, except to a Permitted Transferee in accordance with the provisions of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953"/>
        <w:spacing w:after="0" w:line="259" w:lineRule="auto"/>
        <w:tabs>
          <w:tab w:leader="none" w:pos="2367"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Effect of Certain Transfers of Registered Securities</w:t>
      </w:r>
      <w:r>
        <w:rPr>
          <w:rFonts w:ascii="Arial" w:cs="Arial" w:eastAsia="Arial" w:hAnsi="Arial"/>
          <w:sz w:val="18"/>
          <w:szCs w:val="18"/>
          <w:color w:val="auto"/>
        </w:rPr>
        <w:t xml:space="preserve">. Any Common Shares that constitute Shares that are (i) Transferred in a Public Offering in accordance with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(ii) in a transaction pursuant to Rule 144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2(d)</w:t>
      </w:r>
      <w:r>
        <w:rPr>
          <w:rFonts w:ascii="Arial" w:cs="Arial" w:eastAsia="Arial" w:hAnsi="Arial"/>
          <w:sz w:val="18"/>
          <w:szCs w:val="18"/>
          <w:color w:val="auto"/>
        </w:rPr>
        <w:t xml:space="preserve"> shall conclusively be deemed thereafter not to be Shares or Registrable Securities under this Agreement and not to be subject to any of the provisions hereof or entitled to the benefit of any of the provisions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8" w:name="page99"/>
    <w:bookmarkEnd w:id="98"/>
    <w:p>
      <w:pPr>
        <w:jc w:val="both"/>
        <w:ind w:firstLine="1953"/>
        <w:spacing w:after="0" w:line="288" w:lineRule="auto"/>
        <w:tabs>
          <w:tab w:leader="none" w:pos="2434"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No Inconsistent Registration Rights Agreements</w:t>
      </w:r>
      <w:r>
        <w:rPr>
          <w:rFonts w:ascii="Arial" w:cs="Arial" w:eastAsia="Arial" w:hAnsi="Arial"/>
          <w:sz w:val="16"/>
          <w:szCs w:val="16"/>
          <w:color w:val="auto"/>
        </w:rPr>
        <w:t>. Except with respect to any acquisition, financing or other transaction (or series of related acquisitions, financings or other transactions) involving the grant of De Minimis Registration Rights, without the prior written consent of holders of a majority of the then outstanding Registrable Securities, the Corporation will not enter into any agreement with respect to its securities that</w:t>
      </w:r>
    </w:p>
    <w:p>
      <w:pPr>
        <w:jc w:val="both"/>
        <w:ind w:firstLine="8"/>
        <w:spacing w:after="0" w:line="284" w:lineRule="auto"/>
        <w:tabs>
          <w:tab w:leader="none" w:pos="22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conflicts with the provisions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(ii) provides rights to the other party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more favorable than, the rights granted to the Shareholders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any material respect; or (iii) imposes obligations on the other party that are less restrictive than the obligations imposed on the Shareholders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any material respect, other than any lock-up agreement with the underwriters in connection with any registered offering effected hereunder pursuant to which the Corporation shall agree not to register for sale, and the Corporation shall agree not to sell or otherwise dispose of, Common Shares or any securities convertible into or exercisable or exchangeable for Common Shares, for a specified period following the registered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 other provision of this Section 3(k), the Corporation shall not grant registration rights to any Person in any transaction (or series of transactions) that would enable such Person to resell Common Shares pursuant to a registration statement that became effective prior to the effective date of the first Shelf Registration covering the resale of Registrable Securities that the Corporation is required to file on behalf of the Shareholders pursuant to Section 3(e)(i) hereof unless such registration rights cover (i) Common Shares issued to such Person in a capital raising transaction (or transactions) for the sole or primary benefit of the Corporation or (ii) piggyback registration rights otherwise in compliance with this sentence, including cutback provisions complying with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Notwithstanding any other rights and remedies the Shareholders may have in respect of the Corporation or such other party pursuant to this Agreement, if the Corporation enters into any other registration rights or similar agreement with respect to any of its securities that contains provisions that violate the preceding sentence, the terms and conditions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immediately be deemed to have been amended without further action by the Corporation or any of the holders of Registrable Securities so that the such holders of such Registrable Securities shall each be entitled to the benefit of any such more favorable or less restrictive terms or conditions, as the case may be.</w:t>
      </w:r>
    </w:p>
    <w:p>
      <w:pPr>
        <w:spacing w:after="0" w:line="177" w:lineRule="exact"/>
        <w:rPr>
          <w:rFonts w:ascii="Arial" w:cs="Arial" w:eastAsia="Arial" w:hAnsi="Arial"/>
          <w:sz w:val="16"/>
          <w:szCs w:val="16"/>
          <w:color w:val="auto"/>
        </w:rPr>
      </w:pPr>
    </w:p>
    <w:p>
      <w:pPr>
        <w:jc w:val="both"/>
        <w:ind w:firstLine="1953"/>
        <w:spacing w:after="0" w:line="270" w:lineRule="auto"/>
        <w:tabs>
          <w:tab w:leader="none" w:pos="2421"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Equivalent Registration Rights for New Listings</w:t>
      </w:r>
      <w:r>
        <w:rPr>
          <w:rFonts w:ascii="Arial" w:cs="Arial" w:eastAsia="Arial" w:hAnsi="Arial"/>
          <w:sz w:val="17"/>
          <w:szCs w:val="17"/>
          <w:color w:val="auto"/>
        </w:rPr>
        <w:t xml:space="preserve">. In the event the Corporation proposes to list its Common Shares on the Toronto Stock Exchange, or any other securities exchange (other than the New York Stock Exchange), or proposes to authorize the Common Shares for quotation on any securities market, prior to the effectiveness of such listing, the Corporation and the Standstill Shareholders shall negotiate in good faith to amend this Agreement to grant the Standstill Shareholders registration rights for the Registrable Securities that are, to the extent permitted by law, rule or regulation, substantially equivalent (to the extent permitted by applicable law, rule and regulation) to the registration rights granted to the Standstill Shareholders hereunder. For the avoidance of doubt, (i) the holding periods and other restrictions applicable to any such Registrable Securities under this Agreement shall not be extended as a result of such additional listings and (ii) all of the benefits afforded to, and all of the obligations imposed upon, the holders of Registrable Securities in connection with any disposition of Registrable Securities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shall apply, or shall apply as closely as possible in accordance with applicable law, rule and regulation, to any dispositions of securities by such holders of such Registrable Securities pursuant to such additional listings.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9" w:name="page100"/>
    <w:bookmarkEnd w:id="99"/>
    <w:p>
      <w:pPr>
        <w:ind w:left="660"/>
        <w:spacing w:after="0"/>
        <w:tabs>
          <w:tab w:leader="none" w:pos="19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85" w:lineRule="auto"/>
        <w:tabs>
          <w:tab w:leader="none" w:pos="2383"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Corporation</w:t>
      </w:r>
      <w:r>
        <w:rPr>
          <w:rFonts w:ascii="Arial" w:cs="Arial" w:eastAsia="Arial" w:hAnsi="Arial"/>
          <w:sz w:val="16"/>
          <w:szCs w:val="16"/>
          <w:color w:val="auto"/>
        </w:rPr>
        <w:t xml:space="preserve">. In the event any Registrable Securities are included in any underwritten Public Offering pursuant to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in connection with such Public Offerings, Registrable Securities are sold, the Corporation shall indemnify and hold harmless, to the fullest extent permitted by applicable law, each Shareholder who is a seller of Registrable Securities in such Public Offering from and against any losses, claims, damages or liabilities (or Proceedings in respect thereof), joint or several, to which such Shareholder may be or become subject under the Securities Act, the Exchange Act or any other securities or other law of any jurisdiction, insofar as such losses, claims, damages or liabilities (or Proceedings in respect thereof) arise out of or are based upon (i) any untrue statement or alleged untrue statement of any material fact contained or incorporated by reference in any Registration Statement under the Securities Act, any preliminary Prospectus or final Prospectus included therein, or any related summary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(ii) any omission or alleged omission to state therein a material fact required to be stated therein or necessary to make the statements therein not misleading, and will reimburse such Shareholder for any out-of-pocket legal or any other out-of-pocket expenses reasonably incurred by it in connection with investigating or defending any such loss, claim, damage or liability (or any Proceedings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Corporation shall not be liable to any such Shareholder in any such case to the extent that any such loss, claim, damage or liability (or Proceeding)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information furnished to the Corporation in writing by or on behalf of any Shareholder for use in the preparation thereof. It is agreed that the Corporation’s indemnification obligations provided for in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shall not apply to amounts paid in settlement of any such losses, claims, damages or liabilities (or Proceedings in respect thereof) if such settlement is effected without the consent of the Corporation (which consent shall not be unreasonably withheld).</w:t>
      </w:r>
    </w:p>
    <w:p>
      <w:pPr>
        <w:spacing w:after="0" w:line="388" w:lineRule="exact"/>
        <w:rPr>
          <w:rFonts w:ascii="Arial" w:cs="Arial" w:eastAsia="Arial" w:hAnsi="Arial"/>
          <w:sz w:val="16"/>
          <w:szCs w:val="16"/>
          <w:color w:val="auto"/>
        </w:rPr>
      </w:pPr>
    </w:p>
    <w:p>
      <w:pPr>
        <w:jc w:val="both"/>
        <w:ind w:firstLine="1953"/>
        <w:spacing w:after="0" w:line="285" w:lineRule="auto"/>
        <w:tabs>
          <w:tab w:leader="none" w:pos="24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Indemnification by Selling Shareholders</w:t>
      </w:r>
      <w:r>
        <w:rPr>
          <w:rFonts w:ascii="Arial" w:cs="Arial" w:eastAsia="Arial" w:hAnsi="Arial"/>
          <w:sz w:val="16"/>
          <w:szCs w:val="16"/>
          <w:color w:val="auto"/>
        </w:rPr>
        <w:t xml:space="preserve">. Each Shareholder that participates in a Public Offering pursuant to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indemnify and hold harmless, to the fullest extent permitted by applicable law, the Corporation, each of its directors, officers, accountants, attorneys, agents and employees, each Person, if any, who controls the Corporation within the meaning of Section 15 of the Securities Act or Section 20 of the Exchange Act and each other Shareholder who participates in such Public Offering (each of the Corporation and such other Persons being referred to in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as a “</w:t>
      </w:r>
      <w:r>
        <w:rPr>
          <w:rFonts w:ascii="Arial" w:cs="Arial" w:eastAsia="Arial" w:hAnsi="Arial"/>
          <w:sz w:val="16"/>
          <w:szCs w:val="16"/>
          <w:u w:val="single" w:color="auto"/>
          <w:color w:val="auto"/>
        </w:rPr>
        <w:t>Covered Person</w:t>
      </w:r>
      <w:r>
        <w:rPr>
          <w:rFonts w:ascii="Arial" w:cs="Arial" w:eastAsia="Arial" w:hAnsi="Arial"/>
          <w:sz w:val="16"/>
          <w:szCs w:val="16"/>
          <w:color w:val="auto"/>
        </w:rPr>
        <w:t xml:space="preserve">”), from and against any losses, claims, damages or liabilities (or Proceedings in respect thereof), joint or several, to which such Covered Person may be or become subject under the Securities Act, the Exchange Act or any other securities or other law of any jurisdiction, insofar as such losses, claims, damages or liabilities (or Proceedings in respect thereof) arise out of or are based upon any statement in or omission from such Registration Statement, any preliminary Prospectus, final Prospectus or summary Prospectus included therein, or any amendment or supplement thereto, or any other disclosure document (including reports and other documents filed under the Exchange Act or any document incorporated therein) or other document or report, if such statement or omission was made in reliance upon and in conformity with information furnished to the Corporation in writing by or on behalf of such Shareholder for use in the preparation of such Registration Statement, preliminary Prospectus, final Prospectus, summary Prospectus, amendment or supplement, incorporated document or other document or report, and will reimburse such Covered Person for any out-of-pocket legal or any other out-of-pocket expenses reasonably incurred by it in connection with investigating or defending any such loss, claim, damage or liability (or any Proceeding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obligations of such Shareholder under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not apply to amounts paid in settlement of any such losses, claims, damages or liabilities (or Proceedings in respect thereof) if such settlement is effected without the consent of such Shareholder (which consent shall not be unreasonably withheld).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jc w:val="both"/>
        <w:ind w:firstLine="1953"/>
        <w:spacing w:after="0" w:line="285" w:lineRule="auto"/>
        <w:tabs>
          <w:tab w:leader="none" w:pos="249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If any Person shall be entitled to indemnification pursuant to Section 4(a) or Section 4(b) (an “Indemnified Party”), such Indemnified Party shall give prompt notice to the party from which such indemnity is sought (the “Indemnifying Party”) of any claim or of the commencement of any Proceeding with respect to which such Indemnified Party seeks indemnification pursuant hereto; provided, however,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satisfactory to such Indemnified Party; provided, however,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(ii) the Indemnifying Party fails to assume the defense of such claim or Proceeding promptly; (iii) the Indemnified Party reasonably concludes, based on the advice of counsel, that a conflict of interest exists between the Indemnifying Party and the Indemnified Party in the defense of such claim or Proceeding; or (iv) the Indemnifying Party fails to employ counsel reasonably satisfactory to such Indemnified Party, in which case the Indemnified Party shall have the right to employ separate counsel and to assume the defense of such claim or Proceeding at the Indemnifying Party’s expense; provided, further,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(unless there is an actual conflict of interest between one or more of the Indemnified Parties and the Indemnifying Party has been notified in writing of such conflict, in which case such conflicted Indemnified Parties or group of conflicted Indemnified Parties (as the case may be) may be represented by separate counsel, the fees and expenses of whom shall be borne by the Indemnifying Party), or for fees and expenses that are not reasonable. Whether or not such defense is assumed by the Indemnifying Party, such Indemnifying Party will not be subject to any liability for any settlement made without its consent (which consent shall not be unreasonably withheld).</w:t>
      </w:r>
    </w:p>
    <w:p>
      <w:pPr>
        <w:spacing w:after="0" w:line="168" w:lineRule="exact"/>
        <w:rPr>
          <w:rFonts w:ascii="Arial" w:cs="Arial" w:eastAsia="Arial" w:hAnsi="Arial"/>
          <w:sz w:val="16"/>
          <w:szCs w:val="16"/>
          <w:color w:val="auto"/>
        </w:rPr>
      </w:pPr>
    </w:p>
    <w:p>
      <w:pPr>
        <w:jc w:val="both"/>
        <w:ind w:firstLine="1953"/>
        <w:spacing w:after="0" w:line="285" w:lineRule="auto"/>
        <w:tabs>
          <w:tab w:leader="none" w:pos="2434"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Section 4 is unavailable to an Indemnified Party in respect of any losses, claims, damages or liabilities (other than in accordance with the terms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then each applicable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Indemnifying Party, on the one hand, and such Indemnified Party, on the other hand, from the sale of the Registrable Securities covered by such Registration Statement; or (ii) if the allocation provided by the immediately preceding clause (i) is not permitted by applicable law, in such proportion as is appropriate to reflect not only the relative benefits referred to in the immediately preceding clause (i), but also the relative fault of the Indemnifying Party, on the one hand, and such Indemnified Party, on the other hand, in connection with the actions, statements or omissions that resulted in such losses, claims, damages or liabilities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 The Parties agree that it would not be just and equitable if contribution pursuant to this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in the immediately preceding sentence. Notwithstanding the provisions of this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 Indemnifying Party that is a selling holder of Registrable Securities shall not be required to contribute any amount in excess of the amount that such Indemnifying Party has otherwise been, or would otherwise be, required to pay pursuant to this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1" w:name="page102"/>
    <w:bookmarkEnd w:id="101"/>
    <w:p>
      <w:pPr>
        <w:jc w:val="both"/>
        <w:ind w:firstLine="1953"/>
        <w:spacing w:after="0" w:line="259" w:lineRule="auto"/>
        <w:tabs>
          <w:tab w:leader="none" w:pos="261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Limitation on Liability of Holders of Registrable Securities</w:t>
      </w:r>
      <w:r>
        <w:rPr>
          <w:rFonts w:ascii="Arial" w:cs="Arial" w:eastAsia="Arial" w:hAnsi="Arial"/>
          <w:sz w:val="18"/>
          <w:szCs w:val="18"/>
          <w:color w:val="auto"/>
        </w:rPr>
        <w:t xml:space="preserve">. The liability of each Shareholder in respect of any indemnification or contribution obligation of such Shareholder arising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with respect to any Public Offering shall not in any event exceed an amount equal to the net proceeds to such Shareholder (after deduction of all underwriters’ discounts and commissions) from the disposition of the Registrable Securities sold or otherwise disposed of by such Shareholder pursuant to such Public Offering.</w:t>
      </w:r>
    </w:p>
    <w:p>
      <w:pPr>
        <w:spacing w:after="0" w:line="186" w:lineRule="exact"/>
        <w:rPr>
          <w:rFonts w:ascii="Arial" w:cs="Arial" w:eastAsia="Arial" w:hAnsi="Arial"/>
          <w:sz w:val="18"/>
          <w:szCs w:val="18"/>
          <w:color w:val="auto"/>
        </w:rPr>
      </w:pPr>
    </w:p>
    <w:p>
      <w:pPr>
        <w:jc w:val="both"/>
        <w:ind w:firstLine="1953"/>
        <w:spacing w:after="0" w:line="255" w:lineRule="auto"/>
        <w:tabs>
          <w:tab w:leader="none" w:pos="249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Relationship to Other Indemnification or Contribution Arrangements</w:t>
      </w:r>
      <w:r>
        <w:rPr>
          <w:rFonts w:ascii="Arial" w:cs="Arial" w:eastAsia="Arial" w:hAnsi="Arial"/>
          <w:sz w:val="18"/>
          <w:szCs w:val="18"/>
          <w:color w:val="auto"/>
        </w:rPr>
        <w:t xml:space="preserve">. The indemnification and contribution rights and obligations of the Parties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are in addition to any other rights or obligations with respect to indemnification or contribution that any of the Parties may have pursuant to applicable law or contract and shall remain in full force and effect regardless of any investigation made by or on behalf of any Person entitled to the benefits thereof and shall survive any Transfer of Registrable Securities and the termination of this Agreement. Notwithstanding the foregoing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 the event of any conflict between any of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the provisions of any applicable underwriting agreement entered into in connection with any underwritten Public Offering that includes Registrable Securities, the provisions of such underwriting agreement shall control.</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Rule 144 Reporting</w:t>
      </w:r>
      <w:r>
        <w:rPr>
          <w:rFonts w:ascii="Arial" w:cs="Arial" w:eastAsia="Arial" w:hAnsi="Arial"/>
          <w:sz w:val="16"/>
          <w:szCs w:val="16"/>
          <w:color w:val="auto"/>
        </w:rPr>
        <w:t>. For so long as any Shareholder holds Registrable Securities, the Corporation will promptly furnish to each holder of Registrable Securities following written request therefor, (a) a written statement by the Corporation as to its compliance with the reporting requirements of Rule 144, (b) a copy of the most recent annual or quarterly report of the Corporation filed with the SEC under the Exchange Act, and (c) 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Standstill</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71" w:lineRule="auto"/>
        <w:tabs>
          <w:tab w:leader="none" w:pos="239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Acquisition of Common Shares</w:t>
      </w:r>
      <w:r>
        <w:rPr>
          <w:rFonts w:ascii="Arial" w:cs="Arial" w:eastAsia="Arial" w:hAnsi="Arial"/>
          <w:sz w:val="17"/>
          <w:szCs w:val="17"/>
          <w:color w:val="auto"/>
        </w:rPr>
        <w:t xml:space="preserve">. (i) Except as provided in </w:t>
      </w:r>
      <w:r>
        <w:rPr>
          <w:rFonts w:ascii="Arial" w:cs="Arial" w:eastAsia="Arial" w:hAnsi="Arial"/>
          <w:sz w:val="17"/>
          <w:szCs w:val="17"/>
          <w:u w:val="single" w:color="auto"/>
          <w:color w:val="auto"/>
        </w:rPr>
        <w:t>Sections 6(a)(ii)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6(b)</w:t>
      </w:r>
      <w:r>
        <w:rPr>
          <w:rFonts w:ascii="Arial" w:cs="Arial" w:eastAsia="Arial" w:hAnsi="Arial"/>
          <w:sz w:val="17"/>
          <w:szCs w:val="17"/>
          <w:color w:val="auto"/>
        </w:rPr>
        <w:t>, each Standstill Shareholder covenants and agrees with the Corporation that it will not, and will cause its Affiliates and their respective directors and executive officers not to, directly or indirectly, Beneficially Own or acquire, offer or propose to acquire, or agree to acquire, whether by purchase, tender or exchange offer, through the acquisition of control of another Person (including by way of merger or consolidation), by joining a partnership, syndicate or other Group or otherwise, the Beneficial Ownership of, any Common Shares other than the Common Shares, and any Common Shares issuable upon conversion of the Preferred Shares, in each case, Beneficially Owned by such Standstill Shareholder and its Affiliates and their respective directors and executive officers as of the date hereof (except by way of stock splits, stock dividends, stock reclassifications or other distributions, recapitalizations or offerings made available to and, if applicable, exercised on a pro rata basis by, holders of Common Shares generally).</w:t>
      </w:r>
    </w:p>
    <w:p>
      <w:pPr>
        <w:spacing w:after="0" w:line="179" w:lineRule="exact"/>
        <w:rPr>
          <w:sz w:val="20"/>
          <w:szCs w:val="20"/>
          <w:color w:val="auto"/>
        </w:rPr>
      </w:pPr>
    </w:p>
    <w:p>
      <w:pPr>
        <w:jc w:val="both"/>
        <w:ind w:left="660" w:firstLine="1293"/>
        <w:spacing w:after="0" w:line="291" w:lineRule="auto"/>
        <w:tabs>
          <w:tab w:leader="none" w:pos="248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prohibition set forth in </w:t>
      </w:r>
      <w:r>
        <w:rPr>
          <w:rFonts w:ascii="Arial" w:cs="Arial" w:eastAsia="Arial" w:hAnsi="Arial"/>
          <w:sz w:val="16"/>
          <w:szCs w:val="16"/>
          <w:u w:val="single" w:color="auto"/>
          <w:color w:val="auto"/>
        </w:rPr>
        <w:t>Section 6(a)(i)</w:t>
      </w:r>
      <w:r>
        <w:rPr>
          <w:rFonts w:ascii="Arial" w:cs="Arial" w:eastAsia="Arial" w:hAnsi="Arial"/>
          <w:sz w:val="16"/>
          <w:szCs w:val="16"/>
          <w:color w:val="auto"/>
        </w:rPr>
        <w:t xml:space="preserve"> shall not apply to (A) the release of Escrowed Shares to any Standstill Shareholder in accordance with the terms of the Purchase Agreement and the applicable Escrowed Shares Agreement, or</w:t>
      </w:r>
    </w:p>
    <w:p>
      <w:pPr>
        <w:jc w:val="both"/>
        <w:ind w:left="660" w:hanging="4"/>
        <w:spacing w:after="0" w:line="252" w:lineRule="auto"/>
        <w:tabs>
          <w:tab w:leader="none" w:pos="98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acquisition (whether by merger, consolidation or otherwise) by any Standstill Shareholder or an Affiliate thereof of any entity that Beneficially Owns Common Shares at the time of the consummation of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such acquisition such Standstill Shareholder or its Affiliate, as the case may be, (1) divests the Common Shares Beneficially Owned by the acquired entity at the time of the consummation of such acquisition within a reasonable period of time after the consummation of such acquisition, and (2) if any annual or special meeting of shareholders is held prior to the disposition thereof, votes such shares on each matter presented at any annual or special meeting of the shareholders or by written consent in a manner proportionate to the holders of the Common Shares (other than such Standstill Shareholder) voting on such matter.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2" w:name="page103"/>
    <w:bookmarkEnd w:id="102"/>
    <w:p>
      <w:pPr>
        <w:jc w:val="both"/>
        <w:ind w:firstLine="1953"/>
        <w:spacing w:after="0" w:line="279" w:lineRule="auto"/>
        <w:tabs>
          <w:tab w:leader="none" w:pos="2474"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Shareholder Communications</w:t>
      </w:r>
      <w:r>
        <w:rPr>
          <w:rFonts w:ascii="Arial" w:cs="Arial" w:eastAsia="Arial" w:hAnsi="Arial"/>
          <w:sz w:val="17"/>
          <w:szCs w:val="17"/>
          <w:color w:val="auto"/>
        </w:rPr>
        <w:t>. (i) Except as required in connection with the execution, delivery or performance of this Agreement and as otherwise required, permitted or contemplated by this Agreement or the Purchase Agreement (including with respect to any Transfer permitted pursuant to Section 2(b)), each Standstill Shareholder agrees not to, and to cause each of its Affiliates and its and their respective directors and executive officers not to, directly or indirectly, alone or in concert with others, without express authorization of the Corporation:</w:t>
      </w:r>
    </w:p>
    <w:p>
      <w:pPr>
        <w:spacing w:after="0" w:line="171" w:lineRule="exact"/>
        <w:rPr>
          <w:sz w:val="20"/>
          <w:szCs w:val="20"/>
          <w:color w:val="auto"/>
        </w:rPr>
      </w:pPr>
    </w:p>
    <w:p>
      <w:pPr>
        <w:ind w:left="980" w:firstLine="973"/>
        <w:spacing w:after="0" w:line="342" w:lineRule="auto"/>
        <w:tabs>
          <w:tab w:leader="none" w:pos="251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effect, initiate, propose or otherwise solicit shareholders of the Corporation for the approval of one or more shareholder proposals or induce or attempt to induce any other Person to effect, initiate, propose or otherwise solicit any shareholder proposal;</w:t>
      </w:r>
    </w:p>
    <w:p>
      <w:pPr>
        <w:spacing w:after="0" w:line="123" w:lineRule="exact"/>
        <w:rPr>
          <w:rFonts w:ascii="Arial" w:cs="Arial" w:eastAsia="Arial" w:hAnsi="Arial"/>
          <w:sz w:val="16"/>
          <w:szCs w:val="16"/>
          <w:color w:val="auto"/>
        </w:rPr>
      </w:pPr>
    </w:p>
    <w:p>
      <w:pPr>
        <w:jc w:val="both"/>
        <w:ind w:left="980" w:firstLine="973"/>
        <w:spacing w:after="0" w:line="289" w:lineRule="auto"/>
        <w:tabs>
          <w:tab w:leader="none" w:pos="258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(1) propose or seek to effect a Shareholder Change of Control of the Corporation by way of merger, consolidation, recapitalization, reorganization, sale, lease, exchange, pledge or other disposition of substantially all assets of the Corporation and its Subsidiaries or other business combination involving, or a tender or exchange offer for securities of, the Corporation or any of its Subsidiaries or any material portion of the business or assets of the Corporation or any of its Subsidiaries or any other type of transaction that would otherwise result in a Shareholder Change of Control of the Corporation (any such action described in this clause (1), a “</w:t>
      </w:r>
      <w:r>
        <w:rPr>
          <w:rFonts w:ascii="Arial" w:cs="Arial" w:eastAsia="Arial" w:hAnsi="Arial"/>
          <w:sz w:val="16"/>
          <w:szCs w:val="16"/>
          <w:u w:val="single" w:color="auto"/>
          <w:color w:val="auto"/>
        </w:rPr>
        <w:t>Corporation 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Proposal</w:t>
      </w:r>
      <w:r>
        <w:rPr>
          <w:rFonts w:ascii="Arial" w:cs="Arial" w:eastAsia="Arial" w:hAnsi="Arial"/>
          <w:sz w:val="16"/>
          <w:szCs w:val="16"/>
          <w:color w:val="auto"/>
        </w:rPr>
        <w:t>”), (2) seek to exercise any control or influence over the management of the Corporation or its board of directors or any of the businesses, operations or policies of the Corporation (excluding, for the avoidance of doubt, any actions by members of the Corporation’s board of directors designated by such Standstill Shareholder, if any), or (3) present to the Corporation’s shareholders or any third party any proposal constituting or that can reasonably be expected to result in a Corporation Transaction Proposal;</w:t>
      </w:r>
    </w:p>
    <w:p>
      <w:pPr>
        <w:spacing w:after="0" w:line="166" w:lineRule="exact"/>
        <w:rPr>
          <w:rFonts w:ascii="Arial" w:cs="Arial" w:eastAsia="Arial" w:hAnsi="Arial"/>
          <w:sz w:val="16"/>
          <w:szCs w:val="16"/>
          <w:color w:val="auto"/>
        </w:rPr>
      </w:pPr>
    </w:p>
    <w:p>
      <w:pPr>
        <w:jc w:val="both"/>
        <w:ind w:left="980" w:firstLine="973"/>
        <w:spacing w:after="0" w:line="272" w:lineRule="auto"/>
        <w:tabs>
          <w:tab w:leader="none" w:pos="251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solicit proxies (or written consents) or assist or participate in any other way, directly or indirectly, in any solicitation of proxies (or written consents), or otherwise become a “participant” in a “solicitation”, or assist any “participant” in a “solicitation” (as such terms are defined in Rule 14a-1 of Regulation 14A and Instruction 3 of Item 4 of Schedule 14A, respectively, under the Exchange Act) in opposition to the recommendation or proposal of the Corporation’s board of directors, or recommend or request or induce or attempt to induce any other Person to take any such actions, or seek to advise, encourage or influence any other Person with respect to the voting of (or the execution of a written consent in respect of) Common Shares or grant a proxy with respect to the voting of (or execution of a written consent in respect of) Common Shares to any Person other than an officer or agent of such Standstill Shareholder or the 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jc w:val="both"/>
        <w:ind w:firstLine="973"/>
        <w:spacing w:after="0" w:line="259" w:lineRule="auto"/>
        <w:tabs>
          <w:tab w:leader="none" w:pos="147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form, join in or in any other way (including by deposit of Common Shares) participate in a partnership, pooling agreement, syndicate, voting trust or other Group (other than a Group comprised solely of Standstill Shareholders, its Affiliates and its Permitted Transferees) with respect to Common Shares, or enter into any agreement or arrangement or otherwise act in concert with any other Person, for the purpose of acquiring, holding, voting or disposing of Common Shares;</w:t>
      </w:r>
    </w:p>
    <w:p>
      <w:pPr>
        <w:spacing w:after="0" w:line="186" w:lineRule="exact"/>
        <w:rPr>
          <w:rFonts w:ascii="Arial" w:cs="Arial" w:eastAsia="Arial" w:hAnsi="Arial"/>
          <w:sz w:val="18"/>
          <w:szCs w:val="18"/>
          <w:color w:val="auto"/>
        </w:rPr>
      </w:pPr>
    </w:p>
    <w:p>
      <w:pPr>
        <w:ind w:firstLine="973"/>
        <w:spacing w:after="0" w:line="277" w:lineRule="auto"/>
        <w:tabs>
          <w:tab w:leader="none" w:pos="143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take any action which might cause the Corporation to be required to make a public announcement regarding any of the types of matters set forth in (A) through (D) above;</w:t>
      </w:r>
    </w:p>
    <w:p>
      <w:pPr>
        <w:spacing w:after="0" w:line="170" w:lineRule="exact"/>
        <w:rPr>
          <w:rFonts w:ascii="Arial" w:cs="Arial" w:eastAsia="Arial" w:hAnsi="Arial"/>
          <w:sz w:val="18"/>
          <w:szCs w:val="18"/>
          <w:color w:val="auto"/>
        </w:rPr>
      </w:pPr>
    </w:p>
    <w:p>
      <w:pPr>
        <w:ind w:left="1420" w:hanging="447"/>
        <w:spacing w:after="0"/>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any discussions or arrangements with any third party with respect to any of the foregoing; or</w:t>
      </w:r>
    </w:p>
    <w:p>
      <w:pPr>
        <w:spacing w:after="0" w:line="225" w:lineRule="exact"/>
        <w:rPr>
          <w:rFonts w:ascii="Arial" w:cs="Arial" w:eastAsia="Arial" w:hAnsi="Arial"/>
          <w:sz w:val="18"/>
          <w:szCs w:val="18"/>
          <w:color w:val="auto"/>
        </w:rPr>
      </w:pPr>
    </w:p>
    <w:p>
      <w:pPr>
        <w:ind w:left="1500" w:hanging="527"/>
        <w:spacing w:after="0"/>
        <w:tabs>
          <w:tab w:leader="none" w:pos="15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request, or induce or encourage any other Person to request, that the Corporation amend or waive any of the provisions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1" w:lineRule="exact"/>
        <w:rPr>
          <w:sz w:val="20"/>
          <w:szCs w:val="20"/>
          <w:color w:val="auto"/>
        </w:rPr>
      </w:pPr>
    </w:p>
    <w:p>
      <w:pPr>
        <w:jc w:val="both"/>
        <w:ind w:left="-320" w:firstLine="1293"/>
        <w:spacing w:after="0" w:line="279" w:lineRule="auto"/>
        <w:tabs>
          <w:tab w:leader="none" w:pos="146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Notwithstanding the foregoing restrictions, if, at any time, (A) the Corporation has entered into a definitive agreement, the consummation of which would result in a Change of Control or (B) any Person shall have commenced and not withdrawn a bona fide public tender or exchange offer which if consummated would result in a Change of Control, then the limitations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shall not be applicable to the Standstill Shareholders for so long as the conditions described in this </w:t>
      </w:r>
      <w:r>
        <w:rPr>
          <w:rFonts w:ascii="Arial" w:cs="Arial" w:eastAsia="Arial" w:hAnsi="Arial"/>
          <w:sz w:val="17"/>
          <w:szCs w:val="17"/>
          <w:u w:val="single" w:color="auto"/>
          <w:color w:val="auto"/>
        </w:rPr>
        <w:t>Section 6(b)(ii)</w:t>
      </w:r>
      <w:r>
        <w:rPr>
          <w:rFonts w:ascii="Arial" w:cs="Arial" w:eastAsia="Arial" w:hAnsi="Arial"/>
          <w:sz w:val="17"/>
          <w:szCs w:val="17"/>
          <w:color w:val="auto"/>
        </w:rPr>
        <w:t xml:space="preserve"> continue.</w:t>
      </w:r>
    </w:p>
    <w:p>
      <w:pPr>
        <w:spacing w:after="0" w:line="171" w:lineRule="exact"/>
        <w:rPr>
          <w:sz w:val="20"/>
          <w:szCs w:val="20"/>
          <w:color w:val="auto"/>
        </w:rPr>
      </w:pPr>
    </w:p>
    <w:p>
      <w:pPr>
        <w:ind w:left="1400" w:hanging="427"/>
        <w:spacing w:after="0"/>
        <w:tabs>
          <w:tab w:leader="none" w:pos="14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Voting Agreement as to Certain Matters</w:t>
      </w:r>
      <w:r>
        <w:rPr>
          <w:rFonts w:ascii="Arial" w:cs="Arial" w:eastAsia="Arial" w:hAnsi="Arial"/>
          <w:sz w:val="18"/>
          <w:szCs w:val="18"/>
          <w:color w:val="auto"/>
        </w:rPr>
        <w:t>.</w:t>
      </w:r>
    </w:p>
    <w:p>
      <w:pPr>
        <w:spacing w:after="0" w:line="225" w:lineRule="exact"/>
        <w:rPr>
          <w:sz w:val="20"/>
          <w:szCs w:val="20"/>
          <w:color w:val="auto"/>
        </w:rPr>
      </w:pPr>
    </w:p>
    <w:p>
      <w:pPr>
        <w:jc w:val="both"/>
        <w:ind w:left="-320" w:firstLine="1293"/>
        <w:spacing w:after="0" w:line="287" w:lineRule="auto"/>
        <w:tabs>
          <w:tab w:leader="none" w:pos="1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Standstill Shareholder irrevocably and unconditionally agrees that it shall at any meeting of the shareholders of the Corporation (whether annual or special and whether or not an adjourned or postponed meeting), however called, or in connection with any written consent of shareholders of the Corporation, except as otherwise approved in writing by the Corporation’s board of directors, (A) when a meeting of the shareholders of the Corporation is held, appear at such meeting or otherwise cause all of its Shares that are entitled to vote at such meeting (collectively, the “</w:t>
      </w:r>
      <w:r>
        <w:rPr>
          <w:rFonts w:ascii="Arial" w:cs="Arial" w:eastAsia="Arial" w:hAnsi="Arial"/>
          <w:sz w:val="16"/>
          <w:szCs w:val="16"/>
          <w:u w:val="single" w:color="auto"/>
          <w:color w:val="auto"/>
        </w:rPr>
        <w:t>Voting Securities</w:t>
      </w:r>
      <w:r>
        <w:rPr>
          <w:rFonts w:ascii="Arial" w:cs="Arial" w:eastAsia="Arial" w:hAnsi="Arial"/>
          <w:sz w:val="16"/>
          <w:szCs w:val="16"/>
          <w:color w:val="auto"/>
        </w:rPr>
        <w:t>”), to be counted as present thereat for the purpose of establishing a quorum, and respond to each request by the Corporation for written consent, if any, and (B) vote (or consent), or cause to be voted at such meeting (or validly execute and return and cause such written consent to be granted with respect to), (1) all Voting Securities Beneficially Owned by the Standstill Shareholders (taken together) in excess of 15% of the Corporation’s outstanding Common Shares in a manner that is proportionate to the manner in which all Common Shares (other than Shares voted by such Standstill Shareholders), which are voted in respect of such matter, are voted, and (2) all Voting Securities Beneficially Owned by the Standstill Shareholders (taken together) equal to or less than 15% of the Corporation’s outstanding Common Shares in the sole discretion of the Standstill Shareholders in any manner such Standstill Shareholder chooses.</w:t>
      </w:r>
    </w:p>
    <w:p>
      <w:pPr>
        <w:spacing w:after="0" w:line="17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584" w:right="239" w:bottom="1440" w:gutter="0" w:footer="0" w:header="0"/>
        </w:sectPr>
      </w:pPr>
    </w:p>
    <w:bookmarkStart w:id="104" w:name="page105"/>
    <w:bookmarkEnd w:id="104"/>
    <w:p>
      <w:pPr>
        <w:jc w:val="both"/>
        <w:ind w:left="660" w:firstLine="1293"/>
        <w:spacing w:after="0" w:line="297" w:lineRule="auto"/>
        <w:tabs>
          <w:tab w:leader="none" w:pos="245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Each Standstill Shareholder hereby represents, covenants and agrees that, except as contemplated by this Agreement, such Standstill Shareholder (a) has not entered into, and shall not enter into at any time prior to the termination of its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any voting agreement or voting trust with respect to any Voting Securities and (b) has not granted, and shall not grant at any time prior to the termination of such Standstill Shareholder’s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 a proxy or power of attorney with respect to any Voting Securities, in either case, which is inconsistent with such Standstill Shareholder’s obligations pursuant to this Agreement.</w:t>
      </w:r>
    </w:p>
    <w:p>
      <w:pPr>
        <w:spacing w:after="0" w:line="158" w:lineRule="exact"/>
        <w:rPr>
          <w:sz w:val="20"/>
          <w:szCs w:val="20"/>
          <w:color w:val="auto"/>
        </w:rPr>
      </w:pPr>
    </w:p>
    <w:p>
      <w:pPr>
        <w:jc w:val="both"/>
        <w:ind w:firstLine="1953"/>
        <w:spacing w:after="0" w:line="259" w:lineRule="auto"/>
        <w:tabs>
          <w:tab w:leader="none" w:pos="252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Termination of this Section 6</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terminate and be of no further effect,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59" w:lineRule="auto"/>
        <w:tabs>
          <w:tab w:leader="none" w:pos="2491"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Certain Representations and Warranties</w:t>
      </w:r>
      <w:r>
        <w:rPr>
          <w:rFonts w:ascii="Arial" w:cs="Arial" w:eastAsia="Arial" w:hAnsi="Arial"/>
          <w:sz w:val="18"/>
          <w:szCs w:val="18"/>
          <w:color w:val="auto"/>
        </w:rPr>
        <w:t>. Each Party represents and warrants to each other Party that the execution and delivery of this Agreement and the consummation of the transactions contemplated hereby have been duly authorized on behalf of such party and do not violate any agreement or other instrument applicable to such Party or by which such Party’s assets are bound or otherwise subject. The Corporation further represents and warrants to the Shareholders that, as of the date hereof:</w:t>
      </w:r>
    </w:p>
    <w:p>
      <w:pPr>
        <w:spacing w:after="0" w:line="187" w:lineRule="exact"/>
        <w:rPr>
          <w:sz w:val="20"/>
          <w:szCs w:val="20"/>
          <w:color w:val="auto"/>
        </w:rPr>
      </w:pPr>
    </w:p>
    <w:p>
      <w:pPr>
        <w:ind w:left="660" w:firstLine="1293"/>
        <w:spacing w:after="0" w:line="277" w:lineRule="auto"/>
        <w:tabs>
          <w:tab w:leader="none" w:pos="237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Corporation is not a party to, or otherwise subject to, any agreement that grants registration rights to another Person with respect to Common Shares;</w:t>
      </w:r>
    </w:p>
    <w:p>
      <w:pPr>
        <w:spacing w:after="0" w:line="170" w:lineRule="exact"/>
        <w:rPr>
          <w:rFonts w:ascii="Arial" w:cs="Arial" w:eastAsia="Arial" w:hAnsi="Arial"/>
          <w:sz w:val="18"/>
          <w:szCs w:val="18"/>
          <w:color w:val="auto"/>
        </w:rPr>
      </w:pPr>
    </w:p>
    <w:p>
      <w:pPr>
        <w:ind w:left="660" w:firstLine="1293"/>
        <w:spacing w:after="0" w:line="277" w:lineRule="auto"/>
        <w:tabs>
          <w:tab w:leader="none" w:pos="246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Corporation is not a party to, or otherwise subject to, any lock-up agreement or standstill agreement with any another Person with respect to Common Shares; and</w:t>
      </w:r>
    </w:p>
    <w:p>
      <w:pPr>
        <w:spacing w:after="0" w:line="170" w:lineRule="exact"/>
        <w:rPr>
          <w:rFonts w:ascii="Arial" w:cs="Arial" w:eastAsia="Arial" w:hAnsi="Arial"/>
          <w:sz w:val="18"/>
          <w:szCs w:val="18"/>
          <w:color w:val="auto"/>
        </w:rPr>
      </w:pPr>
    </w:p>
    <w:p>
      <w:pPr>
        <w:jc w:val="both"/>
        <w:ind w:left="660" w:firstLine="1293"/>
        <w:spacing w:after="0" w:line="255" w:lineRule="auto"/>
        <w:tabs>
          <w:tab w:leader="none" w:pos="257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the Corporation is not a “shell company” (as such term is defined in Rule 405 under the Securities Act), (B) the Corporation is subject to the reporting requirements of Section 13 or 15(d) of the Exchange Act; (C) the Corporation has filed all reports and material required to be filed under Section 13 or 15(d) of the Exchange Act, as applicable, during the 12 month period preceding the date hereof, other than Form 8-K reports, and (D) at least one year has elapsed from the time that the Corporation filed current Form 10 information (as such term is defined in Rule 144(i)(3) under the Securities Act) with the SEC reflecting its status as an entity that is not an issuer described in Rule 144(i)(1)(i), if applicable.</w:t>
      </w:r>
    </w:p>
    <w:p>
      <w:pPr>
        <w:spacing w:after="0" w:line="193" w:lineRule="exact"/>
        <w:rPr>
          <w:sz w:val="20"/>
          <w:szCs w:val="20"/>
          <w:color w:val="auto"/>
        </w:rPr>
      </w:pPr>
    </w:p>
    <w:p>
      <w:pPr>
        <w:jc w:val="both"/>
        <w:ind w:firstLine="1953"/>
        <w:spacing w:after="0" w:line="271" w:lineRule="auto"/>
        <w:tabs>
          <w:tab w:leader="none" w:pos="244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terminate with respect to a Shareholder, except as provided in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on the date as of which such Shareholder ceases to directly or indirectly hold Shares as a result of one or more Transfers to Permitted Transferees (in accordance with the provisions of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or pursuant to one or more Public Offerings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shall terminate with respect to the Corporation on the date as of which no Shares are held by Shareholders as a result of such Transfers);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Shareholder’s (and the Corporation’s) rights and obligations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as well as the applicable Parties’ obligations to pay expenses pursuant to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shall survive with respect to any Registration Statement relating to any Public Offering that included any Registrable Securities of such Shareholder and, for the avoidance of doubt, any underwriter lock-up that a Shareholder has executed prior to a Shareholder’s termination in accordance with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remain in effect in accordance with its terms.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jc w:val="both"/>
        <w:ind w:firstLine="1953"/>
        <w:spacing w:after="0" w:line="286" w:lineRule="auto"/>
        <w:tabs>
          <w:tab w:leader="none" w:pos="245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documents referenced herein), constitutes the entire agreement and understanding between or among any of the Shareholders and the Corporation with respect to the subject matter hereof and supersedes all prior written and oral and all contemporaneous oral agreements and understandings of the Parties with respect to the subject matter hereof.</w:t>
      </w:r>
    </w:p>
    <w:p>
      <w:pPr>
        <w:spacing w:after="0" w:line="165" w:lineRule="exact"/>
        <w:rPr>
          <w:rFonts w:ascii="Arial" w:cs="Arial" w:eastAsia="Arial" w:hAnsi="Arial"/>
          <w:sz w:val="17"/>
          <w:szCs w:val="17"/>
          <w:color w:val="auto"/>
        </w:rPr>
      </w:pPr>
    </w:p>
    <w:p>
      <w:pPr>
        <w:jc w:val="both"/>
        <w:ind w:firstLine="1953"/>
        <w:spacing w:after="0" w:line="286" w:lineRule="auto"/>
        <w:tabs>
          <w:tab w:leader="none" w:pos="2379"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Binding Effect; No Third-Party Beneficiaries; Assignment</w:t>
      </w:r>
      <w:r>
        <w:rPr>
          <w:rFonts w:ascii="Arial" w:cs="Arial" w:eastAsia="Arial" w:hAnsi="Arial"/>
          <w:sz w:val="16"/>
          <w:szCs w:val="16"/>
          <w:color w:val="auto"/>
        </w:rPr>
        <w:t xml:space="preserve">. This Agreement shall inure to the benefit of and be binding upon the Parties and their respective successors and permitted assigns; and, except as expressly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nothing in this Agreement, express or implied, is intended to confer upon any other Person any rights, benefits or remedies of any nature whatsoever under or by reason of this Agreement. Except as provided in </w:t>
      </w:r>
      <w:r>
        <w:rPr>
          <w:rFonts w:ascii="Arial" w:cs="Arial" w:eastAsia="Arial" w:hAnsi="Arial"/>
          <w:sz w:val="16"/>
          <w:szCs w:val="16"/>
          <w:u w:val="single" w:color="auto"/>
          <w:color w:val="auto"/>
        </w:rPr>
        <w:t>Section 2(e)</w:t>
      </w:r>
      <w:r>
        <w:rPr>
          <w:rFonts w:ascii="Arial" w:cs="Arial" w:eastAsia="Arial" w:hAnsi="Arial"/>
          <w:sz w:val="16"/>
          <w:szCs w:val="16"/>
          <w:color w:val="auto"/>
        </w:rPr>
        <w:t>, this Agreement may not be assigned by (i) any of the Shareholders, except with the prior written consent of the Corporation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Corporation (except by operation of law), except with the prior written consent of the Shareholders who hold Shares as of the time of such assignment.</w:t>
      </w:r>
    </w:p>
    <w:p>
      <w:pPr>
        <w:spacing w:after="0" w:line="233" w:lineRule="exact"/>
        <w:rPr>
          <w:rFonts w:ascii="Arial" w:cs="Arial" w:eastAsia="Arial" w:hAnsi="Arial"/>
          <w:sz w:val="16"/>
          <w:szCs w:val="16"/>
          <w:color w:val="auto"/>
        </w:rPr>
      </w:pPr>
    </w:p>
    <w:p>
      <w:pPr>
        <w:jc w:val="both"/>
        <w:ind w:firstLine="1953"/>
        <w:spacing w:after="0" w:line="288" w:lineRule="auto"/>
        <w:tabs>
          <w:tab w:leader="none" w:pos="2396"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Amendment; Waivers</w:t>
      </w:r>
      <w:r>
        <w:rPr>
          <w:rFonts w:ascii="Arial" w:cs="Arial" w:eastAsia="Arial" w:hAnsi="Arial"/>
          <w:sz w:val="16"/>
          <w:szCs w:val="16"/>
          <w:color w:val="auto"/>
        </w:rPr>
        <w:t>. No change or amendment may be made to this Agreement except by an instrument in writing signed on behalf of (i) the Corporation and (ii) each Shareholder who holds Shares as of the time of such change or amendment. Any Shareholder who continues to hold Shares may (solely with respect to itself), at any time: (i) extend the time for the performance of any of the obligations or other acts of the Corporation;</w:t>
      </w:r>
    </w:p>
    <w:p>
      <w:pPr>
        <w:jc w:val="both"/>
        <w:ind w:firstLine="8"/>
        <w:spacing w:after="0" w:line="268" w:lineRule="auto"/>
        <w:tabs>
          <w:tab w:leader="none" w:pos="274"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waive any inaccuracies in the representations and warranties of the Corporation contained herein or in any document delivered pursuant hereto; and (iii) waive compliance by the Corporation with any of the agreements, covenants or conditions contained herein. The Corporation may, at any time: (i) extend the time for the performance of any of the obligations or other acts of any Shareholder; (ii) waive any inaccuracies in the representations and warranties of any Shareholder herein or in any document delivered pursuant hereto; and (iii) waive compliance by any Shareholder with any of the agreements, covenants or conditions contained herein. Any such extension or waiver shall be valid only if set forth in an instrument in writing signed by the Party to be bound thereby. No failure or delay on the part of any Party in the exercise of any right or remedy hereunder shall impair such right or remedy or be construed to be a waiver of, or acquiescence in, any breach of any representation, warranty, covenant or agreement contained herein, nor shall any single or partial exercise of any such right preclude other or further exercise thereof or of any other right.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ind w:left="2380" w:hanging="427"/>
        <w:spacing w:after="0"/>
        <w:tabs>
          <w:tab w:leader="none" w:pos="238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or other communications to be given or delivered to any Party hereunder or by reason</w:t>
      </w:r>
    </w:p>
    <w:p>
      <w:pPr>
        <w:spacing w:after="0" w:line="46"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of this Agreement: (i) shall be in writing; (ii) shall be deemed to be given for all purposes hereunder (A) upon delivery if delivered by hand, (B) one Business Day after being sent by internationally recognized courier or overnight delivery service, (C) five Business Days after being mailed by certified or registered mail, return receipt requested, with appropriate postage prepaid, or (D) when sent in the form of a e-mail (if confirmation of receipt is obtained, including by e-mail) between 9:00 a.m. and 6:00 p.m. (Houston time) on any Business Day (and when sent outside of such hours, at 9:00 a.m. (Houston time) on the next Business Day); and (iii) shall be directed to the address or e-mail set forth or referred to below (or at such other address or email address as such Party shall designate by like notice):</w:t>
      </w:r>
    </w:p>
    <w:p>
      <w:pPr>
        <w:spacing w:after="0" w:line="194" w:lineRule="exact"/>
        <w:rPr>
          <w:sz w:val="20"/>
          <w:szCs w:val="20"/>
          <w:color w:val="auto"/>
        </w:rPr>
      </w:pPr>
    </w:p>
    <w:p>
      <w:pPr>
        <w:ind w:left="2620" w:hanging="667"/>
        <w:spacing w:after="0"/>
        <w:tabs>
          <w:tab w:leader="none" w:pos="2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to the Corporation:</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Civeo Corporation</w:t>
      </w:r>
    </w:p>
    <w:p>
      <w:pPr>
        <w:spacing w:after="0" w:line="23" w:lineRule="exact"/>
        <w:rPr>
          <w:rFonts w:ascii="Arial" w:cs="Arial" w:eastAsia="Arial" w:hAnsi="Arial"/>
          <w:sz w:val="18"/>
          <w:szCs w:val="18"/>
          <w:color w:val="auto"/>
        </w:rPr>
      </w:pPr>
    </w:p>
    <w:p>
      <w:pPr>
        <w:ind w:left="2600" w:right="6660"/>
        <w:spacing w:after="0" w:line="265" w:lineRule="auto"/>
        <w:rPr>
          <w:rFonts w:ascii="Arial" w:cs="Arial" w:eastAsia="Arial" w:hAnsi="Arial"/>
          <w:sz w:val="18"/>
          <w:szCs w:val="18"/>
          <w:color w:val="auto"/>
        </w:rPr>
      </w:pPr>
      <w:r>
        <w:rPr>
          <w:rFonts w:ascii="Arial" w:cs="Arial" w:eastAsia="Arial" w:hAnsi="Arial"/>
          <w:sz w:val="17"/>
          <w:szCs w:val="17"/>
          <w:color w:val="auto"/>
        </w:rPr>
        <w:t>8333 Clay Street, Suite 4980 Houston, Texas 77002 Attention: Frank Steininger</w:t>
      </w:r>
    </w:p>
    <w:p>
      <w:pPr>
        <w:ind w:left="26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frank.steininger@civeo.com</w:t>
      </w:r>
    </w:p>
    <w:p>
      <w:pPr>
        <w:spacing w:after="0" w:line="210"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2600" w:right="6400"/>
        <w:spacing w:after="0" w:line="276" w:lineRule="auto"/>
        <w:rPr>
          <w:rFonts w:ascii="Arial" w:cs="Arial" w:eastAsia="Arial" w:hAnsi="Arial"/>
          <w:sz w:val="18"/>
          <w:szCs w:val="18"/>
          <w:color w:val="auto"/>
        </w:rPr>
      </w:pPr>
      <w:r>
        <w:rPr>
          <w:rFonts w:ascii="Arial" w:cs="Arial" w:eastAsia="Arial" w:hAnsi="Arial"/>
          <w:sz w:val="17"/>
          <w:szCs w:val="17"/>
          <w:color w:val="auto"/>
        </w:rPr>
        <w:t>Gibson, Dunn &amp; Crutcher LLP 811 Main Street, Suite 3000 Houston, Texas 77002-6117 Attention: Tull R. Florey E-mail: tflorey@gibsondunn.com</w:t>
      </w:r>
    </w:p>
    <w:p>
      <w:pPr>
        <w:spacing w:after="0" w:line="172"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Bennett Jones LLP</w:t>
      </w:r>
    </w:p>
    <w:p>
      <w:pPr>
        <w:spacing w:after="0" w:line="23" w:lineRule="exact"/>
        <w:rPr>
          <w:rFonts w:ascii="Arial" w:cs="Arial" w:eastAsia="Arial" w:hAnsi="Arial"/>
          <w:sz w:val="18"/>
          <w:szCs w:val="18"/>
          <w:color w:val="auto"/>
        </w:rPr>
      </w:pPr>
    </w:p>
    <w:p>
      <w:pPr>
        <w:ind w:left="2600" w:right="6940"/>
        <w:spacing w:after="0" w:line="247" w:lineRule="auto"/>
        <w:rPr>
          <w:rFonts w:ascii="Arial" w:cs="Arial" w:eastAsia="Arial" w:hAnsi="Arial"/>
          <w:sz w:val="18"/>
          <w:szCs w:val="18"/>
          <w:color w:val="auto"/>
        </w:rPr>
      </w:pPr>
      <w:r>
        <w:rPr>
          <w:rFonts w:ascii="Arial" w:cs="Arial" w:eastAsia="Arial" w:hAnsi="Arial"/>
          <w:sz w:val="16"/>
          <w:szCs w:val="16"/>
          <w:color w:val="auto"/>
        </w:rPr>
        <w:t>4500 855 2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 Calgary, Alberta T2P 4K7 Attention: Bruce Hibbard</w:t>
      </w:r>
    </w:p>
    <w:p>
      <w:pPr>
        <w:spacing w:after="0" w:line="2"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Email: hibbardb@bennettjones.com</w:t>
      </w:r>
    </w:p>
    <w:p>
      <w:pPr>
        <w:spacing w:after="0" w:line="210" w:lineRule="exact"/>
        <w:rPr>
          <w:rFonts w:ascii="Arial" w:cs="Arial" w:eastAsia="Arial" w:hAnsi="Arial"/>
          <w:sz w:val="18"/>
          <w:szCs w:val="18"/>
          <w:color w:val="auto"/>
        </w:rPr>
      </w:pPr>
    </w:p>
    <w:p>
      <w:pPr>
        <w:ind w:left="2600" w:right="2440" w:hanging="647"/>
        <w:spacing w:after="0" w:line="501" w:lineRule="auto"/>
        <w:tabs>
          <w:tab w:leader="none" w:pos="262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to the Shareholders, at their respective addresses shown on the signature pages hereto. with a copy (which shall not constitute notice) to:</w:t>
      </w:r>
    </w:p>
    <w:p>
      <w:pPr>
        <w:ind w:left="2600"/>
        <w:spacing w:after="0"/>
        <w:rPr>
          <w:sz w:val="20"/>
          <w:szCs w:val="20"/>
          <w:color w:val="auto"/>
        </w:rPr>
      </w:pPr>
      <w:r>
        <w:rPr>
          <w:rFonts w:ascii="Arial" w:cs="Arial" w:eastAsia="Arial" w:hAnsi="Arial"/>
          <w:sz w:val="18"/>
          <w:szCs w:val="18"/>
          <w:color w:val="auto"/>
        </w:rPr>
        <w:t>Dentons Canada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2900 Manulife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10180 – 101 St. NW</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Edmonton, AB</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T5J 3V5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Leanne Krawchuk</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leanne.krawchuk@dentons.com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303 Peachtree Street, NE Suite 5300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Atlanta, GA 30308-3265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Steven L. Berson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steve.berson@dentons.com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jc w:val="both"/>
        <w:ind w:firstLine="1953"/>
        <w:spacing w:after="0" w:line="268" w:lineRule="auto"/>
        <w:tabs>
          <w:tab w:leader="none" w:pos="2393"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Headings; Construction</w:t>
      </w:r>
      <w:r>
        <w:rPr>
          <w:rFonts w:ascii="Arial" w:cs="Arial" w:eastAsia="Arial" w:hAnsi="Arial"/>
          <w:sz w:val="17"/>
          <w:szCs w:val="17"/>
          <w:color w:val="auto"/>
        </w:rPr>
        <w:t xml:space="preserve">. The titles of Sections and paragraphs of this Agreement are for convenience only and do not define or limit the provisions hereof. The definitions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shall apply equally to both the singular and plural forms of the terms defined. Whenever the context may require, any pronoun shall include the corresponding masculine, feminine and neuter forms. All references herein to Sections, Exhibits and Schedules and paragraphs shall be deemed to be references to Sections and paragraphs of, and Exhibits to, this Agreement unless the context shall otherwise require. All Exhibits attached hereto shall be deemed incorporated herein as if set forth in full herein. The terms “clause(s)” and “subparagraph(s)” shall be used herein interchangeably. The words “include,” “includes” and “including” shall be deemed to be followed by the phrase “without limitation.” All accounting terms not defined in this Agreement shall have the meanings determined by United States generally accepted accounting principles as in effect from time to time. The words “hereof,” “herein” and “hereunder” and words of similar import when used in this Agreement shall refer to this Agreement as a whole and not to any particular provision of this Agreement. References to a Person are also to its permitted successors and permitted assigns. Unless otherwise expressly provided herein, any agreement, instrument or statute defined or referred to herein or in any agreement or instrument that is referred to herein means such agreement, instrument or statute as from time to time amended, modified, supplemented or restated, including (in the case of agreements or instruments) by waiver or consent and (in the case of statutes) by succession of comparable successor statutes and references to all attachments thereto and instruments incorporated therein.</w:t>
      </w:r>
    </w:p>
    <w:p>
      <w:pPr>
        <w:spacing w:after="0" w:line="187" w:lineRule="exact"/>
        <w:rPr>
          <w:rFonts w:ascii="Arial" w:cs="Arial" w:eastAsia="Arial" w:hAnsi="Arial"/>
          <w:sz w:val="17"/>
          <w:szCs w:val="17"/>
          <w:color w:val="auto"/>
        </w:rPr>
      </w:pPr>
    </w:p>
    <w:p>
      <w:pPr>
        <w:jc w:val="both"/>
        <w:ind w:firstLine="1953"/>
        <w:spacing w:after="0" w:line="257" w:lineRule="auto"/>
        <w:tabs>
          <w:tab w:leader="none" w:pos="2447"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of the Parties has been represented by and has had an opportunity to consult with legal counsel in connection with the drafting, negotiation and execution of this Agreement. The language used in this Agreement shall be deemed to be the language that the Parties have chosen to express their mutual intent. Accordingly, no provision of this Agreement shall be strictly construed against or interpreted to the disadvantage of any Party by any court or other Governmental Authority by reason of such Party having drafted or being deemed to have drafted such provision.</w:t>
      </w:r>
    </w:p>
    <w:p>
      <w:pPr>
        <w:spacing w:after="0" w:line="188" w:lineRule="exact"/>
        <w:rPr>
          <w:rFonts w:ascii="Arial" w:cs="Arial" w:eastAsia="Arial" w:hAnsi="Arial"/>
          <w:sz w:val="18"/>
          <w:szCs w:val="18"/>
          <w:color w:val="auto"/>
        </w:rPr>
      </w:pPr>
    </w:p>
    <w:p>
      <w:pPr>
        <w:jc w:val="both"/>
        <w:ind w:firstLine="1953"/>
        <w:spacing w:after="0" w:line="285" w:lineRule="auto"/>
        <w:tabs>
          <w:tab w:leader="none" w:pos="234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 Each of the parties irrevocably agrees that any legal action or proceeding arising out of or relating to this Agreement brought by any party or its successors or assigns against the other party shall be brought and determined any New York state or federal court sitting in the Borough of Manhattan, City of New York (or, if such court lacks subject matter jurisdiction, in any appropriate New York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or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EACH PARTY ACKNOWLEDGES AND AGREES THAT ANY CONTROVERSY WHICH MAY ARISE UNDER THIS AGREEMENT IS LIKELY TO INVOLVE COMPLICATED AND DIFFICULT ISSUES, AND THEREFORE EACH PARTY HEREBY IRREVOCABLY AND UNCONDITIONALLY WAIVES ANY RIGHT SUCH PARTY MAY HAVE TO A TRIAL BY JURY IN RESPECT OF ANY CLAIM, ACTION, PROCEEDING OR LITIGATION DIRECTLY OR INDIRECTLY ARISING OUT OF OR RELATING TO THIS AGREEMENT, OR THE TRANSACTIONS CONTEMPLATED HEREBY.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8" w:name="page109"/>
    <w:bookmarkEnd w:id="108"/>
    <w:p>
      <w:pPr>
        <w:jc w:val="both"/>
        <w:ind w:firstLine="1953"/>
        <w:spacing w:after="0" w:line="270" w:lineRule="auto"/>
        <w:tabs>
          <w:tab w:leader="none" w:pos="2448"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acknowledge that money damages would not be an adequate remedy for breaches or violations of this Agreement and that any Party, in addition to any other rights and remedies which the Parties may have hereunder or at law or in equity, may, in its sole discretion, obtain from a court of competent jurisdiction (in accordance with </w:t>
      </w:r>
      <w:r>
        <w:rPr>
          <w:rFonts w:ascii="Arial" w:cs="Arial" w:eastAsia="Arial" w:hAnsi="Arial"/>
          <w:sz w:val="17"/>
          <w:szCs w:val="17"/>
          <w:u w:val="single" w:color="auto"/>
          <w:color w:val="auto"/>
        </w:rPr>
        <w:t>Section 7(i))</w:t>
      </w:r>
      <w:r>
        <w:rPr>
          <w:rFonts w:ascii="Arial" w:cs="Arial" w:eastAsia="Arial" w:hAnsi="Arial"/>
          <w:sz w:val="17"/>
          <w:szCs w:val="17"/>
          <w:color w:val="auto"/>
        </w:rPr>
        <w:t xml:space="preserve"> specific performance or injunction or such other equitable relief as such court may deem just and proper in order to enforce this Agreement in the event of any breach of the provisions of this Agreement or to prevent any violation hereof. To the extent permitted by applicable law, each Party hereby (i) waives any objection to the imposition of such relief and agrees that it will not assert any defense that a Party may have an adequate remedy at law with respect to such relief, and (ii) waives any requirement for the posting of any bond or similar collateral in connection therewith. Each Party agrees to indemnify and hold harmless the other Parties from any and all damage, loss, cost, expense or liability whatsoever (including legal fees and the cost of enforcing this Agreement) arising directly or indirectly from any willful or intentional breach by such Party of any obligation or agreement contained herein.</w:t>
      </w:r>
    </w:p>
    <w:p>
      <w:pPr>
        <w:spacing w:after="0" w:line="181" w:lineRule="exact"/>
        <w:rPr>
          <w:rFonts w:ascii="Arial" w:cs="Arial" w:eastAsia="Arial" w:hAnsi="Arial"/>
          <w:sz w:val="17"/>
          <w:szCs w:val="17"/>
          <w:color w:val="auto"/>
        </w:rPr>
      </w:pPr>
    </w:p>
    <w:p>
      <w:pPr>
        <w:jc w:val="both"/>
        <w:ind w:firstLine="1953"/>
        <w:spacing w:after="0" w:line="257" w:lineRule="auto"/>
        <w:tabs>
          <w:tab w:leader="none" w:pos="246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(or any portion thereof) or the application thereof to any Person or circumstance as contemplated hereby is held by a court of competent jurisdiction or other Governmental Authority to be invalid, illegal, void or unenforceable, the remainder of the terms, provisions, covenants and restrictions of this Agreement (or portions thereof) shall remain in full force and effect and shall in no way be affected, impaired or invalidated so long as the economic or legal substance of the transactions contemplated hereby is not affected in any manner materially adverse to any Party.</w:t>
      </w:r>
    </w:p>
    <w:p>
      <w:pPr>
        <w:spacing w:after="0" w:line="188" w:lineRule="exact"/>
        <w:rPr>
          <w:rFonts w:ascii="Arial" w:cs="Arial" w:eastAsia="Arial" w:hAnsi="Arial"/>
          <w:sz w:val="18"/>
          <w:szCs w:val="18"/>
          <w:color w:val="auto"/>
        </w:rPr>
      </w:pPr>
    </w:p>
    <w:p>
      <w:pPr>
        <w:jc w:val="both"/>
        <w:ind w:firstLine="1953"/>
        <w:spacing w:after="0" w:line="286" w:lineRule="auto"/>
        <w:tabs>
          <w:tab w:leader="none" w:pos="2353"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constitute an original and all of which, when taken together, shall constitute one and the same agreement. Delivery of an executed counterpart of a signature page to this Agreement by facsimile or pdf attachment to electronic mail shall be effective as delivery of a manually executed counterpart to this Agreement.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ind w:left="100"/>
        <w:spacing w:after="0"/>
        <w:rPr>
          <w:sz w:val="20"/>
          <w:szCs w:val="20"/>
          <w:color w:val="auto"/>
        </w:rPr>
      </w:pPr>
      <w:r>
        <w:rPr>
          <w:rFonts w:ascii="Arial" w:cs="Arial" w:eastAsia="Arial" w:hAnsi="Arial"/>
          <w:sz w:val="16"/>
          <w:szCs w:val="16"/>
          <w:color w:val="auto"/>
        </w:rPr>
        <w:t>IN WITNESS WHEREOF, the Parties have caused this Agreement to be duly executed as of the date first above written.</w:t>
      </w:r>
    </w:p>
    <w:p>
      <w:pPr>
        <w:spacing w:after="0" w:line="2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29330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10" w:name="page111"/>
    <w:bookmarkEnd w:id="110"/>
    <w:p>
      <w:pPr>
        <w:ind w:left="4740"/>
        <w:spacing w:after="0"/>
        <w:rPr>
          <w:sz w:val="20"/>
          <w:szCs w:val="20"/>
          <w:color w:val="auto"/>
        </w:rPr>
      </w:pPr>
      <w:r>
        <w:rPr>
          <w:rFonts w:ascii="Arial" w:cs="Arial" w:eastAsia="Arial" w:hAnsi="Arial"/>
          <w:sz w:val="18"/>
          <w:szCs w:val="18"/>
          <w:b w:val="1"/>
          <w:bCs w:val="1"/>
          <w:color w:val="auto"/>
        </w:rPr>
        <w:t>SHAREHOLDERS</w:t>
      </w:r>
    </w:p>
    <w:p>
      <w:pPr>
        <w:spacing w:after="0" w:line="200" w:lineRule="exact"/>
        <w:rPr>
          <w:sz w:val="20"/>
          <w:szCs w:val="20"/>
          <w:color w:val="auto"/>
        </w:rPr>
      </w:pPr>
    </w:p>
    <w:p>
      <w:pPr>
        <w:spacing w:after="0" w:line="241" w:lineRule="exact"/>
        <w:rPr>
          <w:sz w:val="20"/>
          <w:szCs w:val="20"/>
          <w:color w:val="auto"/>
        </w:rPr>
      </w:pPr>
    </w:p>
    <w:p>
      <w:pPr>
        <w:jc w:val="right"/>
        <w:ind w:right="1399"/>
        <w:spacing w:after="0"/>
        <w:rPr>
          <w:sz w:val="20"/>
          <w:szCs w:val="20"/>
          <w:color w:val="auto"/>
        </w:rPr>
      </w:pPr>
      <w:r>
        <w:rPr>
          <w:rFonts w:ascii="Arial" w:cs="Arial" w:eastAsia="Arial" w:hAnsi="Arial"/>
          <w:sz w:val="18"/>
          <w:szCs w:val="18"/>
          <w:b w:val="1"/>
          <w:bCs w:val="1"/>
          <w:color w:val="auto"/>
        </w:rPr>
        <w:t>TORGERSON FAMILY TRUST</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8"/>
          <w:szCs w:val="18"/>
          <w:color w:val="auto"/>
        </w:rPr>
        <w:t>By:</w:t>
        <w:tab/>
        <w:t>/s/ Lance Torgerson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29330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Trusteee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989677 ALBERTA LTD.</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8"/>
          <w:szCs w:val="18"/>
          <w:color w:val="auto"/>
        </w:rPr>
        <w:t>By:</w:t>
        <w:tab/>
        <w:t>/s/ Lance Torgerson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29330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Pages to Registration Rights, Lock-Up and Standstill Agreement]</w:t>
      </w:r>
    </w:p>
    <w:p>
      <w:pPr>
        <w:sectPr>
          <w:pgSz w:w="11900" w:h="16838" w:orient="portrait"/>
          <w:cols w:equalWidth="0" w:num="1">
            <w:col w:w="9019"/>
          </w:cols>
          <w:pgMar w:left="1440" w:top="58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SYNDICATED FACILITY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2,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MANAGEMENT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U.S.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Administrative Agent, Canadian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Australian Administrative Agent, Australian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280035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297180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RBC CAPITAL MARKETS, </w:t>
      </w:r>
      <w:r>
        <w:rPr>
          <w:rFonts w:ascii="Arial" w:cs="Arial" w:eastAsia="Arial" w:hAnsi="Arial"/>
          <w:sz w:val="30"/>
          <w:szCs w:val="30"/>
          <w:color w:val="auto"/>
          <w:vertAlign w:val="superscript"/>
        </w:rPr>
        <w:t>1</w:t>
      </w:r>
    </w:p>
    <w:p>
      <w:pPr>
        <w:jc w:val="center"/>
        <w:spacing w:after="0"/>
        <w:rPr>
          <w:sz w:val="20"/>
          <w:szCs w:val="20"/>
          <w:color w:val="auto"/>
        </w:rPr>
      </w:pPr>
      <w:r>
        <w:rPr>
          <w:rFonts w:ascii="Arial" w:cs="Arial" w:eastAsia="Arial" w:hAnsi="Arial"/>
          <w:sz w:val="18"/>
          <w:szCs w:val="18"/>
          <w:color w:val="auto"/>
        </w:rPr>
        <w:t>as Joint Lead Arranger and Sole Bookrunner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HSBC BANK CANADA and THE BANK OF NOVA SCOTIA,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Co-Syndication Agents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80" w:lineRule="exact"/>
        <w:rPr>
          <w:sz w:val="20"/>
          <w:szCs w:val="20"/>
          <w:color w:val="auto"/>
        </w:rPr>
      </w:pPr>
    </w:p>
    <w:p>
      <w:pPr>
        <w:ind w:left="580" w:hanging="572"/>
        <w:spacing w:after="0"/>
        <w:tabs>
          <w:tab w:leader="none" w:pos="580" w:val="left"/>
        </w:tabs>
        <w:numPr>
          <w:ilvl w:val="0"/>
          <w:numId w:val="167"/>
        </w:numPr>
        <w:rPr>
          <w:rFonts w:ascii="Arial" w:cs="Arial" w:eastAsia="Arial" w:hAnsi="Arial"/>
          <w:sz w:val="28"/>
          <w:szCs w:val="28"/>
          <w:color w:val="auto"/>
          <w:vertAlign w:val="superscript"/>
        </w:rPr>
      </w:pPr>
      <w:r>
        <w:rPr>
          <w:rFonts w:ascii="Arial" w:cs="Arial" w:eastAsia="Arial" w:hAnsi="Arial"/>
          <w:sz w:val="17"/>
          <w:szCs w:val="17"/>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52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00" w:type="dxa"/>
            <w:vAlign w:val="bottom"/>
            <w:gridSpan w:val="2"/>
          </w:tcPr>
          <w:p>
            <w:pPr>
              <w:ind w:left="18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Defined Terms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1.01</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Terms Generally</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1.02</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Several Obligations; Power of Attorney</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1.03</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Classification of Loans and Borrowings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1.04</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Additional Alternative Currencies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1.05</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THE CREDITS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Commitments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Loans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2.02</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Borrowing Procedure</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2.03</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Evidence of Debt; Repayment of Loans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2.04</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Fees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2.05</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Interest on Loans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2.06</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Default Interest</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2.07</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Alternate Rate of Interest</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2.08</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Termination and Reduction of Commitments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2.09</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Conversion and Continuation of Borrowings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2.10</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Optional Prepayment</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2.11</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Mandatory Prepayments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2.12</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Increased Costs; Capital Requirements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2.13</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Change in Legality</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2.14</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Breakage Costs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2.15</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Pro Rata Treatment</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2.16</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Sharing of Setoffs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2.17</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Payments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2.18</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Taxes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2.19</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Assignment of Commitments Under Certain Circumstances; Duty to Mitigate</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2.20</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Letters of Credit</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2.21</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Bankers’ Acceptances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2.22</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Swing Line Loans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2.23</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tcPr>
          <w:p>
            <w:pPr>
              <w:ind w:left="100"/>
              <w:spacing w:after="0" w:line="201" w:lineRule="exact"/>
              <w:rPr>
                <w:sz w:val="20"/>
                <w:szCs w:val="20"/>
                <w:color w:val="auto"/>
              </w:rPr>
            </w:pPr>
            <w:r>
              <w:rPr>
                <w:rFonts w:ascii="Arial" w:cs="Arial" w:eastAsia="Arial" w:hAnsi="Arial"/>
                <w:sz w:val="18"/>
                <w:szCs w:val="18"/>
                <w:color w:val="auto"/>
              </w:rPr>
              <w:t>Defaulting Lenders</w:t>
            </w:r>
          </w:p>
        </w:tc>
        <w:tc>
          <w:tcPr>
            <w:tcW w:w="2380" w:type="dxa"/>
            <w:vAlign w:val="bottom"/>
          </w:tcPr>
          <w:p>
            <w:pPr>
              <w:jc w:val="right"/>
              <w:spacing w:after="0" w:line="201"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2.24</w:t>
            </w:r>
          </w:p>
        </w:tc>
        <w:tc>
          <w:tcPr>
            <w:tcW w:w="7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Incremental Revolving Credit Increase</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2.25</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Organization; Powers</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3.01</w:t>
            </w:r>
          </w:p>
        </w:tc>
        <w:tc>
          <w:tcPr>
            <w:tcW w:w="75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SECTION</w:t>
            </w:r>
          </w:p>
        </w:tc>
        <w:tc>
          <w:tcPr>
            <w:tcW w:w="7000" w:type="dxa"/>
            <w:vAlign w:val="bottom"/>
          </w:tcPr>
          <w:p>
            <w:pPr>
              <w:ind w:left="100"/>
              <w:spacing w:after="0"/>
              <w:rPr>
                <w:sz w:val="20"/>
                <w:szCs w:val="20"/>
                <w:color w:val="auto"/>
              </w:rPr>
            </w:pPr>
            <w:r>
              <w:rPr>
                <w:rFonts w:ascii="Arial" w:cs="Arial" w:eastAsia="Arial" w:hAnsi="Arial"/>
                <w:sz w:val="18"/>
                <w:szCs w:val="18"/>
                <w:color w:val="auto"/>
              </w:rPr>
              <w:t>Authorization</w:t>
            </w:r>
          </w:p>
        </w:tc>
        <w:tc>
          <w:tcPr>
            <w:tcW w:w="2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3.02</w:t>
            </w:r>
          </w:p>
        </w:tc>
        <w:tc>
          <w:tcPr>
            <w:tcW w:w="70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7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Enforceability</w:t>
            </w:r>
          </w:p>
        </w:tc>
        <w:tc>
          <w:tcPr>
            <w:tcW w:w="2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94</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3.03</w:t>
            </w:r>
          </w:p>
        </w:tc>
        <w:tc>
          <w:tcPr>
            <w:tcW w:w="70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7000" w:type="dxa"/>
            <w:vAlign w:val="bottom"/>
          </w:tcPr>
          <w:p>
            <w:pPr>
              <w:ind w:left="100"/>
              <w:spacing w:after="0" w:line="201" w:lineRule="exact"/>
              <w:rPr>
                <w:sz w:val="20"/>
                <w:szCs w:val="20"/>
                <w:color w:val="auto"/>
              </w:rPr>
            </w:pPr>
            <w:r>
              <w:rPr>
                <w:rFonts w:ascii="Arial" w:cs="Arial" w:eastAsia="Arial" w:hAnsi="Arial"/>
                <w:sz w:val="18"/>
                <w:szCs w:val="18"/>
                <w:color w:val="auto"/>
              </w:rPr>
              <w:t>Governmental Approvals</w:t>
            </w:r>
          </w:p>
        </w:tc>
        <w:tc>
          <w:tcPr>
            <w:tcW w:w="2900" w:type="dxa"/>
            <w:vAlign w:val="bottom"/>
          </w:tcPr>
          <w:p>
            <w:pPr>
              <w:jc w:val="right"/>
              <w:spacing w:after="0" w:line="201" w:lineRule="exact"/>
              <w:rPr>
                <w:sz w:val="20"/>
                <w:szCs w:val="20"/>
                <w:color w:val="auto"/>
              </w:rPr>
            </w:pPr>
            <w:r>
              <w:rPr>
                <w:rFonts w:ascii="Arial" w:cs="Arial" w:eastAsia="Arial" w:hAnsi="Arial"/>
                <w:sz w:val="18"/>
                <w:szCs w:val="18"/>
                <w:color w:val="auto"/>
              </w:rPr>
              <w:t>94</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3.04</w:t>
            </w:r>
          </w:p>
        </w:tc>
        <w:tc>
          <w:tcPr>
            <w:tcW w:w="70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7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Financial Statements</w:t>
            </w:r>
          </w:p>
        </w:tc>
        <w:tc>
          <w:tcPr>
            <w:tcW w:w="2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94</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3.05</w:t>
            </w:r>
          </w:p>
        </w:tc>
        <w:tc>
          <w:tcPr>
            <w:tcW w:w="70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7000" w:type="dxa"/>
            <w:vAlign w:val="bottom"/>
          </w:tcPr>
          <w:p>
            <w:pPr>
              <w:ind w:left="100"/>
              <w:spacing w:after="0" w:line="201" w:lineRule="exact"/>
              <w:rPr>
                <w:sz w:val="20"/>
                <w:szCs w:val="20"/>
                <w:color w:val="auto"/>
              </w:rPr>
            </w:pPr>
            <w:r>
              <w:rPr>
                <w:rFonts w:ascii="Arial" w:cs="Arial" w:eastAsia="Arial" w:hAnsi="Arial"/>
                <w:sz w:val="18"/>
                <w:szCs w:val="18"/>
                <w:color w:val="auto"/>
              </w:rPr>
              <w:t>No Material Adverse Change</w:t>
            </w:r>
          </w:p>
        </w:tc>
        <w:tc>
          <w:tcPr>
            <w:tcW w:w="2900" w:type="dxa"/>
            <w:vAlign w:val="bottom"/>
          </w:tcPr>
          <w:p>
            <w:pPr>
              <w:jc w:val="right"/>
              <w:spacing w:after="0" w:line="201" w:lineRule="exact"/>
              <w:rPr>
                <w:sz w:val="20"/>
                <w:szCs w:val="20"/>
                <w:color w:val="auto"/>
              </w:rPr>
            </w:pPr>
            <w:r>
              <w:rPr>
                <w:rFonts w:ascii="Arial" w:cs="Arial" w:eastAsia="Arial" w:hAnsi="Arial"/>
                <w:sz w:val="18"/>
                <w:szCs w:val="18"/>
                <w:color w:val="auto"/>
              </w:rPr>
              <w:t>95</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3.06</w:t>
            </w:r>
          </w:p>
        </w:tc>
        <w:tc>
          <w:tcPr>
            <w:tcW w:w="70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7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Title to Properties; Possession Under Leases and Licenses</w:t>
            </w:r>
          </w:p>
        </w:tc>
        <w:tc>
          <w:tcPr>
            <w:tcW w:w="2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3.07</w:t>
            </w:r>
          </w:p>
        </w:tc>
        <w:tc>
          <w:tcPr>
            <w:tcW w:w="70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7000" w:type="dxa"/>
            <w:vAlign w:val="bottom"/>
          </w:tcPr>
          <w:p>
            <w:pPr>
              <w:ind w:left="100"/>
              <w:spacing w:after="0" w:line="201" w:lineRule="exact"/>
              <w:rPr>
                <w:sz w:val="20"/>
                <w:szCs w:val="20"/>
                <w:color w:val="auto"/>
              </w:rPr>
            </w:pPr>
            <w:r>
              <w:rPr>
                <w:rFonts w:ascii="Arial" w:cs="Arial" w:eastAsia="Arial" w:hAnsi="Arial"/>
                <w:sz w:val="18"/>
                <w:szCs w:val="18"/>
                <w:color w:val="auto"/>
              </w:rPr>
              <w:t>Subsidiaries</w:t>
            </w:r>
          </w:p>
        </w:tc>
        <w:tc>
          <w:tcPr>
            <w:tcW w:w="2900" w:type="dxa"/>
            <w:vAlign w:val="bottom"/>
          </w:tcPr>
          <w:p>
            <w:pPr>
              <w:jc w:val="right"/>
              <w:spacing w:after="0" w:line="201" w:lineRule="exact"/>
              <w:rPr>
                <w:sz w:val="20"/>
                <w:szCs w:val="20"/>
                <w:color w:val="auto"/>
              </w:rPr>
            </w:pPr>
            <w:r>
              <w:rPr>
                <w:rFonts w:ascii="Arial" w:cs="Arial" w:eastAsia="Arial" w:hAnsi="Arial"/>
                <w:sz w:val="18"/>
                <w:szCs w:val="18"/>
                <w:color w:val="auto"/>
              </w:rPr>
              <w:t>95</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3.08</w:t>
            </w:r>
          </w:p>
        </w:tc>
        <w:tc>
          <w:tcPr>
            <w:tcW w:w="700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26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60" w:type="dxa"/>
            <w:vAlign w:val="bottom"/>
          </w:tcPr>
          <w:p>
            <w:pPr>
              <w:ind w:left="3780"/>
              <w:spacing w:after="0"/>
              <w:rPr>
                <w:sz w:val="20"/>
                <w:szCs w:val="20"/>
                <w:color w:val="auto"/>
              </w:rPr>
            </w:pPr>
            <w:r>
              <w:rPr>
                <w:rFonts w:ascii="Arial" w:cs="Arial" w:eastAsia="Arial" w:hAnsi="Arial"/>
                <w:sz w:val="18"/>
                <w:szCs w:val="18"/>
                <w:color w:val="auto"/>
              </w:rPr>
              <w:t>(continued)</w:t>
            </w:r>
          </w:p>
        </w:tc>
        <w:tc>
          <w:tcPr>
            <w:tcW w:w="2660" w:type="dxa"/>
            <w:vAlign w:val="bottom"/>
            <w:gridSpan w:val="2"/>
            <w:vMerge w:val="restart"/>
          </w:tcPr>
          <w:p>
            <w:pPr>
              <w:ind w:left="2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Litigation; Compliance with Laws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3.09</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Agreements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3.10</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Federal Reserve Regulations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3.11</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Investment Company Act</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3.12</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Use of Proceeds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3.13</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Tax Returns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3.14</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 Material Misstatements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3.15</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Employee Benefit Plans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3.16</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Environmental Matters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3.17</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Insurance</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3.18</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Security Documents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3.19</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Intellectual Property</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3.20</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Labor Matters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3.21</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Solvency</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3.22</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Anti-Corruption Laws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3.23</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Anti-Money Laundering Laws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3.24</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Foreign Assets Control Regulations, etc.</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3.25</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gridSpan w:val="2"/>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CONDITIONS TO CLOSING AND FUNDING</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Conditions to All Credit Events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4.01</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Conditions to Closing</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4.02</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gridSpan w:val="2"/>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Existence; Businesses and Properties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5.01</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Insurance</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5.02</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Obligations and Taxes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5.03</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Financial Statements, Reports, etc.</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5.04</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Litigation and Other Notices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5.05</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Information Regarding Collateral</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5.06</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Maintaining Records; Access to Properties and Inspections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5.07</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Use of Proceeds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5.08</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line="201" w:lineRule="exact"/>
              <w:rPr>
                <w:sz w:val="20"/>
                <w:szCs w:val="20"/>
                <w:color w:val="auto"/>
              </w:rPr>
            </w:pPr>
            <w:r>
              <w:rPr>
                <w:rFonts w:ascii="Arial" w:cs="Arial" w:eastAsia="Arial" w:hAnsi="Arial"/>
                <w:sz w:val="18"/>
                <w:szCs w:val="18"/>
                <w:color w:val="auto"/>
              </w:rPr>
              <w:t>Further Assurances</w:t>
            </w:r>
          </w:p>
        </w:tc>
        <w:tc>
          <w:tcPr>
            <w:tcW w:w="2640" w:type="dxa"/>
            <w:vAlign w:val="bottom"/>
          </w:tcPr>
          <w:p>
            <w:pPr>
              <w:jc w:val="right"/>
              <w:spacing w:after="0" w:line="201"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5.09</w:t>
            </w:r>
          </w:p>
        </w:tc>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Post-Closing Obligations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5.10</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gridSpan w:val="2"/>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NEGATIVE COVENANTS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7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Indebtedness</w:t>
            </w:r>
          </w:p>
        </w:tc>
        <w:tc>
          <w:tcPr>
            <w:tcW w:w="2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6.01</w:t>
            </w:r>
          </w:p>
        </w:tc>
        <w:tc>
          <w:tcPr>
            <w:tcW w:w="72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ind w:left="640"/>
              <w:spacing w:after="0"/>
              <w:rPr>
                <w:sz w:val="20"/>
                <w:szCs w:val="20"/>
                <w:color w:val="auto"/>
              </w:rPr>
            </w:pPr>
            <w:r>
              <w:rPr>
                <w:rFonts w:ascii="Arial" w:cs="Arial" w:eastAsia="Arial" w:hAnsi="Arial"/>
                <w:sz w:val="18"/>
                <w:szCs w:val="18"/>
                <w:color w:val="auto"/>
              </w:rPr>
              <w:t>SECTION</w:t>
            </w:r>
          </w:p>
        </w:tc>
        <w:tc>
          <w:tcPr>
            <w:tcW w:w="7260" w:type="dxa"/>
            <w:vAlign w:val="bottom"/>
          </w:tcPr>
          <w:p>
            <w:pPr>
              <w:ind w:left="100"/>
              <w:spacing w:after="0"/>
              <w:rPr>
                <w:sz w:val="20"/>
                <w:szCs w:val="20"/>
                <w:color w:val="auto"/>
              </w:rPr>
            </w:pPr>
            <w:r>
              <w:rPr>
                <w:rFonts w:ascii="Arial" w:cs="Arial" w:eastAsia="Arial" w:hAnsi="Arial"/>
                <w:sz w:val="18"/>
                <w:szCs w:val="18"/>
                <w:color w:val="auto"/>
              </w:rPr>
              <w:t>Liens</w:t>
            </w:r>
          </w:p>
        </w:tc>
        <w:tc>
          <w:tcPr>
            <w:tcW w:w="26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6.02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w:t>
            </w:r>
          </w:p>
        </w:tc>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and Lease-Back Transactions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6.03</w:t>
            </w:r>
          </w:p>
        </w:tc>
        <w:tc>
          <w:tcPr>
            <w:tcW w:w="69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tcPr>
          <w:p>
            <w:pPr>
              <w:ind w:left="100"/>
              <w:spacing w:after="0" w:line="201" w:lineRule="exact"/>
              <w:rPr>
                <w:sz w:val="20"/>
                <w:szCs w:val="20"/>
                <w:color w:val="auto"/>
              </w:rPr>
            </w:pPr>
            <w:r>
              <w:rPr>
                <w:rFonts w:ascii="Arial" w:cs="Arial" w:eastAsia="Arial" w:hAnsi="Arial"/>
                <w:sz w:val="18"/>
                <w:szCs w:val="18"/>
                <w:color w:val="auto"/>
              </w:rPr>
              <w:t>Investments, Loans and Advances</w:t>
            </w:r>
          </w:p>
        </w:tc>
        <w:tc>
          <w:tcPr>
            <w:tcW w:w="2940" w:type="dxa"/>
            <w:vAlign w:val="bottom"/>
          </w:tcPr>
          <w:p>
            <w:pPr>
              <w:jc w:val="right"/>
              <w:spacing w:after="0" w:line="201" w:lineRule="exact"/>
              <w:rPr>
                <w:sz w:val="20"/>
                <w:szCs w:val="20"/>
                <w:color w:val="auto"/>
              </w:rPr>
            </w:pPr>
            <w:r>
              <w:rPr>
                <w:rFonts w:ascii="Arial" w:cs="Arial" w:eastAsia="Arial" w:hAnsi="Arial"/>
                <w:sz w:val="18"/>
                <w:szCs w:val="18"/>
                <w:color w:val="auto"/>
              </w:rPr>
              <w:t>113</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6.04</w:t>
            </w:r>
          </w:p>
        </w:tc>
        <w:tc>
          <w:tcPr>
            <w:tcW w:w="69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Mergers, Consolidations, Sales of Assets and Acquisitions</w:t>
            </w:r>
          </w:p>
        </w:tc>
        <w:tc>
          <w:tcPr>
            <w:tcW w:w="2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116</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6.05</w:t>
            </w:r>
          </w:p>
        </w:tc>
        <w:tc>
          <w:tcPr>
            <w:tcW w:w="69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tcPr>
          <w:p>
            <w:pPr>
              <w:ind w:left="100"/>
              <w:spacing w:after="0" w:line="201" w:lineRule="exact"/>
              <w:rPr>
                <w:sz w:val="20"/>
                <w:szCs w:val="20"/>
                <w:color w:val="auto"/>
              </w:rPr>
            </w:pPr>
            <w:r>
              <w:rPr>
                <w:rFonts w:ascii="Arial" w:cs="Arial" w:eastAsia="Arial" w:hAnsi="Arial"/>
                <w:sz w:val="18"/>
                <w:szCs w:val="18"/>
                <w:color w:val="auto"/>
              </w:rPr>
              <w:t>Restricted Payments; Restrictive Agreements</w:t>
            </w:r>
          </w:p>
        </w:tc>
        <w:tc>
          <w:tcPr>
            <w:tcW w:w="2940" w:type="dxa"/>
            <w:vAlign w:val="bottom"/>
          </w:tcPr>
          <w:p>
            <w:pPr>
              <w:jc w:val="right"/>
              <w:spacing w:after="0" w:line="201" w:lineRule="exact"/>
              <w:rPr>
                <w:sz w:val="20"/>
                <w:szCs w:val="20"/>
                <w:color w:val="auto"/>
              </w:rPr>
            </w:pPr>
            <w:r>
              <w:rPr>
                <w:rFonts w:ascii="Arial" w:cs="Arial" w:eastAsia="Arial" w:hAnsi="Arial"/>
                <w:sz w:val="18"/>
                <w:szCs w:val="18"/>
                <w:color w:val="auto"/>
              </w:rPr>
              <w:t>116</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6.06</w:t>
            </w:r>
          </w:p>
        </w:tc>
        <w:tc>
          <w:tcPr>
            <w:tcW w:w="69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Transactions with Affiliates</w:t>
            </w:r>
          </w:p>
        </w:tc>
        <w:tc>
          <w:tcPr>
            <w:tcW w:w="2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117</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6.07</w:t>
            </w:r>
          </w:p>
        </w:tc>
        <w:tc>
          <w:tcPr>
            <w:tcW w:w="69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tcPr>
          <w:p>
            <w:pPr>
              <w:ind w:left="100"/>
              <w:spacing w:after="0" w:line="201" w:lineRule="exact"/>
              <w:rPr>
                <w:sz w:val="20"/>
                <w:szCs w:val="20"/>
                <w:color w:val="auto"/>
              </w:rPr>
            </w:pPr>
            <w:r>
              <w:rPr>
                <w:rFonts w:ascii="Arial" w:cs="Arial" w:eastAsia="Arial" w:hAnsi="Arial"/>
                <w:sz w:val="18"/>
                <w:szCs w:val="18"/>
                <w:color w:val="auto"/>
              </w:rPr>
              <w:t>Business of Borrowers and Subsidiaries</w:t>
            </w:r>
          </w:p>
        </w:tc>
        <w:tc>
          <w:tcPr>
            <w:tcW w:w="2940" w:type="dxa"/>
            <w:vAlign w:val="bottom"/>
          </w:tcPr>
          <w:p>
            <w:pPr>
              <w:jc w:val="right"/>
              <w:spacing w:after="0" w:line="201" w:lineRule="exact"/>
              <w:rPr>
                <w:sz w:val="20"/>
                <w:szCs w:val="20"/>
                <w:color w:val="auto"/>
              </w:rPr>
            </w:pPr>
            <w:r>
              <w:rPr>
                <w:rFonts w:ascii="Arial" w:cs="Arial" w:eastAsia="Arial" w:hAnsi="Arial"/>
                <w:sz w:val="18"/>
                <w:szCs w:val="18"/>
                <w:color w:val="auto"/>
              </w:rPr>
              <w:t>117</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6.08</w:t>
            </w:r>
          </w:p>
        </w:tc>
        <w:tc>
          <w:tcPr>
            <w:tcW w:w="69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Other Indebtedness and Agreements</w:t>
            </w:r>
          </w:p>
        </w:tc>
        <w:tc>
          <w:tcPr>
            <w:tcW w:w="2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118</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6.09</w:t>
            </w:r>
          </w:p>
        </w:tc>
        <w:tc>
          <w:tcPr>
            <w:tcW w:w="69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tcPr>
          <w:p>
            <w:pPr>
              <w:ind w:left="100"/>
              <w:spacing w:after="0" w:line="201" w:lineRule="exact"/>
              <w:rPr>
                <w:sz w:val="20"/>
                <w:szCs w:val="20"/>
                <w:color w:val="auto"/>
              </w:rPr>
            </w:pPr>
            <w:r>
              <w:rPr>
                <w:rFonts w:ascii="Arial" w:cs="Arial" w:eastAsia="Arial" w:hAnsi="Arial"/>
                <w:sz w:val="18"/>
                <w:szCs w:val="18"/>
                <w:color w:val="auto"/>
              </w:rPr>
              <w:t>Interest Coverage Ratio</w:t>
            </w:r>
          </w:p>
        </w:tc>
        <w:tc>
          <w:tcPr>
            <w:tcW w:w="2940" w:type="dxa"/>
            <w:vAlign w:val="bottom"/>
          </w:tcPr>
          <w:p>
            <w:pPr>
              <w:jc w:val="right"/>
              <w:spacing w:after="0" w:line="201" w:lineRule="exact"/>
              <w:rPr>
                <w:sz w:val="20"/>
                <w:szCs w:val="20"/>
                <w:color w:val="auto"/>
              </w:rPr>
            </w:pPr>
            <w:r>
              <w:rPr>
                <w:rFonts w:ascii="Arial" w:cs="Arial" w:eastAsia="Arial" w:hAnsi="Arial"/>
                <w:sz w:val="18"/>
                <w:szCs w:val="18"/>
                <w:color w:val="auto"/>
              </w:rPr>
              <w:t>118</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6.10</w:t>
            </w:r>
          </w:p>
        </w:tc>
        <w:tc>
          <w:tcPr>
            <w:tcW w:w="69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Leverage Ratios</w:t>
            </w:r>
          </w:p>
        </w:tc>
        <w:tc>
          <w:tcPr>
            <w:tcW w:w="2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118</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6.11</w:t>
            </w:r>
          </w:p>
        </w:tc>
        <w:tc>
          <w:tcPr>
            <w:tcW w:w="69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960" w:type="dxa"/>
            <w:vAlign w:val="bottom"/>
          </w:tcPr>
          <w:p>
            <w:pPr>
              <w:ind w:left="100"/>
              <w:spacing w:after="0" w:line="201" w:lineRule="exact"/>
              <w:rPr>
                <w:sz w:val="20"/>
                <w:szCs w:val="20"/>
                <w:color w:val="auto"/>
              </w:rPr>
            </w:pPr>
            <w:r>
              <w:rPr>
                <w:rFonts w:ascii="Arial" w:cs="Arial" w:eastAsia="Arial" w:hAnsi="Arial"/>
                <w:sz w:val="18"/>
                <w:szCs w:val="18"/>
                <w:color w:val="auto"/>
              </w:rPr>
              <w:t>Hedging Agreements</w:t>
            </w:r>
          </w:p>
        </w:tc>
        <w:tc>
          <w:tcPr>
            <w:tcW w:w="2940" w:type="dxa"/>
            <w:vAlign w:val="bottom"/>
          </w:tcPr>
          <w:p>
            <w:pPr>
              <w:jc w:val="right"/>
              <w:spacing w:after="0" w:line="201" w:lineRule="exact"/>
              <w:rPr>
                <w:sz w:val="20"/>
                <w:szCs w:val="20"/>
                <w:color w:val="auto"/>
              </w:rPr>
            </w:pPr>
            <w:r>
              <w:rPr>
                <w:rFonts w:ascii="Arial" w:cs="Arial" w:eastAsia="Arial" w:hAnsi="Arial"/>
                <w:sz w:val="18"/>
                <w:szCs w:val="18"/>
                <w:color w:val="auto"/>
              </w:rPr>
              <w:t>118</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6.12</w:t>
            </w:r>
          </w:p>
        </w:tc>
        <w:tc>
          <w:tcPr>
            <w:tcW w:w="696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Pension Plans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6.13</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Amendment of the Organizational Documents</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6.14</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Sanction Laws and Regulations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6.15</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Anti-Corruption Laws</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6.16</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Cross-Guarantee</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6.17</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EVENTS OF DEFAULT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Events of Default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7.01</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Optional Acceleration of Maturity</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7.02</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Automatic Acceleration of Maturity</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7.03</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Non-exclusivity of Remedies</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7.04</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Application of Proceeds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7.05</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ARTICLE VIII THE ADMINISTRATIVE AGENTS, THE COLLATERAL AGENTS, THE ISSUING BANKS AND THE SWING LINE</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LENDERS</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Appointment and Authority</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8.01</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Rights as a Lender</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8.02</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Exculpatory Provisions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8.03</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Reliance by the Agents, the Issuing Banks and the Swing Line Lenders</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8.04</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Delegation of Duties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8.05</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Resignation of an Agent or a Swing Line Lender</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8.06</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Non-Reliance on Agents and Other Lenders; Certain Acknowledgments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8.07</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Indemnification</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8.08</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Collateral and Guaranty Matters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8.09</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No Other Duties, etc.</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8.10</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Agents May File Proofs of Claim</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8.11</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MISCELLANEOUS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Notices</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9.01</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Survival of Agreement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9.02</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Binding Effect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9.03</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Successors and Assigns</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9.04</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Expenses; Indemnity</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9.05</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Right of Setoff</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9.06</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Applicable Law</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9.07</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tcPr>
          <w:p>
            <w:pPr>
              <w:ind w:left="100"/>
              <w:spacing w:after="0" w:line="201" w:lineRule="exact"/>
              <w:rPr>
                <w:sz w:val="20"/>
                <w:szCs w:val="20"/>
                <w:color w:val="auto"/>
              </w:rPr>
            </w:pPr>
            <w:r>
              <w:rPr>
                <w:rFonts w:ascii="Arial" w:cs="Arial" w:eastAsia="Arial" w:hAnsi="Arial"/>
                <w:sz w:val="18"/>
                <w:szCs w:val="18"/>
                <w:color w:val="auto"/>
              </w:rPr>
              <w:t>Waivers; Amendment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9.08</w:t>
            </w:r>
          </w:p>
        </w:tc>
        <w:tc>
          <w:tcPr>
            <w:tcW w:w="8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w:t>
            </w:r>
          </w:p>
        </w:tc>
        <w:tc>
          <w:tcPr>
            <w:tcW w:w="8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Interest Rate Limitation</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9.09</w:t>
            </w:r>
          </w:p>
        </w:tc>
        <w:tc>
          <w:tcPr>
            <w:tcW w:w="8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SECTION</w:t>
            </w:r>
          </w:p>
        </w:tc>
        <w:tc>
          <w:tcPr>
            <w:tcW w:w="640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35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9.10</w:t>
            </w:r>
          </w:p>
        </w:tc>
        <w:tc>
          <w:tcPr>
            <w:tcW w:w="6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WAIVER OF JURY TRIAL</w:t>
            </w:r>
          </w:p>
        </w:tc>
        <w:tc>
          <w:tcPr>
            <w:tcW w:w="3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146</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9.11</w:t>
            </w:r>
          </w:p>
        </w:tc>
        <w:tc>
          <w:tcPr>
            <w:tcW w:w="64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Severability</w:t>
            </w:r>
          </w:p>
        </w:tc>
        <w:tc>
          <w:tcPr>
            <w:tcW w:w="3500" w:type="dxa"/>
            <w:vAlign w:val="bottom"/>
          </w:tcPr>
          <w:p>
            <w:pPr>
              <w:jc w:val="right"/>
              <w:spacing w:after="0" w:line="201" w:lineRule="exact"/>
              <w:rPr>
                <w:sz w:val="20"/>
                <w:szCs w:val="20"/>
                <w:color w:val="auto"/>
              </w:rPr>
            </w:pPr>
            <w:r>
              <w:rPr>
                <w:rFonts w:ascii="Arial" w:cs="Arial" w:eastAsia="Arial" w:hAnsi="Arial"/>
                <w:sz w:val="18"/>
                <w:szCs w:val="18"/>
                <w:color w:val="auto"/>
              </w:rPr>
              <w:t>147</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9.12</w:t>
            </w:r>
          </w:p>
        </w:tc>
        <w:tc>
          <w:tcPr>
            <w:tcW w:w="6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Counterparts</w:t>
            </w:r>
          </w:p>
        </w:tc>
        <w:tc>
          <w:tcPr>
            <w:tcW w:w="3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147</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9.13</w:t>
            </w:r>
          </w:p>
        </w:tc>
        <w:tc>
          <w:tcPr>
            <w:tcW w:w="64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Headings</w:t>
            </w:r>
          </w:p>
        </w:tc>
        <w:tc>
          <w:tcPr>
            <w:tcW w:w="3500" w:type="dxa"/>
            <w:vAlign w:val="bottom"/>
          </w:tcPr>
          <w:p>
            <w:pPr>
              <w:jc w:val="right"/>
              <w:spacing w:after="0" w:line="201" w:lineRule="exact"/>
              <w:rPr>
                <w:sz w:val="20"/>
                <w:szCs w:val="20"/>
                <w:color w:val="auto"/>
              </w:rPr>
            </w:pPr>
            <w:r>
              <w:rPr>
                <w:rFonts w:ascii="Arial" w:cs="Arial" w:eastAsia="Arial" w:hAnsi="Arial"/>
                <w:sz w:val="18"/>
                <w:szCs w:val="18"/>
                <w:color w:val="auto"/>
              </w:rPr>
              <w:t>147</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9.14</w:t>
            </w:r>
          </w:p>
        </w:tc>
        <w:tc>
          <w:tcPr>
            <w:tcW w:w="6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Jurisdiction; Consent to Service of Process</w:t>
            </w:r>
          </w:p>
        </w:tc>
        <w:tc>
          <w:tcPr>
            <w:tcW w:w="3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147</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9.15</w:t>
            </w:r>
          </w:p>
        </w:tc>
        <w:tc>
          <w:tcPr>
            <w:tcW w:w="64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Confidentiality</w:t>
            </w:r>
          </w:p>
        </w:tc>
        <w:tc>
          <w:tcPr>
            <w:tcW w:w="3500" w:type="dxa"/>
            <w:vAlign w:val="bottom"/>
          </w:tcPr>
          <w:p>
            <w:pPr>
              <w:jc w:val="right"/>
              <w:spacing w:after="0" w:line="201" w:lineRule="exact"/>
              <w:rPr>
                <w:sz w:val="20"/>
                <w:szCs w:val="20"/>
                <w:color w:val="auto"/>
              </w:rPr>
            </w:pPr>
            <w:r>
              <w:rPr>
                <w:rFonts w:ascii="Arial" w:cs="Arial" w:eastAsia="Arial" w:hAnsi="Arial"/>
                <w:sz w:val="18"/>
                <w:szCs w:val="18"/>
                <w:color w:val="auto"/>
              </w:rPr>
              <w:t>148</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9.16</w:t>
            </w:r>
          </w:p>
        </w:tc>
        <w:tc>
          <w:tcPr>
            <w:tcW w:w="6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Judgment Currency</w:t>
            </w:r>
          </w:p>
        </w:tc>
        <w:tc>
          <w:tcPr>
            <w:tcW w:w="3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149</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9.17</w:t>
            </w:r>
          </w:p>
        </w:tc>
        <w:tc>
          <w:tcPr>
            <w:tcW w:w="64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Exculpation Provisions</w:t>
            </w:r>
          </w:p>
        </w:tc>
        <w:tc>
          <w:tcPr>
            <w:tcW w:w="3500" w:type="dxa"/>
            <w:vAlign w:val="bottom"/>
          </w:tcPr>
          <w:p>
            <w:pPr>
              <w:jc w:val="right"/>
              <w:spacing w:after="0" w:line="201" w:lineRule="exact"/>
              <w:rPr>
                <w:sz w:val="20"/>
                <w:szCs w:val="20"/>
                <w:color w:val="auto"/>
              </w:rPr>
            </w:pPr>
            <w:r>
              <w:rPr>
                <w:rFonts w:ascii="Arial" w:cs="Arial" w:eastAsia="Arial" w:hAnsi="Arial"/>
                <w:sz w:val="18"/>
                <w:szCs w:val="18"/>
                <w:color w:val="auto"/>
              </w:rPr>
              <w:t>149</w:t>
            </w: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9.18</w:t>
            </w:r>
          </w:p>
        </w:tc>
        <w:tc>
          <w:tcPr>
            <w:tcW w:w="6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6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Payments Set Aside</w:t>
            </w:r>
          </w:p>
        </w:tc>
        <w:tc>
          <w:tcPr>
            <w:tcW w:w="3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w:t>
            </w: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9.19</w:t>
            </w:r>
          </w:p>
        </w:tc>
        <w:tc>
          <w:tcPr>
            <w:tcW w:w="64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0"/>
        </w:trPr>
        <w:tc>
          <w:tcPr>
            <w:tcW w:w="1520" w:type="dxa"/>
            <w:vAlign w:val="bottom"/>
          </w:tcPr>
          <w:p>
            <w:pPr>
              <w:spacing w:after="0"/>
              <w:rPr>
                <w:sz w:val="19"/>
                <w:szCs w:val="19"/>
                <w:color w:val="auto"/>
              </w:rPr>
            </w:pPr>
          </w:p>
        </w:tc>
        <w:tc>
          <w:tcPr>
            <w:tcW w:w="732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7320" w:type="dxa"/>
            <w:vAlign w:val="bottom"/>
          </w:tcPr>
          <w:p>
            <w:pPr>
              <w:ind w:left="3780"/>
              <w:spacing w:after="0"/>
              <w:rPr>
                <w:sz w:val="20"/>
                <w:szCs w:val="20"/>
                <w:color w:val="auto"/>
              </w:rPr>
            </w:pPr>
            <w:r>
              <w:rPr>
                <w:rFonts w:ascii="Arial" w:cs="Arial" w:eastAsia="Arial" w:hAnsi="Arial"/>
                <w:sz w:val="18"/>
                <w:szCs w:val="18"/>
                <w:color w:val="auto"/>
              </w:rPr>
              <w:t>(continued)</w:t>
            </w:r>
          </w:p>
        </w:tc>
        <w:tc>
          <w:tcPr>
            <w:tcW w:w="2600" w:type="dxa"/>
            <w:vAlign w:val="bottom"/>
            <w:gridSpan w:val="2"/>
            <w:vMerge w:val="restart"/>
          </w:tcPr>
          <w:p>
            <w:pPr>
              <w:ind w:left="20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7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Termination</w:t>
            </w:r>
          </w:p>
        </w:tc>
        <w:tc>
          <w:tcPr>
            <w:tcW w:w="2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9.20</w:t>
            </w:r>
          </w:p>
        </w:tc>
        <w:tc>
          <w:tcPr>
            <w:tcW w:w="73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7320" w:type="dxa"/>
            <w:vAlign w:val="bottom"/>
          </w:tcPr>
          <w:p>
            <w:pPr>
              <w:ind w:left="100"/>
              <w:spacing w:after="0" w:line="201" w:lineRule="exact"/>
              <w:rPr>
                <w:sz w:val="20"/>
                <w:szCs w:val="20"/>
                <w:color w:val="auto"/>
              </w:rPr>
            </w:pPr>
            <w:r>
              <w:rPr>
                <w:rFonts w:ascii="Arial" w:cs="Arial" w:eastAsia="Arial" w:hAnsi="Arial"/>
                <w:sz w:val="18"/>
                <w:szCs w:val="18"/>
                <w:color w:val="auto"/>
              </w:rPr>
              <w:t>Patriot Act Notice</w:t>
            </w:r>
          </w:p>
        </w:tc>
        <w:tc>
          <w:tcPr>
            <w:tcW w:w="2580" w:type="dxa"/>
            <w:vAlign w:val="bottom"/>
          </w:tcPr>
          <w:p>
            <w:pPr>
              <w:jc w:val="right"/>
              <w:spacing w:after="0" w:line="201"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9.21</w:t>
            </w:r>
          </w:p>
        </w:tc>
        <w:tc>
          <w:tcPr>
            <w:tcW w:w="7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7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Public Offer</w:t>
            </w:r>
          </w:p>
        </w:tc>
        <w:tc>
          <w:tcPr>
            <w:tcW w:w="2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9.22</w:t>
            </w:r>
          </w:p>
        </w:tc>
        <w:tc>
          <w:tcPr>
            <w:tcW w:w="73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7320" w:type="dxa"/>
            <w:vAlign w:val="bottom"/>
          </w:tcPr>
          <w:p>
            <w:pPr>
              <w:ind w:left="100"/>
              <w:spacing w:after="0" w:line="201" w:lineRule="exact"/>
              <w:rPr>
                <w:sz w:val="20"/>
                <w:szCs w:val="20"/>
                <w:color w:val="auto"/>
              </w:rPr>
            </w:pPr>
            <w:r>
              <w:rPr>
                <w:rFonts w:ascii="Arial" w:cs="Arial" w:eastAsia="Arial" w:hAnsi="Arial"/>
                <w:sz w:val="18"/>
                <w:szCs w:val="18"/>
                <w:color w:val="auto"/>
              </w:rPr>
              <w:t>Keepwell</w:t>
            </w:r>
          </w:p>
        </w:tc>
        <w:tc>
          <w:tcPr>
            <w:tcW w:w="2580" w:type="dxa"/>
            <w:vAlign w:val="bottom"/>
          </w:tcPr>
          <w:p>
            <w:pPr>
              <w:jc w:val="right"/>
              <w:spacing w:after="0" w:line="201"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9.23</w:t>
            </w:r>
          </w:p>
        </w:tc>
        <w:tc>
          <w:tcPr>
            <w:tcW w:w="7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SECTION</w:t>
            </w:r>
          </w:p>
        </w:tc>
        <w:tc>
          <w:tcPr>
            <w:tcW w:w="7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Acknowledgement and Consent to Bail-In of EEA Financial Institutions</w:t>
            </w:r>
          </w:p>
        </w:tc>
        <w:tc>
          <w:tcPr>
            <w:tcW w:w="2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9.24</w:t>
            </w:r>
          </w:p>
        </w:tc>
        <w:tc>
          <w:tcPr>
            <w:tcW w:w="73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20" w:type="dxa"/>
            <w:vAlign w:val="bottom"/>
          </w:tcPr>
          <w:p>
            <w:pPr>
              <w:ind w:left="660"/>
              <w:spacing w:after="0" w:line="201" w:lineRule="exact"/>
              <w:rPr>
                <w:sz w:val="20"/>
                <w:szCs w:val="20"/>
                <w:color w:val="auto"/>
              </w:rPr>
            </w:pPr>
            <w:r>
              <w:rPr>
                <w:rFonts w:ascii="Arial" w:cs="Arial" w:eastAsia="Arial" w:hAnsi="Arial"/>
                <w:sz w:val="18"/>
                <w:szCs w:val="18"/>
                <w:color w:val="auto"/>
              </w:rPr>
              <w:t>SECTION</w:t>
            </w:r>
          </w:p>
        </w:tc>
        <w:tc>
          <w:tcPr>
            <w:tcW w:w="7320" w:type="dxa"/>
            <w:vAlign w:val="bottom"/>
          </w:tcPr>
          <w:p>
            <w:pPr>
              <w:ind w:left="100"/>
              <w:spacing w:after="0" w:line="201" w:lineRule="exact"/>
              <w:rPr>
                <w:sz w:val="20"/>
                <w:szCs w:val="20"/>
                <w:color w:val="auto"/>
              </w:rPr>
            </w:pPr>
            <w:r>
              <w:rPr>
                <w:rFonts w:ascii="Arial" w:cs="Arial" w:eastAsia="Arial" w:hAnsi="Arial"/>
                <w:sz w:val="18"/>
                <w:szCs w:val="18"/>
                <w:color w:val="auto"/>
              </w:rPr>
              <w:t>Amendment and Restatement</w:t>
            </w:r>
          </w:p>
        </w:tc>
        <w:tc>
          <w:tcPr>
            <w:tcW w:w="2580" w:type="dxa"/>
            <w:vAlign w:val="bottom"/>
          </w:tcPr>
          <w:p>
            <w:pPr>
              <w:jc w:val="right"/>
              <w:spacing w:after="0" w:line="201"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660"/>
              <w:spacing w:after="0"/>
              <w:rPr>
                <w:sz w:val="20"/>
                <w:szCs w:val="20"/>
                <w:color w:val="auto"/>
              </w:rPr>
            </w:pPr>
            <w:r>
              <w:rPr>
                <w:rFonts w:ascii="Arial" w:cs="Arial" w:eastAsia="Arial" w:hAnsi="Arial"/>
                <w:sz w:val="18"/>
                <w:szCs w:val="18"/>
                <w:color w:val="auto"/>
              </w:rPr>
              <w:t>9.25</w:t>
            </w:r>
          </w:p>
        </w:tc>
        <w:tc>
          <w:tcPr>
            <w:tcW w:w="7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Schedule1.01(a)</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Rolled Letters of Credit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Schedule 1.01(b)</w:t>
            </w:r>
          </w:p>
        </w:tc>
        <w:tc>
          <w:tcPr>
            <w:tcW w:w="10060" w:type="dxa"/>
            <w:vAlign w:val="bottom"/>
          </w:tcPr>
          <w:p>
            <w:pPr>
              <w:ind w:left="140"/>
              <w:spacing w:after="0"/>
              <w:rPr>
                <w:sz w:val="20"/>
                <w:szCs w:val="20"/>
                <w:color w:val="auto"/>
              </w:rPr>
            </w:pPr>
            <w:r>
              <w:rPr>
                <w:rFonts w:ascii="Arial" w:cs="Arial" w:eastAsia="Arial" w:hAnsi="Arial"/>
                <w:sz w:val="18"/>
                <w:szCs w:val="18"/>
                <w:color w:val="auto"/>
              </w:rPr>
              <w:t>U.S. Subsidiary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6"/>
              </w:rPr>
              <w:t>Schedule 1.01(c)</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Subsidiary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Schedule 1.01(d)</w:t>
            </w:r>
          </w:p>
        </w:tc>
        <w:tc>
          <w:tcPr>
            <w:tcW w:w="10060" w:type="dxa"/>
            <w:vAlign w:val="bottom"/>
          </w:tcPr>
          <w:p>
            <w:pPr>
              <w:ind w:left="140"/>
              <w:spacing w:after="0"/>
              <w:rPr>
                <w:sz w:val="20"/>
                <w:szCs w:val="20"/>
                <w:color w:val="auto"/>
              </w:rPr>
            </w:pPr>
            <w:r>
              <w:rPr>
                <w:rFonts w:ascii="Arial" w:cs="Arial" w:eastAsia="Arial" w:hAnsi="Arial"/>
                <w:sz w:val="18"/>
                <w:szCs w:val="18"/>
                <w:color w:val="auto"/>
              </w:rPr>
              <w:t>Australian Subsidiary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Schedule 2.01</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Lenders and Commitments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Schedule 2.04</w:t>
            </w:r>
          </w:p>
        </w:tc>
        <w:tc>
          <w:tcPr>
            <w:tcW w:w="1006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Schedule 2.21</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L/C Issuance Limits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Schedule 3.08</w:t>
            </w:r>
          </w:p>
        </w:tc>
        <w:tc>
          <w:tcPr>
            <w:tcW w:w="10060" w:type="dxa"/>
            <w:vAlign w:val="bottom"/>
          </w:tcPr>
          <w:p>
            <w:pPr>
              <w:ind w:left="140"/>
              <w:spacing w:after="0"/>
              <w:rPr>
                <w:sz w:val="20"/>
                <w:szCs w:val="20"/>
                <w:color w:val="auto"/>
              </w:rPr>
            </w:pPr>
            <w:r>
              <w:rPr>
                <w:rFonts w:ascii="Arial" w:cs="Arial" w:eastAsia="Arial" w:hAnsi="Arial"/>
                <w:sz w:val="18"/>
                <w:szCs w:val="18"/>
                <w:color w:val="auto"/>
              </w:rPr>
              <w:t>Subsidiaries and Special Purpose Business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Schedule 3.09</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Schedule 3.16(a)</w:t>
            </w:r>
          </w:p>
        </w:tc>
        <w:tc>
          <w:tcPr>
            <w:tcW w:w="10060" w:type="dxa"/>
            <w:vAlign w:val="bottom"/>
          </w:tcPr>
          <w:p>
            <w:pPr>
              <w:ind w:left="140"/>
              <w:spacing w:after="0"/>
              <w:rPr>
                <w:sz w:val="20"/>
                <w:szCs w:val="20"/>
                <w:color w:val="auto"/>
              </w:rPr>
            </w:pPr>
            <w:r>
              <w:rPr>
                <w:rFonts w:ascii="Arial" w:cs="Arial" w:eastAsia="Arial" w:hAnsi="Arial"/>
                <w:sz w:val="18"/>
                <w:szCs w:val="18"/>
                <w:color w:val="auto"/>
              </w:rPr>
              <w:t>Unfunded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6"/>
              </w:rPr>
              <w:t>Schedule 3.16(b)</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Benefit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Schedule 3.17</w:t>
            </w:r>
          </w:p>
        </w:tc>
        <w:tc>
          <w:tcPr>
            <w:tcW w:w="10060" w:type="dxa"/>
            <w:vAlign w:val="bottom"/>
          </w:tcPr>
          <w:p>
            <w:pPr>
              <w:ind w:left="14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Schedule 6.01</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Existing Indebtedness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Schedule 6.02</w:t>
            </w:r>
          </w:p>
        </w:tc>
        <w:tc>
          <w:tcPr>
            <w:tcW w:w="10060" w:type="dxa"/>
            <w:vAlign w:val="bottom"/>
          </w:tcPr>
          <w:p>
            <w:pPr>
              <w:ind w:left="140"/>
              <w:spacing w:after="0"/>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Schedule 6.04</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Assignment and Acceptance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B-1</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U.S.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B-2</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Canadian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B-3</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Australian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B-4</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Swing Line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B-5</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Prepayment Notice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C-1</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Australian Guarantee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C-2</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Canadian Guarantee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C-3</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U.S. Guarantee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C-4</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Parent Borrower Guarantee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D-1</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Australian Share Security Deed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D-2</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Canadian Pledge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D-3</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U.S. Pledge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C-4</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Parent Borrower Pledge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E-1</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Australian Security Deed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E-2</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Canadian Security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E-3</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U.S. Security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E-4</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Parent Borrower Security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F-1</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F-2</w:t>
            </w:r>
          </w:p>
        </w:tc>
        <w:tc>
          <w:tcPr>
            <w:tcW w:w="100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F-3</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G</w:t>
            </w:r>
          </w:p>
        </w:tc>
        <w:tc>
          <w:tcPr>
            <w:tcW w:w="10060" w:type="dxa"/>
            <w:vAlign w:val="bottom"/>
          </w:tcPr>
          <w:p>
            <w:pPr>
              <w:ind w:left="14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Exhibit H</w:t>
            </w: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Discount Note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Exhibit I-1 – I-4</w:t>
            </w:r>
          </w:p>
        </w:tc>
        <w:tc>
          <w:tcPr>
            <w:tcW w:w="10060" w:type="dxa"/>
            <w:vAlign w:val="bottom"/>
          </w:tcPr>
          <w:p>
            <w:pPr>
              <w:ind w:left="140"/>
              <w:spacing w:after="0"/>
              <w:rPr>
                <w:sz w:val="20"/>
                <w:szCs w:val="20"/>
                <w:color w:val="auto"/>
              </w:rPr>
            </w:pPr>
            <w:r>
              <w:rPr>
                <w:rFonts w:ascii="Arial" w:cs="Arial" w:eastAsia="Arial" w:hAnsi="Arial"/>
                <w:sz w:val="18"/>
                <w:szCs w:val="18"/>
                <w:color w:val="auto"/>
              </w:rPr>
              <w:t>Forms of Exemption Certificate</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20" w:name="page121"/>
    <w:bookmarkEnd w:id="120"/>
    <w:p>
      <w:pPr>
        <w:jc w:val="both"/>
        <w:ind w:firstLine="648"/>
        <w:spacing w:after="0" w:line="270" w:lineRule="auto"/>
        <w:rPr>
          <w:sz w:val="20"/>
          <w:szCs w:val="20"/>
          <w:color w:val="auto"/>
        </w:rPr>
      </w:pPr>
      <w:r>
        <w:rPr>
          <w:rFonts w:ascii="Arial" w:cs="Arial" w:eastAsia="Arial" w:hAnsi="Arial"/>
          <w:sz w:val="17"/>
          <w:szCs w:val="17"/>
          <w:color w:val="auto"/>
        </w:rPr>
        <w:t>THIS AMENDED AND RESTATED SYNDICATED FACILITY AGREEMENT dated as of April 2, 2018 (as amended, supplemented or modified from time to time, this “Agreement”), is among CIVEO CORPORATION, a corporation incorporated under the laws of the Province of British Columbia (the “</w:t>
      </w:r>
      <w:r>
        <w:rPr>
          <w:rFonts w:ascii="Arial" w:cs="Arial" w:eastAsia="Arial" w:hAnsi="Arial"/>
          <w:sz w:val="17"/>
          <w:szCs w:val="17"/>
          <w:i w:val="1"/>
          <w:iCs w:val="1"/>
          <w:color w:val="auto"/>
        </w:rPr>
        <w:t>Parent Borrower</w:t>
      </w:r>
      <w:r>
        <w:rPr>
          <w:rFonts w:ascii="Arial" w:cs="Arial" w:eastAsia="Arial" w:hAnsi="Arial"/>
          <w:sz w:val="17"/>
          <w:szCs w:val="17"/>
          <w:color w:val="auto"/>
        </w:rPr>
        <w:t>”), CIVEO MANAGEMENT LLC, a Delaware limited liability company (the “</w:t>
      </w:r>
      <w:r>
        <w:rPr>
          <w:rFonts w:ascii="Arial" w:cs="Arial" w:eastAsia="Arial" w:hAnsi="Arial"/>
          <w:sz w:val="17"/>
          <w:szCs w:val="17"/>
          <w:i w:val="1"/>
          <w:iCs w:val="1"/>
          <w:color w:val="auto"/>
        </w:rPr>
        <w:t>U.S. Borrower</w:t>
      </w:r>
      <w:r>
        <w:rPr>
          <w:rFonts w:ascii="Arial" w:cs="Arial" w:eastAsia="Arial" w:hAnsi="Arial"/>
          <w:sz w:val="17"/>
          <w:szCs w:val="17"/>
          <w:color w:val="auto"/>
        </w:rPr>
        <w:t>”), CIVEO PTY LIMITED ACN 003 657 510, an Australian proprietary limited company (the “</w:t>
      </w:r>
      <w:r>
        <w:rPr>
          <w:rFonts w:ascii="Arial" w:cs="Arial" w:eastAsia="Arial" w:hAnsi="Arial"/>
          <w:sz w:val="17"/>
          <w:szCs w:val="17"/>
          <w:i w:val="1"/>
          <w:iCs w:val="1"/>
          <w:color w:val="auto"/>
        </w:rPr>
        <w:t>Australian Borrower</w:t>
      </w:r>
      <w:r>
        <w:rPr>
          <w:rFonts w:ascii="Arial" w:cs="Arial" w:eastAsia="Arial" w:hAnsi="Arial"/>
          <w:sz w:val="17"/>
          <w:szCs w:val="17"/>
          <w:color w:val="auto"/>
        </w:rPr>
        <w:t>” and, together with the U.S. Borrower and the Canadian Borrower (as defined below), the “</w:t>
      </w:r>
      <w:r>
        <w:rPr>
          <w:rFonts w:ascii="Arial" w:cs="Arial" w:eastAsia="Arial" w:hAnsi="Arial"/>
          <w:sz w:val="17"/>
          <w:szCs w:val="17"/>
          <w:i w:val="1"/>
          <w:iCs w:val="1"/>
          <w:color w:val="auto"/>
        </w:rPr>
        <w:t>Borrowers</w:t>
      </w:r>
      <w:r>
        <w:rPr>
          <w:rFonts w:ascii="Arial" w:cs="Arial" w:eastAsia="Arial" w:hAnsi="Arial"/>
          <w:sz w:val="17"/>
          <w:szCs w:val="17"/>
          <w:color w:val="auto"/>
        </w:rPr>
        <w:t>”), the Guarantors (as defined in Article I) existing on the Closing Date solely with respect to Section 9.26, the Lenders (as defined in Article I), ROYAL BANK OF CANADA (“</w:t>
      </w:r>
      <w:r>
        <w:rPr>
          <w:rFonts w:ascii="Arial" w:cs="Arial" w:eastAsia="Arial" w:hAnsi="Arial"/>
          <w:sz w:val="17"/>
          <w:szCs w:val="17"/>
          <w:i w:val="1"/>
          <w:iCs w:val="1"/>
          <w:color w:val="auto"/>
        </w:rPr>
        <w:t>RBC</w:t>
      </w:r>
      <w:r>
        <w:rPr>
          <w:rFonts w:ascii="Arial" w:cs="Arial" w:eastAsia="Arial" w:hAnsi="Arial"/>
          <w:sz w:val="17"/>
          <w:szCs w:val="17"/>
          <w:color w:val="auto"/>
        </w:rPr>
        <w:t>”), as administrative agent (in such capacity,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for the U.S. Lenders, as U.S. collateral agent (in such capacity, the “</w:t>
      </w:r>
      <w:r>
        <w:rPr>
          <w:rFonts w:ascii="Arial" w:cs="Arial" w:eastAsia="Arial" w:hAnsi="Arial"/>
          <w:sz w:val="17"/>
          <w:szCs w:val="17"/>
          <w:i w:val="1"/>
          <w:iCs w:val="1"/>
          <w:color w:val="auto"/>
        </w:rPr>
        <w:t>U.S. Collateral Agent</w:t>
      </w:r>
      <w:r>
        <w:rPr>
          <w:rFonts w:ascii="Arial" w:cs="Arial" w:eastAsia="Arial" w:hAnsi="Arial"/>
          <w:sz w:val="17"/>
          <w:szCs w:val="17"/>
          <w:color w:val="auto"/>
        </w:rPr>
        <w:t>”) for the Lenders, as administrative agent (in such capacity, the “</w:t>
      </w:r>
      <w:r>
        <w:rPr>
          <w:rFonts w:ascii="Arial" w:cs="Arial" w:eastAsia="Arial" w:hAnsi="Arial"/>
          <w:sz w:val="17"/>
          <w:szCs w:val="17"/>
          <w:i w:val="1"/>
          <w:iCs w:val="1"/>
          <w:color w:val="auto"/>
        </w:rPr>
        <w:t>Canadian Administrative</w:t>
      </w:r>
      <w:r>
        <w:rPr>
          <w:rFonts w:ascii="Arial" w:cs="Arial" w:eastAsia="Arial" w:hAnsi="Arial"/>
          <w:sz w:val="17"/>
          <w:szCs w:val="17"/>
          <w:color w:val="auto"/>
        </w:rPr>
        <w:t xml:space="preserve"> </w:t>
      </w:r>
      <w:r>
        <w:rPr>
          <w:rFonts w:ascii="Arial" w:cs="Arial" w:eastAsia="Arial" w:hAnsi="Arial"/>
          <w:sz w:val="17"/>
          <w:szCs w:val="17"/>
          <w:i w:val="1"/>
          <w:iCs w:val="1"/>
          <w:color w:val="auto"/>
        </w:rPr>
        <w:t>Agent</w:t>
      </w:r>
      <w:r>
        <w:rPr>
          <w:rFonts w:ascii="Arial" w:cs="Arial" w:eastAsia="Arial" w:hAnsi="Arial"/>
          <w:sz w:val="17"/>
          <w:szCs w:val="17"/>
          <w:color w:val="auto"/>
        </w:rPr>
        <w:t>”) for the Canadian Lenders (as defined in Article I) and as Canadian collateral agent (in such capacity, the “</w:t>
      </w:r>
      <w:r>
        <w:rPr>
          <w:rFonts w:ascii="Arial" w:cs="Arial" w:eastAsia="Arial" w:hAnsi="Arial"/>
          <w:sz w:val="17"/>
          <w:szCs w:val="17"/>
          <w:i w:val="1"/>
          <w:iCs w:val="1"/>
          <w:color w:val="auto"/>
        </w:rPr>
        <w:t>Canadian Collateral Agent</w:t>
      </w:r>
      <w:r>
        <w:rPr>
          <w:rFonts w:ascii="Arial" w:cs="Arial" w:eastAsia="Arial" w:hAnsi="Arial"/>
          <w:sz w:val="17"/>
          <w:szCs w:val="17"/>
          <w:color w:val="auto"/>
        </w:rPr>
        <w: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Lenders, and RBC EUROPE LIMITED (“</w:t>
      </w:r>
      <w:r>
        <w:rPr>
          <w:rFonts w:ascii="Arial" w:cs="Arial" w:eastAsia="Arial" w:hAnsi="Arial"/>
          <w:sz w:val="17"/>
          <w:szCs w:val="17"/>
          <w:i w:val="1"/>
          <w:iCs w:val="1"/>
          <w:color w:val="auto"/>
        </w:rPr>
        <w:t>RBC Europe</w:t>
      </w:r>
      <w:r>
        <w:rPr>
          <w:rFonts w:ascii="Arial" w:cs="Arial" w:eastAsia="Arial" w:hAnsi="Arial"/>
          <w:sz w:val="17"/>
          <w:szCs w:val="17"/>
          <w:color w:val="auto"/>
        </w:rPr>
        <w:t>”), as administrative agent (in such capacity, the “</w:t>
      </w:r>
      <w:r>
        <w:rPr>
          <w:rFonts w:ascii="Arial" w:cs="Arial" w:eastAsia="Arial" w:hAnsi="Arial"/>
          <w:sz w:val="17"/>
          <w:szCs w:val="17"/>
          <w:i w:val="1"/>
          <w:iCs w:val="1"/>
          <w:color w:val="auto"/>
        </w:rPr>
        <w:t>Australian Administrative Agent</w:t>
      </w:r>
      <w:r>
        <w:rPr>
          <w:rFonts w:ascii="Arial" w:cs="Arial" w:eastAsia="Arial" w:hAnsi="Arial"/>
          <w:sz w:val="17"/>
          <w:szCs w:val="17"/>
          <w:color w:val="auto"/>
        </w:rPr>
        <w:t>”) for the Australian Lenders (as defined in Article I) and as Australian collateral agent (in such capacity, the “</w:t>
      </w:r>
      <w:r>
        <w:rPr>
          <w:rFonts w:ascii="Arial" w:cs="Arial" w:eastAsia="Arial" w:hAnsi="Arial"/>
          <w:sz w:val="17"/>
          <w:szCs w:val="17"/>
          <w:i w:val="1"/>
          <w:iCs w:val="1"/>
          <w:color w:val="auto"/>
        </w:rPr>
        <w:t>Australian Collateral Agent</w:t>
      </w:r>
      <w:r>
        <w:rPr>
          <w:rFonts w:ascii="Arial" w:cs="Arial" w:eastAsia="Arial" w:hAnsi="Arial"/>
          <w:sz w:val="17"/>
          <w:szCs w:val="17"/>
          <w:color w:val="auto"/>
        </w:rPr>
        <w:t>”) for the Lenders.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Parent Borrower, certain of its Subsidiaries, the lenders party thereto, and the Administrative Agents are party to that certain Syndicated Facility Agreement, dated as of May 28, 2014 (the “</w:t>
      </w:r>
      <w:r>
        <w:rPr>
          <w:rFonts w:ascii="Arial" w:cs="Arial" w:eastAsia="Arial" w:hAnsi="Arial"/>
          <w:sz w:val="18"/>
          <w:szCs w:val="18"/>
          <w:i w:val="1"/>
          <w:iCs w:val="1"/>
          <w:color w:val="auto"/>
        </w:rPr>
        <w:t>Original Closing Date</w:t>
      </w:r>
      <w:r>
        <w:rPr>
          <w:rFonts w:ascii="Arial" w:cs="Arial" w:eastAsia="Arial" w:hAnsi="Arial"/>
          <w:sz w:val="18"/>
          <w:szCs w:val="18"/>
          <w:color w:val="auto"/>
        </w:rPr>
        <w:t>”, and such Syndicated Facility Agreement as amended prior to the date hereof, the “</w:t>
      </w:r>
      <w:r>
        <w:rPr>
          <w:rFonts w:ascii="Arial" w:cs="Arial" w:eastAsia="Arial" w:hAnsi="Arial"/>
          <w:sz w:val="18"/>
          <w:szCs w:val="18"/>
          <w:i w:val="1"/>
          <w:iCs w:val="1"/>
          <w:color w:val="auto"/>
        </w:rPr>
        <w:t>Existing Credit Agreement</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Parent Borrower has requested that the Lenders amend and restate the Existing Credit Agreement as set forth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Lenders agree to amend and restate the Existing Credit Agreement subject to the terms and conditions in this Agreement; and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liens, security interests and guaranties securing and supporting the Existing Credit Agreement shall continue to secure and support the Obligations as amended and restated pursuant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i w:val="1"/>
          <w:iCs w:val="1"/>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Acceptance Fee</w:t>
      </w:r>
      <w:r>
        <w:rPr>
          <w:rFonts w:ascii="Arial" w:cs="Arial" w:eastAsia="Arial" w:hAnsi="Arial"/>
          <w:sz w:val="18"/>
          <w:szCs w:val="18"/>
          <w:color w:val="auto"/>
        </w:rPr>
        <w:t>” shall mean a fee payable in Canadian dollars by the Parent Borrower to the Canadian Administrative Agent for the account of a Canadian Lender with respect to the acceptance of a B/A or the making of a B/A Equivalent Loan on the date of such acceptance or loan, calculated on the face amount of the B/A or the B/A Equivalent Loan at the rate per annum applicable on such date as set forth in the row labeled “Eurocurrency/B/A Spread” in the definition of the term “Applicable Percentage” on the basis of the number of days in the applicable Contract Period (including the date of acceptance and excluding the date of maturity) and a year of 365 days (it being agreed that the rate per annum applicable to any B/A Equivalent Loan is equivalent to the rate per annum otherwise applicable to the Bankers’ Acceptance which has been replaced by the making of such B/A Equivalent Loan pursuant to Section 2.22).</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LIBO Rate</w:t>
      </w:r>
      <w:r>
        <w:rPr>
          <w:rFonts w:ascii="Arial" w:cs="Arial" w:eastAsia="Arial" w:hAnsi="Arial"/>
          <w:sz w:val="16"/>
          <w:szCs w:val="16"/>
          <w:color w:val="auto"/>
        </w:rPr>
        <w:t>” shall mean, with respect to any Eurocurrency Borrowing for any Interest Period, an interest rate per annum (rounded upwards, if necessary, to the nearest whole 1/100 of 1%) equal to the product of (a) the LIBO Rate in effect for such Interest Period and (b) Statutory Reserves.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Agents</w:t>
      </w:r>
      <w:r>
        <w:rPr>
          <w:rFonts w:ascii="Arial" w:cs="Arial" w:eastAsia="Arial" w:hAnsi="Arial"/>
          <w:sz w:val="17"/>
          <w:szCs w:val="17"/>
          <w:color w:val="auto"/>
        </w:rPr>
        <w:t>” shall mean the Administrative Agent, the Canadian Administrative Agent and the Australian Administrative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Questionnaire</w:t>
      </w:r>
      <w:r>
        <w:rPr>
          <w:rFonts w:ascii="Arial" w:cs="Arial" w:eastAsia="Arial" w:hAnsi="Arial"/>
          <w:sz w:val="17"/>
          <w:szCs w:val="17"/>
          <w:color w:val="auto"/>
        </w:rPr>
        <w:t>” shall mean an administrative questionnaire in a form supplied from time to time by the Applicable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Australian Land Company</w:t>
      </w:r>
      <w:r>
        <w:rPr>
          <w:rFonts w:ascii="Arial" w:cs="Arial" w:eastAsia="Arial" w:hAnsi="Arial"/>
          <w:sz w:val="18"/>
          <w:szCs w:val="18"/>
          <w:color w:val="auto"/>
        </w:rPr>
        <w:t>” shall mean Civeo Property Pty Ltd (ACN 160 463 463), a company incorporated in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Parties</w:t>
      </w:r>
      <w:r>
        <w:rPr>
          <w:rFonts w:ascii="Arial" w:cs="Arial" w:eastAsia="Arial" w:hAnsi="Arial"/>
          <w:sz w:val="18"/>
          <w:szCs w:val="18"/>
          <w:color w:val="auto"/>
        </w:rPr>
        <w:t>” shall have the meaning assigned to such term in Section 9.01(d).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shall mean, collectively, the Administrative Agents and the Collateral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L/C Exposure</w:t>
      </w:r>
      <w:r>
        <w:rPr>
          <w:rFonts w:ascii="Arial" w:cs="Arial" w:eastAsia="Arial" w:hAnsi="Arial"/>
          <w:sz w:val="18"/>
          <w:szCs w:val="18"/>
          <w:color w:val="auto"/>
        </w:rPr>
        <w:t>” shall mean, at any time, the sum of the U.S. L/C Exposure, the U.S. Dollar Equivalent of the Canadian L/C Exposure and the U.S. Dollar Equivalent of the Australian L/C Exposure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Base Rate</w:t>
      </w:r>
      <w:r>
        <w:rPr>
          <w:rFonts w:ascii="Arial" w:cs="Arial" w:eastAsia="Arial" w:hAnsi="Arial"/>
          <w:sz w:val="18"/>
          <w:szCs w:val="18"/>
          <w:color w:val="auto"/>
        </w:rPr>
        <w:t>” shall mean, for any day, a rate per annum equal to the greatest of (a) the Prime Rate in effect on such day, (b) the Federal Funds Effective Rate in effect on such day plus ½ of 1.0% and (c) the Adjusted LIBO Rate for a deposit in U.S. dollars with an Interest Period of one month beginning on such day (or if such day is not a Business Day, the immediately preceding Business Day) plus 1.0%. Any change in the Alternate Base Rate due to a change in the Prime Rate, the Federal Funds Effective Rate or the Adjusted LIBO Rate shall be effective on the effective date of such change in the Prime Rate, the Federal Funds Effective Rate or the Adjusted LIBO Rate,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2" w:name="page123"/>
    <w:bookmarkEnd w:id="122"/>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Alternative Currency</w:t>
      </w:r>
      <w:r>
        <w:rPr>
          <w:rFonts w:ascii="Arial" w:cs="Arial" w:eastAsia="Arial" w:hAnsi="Arial"/>
          <w:sz w:val="16"/>
          <w:szCs w:val="16"/>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Anti-Money Laundering Laws</w:t>
      </w:r>
      <w:r>
        <w:rPr>
          <w:rFonts w:ascii="Arial" w:cs="Arial" w:eastAsia="Arial" w:hAnsi="Arial"/>
          <w:sz w:val="17"/>
          <w:szCs w:val="17"/>
          <w:color w:val="auto"/>
        </w:rPr>
        <w:t>”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Administrative Agent</w:t>
      </w:r>
      <w:r>
        <w:rPr>
          <w:rFonts w:ascii="Arial" w:cs="Arial" w:eastAsia="Arial" w:hAnsi="Arial"/>
          <w:sz w:val="18"/>
          <w:szCs w:val="18"/>
          <w:color w:val="auto"/>
        </w:rPr>
        <w:t>” shall mean (a) the Administrative Agent, with respect to any U.S. Loan or U.S. Letter of Credit, (b) the Canadian Administrative Agent, with respect to any Canadian Loan or Canadian Letter of Credit and (c) the Australian Administrative Agent, with respect to any Australian Revolving Credit Loan or Australian Letter of Credit.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Borrower</w:t>
      </w:r>
      <w:r>
        <w:rPr>
          <w:rFonts w:ascii="Arial" w:cs="Arial" w:eastAsia="Arial" w:hAnsi="Arial"/>
          <w:sz w:val="18"/>
          <w:szCs w:val="18"/>
          <w:color w:val="auto"/>
        </w:rPr>
        <w:t>” shall mean (a) the Parent Borrower, with respect to the Canadian Term Loan Facility or the Canadian Revolving Credit Facility, (b) the U.S. Borrower, with respect to the U.S. Revolving Credit Facility, and (c) the Australian Borrower, with respect to the Australian Revolving Credit Facility.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Collateral Agent</w:t>
      </w:r>
      <w:r>
        <w:rPr>
          <w:rFonts w:ascii="Arial" w:cs="Arial" w:eastAsia="Arial" w:hAnsi="Arial"/>
          <w:sz w:val="18"/>
          <w:szCs w:val="18"/>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Issuing Bank</w:t>
      </w:r>
      <w:r>
        <w:rPr>
          <w:rFonts w:ascii="Arial" w:cs="Arial" w:eastAsia="Arial" w:hAnsi="Arial"/>
          <w:sz w:val="17"/>
          <w:szCs w:val="17"/>
          <w:color w:val="auto"/>
        </w:rPr>
        <w:t>” shall mean (a) RBC or any other Issuing Bank that has issued, or has a commitment to issue, U.S. Letters of Credit, (b) RBC, The Toronto-Dominion Bank, The Bank of Nova Scotia or any other Issuing Bank that has issued, or has a commitment to issue, Canadian Letters of Credit, or (c) RBC Europe, or any other Issuing Bank that has issued, or has a commitment to issue, Australian Letters of Credit.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3" w:name="page124"/>
    <w:bookmarkEnd w:id="123"/>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Lender</w:t>
      </w:r>
      <w:r>
        <w:rPr>
          <w:rFonts w:ascii="Arial" w:cs="Arial" w:eastAsia="Arial" w:hAnsi="Arial"/>
          <w:sz w:val="17"/>
          <w:szCs w:val="17"/>
          <w:color w:val="auto"/>
        </w:rPr>
        <w:t>” shall mean (a) when used with respect to the U.S. Revolving Credit Facility, the Canadian Term Loan Facility, the Canadian Revolving Credit Facility or the Australian Revolving Credit Facility, a Lender that has a Commitment or holds a Loan with respect to such Facility, (b) with respect to any Letter of Credit, (i) the Issuing Banks and (ii) if any L/C Disbursements have been made by an Issuing Bank and not reimbursed or refinanced by Section 2.02(g), the Canadian Revolving Lenders, the U.S. Revolving Lenders or the Australian Lenders, as the case may be, and (c) with respect to the U.S. Swing Line Sublimit or the Canadian Swing Line Sublimit, the Applicable Swing Line Lender.</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shall mean, for any day, with respect to any Eurocurrency Loan, ABR Loan, B/A Loan, Canadian Prime Rate Loan, U.S. Base Rate Loan, BBSY Rate Loan or the Commitment Fee, the applicable percentage set forth below under the applicable caption, based upon the Total Leverage Ratio as of the relevant date of determination: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ABR, Canadian</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Eurocurrency/</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Prime Rate and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BBSY Rate/B/A</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U.S. Base Rate</w:t>
            </w:r>
          </w:p>
        </w:tc>
        <w:tc>
          <w:tcPr>
            <w:tcW w:w="2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Commitment Fee</w:t>
            </w:r>
          </w:p>
        </w:tc>
      </w:tr>
      <w:tr>
        <w:trPr>
          <w:trHeight w:val="23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Total Leverage Ratio</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2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Percentage</w:t>
            </w:r>
          </w:p>
        </w:tc>
      </w:tr>
      <w:tr>
        <w:trPr>
          <w:trHeight w:val="169"/>
        </w:trPr>
        <w:tc>
          <w:tcPr>
            <w:tcW w:w="20" w:type="dxa"/>
            <w:vAlign w:val="bottom"/>
          </w:tcPr>
          <w:p>
            <w:pPr>
              <w:spacing w:after="0"/>
              <w:rPr>
                <w:sz w:val="14"/>
                <w:szCs w:val="14"/>
                <w:color w:val="auto"/>
              </w:rPr>
            </w:pPr>
          </w:p>
        </w:tc>
        <w:tc>
          <w:tcPr>
            <w:tcW w:w="662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Category 1</w:t>
            </w:r>
          </w:p>
        </w:tc>
        <w:tc>
          <w:tcPr>
            <w:tcW w:w="12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Less than 2.00 to 1.00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2.25%</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1.25%</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0.51%</w:t>
            </w: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2</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Greater than or equal to 2.00 to 1.00 but less than 2.50 to 1.00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2.50%</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1.50%</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0.56%</w:t>
            </w: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Greater than or equal to 2.50 to 1.00 but less than 3.00 to 1.00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2.75%</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1.75%</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0.62%</w:t>
            </w: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4</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Greater than or equal to 3.00 to 1.00 but less than 3.50 to 1.00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3.00%</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2.00%</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0.68%</w:t>
            </w: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Greater than or equal to 3.50 to 1.00 but less than 4.00 to 1.00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3.50%</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2.50%</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0.79%</w:t>
            </w: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6</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Greater than or equal to 4.00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4.00%</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3.00%</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0.90%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Each change in the Applicable Percentage resulting from a change in the Total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during which the Parent Borrower has failed to deliver when due the financial statements required by Section 5.04(a) or (b) and the Compliance Certificate required by Section 5.04(c), respectively, the Total Leverage Ratio shall be deemed to be in Category 6 for purposes of determining the Applicable Percentage. Notwithstanding the foregoing, as of the Closing Date, the Applicable Percentage shall be based on the Total Leverage Ratio reflected in the most recently delivered financial statements required by Section 5.04(a) or (b) and the Compliance Certificate required by Section 5.04(c),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 Rata Percentage</w:t>
      </w:r>
      <w:r>
        <w:rPr>
          <w:rFonts w:ascii="Arial" w:cs="Arial" w:eastAsia="Arial" w:hAnsi="Arial"/>
          <w:sz w:val="18"/>
          <w:szCs w:val="18"/>
          <w:color w:val="auto"/>
        </w:rPr>
        <w:t>” shall mean the Canadian Applicable Pro Rata Percentage, the Australian Revolving Pro Rata Percentage or the U.S. Revolving Pro Rata Percentage, as the context may require.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Required Lenders</w:t>
      </w:r>
      <w:r>
        <w:rPr>
          <w:rFonts w:ascii="Arial" w:cs="Arial" w:eastAsia="Arial" w:hAnsi="Arial"/>
          <w:sz w:val="18"/>
          <w:szCs w:val="18"/>
          <w:color w:val="auto"/>
        </w:rPr>
        <w:t>” shall mean (a) the Required U.S. Revolving Lenders with respect to the U.S. Revolving Credit Facility, (b) the Required Canadian Revolving Lenders with respect to the Canadian Revolving Credit Facility, (c) the Required Canadian Term Lenders with respect to the Canadian Term Loan Facility, or (d) the Required Australian Lenders with respect to the Australian Revolving Credit Facility.</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Swing Line Lender</w:t>
      </w:r>
      <w:r>
        <w:rPr>
          <w:rFonts w:ascii="Arial" w:cs="Arial" w:eastAsia="Arial" w:hAnsi="Arial"/>
          <w:sz w:val="17"/>
          <w:szCs w:val="17"/>
          <w:color w:val="auto"/>
        </w:rPr>
        <w:t>” shall mean (a) with respect to the U.S. Swing Line Sublimit, (i) the U.S. Swing Line Lender and (ii) if any U.S. Swing Line Loans are outstanding and have not been refinanced by a U.S. Revolving Borrowing pursuant to Section 2.23(c)(ii), the U.S. Revolving Lenders and (b) with respect to the Canadian Swing Line Sublimit, the Canadian Swing Line Lender and (ii) if any Canadian Swing Line Loans are outstanding and have not been refinanced by a Canadian Revolving Borrowing pursuant to Section 2.23(c)(ii), the Canadian Revolving Lenders.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shall mean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shall mean the sale, transfer or other disposition (by way of merger, casualty, condemnation or otherwise) of any or all of the property of the Parent Borrower or any of its Subsidiaries to any person other than the Parent Borrower or any of its Subsidiaries (other than (a) Equity Interests in the Parent Borrower or directors’ qualifying shares in any Subsidiary, (b) inventory, damaged, obsolete or worn out assets, scrap and Permitted Investments, in each case disposed of in the ordinary course of business, or (c) dispositions between or among Subsidiaries that are not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asset sale or series of related asset sales described above having a value not in excess of U.S.$1,000,000 shall be deemed not to be an “Asset Sale” for purposes of this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 Group</w:t>
      </w:r>
      <w:r>
        <w:rPr>
          <w:rFonts w:ascii="Arial" w:cs="Arial" w:eastAsia="Arial" w:hAnsi="Arial"/>
          <w:sz w:val="18"/>
          <w:szCs w:val="18"/>
          <w:color w:val="auto"/>
        </w:rPr>
        <w:t>” shall mean two or more Eligible Assignees that are Affiliates of one another or two or more Approved Funds managed by the same investment advisor.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shall mean an “associate” as defined in section 128F(9) of the Australian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Attorneys</w:t>
      </w:r>
      <w:r>
        <w:rPr>
          <w:rFonts w:ascii="Arial" w:cs="Arial" w:eastAsia="Arial" w:hAnsi="Arial"/>
          <w:sz w:val="18"/>
          <w:szCs w:val="18"/>
          <w:color w:val="auto"/>
        </w:rPr>
        <w:t>” shall have the meaning assigned to such term in Section 1.03(b).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Administrative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Borrower</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Collateral</w:t>
      </w:r>
      <w:r>
        <w:rPr>
          <w:rFonts w:ascii="Arial" w:cs="Arial" w:eastAsia="Arial" w:hAnsi="Arial"/>
          <w:sz w:val="18"/>
          <w:szCs w:val="18"/>
          <w:color w:val="auto"/>
        </w:rPr>
        <w:t>” shall mean all “Collateral” or “Secured Property” as defined in any Australian Security Document.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Collateral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shall have the meaning assigned to such term in Section 2.05(a).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Corporations Act</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Corporations Act 2001 (Cth)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 Equivalent</w:t>
      </w:r>
      <w:r>
        <w:rPr>
          <w:rFonts w:ascii="Arial" w:cs="Arial" w:eastAsia="Arial" w:hAnsi="Arial"/>
          <w:sz w:val="18"/>
          <w:szCs w:val="18"/>
          <w:color w:val="auto"/>
        </w:rPr>
        <w:t>” shall mean, on any date of determination, with respect to any amount in U.S. dollars, the equivalent in Australian dollars of such amount, determined by the Administrative Agent using the Exchange Rate then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dollars</w:t>
      </w:r>
      <w:r>
        <w:rPr>
          <w:rFonts w:ascii="Arial" w:cs="Arial" w:eastAsia="Arial" w:hAnsi="Arial"/>
          <w:sz w:val="18"/>
          <w:szCs w:val="18"/>
          <w:color w:val="auto"/>
        </w:rPr>
        <w:t>”, “</w:t>
      </w:r>
      <w:r>
        <w:rPr>
          <w:rFonts w:ascii="Arial" w:cs="Arial" w:eastAsia="Arial" w:hAnsi="Arial"/>
          <w:sz w:val="18"/>
          <w:szCs w:val="18"/>
          <w:i w:val="1"/>
          <w:iCs w:val="1"/>
          <w:color w:val="auto"/>
        </w:rPr>
        <w:t>AUD</w:t>
      </w:r>
      <w:r>
        <w:rPr>
          <w:rFonts w:ascii="Arial" w:cs="Arial" w:eastAsia="Arial" w:hAnsi="Arial"/>
          <w:sz w:val="18"/>
          <w:szCs w:val="18"/>
          <w:color w:val="auto"/>
        </w:rPr>
        <w:t>” and “</w:t>
      </w:r>
      <w:r>
        <w:rPr>
          <w:rFonts w:ascii="Arial" w:cs="Arial" w:eastAsia="Arial" w:hAnsi="Arial"/>
          <w:sz w:val="18"/>
          <w:szCs w:val="18"/>
          <w:i w:val="1"/>
          <w:iCs w:val="1"/>
          <w:color w:val="auto"/>
        </w:rPr>
        <w:t>AUD$</w:t>
      </w:r>
      <w:r>
        <w:rPr>
          <w:rFonts w:ascii="Arial" w:cs="Arial" w:eastAsia="Arial" w:hAnsi="Arial"/>
          <w:sz w:val="18"/>
          <w:szCs w:val="18"/>
          <w:color w:val="auto"/>
        </w:rPr>
        <w:t>” shall mean the lawful money of the Commonwealth of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GAAP</w:t>
      </w:r>
      <w:r>
        <w:rPr>
          <w:rFonts w:ascii="Arial" w:cs="Arial" w:eastAsia="Arial" w:hAnsi="Arial"/>
          <w:sz w:val="18"/>
          <w:szCs w:val="18"/>
          <w:color w:val="auto"/>
        </w:rPr>
        <w:t>” shall mean generally accepted accounting principles, standards and practices in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GST</w:t>
      </w:r>
      <w:r>
        <w:rPr>
          <w:rFonts w:ascii="Arial" w:cs="Arial" w:eastAsia="Arial" w:hAnsi="Arial"/>
          <w:sz w:val="18"/>
          <w:szCs w:val="18"/>
          <w:color w:val="auto"/>
        </w:rPr>
        <w:t xml:space="preserve">” shall have the meaning given in </w:t>
      </w:r>
      <w:r>
        <w:rPr>
          <w:rFonts w:ascii="Arial" w:cs="Arial" w:eastAsia="Arial" w:hAnsi="Arial"/>
          <w:sz w:val="18"/>
          <w:szCs w:val="18"/>
          <w:i w:val="1"/>
          <w:iCs w:val="1"/>
          <w:color w:val="auto"/>
        </w:rPr>
        <w:t>A New Tax System (Goods and Services Tax) Act 1999 (Cth)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GST Liability</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Guarantee Agreement</w:t>
      </w:r>
      <w:r>
        <w:rPr>
          <w:rFonts w:ascii="Arial" w:cs="Arial" w:eastAsia="Arial" w:hAnsi="Arial"/>
          <w:sz w:val="18"/>
          <w:szCs w:val="18"/>
          <w:color w:val="auto"/>
        </w:rPr>
        <w:t>” shall mean a Deed of Guarantee and Indemnity, substantially in the form of Exhibit C-1, in favor of the Australian Collateral Agent, for the benefit of the Australian Secured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Holdco</w:t>
      </w:r>
      <w:r>
        <w:rPr>
          <w:rFonts w:ascii="Arial" w:cs="Arial" w:eastAsia="Arial" w:hAnsi="Arial"/>
          <w:sz w:val="18"/>
          <w:szCs w:val="18"/>
          <w:color w:val="auto"/>
        </w:rPr>
        <w:t>” shall mean Civeo Holding Company 2 Pty Limited ACN 146 700 487, a proprietary limited company organized and existing under the laws of Australia, and the direct owner of 100% of the Equity Interests of the Australian Borrower.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Land Access Agreement</w:t>
      </w:r>
      <w:r>
        <w:rPr>
          <w:rFonts w:ascii="Arial" w:cs="Arial" w:eastAsia="Arial" w:hAnsi="Arial"/>
          <w:sz w:val="18"/>
          <w:szCs w:val="18"/>
          <w:color w:val="auto"/>
        </w:rPr>
        <w:t>” shall mean a land access and use agreement between (a) the Affiliate Australian Land Company, the Australian Collateral Agent and, where the land the subject of such agreement is not owned by the Affiliate Australian Land Company, the registered proprietor of that land or (b) for an Australian Third Party Lease, the relevant Australian Loan Party, the Affiliate Australian Land Company, if applicable, and the registered proprietor of the land the subject of that Australian Third Party Lease, in each case, in form reasonably satisfactory to the Australian Collateral Agent, that includes (among other matters) provisions consenting to the creation of the Liens under the Security Documents and enforcement of rights under the Security Documents.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Exposure</w:t>
      </w:r>
      <w:r>
        <w:rPr>
          <w:rFonts w:ascii="Arial" w:cs="Arial" w:eastAsia="Arial" w:hAnsi="Arial"/>
          <w:sz w:val="18"/>
          <w:szCs w:val="18"/>
          <w:color w:val="auto"/>
        </w:rPr>
        <w:t>”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Lenders</w:t>
      </w:r>
      <w:r>
        <w:rPr>
          <w:rFonts w:ascii="Arial" w:cs="Arial" w:eastAsia="Arial" w:hAnsi="Arial"/>
          <w:sz w:val="18"/>
          <w:szCs w:val="18"/>
          <w:color w:val="auto"/>
        </w:rPr>
        <w:t>” shall mean Lenders having Australian Revolving Commitments, outstanding Australian Revolving Credit Loans or participations in Australian Letters of Credit pursuant to Section 2.21(d). For the avoidance of doubt, the term “Australian Lenders” excludes the Exiting Australian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Loan Parties</w:t>
      </w:r>
      <w:r>
        <w:rPr>
          <w:rFonts w:ascii="Arial" w:cs="Arial" w:eastAsia="Arial" w:hAnsi="Arial"/>
          <w:sz w:val="18"/>
          <w:szCs w:val="18"/>
          <w:color w:val="auto"/>
        </w:rPr>
        <w:t>” shall mean the Australian Borrower, Australian Holdco and the Australian Subsidiary Guarantors.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Borrowing</w:t>
      </w:r>
      <w:r>
        <w:rPr>
          <w:rFonts w:ascii="Arial" w:cs="Arial" w:eastAsia="Arial" w:hAnsi="Arial"/>
          <w:sz w:val="18"/>
          <w:szCs w:val="18"/>
          <w:color w:val="auto"/>
        </w:rPr>
        <w:t>” shall mean a group of Australian Revolving Credit Loans of a single Type made, converted or continued by the Australian Lenders on a single date and as to which a single Interest Period is in effect.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Commitment</w:t>
      </w:r>
      <w:r>
        <w:rPr>
          <w:rFonts w:ascii="Arial" w:cs="Arial" w:eastAsia="Arial" w:hAnsi="Arial"/>
          <w:sz w:val="16"/>
          <w:szCs w:val="16"/>
          <w:color w:val="auto"/>
        </w:rPr>
        <w: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reduced from time to time pursuant to Section 2.09 and (ii) reduced or increased from time to time pursuant to assignments by or to such Australian Lender pursuant to Section 9.04. The aggregate amount of the Australian Revolving Commitments as of the Closing Date is U.S.$60,000,000.</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Credit Exposure</w:t>
      </w:r>
      <w:r>
        <w:rPr>
          <w:rFonts w:ascii="Arial" w:cs="Arial" w:eastAsia="Arial" w:hAnsi="Arial"/>
          <w:sz w:val="16"/>
          <w:szCs w:val="16"/>
          <w:color w:val="auto"/>
        </w:rPr>
        <w:t xml:space="preserve">” shall mean, with respect to any Australian Lender at any time, the aggregate principal amount at such time of all outstanding Australian Revolving Credit Loans of such Lender denominated in U.S.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principal amount at such time of all outstanding Australian Revolving Credit Loans of such Australian Lender denominated in Australian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amount at such time of such Australian Lender’s Australian Revolving Pro Rata Percentage of the Australian L/C Exposure.</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Facility</w:t>
      </w:r>
      <w:r>
        <w:rPr>
          <w:rFonts w:ascii="Arial" w:cs="Arial" w:eastAsia="Arial" w:hAnsi="Arial"/>
          <w:sz w:val="18"/>
          <w:szCs w:val="18"/>
          <w:color w:val="auto"/>
        </w:rPr>
        <w:t>” shall mean at any time the aggregate amount of the Australian Revolving Commitments of the Australian Lenders at such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Loans</w:t>
      </w:r>
      <w:r>
        <w:rPr>
          <w:rFonts w:ascii="Arial" w:cs="Arial" w:eastAsia="Arial" w:hAnsi="Arial"/>
          <w:sz w:val="18"/>
          <w:szCs w:val="18"/>
          <w:color w:val="auto"/>
        </w:rPr>
        <w:t>”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Eurocurrency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7" w:name="page128"/>
    <w:bookmarkEnd w:id="127"/>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Revolving Pro Rata Percentage</w:t>
      </w:r>
      <w:r>
        <w:rPr>
          <w:rFonts w:ascii="Arial" w:cs="Arial" w:eastAsia="Arial" w:hAnsi="Arial"/>
          <w:sz w:val="17"/>
          <w:szCs w:val="17"/>
          <w:color w:val="auto"/>
        </w:rPr>
        <w:t xml:space="preserve">” of any Australian Lender, subject to any adjustment as provided in Section 2.24(c) or 2.25(a), shall mean the percentage of the aggregate Australian Revolving Commitments represented by such Australian Lender’s Australian Revolving Commitment;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Australian Revolving Commitments have terminated, the Australian Revolving Pro Rata Percentages of the Australian Lenders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the Australian Revolving Commitments most recently in effect, giving effect to any assignments.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Secured Parties</w:t>
      </w:r>
      <w:r>
        <w:rPr>
          <w:rFonts w:ascii="Arial" w:cs="Arial" w:eastAsia="Arial" w:hAnsi="Arial"/>
          <w:sz w:val="18"/>
          <w:szCs w:val="18"/>
          <w:color w:val="auto"/>
        </w:rPr>
        <w:t>” shall have the meaning assigned to the term “Beneficiaries” in the Australian Security Trust Deed.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Deed</w:t>
      </w:r>
      <w:r>
        <w:rPr>
          <w:rFonts w:ascii="Arial" w:cs="Arial" w:eastAsia="Arial" w:hAnsi="Arial"/>
          <w:sz w:val="18"/>
          <w:szCs w:val="18"/>
          <w:color w:val="auto"/>
        </w:rPr>
        <w:t>” shall mean any Australian General Security Deed governed by the laws of New South Wales, Australia, substantially in the form of Exhibit E-1, among the Australian Borrower and the Australian Subsidiary Guarantors, as grantors, and the Australian Collateral Agent for the benefit of the Australian Secured Parties.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Documents</w:t>
      </w:r>
      <w:r>
        <w:rPr>
          <w:rFonts w:ascii="Arial" w:cs="Arial" w:eastAsia="Arial" w:hAnsi="Arial"/>
          <w:sz w:val="18"/>
          <w:szCs w:val="18"/>
          <w:color w:val="auto"/>
        </w:rPr>
        <w:t>” shall mean the Australian Security Deeds, the Australian Security Trust Deed, the Australian Share Security Deed and each other Security Document to which the Australian Borrower, Australian Holdco, any Australian Subsidiary Guarantor or any Subsidiary of the Australian Borrower is a party and that purports to grant a Lien in the assets of any such person in favor of the Australian Collateral Agent for the benefit of the Australian Secured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Trust Deed</w:t>
      </w:r>
      <w:r>
        <w:rPr>
          <w:rFonts w:ascii="Arial" w:cs="Arial" w:eastAsia="Arial" w:hAnsi="Arial"/>
          <w:sz w:val="18"/>
          <w:szCs w:val="18"/>
          <w:color w:val="auto"/>
        </w:rPr>
        <w:t>” shall mean the security trust deed granted by the Australian Collateral Agent, as security trustee.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Share Security Deed</w:t>
      </w:r>
      <w:r>
        <w:rPr>
          <w:rFonts w:ascii="Arial" w:cs="Arial" w:eastAsia="Arial" w:hAnsi="Arial"/>
          <w:sz w:val="18"/>
          <w:szCs w:val="18"/>
          <w:color w:val="auto"/>
        </w:rPr>
        <w:t>” shall mean the Australian Specific Security Deed governed by the laws of New South Wales, Australia, substantially in the form of Exhibit D-1, among Australian Holdco as grantor and the Australian Collateral Agent for the benefit of the Australian Secured Parties.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Subsidiaries</w:t>
      </w:r>
      <w:r>
        <w:rPr>
          <w:rFonts w:ascii="Arial" w:cs="Arial" w:eastAsia="Arial" w:hAnsi="Arial"/>
          <w:sz w:val="18"/>
          <w:szCs w:val="18"/>
          <w:color w:val="auto"/>
        </w:rPr>
        <w:t>” shall mean the Subsidiaries (other than the Australian Borrower) organized under the laws of the Commonwealth of Australia or any state, territory or other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Subsidiary Guarantor</w:t>
      </w:r>
      <w:r>
        <w:rPr>
          <w:rFonts w:ascii="Arial" w:cs="Arial" w:eastAsia="Arial" w:hAnsi="Arial"/>
          <w:sz w:val="18"/>
          <w:szCs w:val="18"/>
          <w:color w:val="auto"/>
        </w:rPr>
        <w:t>” shall mean each Australia Subsidiary listed on Schedule 1.01(d), and each other Australian Subsidiary that is or becomes a party to an Australian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Tax Act</w:t>
      </w:r>
      <w:r>
        <w:rPr>
          <w:rFonts w:ascii="Arial" w:cs="Arial" w:eastAsia="Arial" w:hAnsi="Arial"/>
          <w:sz w:val="18"/>
          <w:szCs w:val="18"/>
          <w:color w:val="auto"/>
        </w:rPr>
        <w:t>” shall mean the Income Tax Assessment Act 1936 (Cth) (Australia) or the Income Tax Assessment Act 1997 (Cth) (Australia) as applicable.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Third Party Leases</w:t>
      </w:r>
      <w:r>
        <w:rPr>
          <w:rFonts w:ascii="Arial" w:cs="Arial" w:eastAsia="Arial" w:hAnsi="Arial"/>
          <w:sz w:val="17"/>
          <w:szCs w:val="17"/>
          <w:color w:val="auto"/>
        </w:rPr>
        <w:t>” shall mean (a) leasehold property or interest of an Australian Loan Party of land as to which an Affiliate Australian Land Company is not the registered proprietor of such land and (b) leasehold property or interest of an Affiliate Australian Land Company of land as to which an Australian Loan Party also has rights through a sublease, license or other agreement with such Affiliate Australian Land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8" w:name="page129"/>
    <w:bookmarkEnd w:id="128"/>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Withholding Tax</w:t>
      </w:r>
      <w:r>
        <w:rPr>
          <w:rFonts w:ascii="Arial" w:cs="Arial" w:eastAsia="Arial" w:hAnsi="Arial"/>
          <w:sz w:val="17"/>
          <w:szCs w:val="17"/>
          <w:color w:val="auto"/>
        </w:rPr>
        <w:t xml:space="preserve">” shall mean any Australian Tax required to be withheld or deducted from any interest or other payment under Division 11A of Part III of the Tax Act or Subdivision 12-F of Schedule 1 to the </w:t>
      </w:r>
      <w:r>
        <w:rPr>
          <w:rFonts w:ascii="Arial" w:cs="Arial" w:eastAsia="Arial" w:hAnsi="Arial"/>
          <w:sz w:val="17"/>
          <w:szCs w:val="17"/>
          <w:i w:val="1"/>
          <w:iCs w:val="1"/>
          <w:color w:val="auto"/>
        </w:rPr>
        <w:t>Taxation Administration Act</w:t>
      </w:r>
      <w:r>
        <w:rPr>
          <w:rFonts w:ascii="Arial" w:cs="Arial" w:eastAsia="Arial" w:hAnsi="Arial"/>
          <w:sz w:val="17"/>
          <w:szCs w:val="17"/>
          <w:color w:val="auto"/>
        </w:rPr>
        <w:t xml:space="preserve"> 1953 (Commonwealth of Australia).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AutoBorrow Agreement</w:t>
      </w:r>
      <w:r>
        <w:rPr>
          <w:rFonts w:ascii="Arial" w:cs="Arial" w:eastAsia="Arial" w:hAnsi="Arial"/>
          <w:sz w:val="16"/>
          <w:szCs w:val="16"/>
          <w:color w:val="auto"/>
        </w:rPr>
        <w:t>” shall mean any agreement providing for automatic borrowing services between a Loan Party and a Swing Line Lender.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Discount Rate</w:t>
      </w:r>
      <w:r>
        <w:rPr>
          <w:rFonts w:ascii="Arial" w:cs="Arial" w:eastAsia="Arial" w:hAnsi="Arial"/>
          <w:sz w:val="18"/>
          <w:szCs w:val="18"/>
          <w:color w:val="auto"/>
        </w:rPr>
        <w:t>” shall mean:</w:t>
      </w:r>
    </w:p>
    <w:p>
      <w:pPr>
        <w:spacing w:after="0" w:line="225" w:lineRule="exact"/>
        <w:rPr>
          <w:sz w:val="20"/>
          <w:szCs w:val="20"/>
          <w:color w:val="auto"/>
        </w:rPr>
      </w:pPr>
    </w:p>
    <w:p>
      <w:pPr>
        <w:ind w:firstLine="1305"/>
        <w:spacing w:after="0" w:line="277" w:lineRule="auto"/>
        <w:tabs>
          <w:tab w:leader="none" w:pos="17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with respect to an issue of Bankers’ Acceptances having the same Contract Period accepted by a Lender that is a Canadian chartered bank listed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(other than Canadian Western Bank), the CDOR Rate; and</w:t>
      </w:r>
    </w:p>
    <w:p>
      <w:pPr>
        <w:spacing w:after="0" w:line="170" w:lineRule="exact"/>
        <w:rPr>
          <w:rFonts w:ascii="Arial" w:cs="Arial" w:eastAsia="Arial" w:hAnsi="Arial"/>
          <w:sz w:val="18"/>
          <w:szCs w:val="18"/>
          <w:color w:val="auto"/>
        </w:rPr>
      </w:pPr>
    </w:p>
    <w:p>
      <w:pPr>
        <w:ind w:firstLine="1305"/>
        <w:spacing w:after="0" w:line="277" w:lineRule="auto"/>
        <w:tabs>
          <w:tab w:leader="none" w:pos="17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an issue of Bankers’ Acceptances having the same Contract Period accepted by Canadian Western Bank or a Lender that is not a bank under Schedule I to the Bank Act (Canada), the CDOR Rate plus 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B/A Discount Rate for purposes of this Agreement shall at no time be less than 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Loan</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 Loan</w:t>
      </w:r>
      <w:r>
        <w:rPr>
          <w:rFonts w:ascii="Arial" w:cs="Arial" w:eastAsia="Arial" w:hAnsi="Arial"/>
          <w:sz w:val="17"/>
          <w:szCs w:val="17"/>
          <w:color w:val="auto"/>
        </w:rPr>
        <w:t xml:space="preserve">” shall mean a Borrowing comprised of one or more Bankers’ Acceptances or, as applicable, B/A Equivalent Loans. For greater certainty, all provisions of this Agreement that are applicable to Bankers’ Acceptances are also applicable, </w:t>
      </w:r>
      <w:r>
        <w:rPr>
          <w:rFonts w:ascii="Arial" w:cs="Arial" w:eastAsia="Arial" w:hAnsi="Arial"/>
          <w:sz w:val="17"/>
          <w:szCs w:val="17"/>
          <w:i w:val="1"/>
          <w:iCs w:val="1"/>
          <w:color w:val="auto"/>
        </w:rPr>
        <w:t>mutatis mutandis</w:t>
      </w:r>
      <w:r>
        <w:rPr>
          <w:rFonts w:ascii="Arial" w:cs="Arial" w:eastAsia="Arial" w:hAnsi="Arial"/>
          <w:sz w:val="17"/>
          <w:szCs w:val="17"/>
          <w:color w:val="auto"/>
        </w:rPr>
        <w:t>, to B/A Equivalent Loans.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Bankers</w:t>
      </w:r>
      <w:r>
        <w:rPr>
          <w:rFonts w:ascii="Arial" w:cs="Arial" w:eastAsia="Arial" w:hAnsi="Arial"/>
          <w:sz w:val="18"/>
          <w:szCs w:val="18"/>
          <w:color w:val="auto"/>
        </w:rPr>
        <w:t xml:space="preserve">’ </w:t>
      </w:r>
      <w:r>
        <w:rPr>
          <w:rFonts w:ascii="Arial" w:cs="Arial" w:eastAsia="Arial" w:hAnsi="Arial"/>
          <w:sz w:val="18"/>
          <w:szCs w:val="18"/>
          <w:i w:val="1"/>
          <w:iCs w:val="1"/>
          <w:color w:val="auto"/>
        </w:rPr>
        <w:t>Acceptance</w:t>
      </w:r>
      <w:r>
        <w:rPr>
          <w:rFonts w:ascii="Arial" w:cs="Arial" w:eastAsia="Arial" w:hAnsi="Arial"/>
          <w:sz w:val="18"/>
          <w:szCs w:val="18"/>
          <w:color w:val="auto"/>
        </w:rPr>
        <w:t>” and “</w:t>
      </w:r>
      <w:r>
        <w:rPr>
          <w:rFonts w:ascii="Arial" w:cs="Arial" w:eastAsia="Arial" w:hAnsi="Arial"/>
          <w:sz w:val="18"/>
          <w:szCs w:val="18"/>
          <w:i w:val="1"/>
          <w:iCs w:val="1"/>
          <w:color w:val="auto"/>
        </w:rPr>
        <w:t>B/A</w:t>
      </w:r>
      <w:r>
        <w:rPr>
          <w:rFonts w:ascii="Arial" w:cs="Arial" w:eastAsia="Arial" w:hAnsi="Arial"/>
          <w:sz w:val="18"/>
          <w:szCs w:val="18"/>
          <w:color w:val="auto"/>
        </w:rPr>
        <w:t xml:space="preserve">” shall mean a non-interest bearing draft denominated in Canadian dollars, drawn by the Parent Borrower, and accepted by a Canadian Lender in accordance with this Agreement, and may include a depository note within the meaning of the </w:t>
      </w:r>
      <w:r>
        <w:rPr>
          <w:rFonts w:ascii="Arial" w:cs="Arial" w:eastAsia="Arial" w:hAnsi="Arial"/>
          <w:sz w:val="18"/>
          <w:szCs w:val="18"/>
          <w:i w:val="1"/>
          <w:iCs w:val="1"/>
          <w:color w:val="auto"/>
        </w:rPr>
        <w:t>Depository Bills and 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and a bill of exchange within the meaning of the</w:t>
      </w:r>
      <w:r>
        <w:rPr>
          <w:rFonts w:ascii="Arial" w:cs="Arial" w:eastAsia="Arial" w:hAnsi="Arial"/>
          <w:sz w:val="18"/>
          <w:szCs w:val="18"/>
          <w:i w:val="1"/>
          <w:iCs w:val="1"/>
          <w:color w:val="auto"/>
        </w:rPr>
        <w:t xml:space="preserve"> Bills of Exchange Act </w:t>
      </w:r>
      <w:r>
        <w:rPr>
          <w:rFonts w:ascii="Arial" w:cs="Arial" w:eastAsia="Arial" w:hAnsi="Arial"/>
          <w:sz w:val="18"/>
          <w:szCs w:val="18"/>
          <w:color w:val="auto"/>
        </w:rPr>
        <w:t>(Canada).</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Banking Services</w:t>
      </w:r>
      <w:r>
        <w:rPr>
          <w:rFonts w:ascii="Arial" w:cs="Arial" w:eastAsia="Arial" w:hAnsi="Arial"/>
          <w:sz w:val="17"/>
          <w:szCs w:val="17"/>
          <w:color w:val="auto"/>
        </w:rPr>
        <w:t>” shall mean each and any of the following bank services provided to the Parent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9" w:name="page130"/>
    <w:bookmarkEnd w:id="129"/>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Banking Services Obligations</w:t>
      </w:r>
      <w:r>
        <w:rPr>
          <w:rFonts w:ascii="Arial" w:cs="Arial" w:eastAsia="Arial" w:hAnsi="Arial"/>
          <w:sz w:val="18"/>
          <w:szCs w:val="18"/>
          <w:color w:val="auto"/>
        </w:rPr>
        <w:t>” shall mean any and all obligations of the Parent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BBSY Rate</w:t>
      </w:r>
      <w:r>
        <w:rPr>
          <w:rFonts w:ascii="Arial" w:cs="Arial" w:eastAsia="Arial" w:hAnsi="Arial"/>
          <w:sz w:val="17"/>
          <w:szCs w:val="17"/>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 (a) 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Materials</w:t>
      </w:r>
      <w:r>
        <w:rPr>
          <w:rFonts w:ascii="Arial" w:cs="Arial" w:eastAsia="Arial" w:hAnsi="Arial"/>
          <w:sz w:val="18"/>
          <w:szCs w:val="18"/>
          <w:color w:val="auto"/>
        </w:rPr>
        <w:t>” shall have the meaning assigned to such term in Section 5.04.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Borrowers</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shall mean a Canadian Revolving Borrowing, a Canadian Term Borrowing, an Australian Revolving Borrowing, a U.S. Revolving Borrowing or a Swing Line Borrowing.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shall mean a request by a Borrower in accordance with the terms of Section 2.03 and substantially in the form of Exhibit B-1, B-2, B-3 or B-4, as applicable, or such other form as shall be reasonably approved by the Applicable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Breakage Event</w:t>
      </w:r>
      <w:r>
        <w:rPr>
          <w:rFonts w:ascii="Arial" w:cs="Arial" w:eastAsia="Arial" w:hAnsi="Arial"/>
          <w:sz w:val="18"/>
          <w:szCs w:val="18"/>
          <w:color w:val="auto"/>
        </w:rPr>
        <w:t>” shall have the meaning assigned to such term in Section 2.15.</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xml:space="preserve">” shall mean (a) when used in connection with a Loan, Letter of Credit or payment denominated in U.S. dollars, any day other than a Saturday, Sunday or any day on which banks in Houston and New York City are authorized or required by law to close;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used in connection with a Eurocurrency Loan, the term “Business Day” shall also exclude any day on which banks are not open for dealings in deposits in U.S. dollars in the London interbank market, (b) when used in connection with the Canadian Term Loan, a Canadian Revolving Credit Loan, a Canadian Letter of Credit or a payment under the Canadian Term Loan Facility or the Canadian Revolving Credit Facility, any day other than a Saturday, Sunday or any day on which banks in Toronto, Ontario, Calgary, Alberta and Montreal, Quebec are authorized or required by law to close,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Alternative Currency and on which the relevant office of the Applicable Issuing Bank is not authorized or required by law to close.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 Exchange Agreement</w:t>
      </w:r>
      <w:r>
        <w:rPr>
          <w:rFonts w:ascii="Arial" w:cs="Arial" w:eastAsia="Arial" w:hAnsi="Arial"/>
          <w:sz w:val="16"/>
          <w:szCs w:val="16"/>
          <w:color w:val="auto"/>
        </w:rPr>
        <w:t>” shall mean that certain CAM Exchange Agreement dated as of the date hereof by and among the Lenders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Administrative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Applicable Pro Rata Percentage</w:t>
      </w:r>
      <w:r>
        <w:rPr>
          <w:rFonts w:ascii="Arial" w:cs="Arial" w:eastAsia="Arial" w:hAnsi="Arial"/>
          <w:sz w:val="18"/>
          <w:szCs w:val="18"/>
          <w:color w:val="auto"/>
        </w:rPr>
        <w:t>” shall mean with respect to any Canadian Revolving Lender or Canadian Term Lender, the Canadian Revolving Pro Rata Percentage or the Canadian Term Loan Pro Rata Percentage, respectively.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Benefit Plans</w:t>
      </w:r>
      <w:r>
        <w:rPr>
          <w:rFonts w:ascii="Arial" w:cs="Arial" w:eastAsia="Arial" w:hAnsi="Arial"/>
          <w:sz w:val="16"/>
          <w:szCs w:val="16"/>
          <w:color w:val="auto"/>
        </w:rPr>
        <w:t>” shall mean all employee benefit plans of any nature or kind whatsoever that are not Canadian Pension Plans or Defined Benefit Plans and are maintained or contributed to by the Parent Borrower or any of the Canadian Subsidiaries, in each case covering employees in Canada.</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Borrower</w:t>
      </w:r>
      <w:r>
        <w:rPr>
          <w:rFonts w:ascii="Arial" w:cs="Arial" w:eastAsia="Arial" w:hAnsi="Arial"/>
          <w:sz w:val="18"/>
          <w:szCs w:val="18"/>
          <w:color w:val="auto"/>
        </w:rPr>
        <w:t>” shall mean, collectively, the Parent Borrower and, once the New Canadian Borrower has been added pursuant to Section 5.10(b), the New Canadian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Collateral</w:t>
      </w:r>
      <w:r>
        <w:rPr>
          <w:rFonts w:ascii="Arial" w:cs="Arial" w:eastAsia="Arial" w:hAnsi="Arial"/>
          <w:sz w:val="18"/>
          <w:szCs w:val="18"/>
          <w:color w:val="auto"/>
        </w:rPr>
        <w:t>” shall mean all “Collateral” as defined in any Canadian Security Document.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Collateral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Commitment Fees</w:t>
      </w:r>
      <w:r>
        <w:rPr>
          <w:rFonts w:ascii="Arial" w:cs="Arial" w:eastAsia="Arial" w:hAnsi="Arial"/>
          <w:sz w:val="18"/>
          <w:szCs w:val="18"/>
          <w:color w:val="auto"/>
        </w:rPr>
        <w:t>” shall have the meaning assigned to such term in Section 2.05(a)(ii).</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 Equivalent</w:t>
      </w:r>
      <w:r>
        <w:rPr>
          <w:rFonts w:ascii="Arial" w:cs="Arial" w:eastAsia="Arial" w:hAnsi="Arial"/>
          <w:sz w:val="18"/>
          <w:szCs w:val="18"/>
          <w:color w:val="auto"/>
        </w:rPr>
        <w:t>” shall mean, on any date of determination, with respect to any amount in U.S. dollars, the equivalent in Canadian dollars of such amount, determined by the Administrative Agent using the Exchange Rate or the Canadian Term Facility Exchange Rate, as applicable, then in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and “</w:t>
      </w:r>
      <w:r>
        <w:rPr>
          <w:rFonts w:ascii="Arial" w:cs="Arial" w:eastAsia="Arial" w:hAnsi="Arial"/>
          <w:sz w:val="18"/>
          <w:szCs w:val="18"/>
          <w:i w:val="1"/>
          <w:iCs w:val="1"/>
          <w:color w:val="auto"/>
        </w:rPr>
        <w:t>C$</w:t>
      </w:r>
      <w:r>
        <w:rPr>
          <w:rFonts w:ascii="Arial" w:cs="Arial" w:eastAsia="Arial" w:hAnsi="Arial"/>
          <w:sz w:val="18"/>
          <w:szCs w:val="18"/>
          <w:color w:val="auto"/>
        </w:rPr>
        <w:t>” shall mean lawful currency of Canada.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Facility</w:t>
      </w:r>
      <w:r>
        <w:rPr>
          <w:rFonts w:ascii="Arial" w:cs="Arial" w:eastAsia="Arial" w:hAnsi="Arial"/>
          <w:sz w:val="18"/>
          <w:szCs w:val="18"/>
          <w:color w:val="auto"/>
        </w:rPr>
        <w:t>” shall mean either the Canadian Term Loan Facility or the Canadian Revolving Credit Facility.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GAAP</w:t>
      </w:r>
      <w:r>
        <w:rPr>
          <w:rFonts w:ascii="Arial" w:cs="Arial" w:eastAsia="Arial" w:hAnsi="Arial"/>
          <w:sz w:val="18"/>
          <w:szCs w:val="18"/>
          <w:color w:val="auto"/>
        </w:rPr>
        <w:t>” shall mean generally accepted accounting principles in Canada, as recommended from time to time by the Canadian Institute of Chartered Accountants, applied on a consistent basis, and which shall include the implementation of International Financial Reporting Standards to the extent required by the Canadian Accounting Standards Board.</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Guarantee Agreement</w:t>
      </w:r>
      <w:r>
        <w:rPr>
          <w:rFonts w:ascii="Arial" w:cs="Arial" w:eastAsia="Arial" w:hAnsi="Arial"/>
          <w:sz w:val="18"/>
          <w:szCs w:val="18"/>
          <w:color w:val="auto"/>
        </w:rPr>
        <w:t>” shall mean the Canadian Guarantee Agreement, substantially in the form of Exhibit C-2, by each Canadian Subsidiary of the Parent Borrower which is a U.S. Owned Subsidiary in favor of the Canadian Collateral Agent, for the benefit of the Canadian Secured Parties.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L/C Exposure</w:t>
      </w:r>
      <w:r>
        <w:rPr>
          <w:rFonts w:ascii="Arial" w:cs="Arial" w:eastAsia="Arial" w:hAnsi="Arial"/>
          <w:sz w:val="17"/>
          <w:szCs w:val="17"/>
          <w:color w:val="auto"/>
        </w:rPr>
        <w:t>”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Revolving Lender at any time shall mean its Canadian Revolving Pro Rata Percentage of the aggregate Canadian L/C Exposure at such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Lenders</w:t>
      </w:r>
      <w:r>
        <w:rPr>
          <w:rFonts w:ascii="Arial" w:cs="Arial" w:eastAsia="Arial" w:hAnsi="Arial"/>
          <w:sz w:val="18"/>
          <w:szCs w:val="18"/>
          <w:color w:val="auto"/>
        </w:rPr>
        <w:t>” shall mean Canadian Revolving Lenders and Canadian Term Lenders,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Loan</w:t>
      </w:r>
      <w:r>
        <w:rPr>
          <w:rFonts w:ascii="Arial" w:cs="Arial" w:eastAsia="Arial" w:hAnsi="Arial"/>
          <w:sz w:val="18"/>
          <w:szCs w:val="18"/>
          <w:color w:val="auto"/>
        </w:rPr>
        <w:t>” shall mean a Canadian Revolving Credit Loan or a Canadian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Loan Parties</w:t>
      </w:r>
      <w:r>
        <w:rPr>
          <w:rFonts w:ascii="Arial" w:cs="Arial" w:eastAsia="Arial" w:hAnsi="Arial"/>
          <w:sz w:val="18"/>
          <w:szCs w:val="18"/>
          <w:color w:val="auto"/>
        </w:rPr>
        <w:t>” shall mean the Parent Borrower and the Canadian Subsidiary Guarantors.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Pension Plans</w:t>
      </w:r>
      <w:r>
        <w:rPr>
          <w:rFonts w:ascii="Arial" w:cs="Arial" w:eastAsia="Arial" w:hAnsi="Arial"/>
          <w:sz w:val="18"/>
          <w:szCs w:val="18"/>
          <w:color w:val="auto"/>
        </w:rPr>
        <w:t>” shall mean each plan that is considered to be a pension plan for the purposes of any applicable pension benefits standards statute and/or regulation in Canada established, maintained or contributed to by the Parent Borrower or any of the Canadian Subsidiaries for its employees or former employees, but excluding the Defined Benefit Plans.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Pledge Agreement</w:t>
      </w:r>
      <w:r>
        <w:rPr>
          <w:rFonts w:ascii="Arial" w:cs="Arial" w:eastAsia="Arial" w:hAnsi="Arial"/>
          <w:sz w:val="18"/>
          <w:szCs w:val="18"/>
          <w:color w:val="auto"/>
        </w:rPr>
        <w:t>” shall mean the Canadian Pledge Agreement, substantially in the form of Exhibit D-2, among each Canadian Subsidiary of the Parent Borrower which is a U.S. Owned Subsidiary, as pledgors, and the Canadian Collateral Agent, for the benefit of the Canadian Secured Parties.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Prime Rate</w:t>
      </w:r>
      <w:r>
        <w:rPr>
          <w:rFonts w:ascii="Arial" w:cs="Arial" w:eastAsia="Arial" w:hAnsi="Arial"/>
          <w:sz w:val="17"/>
          <w:szCs w:val="17"/>
          <w:color w:val="auto"/>
        </w:rPr>
        <w:t>” shall mean, on any day, the annual rate of interest equal to the greater of: (a) the annual rate of interest announced from time to time by the Canadian Administrative Agent as its prime rate in effect at its principal office in Toronto, Ontario on such day for determining interest rates on Canadian dollar-denominated commercial loans made in Canada; and (b) the annual rate of interest equal to the sum of (i) the CDOR Rate in effect on such day and (ii) 1%. When used in reference to any Loan or Borrowing, “Canadian Prime Rate” refers to whether such Loan, or the Loans comprising such Borrowing, are bearing interest at a rate determined by reference to the Canadian Prime Rate.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2" w:name="page133"/>
    <w:bookmarkEnd w:id="13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Borrowing</w:t>
      </w:r>
      <w:r>
        <w:rPr>
          <w:rFonts w:ascii="Arial" w:cs="Arial" w:eastAsia="Arial" w:hAnsi="Arial"/>
          <w:sz w:val="18"/>
          <w:szCs w:val="18"/>
          <w:color w:val="auto"/>
        </w:rPr>
        <w:t>” shall mean a group of Canadian Revolving Credit Loans of a single Type made, converted or continued by the Canadian Revolving Lenders on a single date and, in the case of a Eurocurrency Borrowing, as to which a single Interest Period is in effect and, in the case of a B/A Borrowing, as to which a single Contract Period is in effect.</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Revolving Commitment</w:t>
      </w:r>
      <w:r>
        <w:rPr>
          <w:rFonts w:ascii="Arial" w:cs="Arial" w:eastAsia="Arial" w:hAnsi="Arial"/>
          <w:sz w:val="16"/>
          <w:szCs w:val="16"/>
          <w:color w:val="auto"/>
        </w:rPr>
        <w:t>” shall mean, with respect to each Canadian Revolving Lender, the commitment of such Canadian Revolving Lender to (a) make Canadian Revolving Credit Loans hereunder, (b) purchase participations in the Canadian L/C Exposure and (c) purchase participations in Canadian Swing Line Loans, in an aggregate principal amount not to exceed the amount set forth opposite such Lender’s name on Schedule 2.01 under the caption “Canadian Revolving Commitment”, or in the Assignment and Acceptance or Lender Joinder Agreement pursuant to which such Canadian Revolving Lender assumed its Canadian Revolving Commitment, as applicable, as the same may be (i) reduced from time to time pursuant to Section 2.09 and</w:t>
      </w:r>
    </w:p>
    <w:p>
      <w:pPr>
        <w:spacing w:after="0" w:line="2" w:lineRule="exact"/>
        <w:rPr>
          <w:sz w:val="20"/>
          <w:szCs w:val="20"/>
          <w:color w:val="auto"/>
        </w:rPr>
      </w:pPr>
    </w:p>
    <w:p>
      <w:pPr>
        <w:ind w:right="20" w:firstLine="8"/>
        <w:spacing w:after="0" w:line="261" w:lineRule="auto"/>
        <w:tabs>
          <w:tab w:leader="none" w:pos="26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reduced or increased from time to time pursuant to assignments by or to such Canadian Revolving Lender pursuant to Section 9.04. The aggregate amount of the Canadian Revolving Commitments as of the Closing Date is U.S.$159,500,000.</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Credit Exposure</w:t>
      </w:r>
      <w:r>
        <w:rPr>
          <w:rFonts w:ascii="Arial" w:cs="Arial" w:eastAsia="Arial" w:hAnsi="Arial"/>
          <w:sz w:val="18"/>
          <w:szCs w:val="18"/>
          <w:color w:val="auto"/>
        </w:rPr>
        <w:t xml:space="preserve">” shall mean, with respect to any Canadian Revolving Lender at any time, the aggregate principal amount at such time of all outstanding Canadian Revolving Credit Loans of such Lender denominated in U.S.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U.S. Dollar Equivalent of the aggregate principal amount at such time of all outstanding Canadian Revolving Credit Loans of such Canadian Revolving Lender denominated in Canadian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U.S. Dollar Equivalent of the aggregate amount at such time of such Canadian Revolving Lender’s Canadian Revolving Pro Rata Percentage of the Canadian L/C Exposure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Canadian Revolving Lender’s Canadian Revolving Pro Rata Percentage of the outstanding amount of all Canadian Swing Line Loans.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Credit Facility</w:t>
      </w:r>
      <w:r>
        <w:rPr>
          <w:rFonts w:ascii="Arial" w:cs="Arial" w:eastAsia="Arial" w:hAnsi="Arial"/>
          <w:sz w:val="18"/>
          <w:szCs w:val="18"/>
          <w:color w:val="auto"/>
        </w:rPr>
        <w:t>” shall mean at any time the aggregate amount of the Canadian Revolving Commitments of the Canadian Revolving Lenders at such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Credit Loans</w:t>
      </w:r>
      <w:r>
        <w:rPr>
          <w:rFonts w:ascii="Arial" w:cs="Arial" w:eastAsia="Arial" w:hAnsi="Arial"/>
          <w:sz w:val="18"/>
          <w:szCs w:val="18"/>
          <w:color w:val="auto"/>
        </w:rPr>
        <w:t>” shall mean (a) the Canadian dollar-denominated Revolving Credit Loans (including the aggregate face amount of outstanding B/As) made by the Canadian Revolving Lenders to the Parent Borrower hereunder and (b) the U.S. dollar-denominated Revolving Credit Loans made by the Canadian Revolving Lenders to the Parent Borrower. Each Canadian Revolving Credit Loan denominated in Canadian dollars shall be a Canadian Prime Rate Loan or a B/A Loan. Each Canadian Revolving Credit Loan denominated in U.S. dollars and made to the Parent Borrower shall be a Eurocurrency Loan or a U.S. Base Rate Loan.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Lenders</w:t>
      </w:r>
      <w:r>
        <w:rPr>
          <w:rFonts w:ascii="Arial" w:cs="Arial" w:eastAsia="Arial" w:hAnsi="Arial"/>
          <w:sz w:val="18"/>
          <w:szCs w:val="18"/>
          <w:color w:val="auto"/>
        </w:rPr>
        <w:t>” shall mean Lenders having Canadian Revolving Commitments, outstanding Canadian Revolving Credit Loans, or participations in Canadian Letters of Credit pursuant to Section 2.21(d) or in Canadian Swing Line Loans pursuant to Section 2.23.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Revolving Pro Rata Percentage</w:t>
      </w:r>
      <w:r>
        <w:rPr>
          <w:rFonts w:ascii="Arial" w:cs="Arial" w:eastAsia="Arial" w:hAnsi="Arial"/>
          <w:sz w:val="16"/>
          <w:szCs w:val="16"/>
          <w:color w:val="auto"/>
        </w:rPr>
        <w:t xml:space="preserve">” of any Canadian Revolving Lender, subject to any adjustment as provided in Section 2.24(c) or 2.25(a), shall mean the percentage of the aggregate Canadian Revolving Commitments represented by such Canadian Revolving Lender’s Canadian Revolving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Canadian Revolving Commitments have terminated, the Canadian Revolving Pro Rata Percentages of the Canadian Revolving Lenders shall be determined based upon the Canadian Revolving Commitments most recently in effect, giving effect to any assignments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Secured Parties</w:t>
      </w:r>
      <w:r>
        <w:rPr>
          <w:rFonts w:ascii="Arial" w:cs="Arial" w:eastAsia="Arial" w:hAnsi="Arial"/>
          <w:sz w:val="18"/>
          <w:szCs w:val="18"/>
          <w:color w:val="auto"/>
        </w:rPr>
        <w:t>” shall have the meaning assigned to the term “Secured Parties” in the Canadian Security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Security Agreement</w:t>
      </w:r>
      <w:r>
        <w:rPr>
          <w:rFonts w:ascii="Arial" w:cs="Arial" w:eastAsia="Arial" w:hAnsi="Arial"/>
          <w:sz w:val="18"/>
          <w:szCs w:val="18"/>
          <w:color w:val="auto"/>
        </w:rPr>
        <w:t>” shall mean the Canadian Security Agreement, substantially in the form of Exhibit E-2, among each Canadian Subsidiary of the Parent Borrower which is a U.S. Owned Subsidiary, as grantors, and the Canadian Collateral Agent, for the benefit of the Canadian Secured Parties.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Security Documents</w:t>
      </w:r>
      <w:r>
        <w:rPr>
          <w:rFonts w:ascii="Arial" w:cs="Arial" w:eastAsia="Arial" w:hAnsi="Arial"/>
          <w:sz w:val="18"/>
          <w:szCs w:val="18"/>
          <w:color w:val="auto"/>
        </w:rPr>
        <w:t>” shall mean the Canadian Security Agreement, the Parent Borrower Security Agreement, the Canadian Pledge Agreement, the Parent Borrower Pledge Agreement and each other Security Document to which the Canadian Borrower, any Canadian Subsidiary Guarantor or any other Subsidiary of the Parent Borrower is a party and that purports to grant a Lien in the assets of any such person in favor of the Canadian Collateral Agent for the benefit of the Canadian Secured Parties or the Secured Parties, as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Subsidiaries</w:t>
      </w:r>
      <w:r>
        <w:rPr>
          <w:rFonts w:ascii="Arial" w:cs="Arial" w:eastAsia="Arial" w:hAnsi="Arial"/>
          <w:sz w:val="17"/>
          <w:szCs w:val="17"/>
          <w:color w:val="auto"/>
        </w:rPr>
        <w:t>” shall mean the Subsidiaries organized under the laws of Canada or any province, territory or other political subdivision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Subsidiary Guarantor</w:t>
      </w:r>
      <w:r>
        <w:rPr>
          <w:rFonts w:ascii="Arial" w:cs="Arial" w:eastAsia="Arial" w:hAnsi="Arial"/>
          <w:sz w:val="18"/>
          <w:szCs w:val="18"/>
          <w:color w:val="auto"/>
        </w:rPr>
        <w:t>” shall mean each Canadian Subsidiary listed on Schedule 1.01(c), and each other Canadian Subsidiary that is or becomes a party to the Canadian Guarantee Agreement or the Parent Borrower Guarantee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Borrowing</w:t>
      </w:r>
      <w:r>
        <w:rPr>
          <w:rFonts w:ascii="Arial" w:cs="Arial" w:eastAsia="Arial" w:hAnsi="Arial"/>
          <w:sz w:val="18"/>
          <w:szCs w:val="18"/>
          <w:color w:val="auto"/>
        </w:rPr>
        <w:t>” shall mean a borrowing of a Canadian Swing Line Loan pursuant to Section 2.23(a)(ii) or, if an AutoBorrow Agreement is in effect, any transfer of funds pursuant to such AutoBorrow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Lender</w:t>
      </w:r>
      <w:r>
        <w:rPr>
          <w:rFonts w:ascii="Arial" w:cs="Arial" w:eastAsia="Arial" w:hAnsi="Arial"/>
          <w:sz w:val="18"/>
          <w:szCs w:val="18"/>
          <w:color w:val="auto"/>
        </w:rPr>
        <w:t>” shall mean RBC in its capacity as provider of Canadian Swing Line Loans, or any successor swing line lender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Loan</w:t>
      </w:r>
      <w:r>
        <w:rPr>
          <w:rFonts w:ascii="Arial" w:cs="Arial" w:eastAsia="Arial" w:hAnsi="Arial"/>
          <w:sz w:val="18"/>
          <w:szCs w:val="18"/>
          <w:color w:val="auto"/>
        </w:rPr>
        <w:t>” shall have the meaning assigned to such term in Section 2.23(a)(ii).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Sublimit</w:t>
      </w:r>
      <w:r>
        <w:rPr>
          <w:rFonts w:ascii="Arial" w:cs="Arial" w:eastAsia="Arial" w:hAnsi="Arial"/>
          <w:sz w:val="18"/>
          <w:szCs w:val="18"/>
          <w:color w:val="auto"/>
        </w:rPr>
        <w:t>” shall mean U.S.$25,000,000. The Canadian Swing Line Sublimit is part of, and not in addition to, the Canadian Revolving Commitments.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Term Borrowing</w:t>
      </w:r>
      <w:r>
        <w:rPr>
          <w:rFonts w:ascii="Arial" w:cs="Arial" w:eastAsia="Arial" w:hAnsi="Arial"/>
          <w:sz w:val="18"/>
          <w:szCs w:val="18"/>
          <w:color w:val="auto"/>
        </w:rPr>
        <w:t>” shall mean a group of Canadian Term Loans of a single Type made, converted or continued by the Canadian Term Lenders on a single date and, in the case of a B/A Loan, as to which a single Contract Period is in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Term Facility Exchange Rate</w:t>
      </w:r>
      <w:r>
        <w:rPr>
          <w:rFonts w:ascii="Arial" w:cs="Arial" w:eastAsia="Arial" w:hAnsi="Arial"/>
          <w:sz w:val="18"/>
          <w:szCs w:val="18"/>
          <w:color w:val="auto"/>
        </w:rPr>
        <w:t>” shall have the meaning assigned to such term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Term Lender</w:t>
      </w:r>
      <w:r>
        <w:rPr>
          <w:rFonts w:ascii="Arial" w:cs="Arial" w:eastAsia="Arial" w:hAnsi="Arial"/>
          <w:sz w:val="18"/>
          <w:szCs w:val="18"/>
          <w:color w:val="auto"/>
        </w:rPr>
        <w:t>” shall mean any Lender that holds a Canadian Term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Term Loan</w:t>
      </w:r>
      <w:r>
        <w:rPr>
          <w:rFonts w:ascii="Arial" w:cs="Arial" w:eastAsia="Arial" w:hAnsi="Arial"/>
          <w:sz w:val="18"/>
          <w:szCs w:val="18"/>
          <w:color w:val="auto"/>
        </w:rPr>
        <w:t>” shall mean the Canadian dollar-denominated term loans made by the Canadian Term Lenders to the Canadian Borrower. The aggregate outstanding amount of the Canadian Term Loans as of the Closing Date is C$368,123,437.50.</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Term Loan Facility</w:t>
      </w:r>
      <w:r>
        <w:rPr>
          <w:rFonts w:ascii="Arial" w:cs="Arial" w:eastAsia="Arial" w:hAnsi="Arial"/>
          <w:sz w:val="18"/>
          <w:szCs w:val="18"/>
          <w:color w:val="auto"/>
        </w:rPr>
        <w:t>” shall mean the aggregate principal amount of the Canadian Term Loans of all Canadian Term Lenders outstanding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Term Loan Pro Rata Percentage</w:t>
      </w:r>
      <w:r>
        <w:rPr>
          <w:rFonts w:ascii="Arial" w:cs="Arial" w:eastAsia="Arial" w:hAnsi="Arial"/>
          <w:sz w:val="18"/>
          <w:szCs w:val="18"/>
          <w:color w:val="auto"/>
        </w:rPr>
        <w:t>” with respect to any Canadian Term Lender, the percentage of the aggregate principal amount of the Canadian Term Loans represented by such Canadian Term Lender’s Canadian Term Loans at such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Collateralize</w:t>
      </w:r>
      <w:r>
        <w:rPr>
          <w:rFonts w:ascii="Arial" w:cs="Arial" w:eastAsia="Arial" w:hAnsi="Arial"/>
          <w:sz w:val="18"/>
          <w:szCs w:val="18"/>
          <w:color w:val="auto"/>
        </w:rPr>
        <w:t>” shall mean to pledge and deposit with or deliver to the Applicable Collateral Agent, for the benefit of the U.S. Secured Parties, the Canadian Secured Parties and/or the Australian Secured Parties, as applicable,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CDOR Rate</w:t>
      </w:r>
      <w:r>
        <w:rPr>
          <w:rFonts w:ascii="Arial" w:cs="Arial" w:eastAsia="Arial" w:hAnsi="Arial"/>
          <w:sz w:val="16"/>
          <w:szCs w:val="16"/>
          <w:color w:val="auto"/>
        </w:rPr>
        <w:t xml:space="preserve">”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Reuters Screen CDOR Page at approximately 10:00 a.m. (Standard Time), on such date, or if such date is not a Business Day, on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if such rate does not appear on the Reuters Screen CDOR Page on such date as contemplated, then the CDOR Rate on such date shall be the Discount Rate quoted by the Canadian Administrative Agent (determined as of 10:00 a.m. (Standard Time) on such date) that would be applicable to Canadian dollar bankers’ acceptances in a comparable amount and with comparable maturity dates to the Bankers’ Acceptances requested by the Parent Borrower on such date or, if such date is not a Business Day, on the immediately preceding Business Day and (b) if the CDOR Rate is less than zero at any time, such rate shall be deemed to be zero at such time for purposes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CDS</w:t>
      </w:r>
      <w:r>
        <w:rPr>
          <w:rFonts w:ascii="Arial" w:cs="Arial" w:eastAsia="Arial" w:hAnsi="Arial"/>
          <w:sz w:val="18"/>
          <w:szCs w:val="18"/>
          <w:color w:val="auto"/>
        </w:rPr>
        <w:t>” shall have the meaning assigned to such term in Section 2.22(c).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Parent Borrower; (b) the failure by the Parent Borrower to own, directly or indirectly, beneficially and of record, 100% of the issued and outstanding Equity Interests of the U.S. Borrower; or (c) the failure by the Parent Borrower to own, directly or indirectly, beneficially and of record, 100% of the issued and outstanding Equity Interests of the Australian Borrower.</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Law</w:t>
      </w:r>
      <w:r>
        <w:rPr>
          <w:rFonts w:ascii="Arial" w:cs="Arial" w:eastAsia="Arial" w:hAnsi="Arial"/>
          <w:sz w:val="17"/>
          <w:szCs w:val="17"/>
          <w:color w:val="auto"/>
        </w:rPr>
        <w:t>” shall mean (a) the adoption of any law, rule, regulation or treaty after the Closing Date, (b) any change in any law, rule or regulation or in the administration, interpretation, implementation or application thereof by any Governmental Authority after the Closing Date or</w:t>
      </w:r>
    </w:p>
    <w:p>
      <w:pPr>
        <w:jc w:val="both"/>
        <w:ind w:firstLine="8"/>
        <w:spacing w:after="0" w:line="269" w:lineRule="auto"/>
        <w:tabs>
          <w:tab w:leader="none" w:pos="24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Arial" w:cs="Arial" w:eastAsia="Arial" w:hAnsi="Arial"/>
          <w:sz w:val="17"/>
          <w:szCs w:val="17"/>
          <w:i w:val="1"/>
          <w:iCs w:val="1"/>
          <w:color w:val="auto"/>
        </w:rPr>
        <w:t>provided however</w:t>
      </w:r>
      <w:r>
        <w:rPr>
          <w:rFonts w:ascii="Arial" w:cs="Arial" w:eastAsia="Arial" w:hAnsi="Arial"/>
          <w:sz w:val="17"/>
          <w:szCs w:val="17"/>
          <w:color w:val="auto"/>
        </w:rPr>
        <w:t>, for purposes of this Agreement and notwithstanding anything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Class</w:t>
      </w:r>
      <w:r>
        <w:rPr>
          <w:rFonts w:ascii="Arial" w:cs="Arial" w:eastAsia="Arial" w:hAnsi="Arial"/>
          <w:sz w:val="17"/>
          <w:szCs w:val="17"/>
          <w:color w:val="auto"/>
        </w:rPr>
        <w:t>”, when used in reference to (a) any Loan or Borrowing, refers to whether such Loan, or the Loans comprising such Borrowing, are Canadian Revolving Credit Loans, Canadian Term Loans, Australian Revolving Credit Loans or U.S. Revolving Credit Loans, and (b) any Commitment, refers to whether such Commitment is a Canadian Revolving Commitment, Australian Revolving Commitment or a U.S. Revolving Commitment.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shall mean the date upon which all of the conditions set forth in Sections 4.01 and 4.02 are satisfied or waived in accordance with Section 9.08(b).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shall mean, collectively, all of the U.S. Collateral, the Canadian Collateral and the Australian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Agents</w:t>
      </w:r>
      <w:r>
        <w:rPr>
          <w:rFonts w:ascii="Arial" w:cs="Arial" w:eastAsia="Arial" w:hAnsi="Arial"/>
          <w:sz w:val="17"/>
          <w:szCs w:val="17"/>
          <w:color w:val="auto"/>
        </w:rPr>
        <w:t>” shall mean, collectively, the U.S. Collateral Agent, the Canadian Collateral Agent and the Australian Collateral Agent.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shall mean, with respect to any Lender, such Lender’s U.S. Revolving Commitment, Canadian Revolving Commitment, Australian Revolving Commitment or any Incremental Revolving Commitment, and “</w:t>
      </w:r>
      <w:r>
        <w:rPr>
          <w:rFonts w:ascii="Arial" w:cs="Arial" w:eastAsia="Arial" w:hAnsi="Arial"/>
          <w:sz w:val="18"/>
          <w:szCs w:val="18"/>
          <w:i w:val="1"/>
          <w:iCs w:val="1"/>
          <w:color w:val="auto"/>
        </w:rPr>
        <w:t>Commitments</w:t>
      </w:r>
      <w:r>
        <w:rPr>
          <w:rFonts w:ascii="Arial" w:cs="Arial" w:eastAsia="Arial" w:hAnsi="Arial"/>
          <w:sz w:val="18"/>
          <w:szCs w:val="18"/>
          <w:color w:val="auto"/>
        </w:rPr>
        <w:t>” shall mean the U.S. Revolving Commitments, the Canadian Revolving Commitments, the Australian Revolving Commitments and any Incremental Revolving Commitments.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Fees</w:t>
      </w:r>
      <w:r>
        <w:rPr>
          <w:rFonts w:ascii="Arial" w:cs="Arial" w:eastAsia="Arial" w:hAnsi="Arial"/>
          <w:sz w:val="18"/>
          <w:szCs w:val="18"/>
          <w:color w:val="auto"/>
        </w:rPr>
        <w:t>” shall have the meaning assigned to such term in Section 2.05(a)(iii).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Commodity Exchange Act</w:t>
      </w:r>
      <w:r>
        <w:rPr>
          <w:rFonts w:ascii="Arial" w:cs="Arial" w:eastAsia="Arial" w:hAnsi="Arial"/>
          <w:sz w:val="16"/>
          <w:szCs w:val="16"/>
          <w:color w:val="auto"/>
        </w:rPr>
        <w:t>” shall mean the Commodity Exchange Act (7 U.S.C. Section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shall have the meaning assigned to such term in Section 5.04(c).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Connection Income Taxes</w:t>
      </w:r>
      <w:r>
        <w:rPr>
          <w:rFonts w:ascii="Arial" w:cs="Arial" w:eastAsia="Arial" w:hAnsi="Arial"/>
          <w:sz w:val="18"/>
          <w:szCs w:val="18"/>
          <w:color w:val="auto"/>
        </w:rPr>
        <w:t>” shall mean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shall mean, for any period, EBITDA of the Parent Borrower and the Subsidiaries for such period, all determined on a consolidated basis.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shall mean, for any person for any period, the net income or loss of such person for such period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(a) the income of any subsidiary of such person to the extent that the declaration or payment of dividends or similar distributions by such subsidiary of that 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shall mean, at any time, the net worth or total shareholders’ equity of the Parent Borrower and its subsidiaries on a consolidated basis determined in accordance with GAAP.</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 Period</w:t>
      </w:r>
      <w:r>
        <w:rPr>
          <w:rFonts w:ascii="Arial" w:cs="Arial" w:eastAsia="Arial" w:hAnsi="Arial"/>
          <w:sz w:val="16"/>
          <w:szCs w:val="16"/>
          <w:color w:val="auto"/>
        </w:rPr>
        <w:t xml:space="preserve">” shall mean the term of a B/A Loan selected by the Parent Borrower in accordance with Section 2.22, commencing on the date of such B/A Loan and expiring on a Business Day which shall be either 30 days, 60 days, 90 days or 180 days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subject to clause (b) below, each such period shall be subject to such extensions or reductions as may be reasonably determined by the Canadian Administrative Agent to ensure that each Contract Period shall expire on a Business Day, and (b) no Contract Period shall extend beyond the Maturity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7" w:name="page138"/>
    <w:bookmarkEnd w:id="137"/>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shall have meanings correlative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Event</w:t>
      </w:r>
      <w:r>
        <w:rPr>
          <w:rFonts w:ascii="Arial" w:cs="Arial" w:eastAsia="Arial" w:hAnsi="Arial"/>
          <w:sz w:val="18"/>
          <w:szCs w:val="18"/>
          <w:color w:val="auto"/>
        </w:rPr>
        <w:t>” shall have the meaning assigned to such term in Section 4.01.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Decision Period</w:t>
      </w:r>
      <w:r>
        <w:rPr>
          <w:rFonts w:ascii="Arial" w:cs="Arial" w:eastAsia="Arial" w:hAnsi="Arial"/>
          <w:sz w:val="18"/>
          <w:szCs w:val="18"/>
          <w:color w:val="auto"/>
        </w:rPr>
        <w:t>” shall have the meaning assigned to such term in Section 2.17(d).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shall mean any event or condition which upon notice,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Lender</w:t>
      </w:r>
      <w:r>
        <w:rPr>
          <w:rFonts w:ascii="Arial" w:cs="Arial" w:eastAsia="Arial" w:hAnsi="Arial"/>
          <w:sz w:val="18"/>
          <w:szCs w:val="18"/>
          <w:color w:val="auto"/>
        </w:rPr>
        <w:t>” shall mean, subject to Section 2.24(d), any Lender that:</w:t>
      </w:r>
    </w:p>
    <w:p>
      <w:pPr>
        <w:spacing w:after="0" w:line="225" w:lineRule="exact"/>
        <w:rPr>
          <w:sz w:val="20"/>
          <w:szCs w:val="20"/>
          <w:color w:val="auto"/>
        </w:rPr>
      </w:pPr>
    </w:p>
    <w:p>
      <w:pPr>
        <w:jc w:val="both"/>
        <w:ind w:firstLine="1305"/>
        <w:spacing w:after="0" w:line="255" w:lineRule="auto"/>
        <w:tabs>
          <w:tab w:leader="none" w:pos="175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has failed to (i) fund all or any portion of its Loans within two (2) Business Days of the date such Loans were required to be funded hereunder unless such Lender notifies an Administrative Agent and the Parent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 (2) Business Days of the date when due;</w:t>
      </w:r>
    </w:p>
    <w:p>
      <w:pPr>
        <w:spacing w:after="0" w:line="193" w:lineRule="exact"/>
        <w:rPr>
          <w:rFonts w:ascii="Arial" w:cs="Arial" w:eastAsia="Arial" w:hAnsi="Arial"/>
          <w:sz w:val="18"/>
          <w:szCs w:val="18"/>
          <w:color w:val="auto"/>
        </w:rPr>
      </w:pPr>
    </w:p>
    <w:p>
      <w:pPr>
        <w:jc w:val="both"/>
        <w:ind w:firstLine="1305"/>
        <w:spacing w:after="0" w:line="302" w:lineRule="auto"/>
        <w:tabs>
          <w:tab w:leader="none" w:pos="177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54" w:lineRule="exact"/>
        <w:rPr>
          <w:rFonts w:ascii="Arial" w:cs="Arial" w:eastAsia="Arial" w:hAnsi="Arial"/>
          <w:sz w:val="16"/>
          <w:szCs w:val="16"/>
          <w:color w:val="auto"/>
        </w:rPr>
      </w:pPr>
    </w:p>
    <w:p>
      <w:pPr>
        <w:jc w:val="both"/>
        <w:ind w:firstLine="1305"/>
        <w:spacing w:after="0" w:line="286" w:lineRule="auto"/>
        <w:tabs>
          <w:tab w:leader="none" w:pos="178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has failed, within three (3) Business Days after request by an Administrative Agent or any Borrower, to confirm in writing to such Administrative Agent and such Borrower that it will comply with its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such Administrative Agent and such Borrower); or</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75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has, or has a direct or indirect parent company that has, (i) become the subject of a proceeding under any Insolvency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8" w:name="page139"/>
    <w:bookmarkEnd w:id="138"/>
    <w:p>
      <w:pPr>
        <w:jc w:val="both"/>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Lender shall not be a Defaulting Lender solely by virtue of the ownership or acquisition of any equity interest in that Lender or any direct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Defined Benefit Plan</w:t>
      </w:r>
      <w:r>
        <w:rPr>
          <w:rFonts w:ascii="Arial" w:cs="Arial" w:eastAsia="Arial" w:hAnsi="Arial"/>
          <w:sz w:val="18"/>
          <w:szCs w:val="18"/>
          <w:color w:val="auto"/>
        </w:rPr>
        <w:t>” shall mean each of the pension plans identified as such in Schedule 3.16(b).</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Person</w:t>
      </w:r>
      <w:r>
        <w:rPr>
          <w:rFonts w:ascii="Arial" w:cs="Arial" w:eastAsia="Arial" w:hAnsi="Arial"/>
          <w:sz w:val="17"/>
          <w:szCs w:val="17"/>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Arial" w:cs="Arial" w:eastAsia="Arial" w:hAnsi="Arial"/>
          <w:sz w:val="17"/>
          <w:szCs w:val="17"/>
          <w:i w:val="1"/>
          <w:iCs w:val="1"/>
          <w:color w:val="auto"/>
        </w:rPr>
        <w:t>SDN</w:t>
      </w:r>
      <w:r>
        <w:rPr>
          <w:rFonts w:ascii="Arial" w:cs="Arial" w:eastAsia="Arial" w:hAnsi="Arial"/>
          <w:sz w:val="17"/>
          <w:szCs w:val="17"/>
          <w:color w:val="auto"/>
        </w:rPr>
        <w:t>”) on the most current list published by OFAC at its official website or any replacement website or other replacement official publication of such list (“</w:t>
      </w:r>
      <w:r>
        <w:rPr>
          <w:rFonts w:ascii="Arial" w:cs="Arial" w:eastAsia="Arial" w:hAnsi="Arial"/>
          <w:sz w:val="17"/>
          <w:szCs w:val="17"/>
          <w:i w:val="1"/>
          <w:iCs w:val="1"/>
          <w:color w:val="auto"/>
        </w:rPr>
        <w:t>SDN List</w:t>
      </w:r>
      <w:r>
        <w:rPr>
          <w:rFonts w:ascii="Arial" w:cs="Arial" w:eastAsia="Arial" w:hAnsi="Arial"/>
          <w:sz w:val="17"/>
          <w:szCs w:val="17"/>
          <w:color w:val="auto"/>
        </w:rPr>
        <w:t>”); (c) in which an entity on the SDN List has, to the knowledge of Parent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Note</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Proceeds</w:t>
      </w:r>
      <w:r>
        <w:rPr>
          <w:rFonts w:ascii="Arial" w:cs="Arial" w:eastAsia="Arial" w:hAnsi="Arial"/>
          <w:sz w:val="18"/>
          <w:szCs w:val="18"/>
          <w:color w:val="auto"/>
        </w:rPr>
        <w:t>” shall mean, in respect of any Bankers’ Acceptance required to be purchased by a Lender hereunder, an amount (rounded to the nearest whole cent with one-half of one cent being rounded up) determined as of the applicable date of Borrowing that is equal to the Face Amount multiplied by the Price, where “</w:t>
      </w:r>
      <w:r>
        <w:rPr>
          <w:rFonts w:ascii="Arial" w:cs="Arial" w:eastAsia="Arial" w:hAnsi="Arial"/>
          <w:sz w:val="18"/>
          <w:szCs w:val="18"/>
          <w:i w:val="1"/>
          <w:iCs w:val="1"/>
          <w:color w:val="auto"/>
        </w:rPr>
        <w:t>Face Amount</w:t>
      </w:r>
      <w:r>
        <w:rPr>
          <w:rFonts w:ascii="Arial" w:cs="Arial" w:eastAsia="Arial" w:hAnsi="Arial"/>
          <w:sz w:val="18"/>
          <w:szCs w:val="18"/>
          <w:color w:val="auto"/>
        </w:rPr>
        <w:t>” is the face amount of such Bankers’ Acceptance and “Price” is equal to:</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-10160</wp:posOffset>
            </wp:positionV>
            <wp:extent cx="12858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(Rate x Term)) x 365</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where the “</w:t>
      </w:r>
      <w:r>
        <w:rPr>
          <w:rFonts w:ascii="Arial" w:cs="Arial" w:eastAsia="Arial" w:hAnsi="Arial"/>
          <w:sz w:val="17"/>
          <w:szCs w:val="17"/>
          <w:i w:val="1"/>
          <w:iCs w:val="1"/>
          <w:color w:val="auto"/>
        </w:rPr>
        <w:t>Rate</w:t>
      </w:r>
      <w:r>
        <w:rPr>
          <w:rFonts w:ascii="Arial" w:cs="Arial" w:eastAsia="Arial" w:hAnsi="Arial"/>
          <w:sz w:val="17"/>
          <w:szCs w:val="17"/>
          <w:color w:val="auto"/>
        </w:rPr>
        <w:t>” is the applicable Discount Rate expressed as a decimal on the day of purchase; the “</w:t>
      </w:r>
      <w:r>
        <w:rPr>
          <w:rFonts w:ascii="Arial" w:cs="Arial" w:eastAsia="Arial" w:hAnsi="Arial"/>
          <w:sz w:val="17"/>
          <w:szCs w:val="17"/>
          <w:i w:val="1"/>
          <w:iCs w:val="1"/>
          <w:color w:val="auto"/>
        </w:rPr>
        <w:t>Term</w:t>
      </w:r>
      <w:r>
        <w:rPr>
          <w:rFonts w:ascii="Arial" w:cs="Arial" w:eastAsia="Arial" w:hAnsi="Arial"/>
          <w:sz w:val="17"/>
          <w:szCs w:val="17"/>
          <w:color w:val="auto"/>
        </w:rPr>
        <w:t>” is the term of such Bankers' Acceptance expressed as a number of days; and the Price as so determined is rounded up or down to the fifth decimal place with .000005 being rounded up.</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Discount Rate</w:t>
      </w:r>
      <w:r>
        <w:rPr>
          <w:rFonts w:ascii="Arial" w:cs="Arial" w:eastAsia="Arial" w:hAnsi="Arial"/>
          <w:sz w:val="16"/>
          <w:szCs w:val="16"/>
          <w:color w:val="auto"/>
        </w:rPr>
        <w:t>” shall mean, with respect to the issuance of a Bankers’ Acceptance, the rate of interest per annum, calculated on the basis of a year of 365 days, (rounded upwards, if necessary, to the nearest whole multiple of 1/100th of one percent) which is equal to the discount exacted by a purchaser taking initial delivery of such Bankers’ Acceptance, calculated as a rate per annum and as if the issuer thereof received the discount proceeds in respect of such Bankers’ Acceptance on its date of issuance and had repaid the respective face amount of such Bankers’ Acceptance on the maturity date thereof.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Documents</w:t>
      </w:r>
      <w:r>
        <w:rPr>
          <w:rFonts w:ascii="Arial" w:cs="Arial" w:eastAsia="Arial" w:hAnsi="Arial"/>
          <w:sz w:val="18"/>
          <w:szCs w:val="18"/>
          <w:color w:val="auto"/>
        </w:rPr>
        <w:t>” shall have the meaning assigned to such term in Section 1.03(b).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 of America.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Subsidiaries</w:t>
      </w:r>
      <w:r>
        <w:rPr>
          <w:rFonts w:ascii="Arial" w:cs="Arial" w:eastAsia="Arial" w:hAnsi="Arial"/>
          <w:sz w:val="18"/>
          <w:szCs w:val="18"/>
          <w:color w:val="auto"/>
        </w:rPr>
        <w:t>” shall mean all Subsidiaries (other than the U.S. Borrower) incorporated or organized under the laws of the United States of America, any State thereof or the District of Columbia.</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(v) [reserved], (vi) transaction costs associated with the Noralta Acquisition and other Permitted Acquisitions in an aggregate amount not to exceed U.S.$10,000,000 incurred since January 1, 2018 and during the term of this Agreement and (vii) the amount of cost savings, operating expense reductions and synergies directly attributable and of continuing effect and projected by the Parent Borrower in good faith to be realized within 12 months after consummation of a Permitted Acquisition (calculated on a pro forma basis as though such cost savings, operating expense reductions and synergies had been realized on the first day of such period for which EBITDA is being determined and as if such cost savings, operating expense reductions and synergies were realized during the entirety of such period), net of the amount of actual benefits realized during such period from such actions; provided that (A) such cost savings, operating expense reductions and synergies (1) are reasonably identifiable and factually supportable and (2) have been approved by the Administrative Agent in its reasonable discretion and (B) the aggregate amount of such cost savings, operating expense reductions and synergies included pursuant to this clause (a)(vii), shall not exceed 10% of EBITDA (after giving effect to this clause (a)(vii)),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Assignee</w:t>
      </w:r>
      <w:r>
        <w:rPr>
          <w:rFonts w:ascii="Arial" w:cs="Arial" w:eastAsia="Arial" w:hAnsi="Arial"/>
          <w:sz w:val="17"/>
          <w:szCs w:val="17"/>
          <w:color w:val="auto"/>
        </w:rPr>
        <w:t>” shall mean (a) a Lender, (b) an Affiliate of a Lender, (c) an Approved Fund, and (d) any other person (other than a natural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Liability</w:t>
      </w:r>
      <w:r>
        <w:rPr>
          <w:rFonts w:ascii="Arial" w:cs="Arial" w:eastAsia="Arial" w:hAnsi="Arial"/>
          <w:sz w:val="17"/>
          <w:szCs w:val="17"/>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shall mean the Employee Retirement Income Security Act of 1974, as the same may be amended from time to time.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Event</w:t>
      </w:r>
      <w:r>
        <w:rPr>
          <w:rFonts w:ascii="Arial" w:cs="Arial" w:eastAsia="Arial" w:hAnsi="Arial"/>
          <w:sz w:val="16"/>
          <w:szCs w:val="16"/>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w:t>
      </w:r>
    </w:p>
    <w:p>
      <w:pPr>
        <w:jc w:val="both"/>
        <w:ind w:firstLine="8"/>
        <w:spacing w:after="0" w:line="251" w:lineRule="auto"/>
        <w:tabs>
          <w:tab w:leader="none" w:pos="26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 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or in reorganization, within the meaning of Title IV of ERISA; (g) the occurrence of a “prohibited transaction” with respect to which a Borrower or any of the Subsidiaries is a “disqualified person” (within the meaning of Section 4975 of the Code) or with respect to which a Borrower or any such Subsidiary could otherwise be liable; or (h) any other event or condition with respect to a Plan or Multiemployer Plan that could result in liability of a Borrower or any Subsidiary.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1" w:name="page142"/>
    <w:bookmarkEnd w:id="14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shall have the meaning assigned to such term in Article VII.</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Rate</w:t>
      </w:r>
      <w:r>
        <w:rPr>
          <w:rFonts w:ascii="Arial" w:cs="Arial" w:eastAsia="Arial" w:hAnsi="Arial"/>
          <w:sz w:val="17"/>
          <w:szCs w:val="17"/>
          <w:color w:val="auto"/>
        </w:rPr>
        <w:t xml:space="preserve">” shall mean, on any day, (a) with respect to the Canadian Revolving Credit Facilities only, for purposes of determining the U.S. Dollar Equivalent of Canadian dollars and the Canadian Dollar Equivalent, the rate of exchange for Canadian interbank transactions at which Canadian dollars may be exchanged into U.S. dollars or at which U.S. dollars may be exchanged into Canadian dollars, respectively, established by the Bank of Canada and quoted at approximately the end of business (Standard Time) for the day in question or, if such determination is required to made prior to such time, as quoted at approximately the end of business (Standard Time) on the Business Day immediately preceding the date of determination, (b) 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dollars may be exchanged into Australian dollars, respectively, as at 12:00 p.m. (London time) on such day, and (c)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Parent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2" w:name="page143"/>
    <w:bookmarkEnd w:id="142"/>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Swap Obligation</w:t>
      </w:r>
      <w:r>
        <w:rPr>
          <w:rFonts w:ascii="Arial" w:cs="Arial" w:eastAsia="Arial" w:hAnsi="Arial"/>
          <w:sz w:val="16"/>
          <w:szCs w:val="16"/>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or Swing Line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 to a Lender that is an Offshore Associate of the Australian Borrower, or as a result of there being less than two Lenders under this Agreement, (g) in respect of any Australian Revolving Borrowing, Taxes which arise from the failure of (1) 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Exiting Australian Lender</w:t>
      </w:r>
      <w:r>
        <w:rPr>
          <w:rFonts w:ascii="Arial" w:cs="Arial" w:eastAsia="Arial" w:hAnsi="Arial"/>
          <w:sz w:val="17"/>
          <w:szCs w:val="17"/>
          <w:color w:val="auto"/>
        </w:rPr>
        <w:t>” shall mean each Lender identified as an Exiting Australian Lender on the signature pages to this Agreement.</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shall mean the U.S. Revolving Credit Facility, the Canadian Term Loan Facility, the Canadian Revolving Credit Facility or the Australian Revolving Credit Facility, in each case as the context may require.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FCPA</w:t>
      </w:r>
      <w:r>
        <w:rPr>
          <w:rFonts w:ascii="Arial" w:cs="Arial" w:eastAsia="Arial" w:hAnsi="Arial"/>
          <w:sz w:val="18"/>
          <w:szCs w:val="18"/>
          <w:color w:val="auto"/>
        </w:rPr>
        <w:t>” shall mean the United States Foreign Corrupt Practices Act of 1977.</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Federal Funds Effective Rate</w:t>
      </w:r>
      <w:r>
        <w:rPr>
          <w:rFonts w:ascii="Arial" w:cs="Arial" w:eastAsia="Arial" w:hAnsi="Arial"/>
          <w:sz w:val="17"/>
          <w:szCs w:val="17"/>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rate (rounded upwards, if necessary, to the next 1/100 of 1%) for such transactions as determined by the Administrative Agent.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w:t>
      </w:r>
      <w:r>
        <w:rPr>
          <w:rFonts w:ascii="Arial" w:cs="Arial" w:eastAsia="Arial" w:hAnsi="Arial"/>
          <w:sz w:val="18"/>
          <w:szCs w:val="18"/>
          <w:color w:val="auto"/>
        </w:rPr>
        <w:t>” shall mean, collectively, (a) the letter agreement dated as of April 4, 2014 between the Original U.S. Borrower and RBC, and (b) the three letter agreements dated as of the Closing Date between the Parent Borrower and RBC.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Fees</w:t>
      </w:r>
      <w:r>
        <w:rPr>
          <w:rFonts w:ascii="Arial" w:cs="Arial" w:eastAsia="Arial" w:hAnsi="Arial"/>
          <w:sz w:val="16"/>
          <w:szCs w:val="16"/>
          <w:color w:val="auto"/>
        </w:rPr>
        <w:t>” shall mean, collectively, the Commitment Fees, the L/C Participation Fees, the Issuing Bank Fees and all fees set forth in the Fee Letter.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Covenants</w:t>
      </w:r>
      <w:r>
        <w:rPr>
          <w:rFonts w:ascii="Arial" w:cs="Arial" w:eastAsia="Arial" w:hAnsi="Arial"/>
          <w:sz w:val="18"/>
          <w:szCs w:val="18"/>
          <w:color w:val="auto"/>
        </w:rPr>
        <w:t>” shall means the financial covenants set forth in Sections 6.10 and 6.11.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Financial Officer</w:t>
      </w:r>
      <w:r>
        <w:rPr>
          <w:rFonts w:ascii="Arial" w:cs="Arial" w:eastAsia="Arial" w:hAnsi="Arial"/>
          <w:sz w:val="17"/>
          <w:szCs w:val="17"/>
          <w:color w:val="auto"/>
        </w:rPr>
        <w:t>” of any person shall mean the chief financial officer, principal accounting officer, treasurer or controller of such person.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Amendment</w:t>
      </w:r>
      <w:r>
        <w:rPr>
          <w:rFonts w:ascii="Arial" w:cs="Arial" w:eastAsia="Arial" w:hAnsi="Arial"/>
          <w:sz w:val="18"/>
          <w:szCs w:val="18"/>
          <w:color w:val="auto"/>
        </w:rPr>
        <w:t>” shall mean that certain First Amendment to Syndicated Facility Agreement, dated as of May 13, 2015, among the Borrowers, the Administrative Agents and the Lenders party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Amendment Effective Date</w:t>
      </w:r>
      <w:r>
        <w:rPr>
          <w:rFonts w:ascii="Arial" w:cs="Arial" w:eastAsia="Arial" w:hAnsi="Arial"/>
          <w:sz w:val="18"/>
          <w:szCs w:val="18"/>
          <w:color w:val="auto"/>
        </w:rPr>
        <w:t>” shall have the meaning set forth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Scheme or Arrangement</w:t>
      </w:r>
      <w:r>
        <w:rPr>
          <w:rFonts w:ascii="Arial" w:cs="Arial" w:eastAsia="Arial" w:hAnsi="Arial"/>
          <w:sz w:val="18"/>
          <w:szCs w:val="18"/>
          <w:color w:val="auto"/>
        </w:rPr>
        <w:t>” shall have the meaning assigned to such term in Section 3.16(c).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Lender</w:t>
      </w:r>
      <w:r>
        <w:rPr>
          <w:rFonts w:ascii="Arial" w:cs="Arial" w:eastAsia="Arial" w:hAnsi="Arial"/>
          <w:sz w:val="18"/>
          <w:szCs w:val="18"/>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Plan</w:t>
      </w:r>
      <w:r>
        <w:rPr>
          <w:rFonts w:ascii="Arial" w:cs="Arial" w:eastAsia="Arial" w:hAnsi="Arial"/>
          <w:sz w:val="18"/>
          <w:szCs w:val="18"/>
          <w:color w:val="auto"/>
        </w:rPr>
        <w:t>” shall have the meaning assigned to such term in Section 3.16(c).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shall mean any Subsidiary that is not (a) a Domestic Subsidiary or (b) a U.S. Borrower.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Fronting Exposure</w:t>
      </w:r>
      <w:r>
        <w:rPr>
          <w:rFonts w:ascii="Arial" w:cs="Arial" w:eastAsia="Arial" w:hAnsi="Arial"/>
          <w:sz w:val="17"/>
          <w:szCs w:val="17"/>
          <w:color w:val="auto"/>
        </w:rPr>
        <w:t>” shall mean, at any time there is a Defaulting Lender, with respect to an Issuing Bank, (a) such Defaulting Lender’s U.S. Revolving Pro Rata Percentage, Canadian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shall mean any Domestic Subsidiary that is a disregarded entity for U.S. federal income tax purposes substantially all of the assets of which consist of, directly or indirectly, Equity Interests in or Indebtedness of Foreign Subsidiaries that are U.S. Owned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shall mean United States generally accepted accounting principles applied on a consistent basis.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Granting Lender</w:t>
      </w:r>
      <w:r>
        <w:rPr>
          <w:rFonts w:ascii="Arial" w:cs="Arial" w:eastAsia="Arial" w:hAnsi="Arial"/>
          <w:sz w:val="18"/>
          <w:szCs w:val="18"/>
          <w:color w:val="auto"/>
        </w:rPr>
        <w:t>” shall have the meaning assigned to such term in Section 9.04(g).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GST Act</w:t>
      </w:r>
      <w:r>
        <w:rPr>
          <w:rFonts w:ascii="Arial" w:cs="Arial" w:eastAsia="Arial" w:hAnsi="Arial"/>
          <w:sz w:val="18"/>
          <w:szCs w:val="18"/>
          <w:color w:val="auto"/>
        </w:rPr>
        <w:t xml:space="preserve">” shall mean </w:t>
      </w:r>
      <w:r>
        <w:rPr>
          <w:rFonts w:ascii="Arial" w:cs="Arial" w:eastAsia="Arial" w:hAnsi="Arial"/>
          <w:sz w:val="18"/>
          <w:szCs w:val="18"/>
          <w:i w:val="1"/>
          <w:iCs w:val="1"/>
          <w:color w:val="auto"/>
        </w:rPr>
        <w:t>A New Tax System (Goods and Services Tax) Act 1999 (Cth)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GST Law</w:t>
      </w:r>
      <w:r>
        <w:rPr>
          <w:rFonts w:ascii="Arial" w:cs="Arial" w:eastAsia="Arial" w:hAnsi="Arial"/>
          <w:sz w:val="18"/>
          <w:szCs w:val="18"/>
          <w:color w:val="auto"/>
        </w:rPr>
        <w:t>” shall have the meaning it has in the GST Act.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shall mean (a) any obligation, contingent or otherwise, of such person guaranteeing or having the economic effect of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“Guarantee” shall not include endorsements for collection or deposit in the ordinary course of business.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Agreements</w:t>
      </w:r>
      <w:r>
        <w:rPr>
          <w:rFonts w:ascii="Arial" w:cs="Arial" w:eastAsia="Arial" w:hAnsi="Arial"/>
          <w:sz w:val="18"/>
          <w:szCs w:val="18"/>
          <w:color w:val="auto"/>
        </w:rPr>
        <w:t>” shall mean, collectively, the U.S. Guarantee Agreement, the Australian Guarantee Agreement, the Canadian Guarantee Agreement and the Parent Borrower Guarantee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shall mean, collectively, the Borrowers and the Subsidiary Guarantors.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Agreement</w:t>
      </w:r>
      <w:r>
        <w:rPr>
          <w:rFonts w:ascii="Arial" w:cs="Arial" w:eastAsia="Arial" w:hAnsi="Arial"/>
          <w:sz w:val="18"/>
          <w:szCs w:val="18"/>
          <w:color w:val="auto"/>
        </w:rPr>
        <w:t>” shall mean any interest rate protection agreement, foreign currency exchange agreement, commodity price protection agreement or other interest or currency exchange rate or commodity price hedging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Increased Amount Date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Lender</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Credit Increase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6" w:name="page147"/>
    <w:bookmarkEnd w:id="146"/>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 Law</w:t>
      </w:r>
      <w:r>
        <w:rPr>
          <w:rFonts w:ascii="Arial" w:cs="Arial" w:eastAsia="Arial" w:hAnsi="Arial"/>
          <w:sz w:val="16"/>
          <w:szCs w:val="16"/>
          <w:color w:val="auto"/>
        </w:rPr>
        <w:t xml:space="preserve">” shall mean, to the extent applicable, (a) Title 11 of the United States Code, (b)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 (c) the </w:t>
      </w:r>
      <w:r>
        <w:rPr>
          <w:rFonts w:ascii="Arial" w:cs="Arial" w:eastAsia="Arial" w:hAnsi="Arial"/>
          <w:sz w:val="16"/>
          <w:szCs w:val="16"/>
          <w:i w:val="1"/>
          <w:iCs w:val="1"/>
          <w:color w:val="auto"/>
        </w:rPr>
        <w:t xml:space="preserve">Companies’ Creditors Arrangement Act </w:t>
      </w:r>
      <w:r>
        <w:rPr>
          <w:rFonts w:ascii="Arial" w:cs="Arial" w:eastAsia="Arial" w:hAnsi="Arial"/>
          <w:sz w:val="16"/>
          <w:szCs w:val="16"/>
          <w:color w:val="auto"/>
        </w:rPr>
        <w:t>(Canada), (d) Chapter 5 of the Australian Corporations Act; (e) any similar federal, provincial, state, local or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or insolvency law applicable to the Parent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Coverage Ratio</w:t>
      </w:r>
      <w:r>
        <w:rPr>
          <w:rFonts w:ascii="Arial" w:cs="Arial" w:eastAsia="Arial" w:hAnsi="Arial"/>
          <w:sz w:val="18"/>
          <w:szCs w:val="18"/>
          <w:color w:val="auto"/>
        </w:rPr>
        <w:t xml:space="preserve">” for any period shall mean the ratio of (a) Consolidated EBITDA for such period to (b) Consolidated Interest Expense for the Parent Borrower and the Subsidiaries for such period. Solely for purposes of this definition, if, at any time the Interest Coverage Ratio is being determined, the Parent Borrower or any Subsidiary shall have completed a Permitted Acquisition or Asset Sale the consideration of which is greater than $25,000,000 since the beginning of the relevant four fiscal quarter period, the Interest Coverage Ratio shall be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7" w:name="page148"/>
    <w:bookmarkEnd w:id="147"/>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Eurocurrency Loan or BBSY Rate Loan, the last day of the Interest Period applicable to the Borrowing of which such Loan is a part and the earlier of the Maturity Date and the date on which the applicable Commitment shall expire or be terminated as provided herein, and in the case of a Eurocurrency Borrowing or BBSY Rate Borrowing with an Interest Period of more than three months’ duration, each day that would have been an Interest Payment Date had successive Interest Periods of three months’ duration been applicable to such Borrowing.</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shall mean, with respect to any Eurocurrency Borrowing or BBSY Rate Borrowing, the period commencing on the date of such Borrowing and ending on the numerically corresponding day (or, if there is no numerically corresponding day, on the last day) in the calendar month that is 1, 3 or 6 months thereafter (or 12 months or a shorter period, in each case if requested by the Applicable Borrower and consented to by all Applicable Lenders (including consent by verbal or electronic communication (e-mail)),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that has not responded to such request within three Business Days shall be deemed to have consented), as a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w:t>
      </w:r>
      <w:r>
        <w:rPr>
          <w:rFonts w:ascii="Arial" w:cs="Arial" w:eastAsia="Arial" w:hAnsi="Arial"/>
          <w:sz w:val="18"/>
          <w:szCs w:val="18"/>
          <w:color w:val="auto"/>
        </w:rPr>
        <w:t>” shall have the meaning assigned to such term in Section 6.04.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Issuing Bank</w:t>
      </w:r>
      <w:r>
        <w:rPr>
          <w:rFonts w:ascii="Arial" w:cs="Arial" w:eastAsia="Arial" w:hAnsi="Arial"/>
          <w:sz w:val="17"/>
          <w:szCs w:val="17"/>
          <w:color w:val="auto"/>
        </w:rPr>
        <w:t>” shall mean, as the context may require, (a) RBC, with respect to Letters of Credit issued by it, (b) RBC Europe, with respect to Letters of Credit issued by it, (c) The Toronto Dominion Bank, with respect to Letters of Credit issued by it, (d) The Bank of Nova Scotia, with respect to Letters of Credit issued by it, (e) with respect to each Rolled Letter of Credit, the Lender that issued such Rolled Letter of Credit and (f) any other Lender that may become an Issuing Bank pursuant to Section 2.21(j) or (l) with respect to Letters of Credit issued by such Lender, or (h)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Fees</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ITA</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 and any successor thereto, and any regulations promulgated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shall have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 Conversion Date</w:t>
      </w:r>
      <w:r>
        <w:rPr>
          <w:rFonts w:ascii="Arial" w:cs="Arial" w:eastAsia="Arial" w:hAnsi="Arial"/>
          <w:sz w:val="18"/>
          <w:szCs w:val="18"/>
          <w:color w:val="auto"/>
        </w:rPr>
        <w:t>” shall have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Cash Collateral Account</w:t>
      </w:r>
      <w:r>
        <w:rPr>
          <w:rFonts w:ascii="Arial" w:cs="Arial" w:eastAsia="Arial" w:hAnsi="Arial"/>
          <w:sz w:val="18"/>
          <w:szCs w:val="18"/>
          <w:color w:val="auto"/>
        </w:rPr>
        <w:t>” shall have the meaning assigned to such term in Section 2.21(k).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Commitment</w:t>
      </w:r>
      <w:r>
        <w:rPr>
          <w:rFonts w:ascii="Arial" w:cs="Arial" w:eastAsia="Arial" w:hAnsi="Arial"/>
          <w:sz w:val="18"/>
          <w:szCs w:val="18"/>
          <w:color w:val="auto"/>
        </w:rPr>
        <w:t>” shall mean the commitment of each Issuing Bank to issue Letters of Credit pursuant to Section 2.21.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shall mean a payment or disbursement made by an Issuing Bank pursuant to a Letter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Exposure</w:t>
      </w:r>
      <w:r>
        <w:rPr>
          <w:rFonts w:ascii="Arial" w:cs="Arial" w:eastAsia="Arial" w:hAnsi="Arial"/>
          <w:sz w:val="18"/>
          <w:szCs w:val="18"/>
          <w:color w:val="auto"/>
        </w:rPr>
        <w:t>” shall mean Australian L/C Exposure, Canadian L/C Exposure or U.S. L/C Exposure, as applicable.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Issuance Limit</w:t>
      </w:r>
      <w:r>
        <w:rPr>
          <w:rFonts w:ascii="Arial" w:cs="Arial" w:eastAsia="Arial" w:hAnsi="Arial"/>
          <w:sz w:val="18"/>
          <w:szCs w:val="18"/>
          <w:color w:val="auto"/>
        </w:rPr>
        <w:t>” shall mean, with respect to each Applicable Issuing Bank, the amount set forth on Schedule 2.21 opposite such Applicable Issuing Bank’s name, or in the case of any Lender that becomes an Applicable Issuing Bank after the Closing Date the amount set forth in the agreement executed by such Lender as contemplated by Section 2.21(l).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Arranger</w:t>
      </w:r>
      <w:r>
        <w:rPr>
          <w:rFonts w:ascii="Arial" w:cs="Arial" w:eastAsia="Arial" w:hAnsi="Arial"/>
          <w:sz w:val="18"/>
          <w:szCs w:val="18"/>
          <w:color w:val="auto"/>
        </w:rPr>
        <w:t>” shall, collectively, mean RBC Capital Markets, HSBC Bank Canada and The Bank Of Nova Scotia.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Joinder Agreement</w:t>
      </w:r>
      <w:r>
        <w:rPr>
          <w:rFonts w:ascii="Arial" w:cs="Arial" w:eastAsia="Arial" w:hAnsi="Arial"/>
          <w:sz w:val="18"/>
          <w:szCs w:val="18"/>
          <w:color w:val="auto"/>
        </w:rPr>
        <w:t>” shall mean a joinder agreement in form and substance reasonably satisfactory to the Applicable Administrative Agent delivered in connection with Section 2.25.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shall mean any standby or commercial letter of credit issued (or, in the case of a Rolled Letter of Credit, deemed issued) pursuant to Section 2.21. A Letter of Credit shall be a “U.S. Letter of Credit” if issued under the U.S. Revolving Credit Facility, a “Canadian Letter of Credit” if issued under the Canadian Revolving Credit Facility and an “Australian Letter of Credit” issued under the Australian Revolving Credit Facility; provided that no commercial letter of credit shall be issued under the Australian Revolving Credit Facility.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Application</w:t>
      </w:r>
      <w:r>
        <w:rPr>
          <w:rFonts w:ascii="Arial" w:cs="Arial" w:eastAsia="Arial" w:hAnsi="Arial"/>
          <w:sz w:val="18"/>
          <w:szCs w:val="18"/>
          <w:color w:val="auto"/>
        </w:rPr>
        <w:t>” shall mean an application and agreement for the issuance, amendment or extension of a Letter of Credit in the form from time to time in use by an Issuing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9" w:name="page150"/>
    <w:bookmarkEnd w:id="14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Documents</w:t>
      </w:r>
      <w:r>
        <w:rPr>
          <w:rFonts w:ascii="Arial" w:cs="Arial" w:eastAsia="Arial" w:hAnsi="Arial"/>
          <w:sz w:val="18"/>
          <w:szCs w:val="18"/>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LIBO Rate</w:t>
      </w:r>
      <w:r>
        <w:rPr>
          <w:rFonts w:ascii="Arial" w:cs="Arial" w:eastAsia="Arial" w:hAnsi="Arial"/>
          <w:sz w:val="16"/>
          <w:szCs w:val="16"/>
          <w:color w:val="auto"/>
        </w:rPr>
        <w:t xml:space="preserve">” shall mean, except as provided in Section 2.08, with respect to any Eurocurrency Borrowing for any Interest Period, the interest rate per annum (rounded upward to the nearest whole multiple of 1/100 of 1%) determined by the Applicable Administrative Agent at approximately 11:00 a.m. (London time), on the date that is two Business Days prior to the commencement of such Interest Period by reference to the rate set by ICE Benchmark Administration for deposits in U.S. dollars (as set forth by any service selected by the Applicable Administrative Agent that has been nominated by ICE Benchmark Administration as an authorized information vendor for the purpose of displaying such rates) for a period of comparable term and amount and having a maturity equal to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to the extent that an interest rate is not ascertainable pursuant to the foregoing provisions of this definition, the “LIBO Rate” shall be the interest rate per annum determined by the Applicable Administrative Agent to be the average of the rates per annum at which deposits in U.S. dollars are offered for such relevant Interest Period to major banks in the London interbank market in London, England by the Applicable Administrative Agent at approximately 11:00 a.m. (London time) on the date that is two Business Days prior to the beginning of such Interest Period and (b) if the LIBO Rate is less than zero at any time, such rate shall be deemed to be zero at such time for purposes of this Agreement.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xml:space="preserve">” shall mean, collectively, this Agreement, any Notes, if any, issued pursuant to Section 2.04(h), any Discount Notes, if any, issued pursuant to Section 2.22(h), the Guarantee Agreements, the Security Documents, the Australian Land Access Agreements, the Letter of Credit Documents, the Fee Letter, the CAM Exchange Agreement and each other certificate, agreement, instrument or other document executed and delivered, in each case, by or on behalf of any Loan Party pursuant to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Section 9.08, “Loan Documents” shall mean this Agreement, the Guarantee Agreements and the Security Documents.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Parties</w:t>
      </w:r>
      <w:r>
        <w:rPr>
          <w:rFonts w:ascii="Arial" w:cs="Arial" w:eastAsia="Arial" w:hAnsi="Arial"/>
          <w:sz w:val="18"/>
          <w:szCs w:val="18"/>
          <w:color w:val="auto"/>
        </w:rPr>
        <w:t>” shall mean the Borrowers and the Guarantors.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shall mean, collectively, the U.S. Loans, the Canadian Revolving Credit Loans, the Canadian Term Loans, the Australian Revolving Credit Loans and the Swing Line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shall have the meaning assigned to such term in Regulation U.</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0" w:name="page151"/>
    <w:bookmarkEnd w:id="150"/>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shall mean (a) a materially adverse effect on the business, assets, operations or condition (financial or otherwise) of the Parent Borrower and its subsidiaries, taken as a whole, (b) material impairment of the ability of any Borrower or any other Loan Party to perform any of its obligations under any Loan Document to which it is or will be a party or (c) material impairment of the rights of or benefits available to the Lenders and the Agents under any Loan Document.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Subsidiary</w:t>
      </w:r>
      <w:r>
        <w:rPr>
          <w:rFonts w:ascii="Arial" w:cs="Arial" w:eastAsia="Arial" w:hAnsi="Arial"/>
          <w:sz w:val="17"/>
          <w:szCs w:val="17"/>
          <w:color w:val="auto"/>
        </w:rPr>
        <w:t xml:space="preserve">” shall mean any Subsidiary of the Parent Borrower that, as of the most recent date for which financial statements required to be delivered pursuant to Sections 5.04(a) or (b) are available, has either (a) net tangible assets (excluding assets that are eliminated in the calculation of consolidated net tangible assets of the Parent Borrower and its subsidiaries) that constitute more than 5% of the consolidated net tangible assets of the Parent Borrower and its subsidiaries or (b) EBITDA greater than 5% of the total EBITDA of the Parent Borrower and its subsidiaries on consolidated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(i) the combined net tangible assets of the Subsidiaries that are not considered to be Material Subsidiaries (referred to herein as the “</w:t>
      </w:r>
      <w:r>
        <w:rPr>
          <w:rFonts w:ascii="Arial" w:cs="Arial" w:eastAsia="Arial" w:hAnsi="Arial"/>
          <w:sz w:val="17"/>
          <w:szCs w:val="17"/>
          <w:i w:val="1"/>
          <w:iCs w:val="1"/>
          <w:color w:val="auto"/>
        </w:rPr>
        <w:t>Immaterial</w:t>
      </w:r>
      <w:r>
        <w:rPr>
          <w:rFonts w:ascii="Arial" w:cs="Arial" w:eastAsia="Arial" w:hAnsi="Arial"/>
          <w:sz w:val="17"/>
          <w:szCs w:val="17"/>
          <w:color w:val="auto"/>
        </w:rPr>
        <w:t xml:space="preserve"> </w:t>
      </w:r>
      <w:r>
        <w:rPr>
          <w:rFonts w:ascii="Arial" w:cs="Arial" w:eastAsia="Arial" w:hAnsi="Arial"/>
          <w:sz w:val="17"/>
          <w:szCs w:val="17"/>
          <w:i w:val="1"/>
          <w:iCs w:val="1"/>
          <w:color w:val="auto"/>
        </w:rPr>
        <w:t>Subsidiaries</w:t>
      </w:r>
      <w:r>
        <w:rPr>
          <w:rFonts w:ascii="Arial" w:cs="Arial" w:eastAsia="Arial" w:hAnsi="Arial"/>
          <w:sz w:val="17"/>
          <w:szCs w:val="17"/>
          <w:color w:val="auto"/>
        </w:rPr>
        <w:t>”) exceeds 15% of consolidated net tangible assets of the Parent Borrower and its subsidiaries, or (ii) the combined EBITDA of the Immaterial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exceeds 15% of the total EBITDA of the Parent Borrower and its subsidiaries on consolidated basis, then one or more of such Immaterial Subsidiaries shall be deemed to be Material Subsidiaries in descending order based on the respective percentage of consolidated net tangible assets or percentage of the total EBITDA of the Parent Borrower and its subsidiaries on consolidated basis until such excess shall have been eliminated. Each Material Subsidiary listed on Schedules 1.01(b), 1.01(c) and 1.01(d) is a Guarantor as of the Closing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shall mean November 30,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Rate</w:t>
      </w:r>
      <w:r>
        <w:rPr>
          <w:rFonts w:ascii="Arial" w:cs="Arial" w:eastAsia="Arial" w:hAnsi="Arial"/>
          <w:sz w:val="18"/>
          <w:szCs w:val="18"/>
          <w:color w:val="auto"/>
        </w:rPr>
        <w:t>” shall have the meaning assigned to such term in Section 9.09.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Moody’s</w:t>
      </w:r>
      <w:r>
        <w:rPr>
          <w:rFonts w:ascii="Arial" w:cs="Arial" w:eastAsia="Arial" w:hAnsi="Arial"/>
          <w:sz w:val="17"/>
          <w:szCs w:val="17"/>
          <w:color w:val="auto"/>
        </w:rPr>
        <w:t>” shall mean Moody’s Investors Service, Inc. and any successor thereto which is a nationally recognized statistical rating 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shall mean a multiemployer plan as defined in Section 4001(a)(3) of ERISA.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1" w:name="page152"/>
    <w:bookmarkEnd w:id="151"/>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Cash Proceeds</w:t>
      </w:r>
      <w:r>
        <w:rPr>
          <w:rFonts w:ascii="Arial" w:cs="Arial" w:eastAsia="Arial" w:hAnsi="Arial"/>
          <w:sz w:val="16"/>
          <w:szCs w:val="16"/>
          <w:color w:val="auto"/>
        </w:rPr>
        <w:t xml:space="preserve">” shall mean, as applicable, (a) with respect to any Asset Sale, the cash (which term, for purposes of this definition, shall include any Permitted Investments, deferred payment pursuant to, or by monetization of, a note receivable or otherwise, but only as and when received) proceeds received by the Parent Borrower or any of its Subsidiaries therefrom, less the sum of (i) all income taxes and other taxes payable (or reasonably estimated to be payable) to a Governmental Authority as a result of such transaction, (ii) all reasonable and customary out-of-pocket fees (including, without limitation, legal, accounting and advisory fees, and sales commissions) and expenses incurred in connection with such transaction or event, (iii) the principal amount of, premium or penalty, if any, and interest on any Indebtedness secured by a Lien on the asset (or a portion thereof) disposed of, which Indebtedness is required to be repaid in connection with such transaction or event (other than pursuant to Section 2.12), (iv) any amounts paid in respect of Hedging Agreement terminated as a result of the payment of Indebtedness under clause (iii), (v) all distributions and other payments required to be made to minority interest holders in Subsidiaries or joint ventures or to holders of royalty or similar interests as a result of such Asset Sale and (vi) the amount of any reserves established by the Parent Borrower or any of its subsidiaries in accordance with GAAP, Canadian GAAP or Australian GAAP, as applicable,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such Net Cash Proceeds received by any Foreign Subsidiary may not be distributed as a cash dividend or a similar cash distribution to a Loan Party without the Parent Borrower and its Subsidiaries incurring adverse tax consequences, as reasonably determined by the Parent Borrower, such proceeds shall, so long as no Event of Default shall have occurred and be continuing at the time of the receipt thereof, not constitute “Net Cash Proceeds” and (b) with respect to any issuance or incurrence of Indebtedness, the cash proceeds thereof, net of all customary fees, commissions, costs and other expenses incurred in connection therewith and, in respect of any Indebtedness that is incurred to refinance or replace any existing Indebtedness, the amount thereof that is used to effect such refinancing or replacement.</w:t>
      </w:r>
    </w:p>
    <w:p>
      <w:pPr>
        <w:spacing w:after="0" w:line="3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Non-Consenting Lender</w:t>
      </w:r>
      <w:r>
        <w:rPr>
          <w:rFonts w:ascii="Arial" w:cs="Arial" w:eastAsia="Arial" w:hAnsi="Arial"/>
          <w:sz w:val="18"/>
          <w:szCs w:val="18"/>
          <w:color w:val="auto"/>
        </w:rPr>
        <w:t>”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shall mean,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Noralta</w:t>
      </w:r>
      <w:r>
        <w:rPr>
          <w:rFonts w:ascii="Arial" w:cs="Arial" w:eastAsia="Arial" w:hAnsi="Arial"/>
          <w:sz w:val="18"/>
          <w:szCs w:val="18"/>
          <w:color w:val="auto"/>
        </w:rPr>
        <w:t>” shall mean Noralta Lodge Ltd., a corporation incorporated under the laws of the Province of Alberta.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Noralta Acquired Entities</w:t>
      </w:r>
      <w:r>
        <w:rPr>
          <w:rFonts w:ascii="Arial" w:cs="Arial" w:eastAsia="Arial" w:hAnsi="Arial"/>
          <w:sz w:val="18"/>
          <w:szCs w:val="18"/>
          <w:color w:val="auto"/>
        </w:rPr>
        <w:t>” shall mean Noralta and each of its Subsidiaries.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Noralta Acquisition</w:t>
      </w:r>
      <w:r>
        <w:rPr>
          <w:rFonts w:ascii="Arial" w:cs="Arial" w:eastAsia="Arial" w:hAnsi="Arial"/>
          <w:sz w:val="18"/>
          <w:szCs w:val="18"/>
          <w:color w:val="auto"/>
        </w:rPr>
        <w:t>” shall mean the transactions contemplated by the Noralta Purchase Agreement), pursuant to which the Parent Borrower shall have acquired, directly or indirectly, all of the issued and outstanding shares of Noralta.</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Noralta Purchase Agreement</w:t>
      </w:r>
      <w:r>
        <w:rPr>
          <w:rFonts w:ascii="Arial" w:cs="Arial" w:eastAsia="Arial" w:hAnsi="Arial"/>
          <w:sz w:val="16"/>
          <w:szCs w:val="16"/>
          <w:color w:val="auto"/>
        </w:rPr>
        <w:t>” shall mean the Share Purchase Agreement by and among the Parent Borrower, Noralta Torgerson Family Trust, 2073357 Alberta Ltd., 2073358 Alberta Ltd., 1818939 Alberta Ltd., 2040618 Alberta Ltd., 2040624 Alberta Ltd., 989677 Alberta Ltd. and Lance Torgerson.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2" w:name="page153"/>
    <w:bookmarkEnd w:id="1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shall have the meaning assigned to such term in Section 2.04(h).</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shall mean all obligations defined as “Obligations” in the Guarantee Agreements. Notwithstanding anything to the contrary contained herein, “Obligations” shall not include the Excluded Swap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shall mean the Office of Foreign Assets Control of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Offshore Associate</w:t>
      </w:r>
      <w:r>
        <w:rPr>
          <w:rFonts w:ascii="Arial" w:cs="Arial" w:eastAsia="Arial" w:hAnsi="Arial"/>
          <w:sz w:val="18"/>
          <w:szCs w:val="18"/>
          <w:color w:val="auto"/>
        </w:rPr>
        <w:t>” shall mean an Associate:</w:t>
      </w:r>
    </w:p>
    <w:p>
      <w:pPr>
        <w:spacing w:after="0" w:line="225" w:lineRule="exact"/>
        <w:rPr>
          <w:sz w:val="20"/>
          <w:szCs w:val="20"/>
          <w:color w:val="auto"/>
        </w:rPr>
      </w:pPr>
    </w:p>
    <w:p>
      <w:pPr>
        <w:ind w:firstLine="1305"/>
        <w:spacing w:after="0" w:line="277" w:lineRule="auto"/>
        <w:tabs>
          <w:tab w:leader="none" w:pos="176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which is a non-resident of Australia and does not become a Lender or receive a payment in carrying on a business in Australia at or through a permanent establishment of the Associate in Australia; or</w:t>
      </w:r>
    </w:p>
    <w:p>
      <w:pPr>
        <w:spacing w:after="0" w:line="170" w:lineRule="exact"/>
        <w:rPr>
          <w:rFonts w:ascii="Arial" w:cs="Arial" w:eastAsia="Arial" w:hAnsi="Arial"/>
          <w:sz w:val="18"/>
          <w:szCs w:val="18"/>
          <w:color w:val="auto"/>
        </w:rPr>
      </w:pPr>
    </w:p>
    <w:p>
      <w:pPr>
        <w:ind w:firstLine="1305"/>
        <w:spacing w:after="0" w:line="277" w:lineRule="auto"/>
        <w:tabs>
          <w:tab w:leader="none" w:pos="179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which is a resident of Australia and which becomes a Lender or receives a payment in carrying on a business in a country outside Australia at or through a permanent establishment of the Associate in that country,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and, in either case, which does not become a Lender and receive payment in the capacity of a clearing house, custodian, funds manager or responsible entity of a registered scheme (with each such term having the meaning given for the purposes of section 128F of the Australian Tax Act).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Connection Taxes</w:t>
      </w:r>
      <w:r>
        <w:rPr>
          <w:rFonts w:ascii="Arial" w:cs="Arial" w:eastAsia="Arial" w:hAnsi="Arial"/>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BAs Collateral</w:t>
      </w:r>
      <w:r>
        <w:rPr>
          <w:rFonts w:ascii="Arial" w:cs="Arial" w:eastAsia="Arial" w:hAnsi="Arial"/>
          <w:sz w:val="18"/>
          <w:szCs w:val="18"/>
          <w:color w:val="auto"/>
        </w:rPr>
        <w:t>” shall have the meaning assigned to such term in Section 2.22(k).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Borrower</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Borrower Guarantee Agreement</w:t>
      </w:r>
      <w:r>
        <w:rPr>
          <w:rFonts w:ascii="Arial" w:cs="Arial" w:eastAsia="Arial" w:hAnsi="Arial"/>
          <w:sz w:val="18"/>
          <w:szCs w:val="18"/>
          <w:color w:val="auto"/>
        </w:rPr>
        <w:t xml:space="preserve">” shall mean the Guarantee Agreement, substantially in the form of </w:t>
      </w:r>
      <w:r>
        <w:rPr>
          <w:rFonts w:ascii="Arial" w:cs="Arial" w:eastAsia="Arial" w:hAnsi="Arial"/>
          <w:sz w:val="18"/>
          <w:szCs w:val="18"/>
          <w:u w:val="single" w:color="auto"/>
          <w:color w:val="auto"/>
        </w:rPr>
        <w:t>Exhibit C-4</w:t>
      </w:r>
      <w:r>
        <w:rPr>
          <w:rFonts w:ascii="Arial" w:cs="Arial" w:eastAsia="Arial" w:hAnsi="Arial"/>
          <w:sz w:val="18"/>
          <w:szCs w:val="18"/>
          <w:color w:val="auto"/>
        </w:rPr>
        <w:t>, by the Parent Borrower and each Canadian Subsidiary of the Parent Borrower which is not a U.S. Owned Subsidiary in favor of the Canadian Collateral Agent, for the benefit of the Secured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3" w:name="page154"/>
    <w:bookmarkEnd w:id="153"/>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Borrower Pledge Agreement</w:t>
      </w:r>
      <w:r>
        <w:rPr>
          <w:rFonts w:ascii="Arial" w:cs="Arial" w:eastAsia="Arial" w:hAnsi="Arial"/>
          <w:sz w:val="18"/>
          <w:szCs w:val="18"/>
          <w:color w:val="auto"/>
        </w:rPr>
        <w:t xml:space="preserve">” shall mean the Pledge Agreement, substantially in the form of </w:t>
      </w:r>
      <w:r>
        <w:rPr>
          <w:rFonts w:ascii="Arial" w:cs="Arial" w:eastAsia="Arial" w:hAnsi="Arial"/>
          <w:sz w:val="18"/>
          <w:szCs w:val="18"/>
          <w:u w:val="single" w:color="auto"/>
          <w:color w:val="auto"/>
        </w:rPr>
        <w:t>Exhibit D-4</w:t>
      </w:r>
      <w:r>
        <w:rPr>
          <w:rFonts w:ascii="Arial" w:cs="Arial" w:eastAsia="Arial" w:hAnsi="Arial"/>
          <w:sz w:val="18"/>
          <w:szCs w:val="18"/>
          <w:color w:val="auto"/>
        </w:rPr>
        <w:t>, among the Parent Borrower, as pledgor, each Canadian Subsidiary of the Parent Borrower which is not a U.S. Owned Subsidiary and the Canadian Collateral Agent, for the benefit of the Secured Parties.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Borrower Security Agreement</w:t>
      </w:r>
      <w:r>
        <w:rPr>
          <w:rFonts w:ascii="Arial" w:cs="Arial" w:eastAsia="Arial" w:hAnsi="Arial"/>
          <w:sz w:val="18"/>
          <w:szCs w:val="18"/>
          <w:color w:val="auto"/>
        </w:rPr>
        <w:t xml:space="preserve">” shall mean the Security Agreement,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 among the Parent Borrower, as grantor, each Canadian Subsidiary of the Parent Borrower which is not a U.S. Owned Subsidiary and the Canadian Collateral Agent, for the benefit of the Secured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shall have the meaning assigned to such term in Section 9.04(d).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shall have the meaning assigned to such term in Section 9.04(d).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w:t>
      </w:r>
      <w:r>
        <w:rPr>
          <w:rFonts w:ascii="Arial" w:cs="Arial" w:eastAsia="Arial" w:hAnsi="Arial"/>
          <w:sz w:val="18"/>
          <w:szCs w:val="18"/>
          <w:color w:val="auto"/>
        </w:rPr>
        <w:t>” shall have the meaning assigned to such term in Section 9.21.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shall mean the Pension Benefit Guaranty Corporation referred to and defined in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Act</w:t>
      </w:r>
      <w:r>
        <w:rPr>
          <w:rFonts w:ascii="Arial" w:cs="Arial" w:eastAsia="Arial" w:hAnsi="Arial"/>
          <w:sz w:val="18"/>
          <w:szCs w:val="18"/>
          <w:color w:val="auto"/>
        </w:rPr>
        <w:t>” shall mean the Pension Protection Act of 2006.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Funding Rules</w:t>
      </w:r>
      <w:r>
        <w:rPr>
          <w:rFonts w:ascii="Arial" w:cs="Arial" w:eastAsia="Arial" w:hAnsi="Arial"/>
          <w:sz w:val="18"/>
          <w:szCs w:val="18"/>
          <w:color w:val="auto"/>
        </w:rPr>
        <w:t>” shall mean the rules of the Code and ERISA regarding minimum required contributions (including any installment payment thereof) to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shall mean any acquisition meeting all the criteria of either Section 6.04(i) or Section 6.04(m). For the avoidance of doubt, the Noralta Acquisition shall constitute a Permitted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shall mean:</w:t>
      </w:r>
    </w:p>
    <w:p>
      <w:pPr>
        <w:spacing w:after="0" w:line="225" w:lineRule="exact"/>
        <w:rPr>
          <w:sz w:val="20"/>
          <w:szCs w:val="20"/>
          <w:color w:val="auto"/>
        </w:rPr>
      </w:pPr>
    </w:p>
    <w:p>
      <w:pPr>
        <w:jc w:val="both"/>
        <w:ind w:firstLine="1305"/>
        <w:spacing w:after="0" w:line="279" w:lineRule="auto"/>
        <w:tabs>
          <w:tab w:leader="none" w:pos="186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171" w:lineRule="exact"/>
        <w:rPr>
          <w:rFonts w:ascii="Arial" w:cs="Arial" w:eastAsia="Arial" w:hAnsi="Arial"/>
          <w:sz w:val="17"/>
          <w:szCs w:val="17"/>
          <w:color w:val="auto"/>
        </w:rPr>
      </w:pPr>
    </w:p>
    <w:p>
      <w:pPr>
        <w:ind w:firstLine="1305"/>
        <w:spacing w:after="0" w:line="308" w:lineRule="auto"/>
        <w:tabs>
          <w:tab w:leader="none" w:pos="190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146" w:lineRule="exact"/>
        <w:rPr>
          <w:rFonts w:ascii="Arial" w:cs="Arial" w:eastAsia="Arial" w:hAnsi="Arial"/>
          <w:sz w:val="17"/>
          <w:szCs w:val="17"/>
          <w:color w:val="auto"/>
        </w:rPr>
      </w:pPr>
    </w:p>
    <w:p>
      <w:pPr>
        <w:jc w:val="both"/>
        <w:ind w:firstLine="1305"/>
        <w:spacing w:after="0" w:line="257" w:lineRule="auto"/>
        <w:tabs>
          <w:tab w:leader="none" w:pos="17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4" w:name="page155"/>
    <w:bookmarkEnd w:id="154"/>
    <w:p>
      <w:pPr>
        <w:ind w:firstLine="1305"/>
        <w:spacing w:after="0" w:line="277" w:lineRule="auto"/>
        <w:tabs>
          <w:tab w:leader="none" w:pos="18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of clause (c) above; and</w:t>
      </w:r>
    </w:p>
    <w:p>
      <w:pPr>
        <w:spacing w:after="0" w:line="170" w:lineRule="exact"/>
        <w:rPr>
          <w:rFonts w:ascii="Arial" w:cs="Arial" w:eastAsia="Arial" w:hAnsi="Arial"/>
          <w:sz w:val="18"/>
          <w:szCs w:val="18"/>
          <w:color w:val="auto"/>
        </w:rPr>
      </w:pPr>
    </w:p>
    <w:p>
      <w:pPr>
        <w:ind w:firstLine="1305"/>
        <w:spacing w:after="0" w:line="277" w:lineRule="auto"/>
        <w:tabs>
          <w:tab w:leader="none" w:pos="172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other short-term investments utilized by Foreign Subsidiaries in accordance with normal investment practices for cash management in investments of a type analogous to the foregoing.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natural person, corporation, business trust, joint venture, association, company, limited liability company, partnership, Governmental Authority or other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any employee pension benefit plan (other than a Multiemployer Plan) subject to the provisions of Title IV of ERISA or Section 412 of the Code, and in respect of which a U.S.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shall have the meaning assigned to such term in Section 5.04.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Agreements</w:t>
      </w:r>
      <w:r>
        <w:rPr>
          <w:rFonts w:ascii="Arial" w:cs="Arial" w:eastAsia="Arial" w:hAnsi="Arial"/>
          <w:sz w:val="18"/>
          <w:szCs w:val="18"/>
          <w:color w:val="auto"/>
        </w:rPr>
        <w:t>” shall mean, collectively, the U.S. Pledge Agreement, the Canadian Pledge Agreement, the Parent Borrower Pledge Agreement and the Australian Share Security Deed.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Potential Defaulting Lender</w:t>
      </w:r>
      <w:r>
        <w:rPr>
          <w:rFonts w:ascii="Arial" w:cs="Arial" w:eastAsia="Arial" w:hAnsi="Arial"/>
          <w:sz w:val="18"/>
          <w:szCs w:val="18"/>
          <w:color w:val="auto"/>
        </w:rPr>
        <w:t>”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Law</w:t>
      </w:r>
      <w:r>
        <w:rPr>
          <w:rFonts w:ascii="Arial" w:cs="Arial" w:eastAsia="Arial" w:hAnsi="Arial"/>
          <w:sz w:val="18"/>
          <w:szCs w:val="18"/>
          <w:color w:val="auto"/>
        </w:rPr>
        <w:t>”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Register</w:t>
      </w:r>
      <w:r>
        <w:rPr>
          <w:rFonts w:ascii="Arial" w:cs="Arial" w:eastAsia="Arial" w:hAnsi="Arial"/>
          <w:sz w:val="18"/>
          <w:szCs w:val="18"/>
          <w:color w:val="auto"/>
        </w:rPr>
        <w:t>” shall mean the Personal Property Securities Register established pursuant to the PPSA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Regulations</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Personal Property Securities Regulations 2010</w:t>
      </w:r>
      <w:r>
        <w:rPr>
          <w:rFonts w:ascii="Arial" w:cs="Arial" w:eastAsia="Arial" w:hAnsi="Arial"/>
          <w:sz w:val="18"/>
          <w:szCs w:val="18"/>
          <w:color w:val="auto"/>
        </w:rPr>
        <w:t xml:space="preserve"> (Cth).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PPSA (Alberta)</w:t>
      </w:r>
      <w:r>
        <w:rPr>
          <w:rFonts w:ascii="Arial" w:cs="Arial" w:eastAsia="Arial" w:hAnsi="Arial"/>
          <w:sz w:val="18"/>
          <w:szCs w:val="18"/>
          <w:color w:val="auto"/>
        </w:rPr>
        <w:t>” shall mean the Personal Property Security Act, RSA 2000, c. P-7 (Alberta).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5" w:name="page156"/>
    <w:bookmarkEnd w:id="1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PPSA (Australia)</w:t>
      </w:r>
      <w:r>
        <w:rPr>
          <w:rFonts w:ascii="Arial" w:cs="Arial" w:eastAsia="Arial" w:hAnsi="Arial"/>
          <w:sz w:val="18"/>
          <w:szCs w:val="18"/>
          <w:color w:val="auto"/>
        </w:rPr>
        <w:t xml:space="preserve">” shall mean the Australian </w:t>
      </w:r>
      <w:r>
        <w:rPr>
          <w:rFonts w:ascii="Arial" w:cs="Arial" w:eastAsia="Arial" w:hAnsi="Arial"/>
          <w:sz w:val="18"/>
          <w:szCs w:val="18"/>
          <w:i w:val="1"/>
          <w:iCs w:val="1"/>
          <w:color w:val="auto"/>
        </w:rPr>
        <w:t>Personal Property Securities Act 2009</w:t>
      </w:r>
      <w:r>
        <w:rPr>
          <w:rFonts w:ascii="Arial" w:cs="Arial" w:eastAsia="Arial" w:hAnsi="Arial"/>
          <w:sz w:val="18"/>
          <w:szCs w:val="18"/>
          <w:color w:val="auto"/>
        </w:rPr>
        <w:t xml:space="preserve"> (Cth).</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Prime Rate</w:t>
      </w:r>
      <w:r>
        <w:rPr>
          <w:rFonts w:ascii="Arial" w:cs="Arial" w:eastAsia="Arial" w:hAnsi="Arial"/>
          <w:sz w:val="16"/>
          <w:szCs w:val="16"/>
          <w:color w:val="auto"/>
        </w:rPr>
        <w:t>” shall mean, at any time, the rate of interest most recently announced by the Administrative Agent as its U.S. prime rate, with the understanding that the Prime Rate is one of the Administrative Agent’s base rates and serves as the basis upon which effective rates of interest are calculated for those loans making reference thereto, and is evidenced by the recording thereof after its announcement in such internal publication or publications as the Administrative Agent may designate. Each change in the Prime Rate shall be effective on the date such change is publicly announced as being effective.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Lender</w:t>
      </w:r>
      <w:r>
        <w:rPr>
          <w:rFonts w:ascii="Arial" w:cs="Arial" w:eastAsia="Arial" w:hAnsi="Arial"/>
          <w:sz w:val="18"/>
          <w:szCs w:val="18"/>
          <w:color w:val="auto"/>
        </w:rPr>
        <w:t>” shall have the meaning assigned to such term in Section 5.04.</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ECP Guarantor</w:t>
      </w:r>
      <w:r>
        <w:rPr>
          <w:rFonts w:ascii="Arial" w:cs="Arial" w:eastAsia="Arial" w:hAnsi="Arial"/>
          <w:sz w:val="16"/>
          <w:szCs w:val="16"/>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Qualified Offering</w:t>
      </w:r>
      <w:r>
        <w:rPr>
          <w:rFonts w:ascii="Arial" w:cs="Arial" w:eastAsia="Arial" w:hAnsi="Arial"/>
          <w:sz w:val="18"/>
          <w:szCs w:val="18"/>
          <w:color w:val="auto"/>
        </w:rPr>
        <w:t xml:space="preserve">” means unsecured Indebtedness issued by the Parent Borrower in accordance with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and pursuant to which the Parent Borrower receives not less than U.S.$150,000,000 of gross cash proceeds from the issuance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RBC</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RBC Europe</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w:t>
      </w:r>
      <w:r>
        <w:rPr>
          <w:rFonts w:ascii="Arial" w:cs="Arial" w:eastAsia="Arial" w:hAnsi="Arial"/>
          <w:sz w:val="18"/>
          <w:szCs w:val="18"/>
          <w:color w:val="auto"/>
        </w:rPr>
        <w:t>” shall mean (a) any Agent, (b) any Lender (c) any Issuing Bank, and (d) any Swing Line Lender,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shall mean Australia and New Zealand Banking Group Limited (ACN 005 357 522), Commonwealth Bank of Australia (ACN 123 123 124), Westpac Banking Corporation (ACN 007 457 141) and National Australia Bank Limited (ACN 004 044 937), or such other banks as may be selected by the Australian Administrative Agent in consultation with the Australian Borrower.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shall have the meaning assigned to such term in Section 9.04(c).</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Regulation T</w:t>
      </w:r>
      <w:r>
        <w:rPr>
          <w:rFonts w:ascii="Arial" w:cs="Arial" w:eastAsia="Arial" w:hAnsi="Arial"/>
          <w:sz w:val="17"/>
          <w:szCs w:val="17"/>
          <w:color w:val="auto"/>
        </w:rPr>
        <w:t>” shall mean Regulation T of the Board as from time to time in effect and all official rulings and interpretations thereunder or thereof.</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U</w:t>
      </w:r>
      <w:r>
        <w:rPr>
          <w:rFonts w:ascii="Arial" w:cs="Arial" w:eastAsia="Arial" w:hAnsi="Arial"/>
          <w:sz w:val="16"/>
          <w:szCs w:val="16"/>
          <w:color w:val="auto"/>
        </w:rPr>
        <w:t>” shall mean Regulation U of the Board as from time to time in effect and all official rulings and interpretations thereunder or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X</w:t>
      </w:r>
      <w:r>
        <w:rPr>
          <w:rFonts w:ascii="Arial" w:cs="Arial" w:eastAsia="Arial" w:hAnsi="Arial"/>
          <w:sz w:val="16"/>
          <w:szCs w:val="16"/>
          <w:color w:val="auto"/>
        </w:rPr>
        <w:t>” shall mean Regulation X of the Board as from time to time in effect and all official rulings and interpretations thereunder or thereof.</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shall mean, with respect to any specified person, such person’s Affiliates and the respective partners, directors, officers, employees, agents and advisors of such person and such person’s Affiliates.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Australian Lenders</w:t>
      </w:r>
      <w:r>
        <w:rPr>
          <w:rFonts w:ascii="Arial" w:cs="Arial" w:eastAsia="Arial" w:hAnsi="Arial"/>
          <w:sz w:val="17"/>
          <w:szCs w:val="17"/>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Canadian Lenders</w:t>
      </w:r>
      <w:r>
        <w:rPr>
          <w:rFonts w:ascii="Arial" w:cs="Arial" w:eastAsia="Arial" w:hAnsi="Arial"/>
          <w:sz w:val="17"/>
          <w:szCs w:val="17"/>
          <w:color w:val="auto"/>
        </w:rPr>
        <w:t>” shall mean, at any time, Canadian Lenders having Canadian Loans, a share of the Canadian L/C Exposure and unused Canadian Revolving Commitments representing at least a majority of the sum of all Canadian Loans outstanding, the Canadian L/C Exposure and unused Canadian Revolving Commitments at such time; provided that the Canadian Loans outstanding, the share of Canadian L/C Exposure and unused Canadian Revolving Commitments of any Defaulting Lender shall be disregarded in determining Required Canadian Lenders at any time.</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Canadian Term Lenders</w:t>
      </w:r>
      <w:r>
        <w:rPr>
          <w:rFonts w:ascii="Arial" w:cs="Arial" w:eastAsia="Arial" w:hAnsi="Arial"/>
          <w:sz w:val="18"/>
          <w:szCs w:val="18"/>
          <w:color w:val="auto"/>
        </w:rPr>
        <w:t xml:space="preserve">” shall mean, at any time, Canadian Term Lenders having Canadian Term Loans representing at least a majority of the sum of all Canadian Term Loans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Canadian Term Loans outstanding of any Defaulting Lender shall be disregarded in determining Required Canadian Term Lenders at any time.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Canadian Lenders</w:t>
      </w:r>
      <w:r>
        <w:rPr>
          <w:rFonts w:ascii="Arial" w:cs="Arial" w:eastAsia="Arial" w:hAnsi="Arial"/>
          <w:sz w:val="17"/>
          <w:szCs w:val="17"/>
          <w:color w:val="auto"/>
        </w:rPr>
        <w:t>” shall mean, at any time, Canadian Revolving Lenders having Canadian Revolving Credit Loans, a share of the Canadian L/C Exposure and unused Canadian Revolving Commitments representing at least a majority of the sum of all Canadian Revolving Credit Loans outstanding, the Canadian L/C Exposure and unused Canadian Revolving Commitments at such time; provided that the Canadian Revolving Credit Loans outstanding, share of Canadian L/C Exposure and unused Canadian Revolving Commitments of any Defaulting Lender shall be disregarded in determining Required Canadian Lenders at any time. For purposes of determining the Required Canadian Lenders at any time, the amount of any Canadian Revolving Credit Loans denominated in Canadian dollars and the Canadian L/C Exposure shall be the U.S. Dollar Equivalent thereof at such time, as determined by the Administrative Agent using the then-applicable Exchange 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7" w:name="page158"/>
    <w:bookmarkEnd w:id="157"/>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Loans outstanding, share of Aggregate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“Required Revolving Lenders</w:t>
      </w:r>
      <w:r>
        <w:rPr>
          <w:rFonts w:ascii="Arial" w:cs="Arial" w:eastAsia="Arial" w:hAnsi="Arial"/>
          <w:sz w:val="17"/>
          <w:szCs w:val="17"/>
          <w:color w:val="auto"/>
        </w:rPr>
        <w:t>” shall mean the Required Australian Lenders, the Required Canadian Revolving Lenders or the Required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Revolving Lenders, as applicable.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U.S. Lenders</w:t>
      </w:r>
      <w:r>
        <w:rPr>
          <w:rFonts w:ascii="Arial" w:cs="Arial" w:eastAsia="Arial" w:hAnsi="Arial"/>
          <w:sz w:val="18"/>
          <w:szCs w:val="18"/>
          <w:color w:val="auto"/>
        </w:rPr>
        <w:t xml:space="preserve">” shall mean, at any time, U.S. Lenders having U.S. Loans, a share of the U.S. L/C Exposure and unused U.S. Revolving Commitments representing at least a majority of the sum of all U.S. Loans outstanding, the U.S. L/C Exposure and unused U.S.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 Loans outstanding, share of U.S. L/C Exposure and unused U.S. Revolving Commitments of any Defaulting Lender shall be disregarded in determining Required U.S. Lenders at any time.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U.S. Revolving Lenders</w:t>
      </w:r>
      <w:r>
        <w:rPr>
          <w:rFonts w:ascii="Arial" w:cs="Arial" w:eastAsia="Arial" w:hAnsi="Arial"/>
          <w:sz w:val="16"/>
          <w:szCs w:val="16"/>
          <w:color w:val="auto"/>
        </w:rPr>
        <w:t xml:space="preserve">”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U.S. Revolving Credit Loans outstanding, share of U.S. L/C Exposure and unused U.S. Revolving Commitments of any Defaulting Lender shall be disregarded in determining Required U.S. Revolving Lenders at any time.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Indebtedness</w:t>
      </w:r>
      <w:r>
        <w:rPr>
          <w:rFonts w:ascii="Arial" w:cs="Arial" w:eastAsia="Arial" w:hAnsi="Arial"/>
          <w:sz w:val="18"/>
          <w:szCs w:val="18"/>
          <w:color w:val="auto"/>
        </w:rPr>
        <w:t>” shall mean Subordinated Indebtedness of the Parent Borrower or any Subsidiary, the payment, prepayment, repurchase or defeasance of which is restricted under Section 6.09(b).</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Payment</w:t>
      </w:r>
      <w:r>
        <w:rPr>
          <w:rFonts w:ascii="Arial" w:cs="Arial" w:eastAsia="Arial" w:hAnsi="Arial"/>
          <w:sz w:val="17"/>
          <w:szCs w:val="17"/>
          <w:color w:val="auto"/>
        </w:rPr>
        <w:t>” shall mean any dividend or other distribution (whether in cash, securities or other property) with respect to any Equity Interests in the Parent Borrower or any Subsidiary, or any payment (whether in cash, securities or other property), including any sinking fund or similar deposit, on account of the purchase, redemption, retirement, acquisition, cancellation or termination of any Equity Interests in the Parent Borrower or any Subsidiary or any option, warrant or other right to acquire any such Equity Interests in the Parent Borrower or any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8" w:name="page159"/>
    <w:bookmarkEnd w:id="158"/>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Commitments</w:t>
      </w:r>
      <w:r>
        <w:rPr>
          <w:rFonts w:ascii="Arial" w:cs="Arial" w:eastAsia="Arial" w:hAnsi="Arial"/>
          <w:sz w:val="18"/>
          <w:szCs w:val="18"/>
          <w:color w:val="auto"/>
        </w:rPr>
        <w:t>” shall mean the Canadian Revolving Commitments, the U.S. Revolving Commitments and the Australian Revolving Commitments.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Loans</w:t>
      </w:r>
      <w:r>
        <w:rPr>
          <w:rFonts w:ascii="Arial" w:cs="Arial" w:eastAsia="Arial" w:hAnsi="Arial"/>
          <w:sz w:val="18"/>
          <w:szCs w:val="18"/>
          <w:color w:val="auto"/>
        </w:rPr>
        <w:t>” shall mean U.S. Revolving Credit Loans, Canadian Revolving Credit Loans or Australian Revolving Credit Loans, as the context may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Revolving Lenders</w:t>
      </w:r>
      <w:r>
        <w:rPr>
          <w:rFonts w:ascii="Arial" w:cs="Arial" w:eastAsia="Arial" w:hAnsi="Arial"/>
          <w:sz w:val="17"/>
          <w:szCs w:val="17"/>
          <w:color w:val="auto"/>
        </w:rPr>
        <w:t>” shall mean U.S. Revolving Lenders, Canadian Revolving Lenders or Australian Lenders, as the context may require.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Rolled Letter of Credit</w:t>
      </w:r>
      <w:r>
        <w:rPr>
          <w:rFonts w:ascii="Arial" w:cs="Arial" w:eastAsia="Arial" w:hAnsi="Arial"/>
          <w:sz w:val="18"/>
          <w:szCs w:val="18"/>
          <w:color w:val="auto"/>
        </w:rPr>
        <w:t>” shall mean each Letter of Credit previously issued for the account of a Borrower that (a) is outstanding on the Closing Date and (b) is listed on Schedule 1.01(a).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 Laws and Regulations</w:t>
      </w:r>
      <w:r>
        <w:rPr>
          <w:rFonts w:ascii="Arial" w:cs="Arial" w:eastAsia="Arial" w:hAnsi="Arial"/>
          <w:sz w:val="18"/>
          <w:szCs w:val="18"/>
          <w:color w:val="auto"/>
        </w:rPr>
        <w:t>” shall mean (a) any economic, trade or financial sanctions, prohibitions or requirements imposed, administered or enforced by any executive order of the President of the United States (an “</w:t>
      </w:r>
      <w:r>
        <w:rPr>
          <w:rFonts w:ascii="Arial" w:cs="Arial" w:eastAsia="Arial" w:hAnsi="Arial"/>
          <w:sz w:val="18"/>
          <w:szCs w:val="18"/>
          <w:i w:val="1"/>
          <w:iCs w:val="1"/>
          <w:color w:val="auto"/>
        </w:rPr>
        <w:t>Executive Order</w:t>
      </w:r>
      <w:r>
        <w:rPr>
          <w:rFonts w:ascii="Arial" w:cs="Arial" w:eastAsia="Arial" w:hAnsi="Arial"/>
          <w:sz w:val="18"/>
          <w:szCs w:val="18"/>
          <w:color w:val="auto"/>
        </w:rPr>
        <w:t>”) or by any economic sanctions program administered by OFAC or the U.S. Department of State; and (b) any sanctions measures or programs administered, enforced or imposed by the United Nations Security Council, European Union, the United Kingdom, Canada, Singapore or Australia.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Securities and Exchange Commission, and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shall mean, collectively, the U.S. Secured Parties, the Canadian Secured Parties and the Australian Secured Parties.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shall mean, collectively, the U.S. Security Agreement, the Canadian Security Agreement, the Parent Borrower Security Agreement and the Australian Security Deed.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Documents</w:t>
      </w:r>
      <w:r>
        <w:rPr>
          <w:rFonts w:ascii="Arial" w:cs="Arial" w:eastAsia="Arial" w:hAnsi="Arial"/>
          <w:sz w:val="18"/>
          <w:szCs w:val="18"/>
          <w:color w:val="auto"/>
        </w:rPr>
        <w:t>” shall mean the Security Agreements, the Pledge Agreements, and each of the security agreements, and other instruments and documents executed and delivered pursuant to any of the foregoing or pursuant to Section 5.09.</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Debt</w:t>
      </w:r>
      <w:r>
        <w:rPr>
          <w:rFonts w:ascii="Arial" w:cs="Arial" w:eastAsia="Arial" w:hAnsi="Arial"/>
          <w:sz w:val="18"/>
          <w:szCs w:val="18"/>
          <w:color w:val="auto"/>
        </w:rPr>
        <w:t>” at any time shall mean the Indebtedness of the Parent Borrower and its Subsidiaries at such time (excluding Indebtedness of the type described in clause (i) of the definition of such term, except to the extent of any unreimbursed drawings thereunder) that is secured by a Lien on any property or assets of the Parent Borrower or any Subsidiary.</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Secured Leverage Ratio</w:t>
      </w:r>
      <w:r>
        <w:rPr>
          <w:rFonts w:ascii="Arial" w:cs="Arial" w:eastAsia="Arial" w:hAnsi="Arial"/>
          <w:sz w:val="16"/>
          <w:szCs w:val="16"/>
          <w:color w:val="auto"/>
        </w:rPr>
        <w:t>” shall mean, on any date, the ratio of Senior Secured Debt on such date to Consolidated EBITDA for the period of four consecutive fiscal quarters most recently ended on or prior to such date for which financial statements have been delivered pursuant to Section 5.04(a) or</w:t>
      </w:r>
    </w:p>
    <w:p>
      <w:pPr>
        <w:jc w:val="both"/>
        <w:spacing w:after="0" w:line="295" w:lineRule="auto"/>
        <w:rPr>
          <w:sz w:val="20"/>
          <w:szCs w:val="20"/>
          <w:color w:val="auto"/>
        </w:rPr>
      </w:pPr>
      <w:r>
        <w:rPr>
          <w:rFonts w:ascii="Arial" w:cs="Arial" w:eastAsia="Arial" w:hAnsi="Arial"/>
          <w:sz w:val="16"/>
          <w:szCs w:val="16"/>
          <w:color w:val="auto"/>
        </w:rPr>
        <w:t xml:space="preserve">(b). Solely for purposes of this definition, if, at any time the Senior Secured Leverage Ratio is being determined, the Parent Borrower or any Subsidiary shall have completed a Permitted Acquisition or Asset Sale the consideration of which is greater than U.S.$25,000,000 since the beginning of the relevant four fiscal quarter period, the Senior Secured Leverage Ratio shall be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9" w:name="page160"/>
    <w:bookmarkEnd w:id="159"/>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Funding Date.</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shall mean Standard &amp; Poor’s Ratings Service, a division of The McGraw-Hill Companies, Inc., or any successor thereof which is a nationally recognized statistical rating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SPC</w:t>
      </w:r>
      <w:r>
        <w:rPr>
          <w:rFonts w:ascii="Arial" w:cs="Arial" w:eastAsia="Arial" w:hAnsi="Arial"/>
          <w:sz w:val="18"/>
          <w:szCs w:val="18"/>
          <w:color w:val="auto"/>
        </w:rPr>
        <w:t>” shall have the meaning assigned to such term in Section 9.04(g).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Special Purpose Business Entity</w:t>
      </w:r>
      <w:r>
        <w:rPr>
          <w:rFonts w:ascii="Arial" w:cs="Arial" w:eastAsia="Arial" w:hAnsi="Arial"/>
          <w:sz w:val="16"/>
          <w:szCs w:val="16"/>
          <w:color w:val="auto"/>
        </w:rPr>
        <w:t>” shall mean each entity listed on Schedule 3.08 as being a Special Purpose Business Entity and any other entity formed by the Parent Borrower or any of its Subsidiaries, or in which the Parent Borrower or any of its Subsidiaries acquires an Equity Interest, in each case so long as (i) such entity is formed, or such Equity Interest is acquired, after October 30, 2003, (ii) such entity is, or proposes to engage in, a joint venture with persons that are, or are owned or controlled by, aboriginal peoples in Alaska or Canada, (iii) any loans or advances to, or investments in such Special Purpose Business Entity is permitted by Section 6.04, and (iv) the Parent Borrower delivers a certificate of a Responsible Officer to the Administrative Agents designating such Special Purpose Business Entity as such and certifying compliance with the foregoing requirements of this definition.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Time</w:t>
      </w:r>
      <w:r>
        <w:rPr>
          <w:rFonts w:ascii="Arial" w:cs="Arial" w:eastAsia="Arial" w:hAnsi="Arial"/>
          <w:sz w:val="18"/>
          <w:szCs w:val="18"/>
          <w:color w:val="auto"/>
        </w:rPr>
        <w:t>” shall mean eastern standard time or eastern daylight savings time, as applicable on the relevant date.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Statutory Reserves</w:t>
      </w:r>
      <w:r>
        <w:rPr>
          <w:rFonts w:ascii="Arial" w:cs="Arial" w:eastAsia="Arial" w:hAnsi="Arial"/>
          <w:sz w:val="18"/>
          <w:szCs w:val="18"/>
          <w:color w:val="auto"/>
        </w:rPr>
        <w:t>” shall mean a fraction (expressed as a decimal carried out to five decimal places), the numerator of which is the number one and the denominator of which is the number one minus the aggregate of the maximum reserve percentages (including any marginal, special, emergency or supplemental reserves) expressed as a decimal carried out to five decimal places established by the Board for Eurocurrency Liabilities (as defined in Regulation D of the Board). Such reserve percentages shall include those imposed pursuant to such Regulation D. Eurocurrency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0" w:name="page161"/>
    <w:bookmarkEnd w:id="16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shall mean Indebtedness of a Loan Party that is subordinated to the prior payment in full of the Obligations on terms reasonably satisfactory to the Administrative Agent.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with respect to any person (herein referred to as the “</w:t>
      </w:r>
      <w:r>
        <w:rPr>
          <w:rFonts w:ascii="Arial" w:cs="Arial" w:eastAsia="Arial" w:hAnsi="Arial"/>
          <w:sz w:val="18"/>
          <w:szCs w:val="18"/>
          <w:i w:val="1"/>
          <w:iCs w:val="1"/>
          <w:color w:val="auto"/>
        </w:rPr>
        <w:t>parent</w:t>
      </w:r>
      <w:r>
        <w:rPr>
          <w:rFonts w:ascii="Arial" w:cs="Arial" w:eastAsia="Arial" w:hAnsi="Arial"/>
          <w:sz w:val="18"/>
          <w:szCs w:val="18"/>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any subsidiary of a Borrower, other than a Special Purpose Business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shall mean, collectively, the U.S. Subsidiary Guarantors, the Canadian Subsidiary Guarantors, and the Australian Subsidiary Guarantors.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Supplier</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shall mean,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Borrowing</w:t>
      </w:r>
      <w:r>
        <w:rPr>
          <w:rFonts w:ascii="Arial" w:cs="Arial" w:eastAsia="Arial" w:hAnsi="Arial"/>
          <w:sz w:val="18"/>
          <w:szCs w:val="18"/>
          <w:color w:val="auto"/>
        </w:rPr>
        <w:t>” shall mean a U.S. Swing Line Borrowing or a Canadian Swing Line Borrowing,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Lender</w:t>
      </w:r>
      <w:r>
        <w:rPr>
          <w:rFonts w:ascii="Arial" w:cs="Arial" w:eastAsia="Arial" w:hAnsi="Arial"/>
          <w:sz w:val="18"/>
          <w:szCs w:val="18"/>
          <w:color w:val="auto"/>
        </w:rPr>
        <w:t>” shall mean the U.S. Swing Line Lender or the Canadian Swing Line Lender,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Loan</w:t>
      </w:r>
      <w:r>
        <w:rPr>
          <w:rFonts w:ascii="Arial" w:cs="Arial" w:eastAsia="Arial" w:hAnsi="Arial"/>
          <w:sz w:val="18"/>
          <w:szCs w:val="18"/>
          <w:color w:val="auto"/>
        </w:rPr>
        <w:t>” shall mean a U.S. Swing Line Loan or a Canadian Swing Line Loan, as the context may require.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Payment Date</w:t>
      </w:r>
      <w:r>
        <w:rPr>
          <w:rFonts w:ascii="Arial" w:cs="Arial" w:eastAsia="Arial" w:hAnsi="Arial"/>
          <w:sz w:val="18"/>
          <w:szCs w:val="18"/>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three (3) Business Days after demand is made by the Applicable Swing Line Lender if no Default or Event of Default exists, and otherwise upon demand by the Applicable Swing Line Lender and (ii) the Maturity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Sublimit</w:t>
      </w:r>
      <w:r>
        <w:rPr>
          <w:rFonts w:ascii="Arial" w:cs="Arial" w:eastAsia="Arial" w:hAnsi="Arial"/>
          <w:sz w:val="18"/>
          <w:szCs w:val="18"/>
          <w:color w:val="auto"/>
        </w:rPr>
        <w:t>” shall mean the U.S. Swing Line Sublimit or the Canadian Swing Line Sublimit, as the context may require.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Synthetic Purchase Agreement</w:t>
      </w:r>
      <w:r>
        <w:rPr>
          <w:rFonts w:ascii="Arial" w:cs="Arial" w:eastAsia="Arial" w:hAnsi="Arial"/>
          <w:sz w:val="16"/>
          <w:szCs w:val="16"/>
          <w:color w:val="auto"/>
        </w:rPr>
        <w:t xml:space="preserve">” shall mean any swap, derivative or other agreement or combination of agreements pursuant to which the Parent Borrower or any Subsidiary is or may become obligated to make (a) any payment in connection with a purchase by any third party from a person other than the Parent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phantom stock or similar plan providing for payments only to current or former directors, officers or employees of the Parent Borrower or the Subsidiaries (or to their heirs or estates) shall be deemed to be a Synthetic Purchase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1" w:name="page162"/>
    <w:bookmarkEnd w:id="16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Loans</w:t>
      </w:r>
      <w:r>
        <w:rPr>
          <w:rFonts w:ascii="Arial" w:cs="Arial" w:eastAsia="Arial" w:hAnsi="Arial"/>
          <w:sz w:val="18"/>
          <w:szCs w:val="18"/>
          <w:color w:val="auto"/>
        </w:rPr>
        <w:t>” shall mean the Canadian Term Loans.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w:t>
      </w:r>
      <w:r>
        <w:rPr>
          <w:rFonts w:ascii="Arial" w:cs="Arial" w:eastAsia="Arial" w:hAnsi="Arial"/>
          <w:sz w:val="18"/>
          <w:szCs w:val="18"/>
          <w:color w:val="auto"/>
        </w:rPr>
        <w:t>” shall mean that certain Third Amendment to Syndicated Facility Agreement, dated as of February 17, 2017, among the Borrowers, the Administrative Agents and the Lenders party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 Effective Date</w:t>
      </w:r>
      <w:r>
        <w:rPr>
          <w:rFonts w:ascii="Arial" w:cs="Arial" w:eastAsia="Arial" w:hAnsi="Arial"/>
          <w:sz w:val="18"/>
          <w:szCs w:val="18"/>
          <w:color w:val="auto"/>
        </w:rPr>
        <w:t>” shall have the meaning set forth in the Third Amendment.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Australian Revolving Commitment</w:t>
      </w:r>
      <w:r>
        <w:rPr>
          <w:rFonts w:ascii="Arial" w:cs="Arial" w:eastAsia="Arial" w:hAnsi="Arial"/>
          <w:sz w:val="18"/>
          <w:szCs w:val="18"/>
          <w:color w:val="auto"/>
        </w:rPr>
        <w:t>” shall mean, at any time, the aggregate amount of the Australian Revolving Commitments, as in effect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Canadian Revolving Commitment</w:t>
      </w:r>
      <w:r>
        <w:rPr>
          <w:rFonts w:ascii="Arial" w:cs="Arial" w:eastAsia="Arial" w:hAnsi="Arial"/>
          <w:sz w:val="18"/>
          <w:szCs w:val="18"/>
          <w:color w:val="auto"/>
        </w:rPr>
        <w:t>” shall mean, at any time, the aggregate amount of the Canadian Revolving Commitments, as in effect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Debt</w:t>
      </w:r>
      <w:r>
        <w:rPr>
          <w:rFonts w:ascii="Arial" w:cs="Arial" w:eastAsia="Arial" w:hAnsi="Arial"/>
          <w:sz w:val="18"/>
          <w:szCs w:val="18"/>
          <w:color w:val="auto"/>
        </w:rPr>
        <w:t>” at any time shall mean the Indebtedness of the Parent Borrower and its Subsidiaries at such time (excluding Indebtedness of the type described in clause (i) of the definition of such term, except to the extent of any unreimbursed drawings thereunder).</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Leverage Ratio</w:t>
      </w:r>
      <w:r>
        <w:rPr>
          <w:rFonts w:ascii="Arial" w:cs="Arial" w:eastAsia="Arial" w:hAnsi="Arial"/>
          <w:sz w:val="18"/>
          <w:szCs w:val="18"/>
          <w:color w:val="auto"/>
        </w:rPr>
        <w:t xml:space="preserve">” shall mean, on any date, the ratio of Total Debt on such date to Consolidated EBITDA for the period of four consecutive fiscal quarters most recently ended on or prior to such date for which financial statements have been delivered pursuant to Section 5.04(a) or (b). Solely for purposes of this definition, if, (a) at any time the Total Leverage Ratio is being determined, the Parent Borrower or any Subsidiary shall have completed a Permitted Acquisition or Asset Sale the consideration of which is greater than U.S.$25,000,000 since the beginning of the relevant four fiscal quarter period, the Total Leverage Ratio shall be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(using the criteria therefor described in Section 6.04(i)) as if such Permitted Acquisition or Asset Sale, and any related incurrence or repayment of Indebtedness, had occurred at the beginning of such period and (b) with respect to the calculation of the Total Leverage Ratio for the fiscal quarter period ending March 31, 2018, the Total Leverage Ratio shall be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(using the criteria therefor described in Section 6.04(i)) as if the Noralta Acquisition, and any related incurrence or repayment of Indebtedness, had occurred at the beginning of such period.</w:t>
      </w:r>
    </w:p>
    <w:p>
      <w:pPr>
        <w:spacing w:after="0" w:line="19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U.S. Revolving Commitment</w:t>
      </w:r>
      <w:r>
        <w:rPr>
          <w:rFonts w:ascii="Arial" w:cs="Arial" w:eastAsia="Arial" w:hAnsi="Arial"/>
          <w:sz w:val="17"/>
          <w:szCs w:val="17"/>
          <w:color w:val="auto"/>
        </w:rPr>
        <w:t>” shall mean, at any time, the aggregate amount of the U.S. Revolving Commitments, as in effect at such time.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2" w:name="page163"/>
    <w:bookmarkEnd w:id="16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shall mean, collectively, (a) the entering by the Loan Parties into Loan Documents to which they are to be a party and (b) the payment of the fees and expenses incurred in connection with the consummation of the foregoing.</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Type</w:t>
      </w:r>
      <w:r>
        <w:rPr>
          <w:rFonts w:ascii="Arial" w:cs="Arial" w:eastAsia="Arial" w:hAnsi="Arial"/>
          <w:sz w:val="17"/>
          <w:szCs w:val="17"/>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17"/>
          <w:szCs w:val="17"/>
          <w:i w:val="1"/>
          <w:iCs w:val="1"/>
          <w:color w:val="auto"/>
        </w:rPr>
        <w:t>Rate</w:t>
      </w:r>
      <w:r>
        <w:rPr>
          <w:rFonts w:ascii="Arial" w:cs="Arial" w:eastAsia="Arial" w:hAnsi="Arial"/>
          <w:sz w:val="17"/>
          <w:szCs w:val="17"/>
          <w:color w:val="auto"/>
        </w:rPr>
        <w:t>” shall include the Adjusted LIBO Rate, the Alternate Base Rate, the Canadian Prime Rate, the U.S. Base Rate, the BBSY Rate and the B/A Discount Rate applicable to Bankers’ Acceptances and B/A Equivalent Loans.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UKBA</w:t>
      </w:r>
      <w:r>
        <w:rPr>
          <w:rFonts w:ascii="Arial" w:cs="Arial" w:eastAsia="Arial" w:hAnsi="Arial"/>
          <w:sz w:val="18"/>
          <w:szCs w:val="18"/>
          <w:color w:val="auto"/>
        </w:rPr>
        <w:t>” shall mean the U.K. Bribery Act 2010.</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Base Rate</w:t>
      </w:r>
      <w:r>
        <w:rPr>
          <w:rFonts w:ascii="Arial" w:cs="Arial" w:eastAsia="Arial" w:hAnsi="Arial"/>
          <w:sz w:val="16"/>
          <w:szCs w:val="16"/>
          <w:color w:val="auto"/>
        </w:rPr>
        <w:t>” shall mean, for any day, a rate per annum equal to the greatest of (a) the rate of interest per annum publicly announced from time to time by the Canadian Administrative Agent as its base rate in effect at its principal office in Toronto, Ontario for determining interest rates on U.S. dollar-denominated commercial loans made in Canada, (b) the Federal Funds Effective Rate in effect on such day plus ½ of 1.0% and (c) the sum of the Adjusted LIBO Rate in effect for such day (or if such day is not a Business Day, the immediately preceding Business Day) for a deposit in U.S. dollars with a maturity of one month plus 1.0%. Each change in the U.S. Base Rate shall be effective on the date such change is publicly announced as being effective.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Borrower</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Collateral</w:t>
      </w:r>
      <w:r>
        <w:rPr>
          <w:rFonts w:ascii="Arial" w:cs="Arial" w:eastAsia="Arial" w:hAnsi="Arial"/>
          <w:sz w:val="17"/>
          <w:szCs w:val="17"/>
          <w:color w:val="auto"/>
        </w:rPr>
        <w:t>” shall mean all “Collateral” as defined in any Security Document, other than Canadian Collateral and the Australian Collateral.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Collateral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Commitment Fee</w:t>
      </w:r>
      <w:r>
        <w:rPr>
          <w:rFonts w:ascii="Arial" w:cs="Arial" w:eastAsia="Arial" w:hAnsi="Arial"/>
          <w:sz w:val="18"/>
          <w:szCs w:val="18"/>
          <w:color w:val="auto"/>
        </w:rPr>
        <w:t>” shall have the meaning assigned to such term in Section 2.05(a)(i).</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Dollar Equivalent</w:t>
      </w:r>
      <w:r>
        <w:rPr>
          <w:rFonts w:ascii="Arial" w:cs="Arial" w:eastAsia="Arial" w:hAnsi="Arial"/>
          <w:sz w:val="17"/>
          <w:szCs w:val="17"/>
          <w:color w:val="auto"/>
        </w:rPr>
        <w:t>” shall mean, on any date of determination, with respect to any amount in Canadian dollars, Australian dollars or an Alternative Currency, the equivalent in U.S. dollars of such amount, determined by the Administrative Agent using the Exchange Rate then in effect.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Guarantee Agreement</w:t>
      </w:r>
      <w:r>
        <w:rPr>
          <w:rFonts w:ascii="Arial" w:cs="Arial" w:eastAsia="Arial" w:hAnsi="Arial"/>
          <w:sz w:val="16"/>
          <w:szCs w:val="16"/>
          <w:color w:val="auto"/>
        </w:rPr>
        <w:t>” shall mean the U.S. Guarantee Agreement, substantially in the form of Exhibit C-3, among the U.S. Borrower,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and the U.S. Collateral Agent for the benefit of the Secured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Exposure</w:t>
      </w:r>
      <w:r>
        <w:rPr>
          <w:rFonts w:ascii="Arial" w:cs="Arial" w:eastAsia="Arial" w:hAnsi="Arial"/>
          <w:sz w:val="18"/>
          <w:szCs w:val="18"/>
          <w:color w:val="auto"/>
        </w:rPr>
        <w:t xml:space="preserve">” shall mean at any time the sum of (a) the U.S. Dollar Equivalent of the aggregate undrawn amount of all outstanding U.S. Letters of Credit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3" w:name="page164"/>
    <w:bookmarkEnd w:id="1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Lenders</w:t>
      </w:r>
      <w:r>
        <w:rPr>
          <w:rFonts w:ascii="Arial" w:cs="Arial" w:eastAsia="Arial" w:hAnsi="Arial"/>
          <w:sz w:val="18"/>
          <w:szCs w:val="18"/>
          <w:color w:val="auto"/>
        </w:rPr>
        <w:t>” shall mean the Lenders having U.S. Revolving Commitments or outstanding U.S.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Loan</w:t>
      </w:r>
      <w:r>
        <w:rPr>
          <w:rFonts w:ascii="Arial" w:cs="Arial" w:eastAsia="Arial" w:hAnsi="Arial"/>
          <w:sz w:val="18"/>
          <w:szCs w:val="18"/>
          <w:color w:val="auto"/>
        </w:rPr>
        <w:t>” shall mean a U.S. Revolving Credit Loan. Each U.S. Loan shall be an ABR Loan or a Eurocurrency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Owned Subsidiary</w:t>
      </w:r>
      <w:r>
        <w:rPr>
          <w:rFonts w:ascii="Arial" w:cs="Arial" w:eastAsia="Arial" w:hAnsi="Arial"/>
          <w:sz w:val="16"/>
          <w:szCs w:val="16"/>
          <w:color w:val="auto"/>
        </w:rPr>
        <w:t>” shall mean a Foreign Subsidiary of (i) the U.S. Borrower or (ii) a Subsidiary of the Parent Borrower that is a U.S. Person.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Pledge Agreement</w:t>
      </w:r>
      <w:r>
        <w:rPr>
          <w:rFonts w:ascii="Arial" w:cs="Arial" w:eastAsia="Arial" w:hAnsi="Arial"/>
          <w:sz w:val="18"/>
          <w:szCs w:val="18"/>
          <w:color w:val="auto"/>
        </w:rPr>
        <w:t>” shall mean the U.S. Pledge Agreement, substantially in the form of Exhibit D-3,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Borrowing</w:t>
      </w:r>
      <w:r>
        <w:rPr>
          <w:rFonts w:ascii="Arial" w:cs="Arial" w:eastAsia="Arial" w:hAnsi="Arial"/>
          <w:sz w:val="18"/>
          <w:szCs w:val="18"/>
          <w:color w:val="auto"/>
        </w:rPr>
        <w:t>” shall mean group of U.S. Revolving Credit Loans of a single Type made, converted or continued by the U.S. Revolving Lenders on a single date and, in the case of a Eurocurrency Borrowing, as to which a single Interest Period is in effect.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Commitment</w:t>
      </w:r>
      <w:r>
        <w:rPr>
          <w:rFonts w:ascii="Arial" w:cs="Arial" w:eastAsia="Arial" w:hAnsi="Arial"/>
          <w:sz w:val="17"/>
          <w:szCs w:val="17"/>
          <w:color w:val="auto"/>
        </w:rPr>
        <w:t>” shall mean, with respect to each U.S. Revolving Lender, the commitment of such U.S. Revolving Lender to (a) make U.S. Revolving Credit Loans hereunder, (b) purchase participations in the U.S. L/C Exposure and (c) 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reduced from time to time pursuant to Section 2.09 and (ii) reduced or increased from time to time pursuant to assignments by or to such U.S. Revolving Lender pursuant to Section 9.04. The aggregate amount of the U.S. Revolving Commitments as of the Closing Date is U.S.$20,000,000.</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Exposure</w:t>
      </w:r>
      <w:r>
        <w:rPr>
          <w:rFonts w:ascii="Arial" w:cs="Arial" w:eastAsia="Arial" w:hAnsi="Arial"/>
          <w:sz w:val="18"/>
          <w:szCs w:val="18"/>
          <w:color w:val="auto"/>
        </w:rPr>
        <w:t xml:space="preserve">” shall mean, with respect to any U.S. Revolving Lender at any time, the aggregate principal amount at such time of all outstanding U.S. Revolving Credit Loans of such U.S. Revolving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U.S. Dollar Equivalent of the aggregate amount at such time of such U.S. Revolving Lender’s U.S. Revolving Pro Rata Percentage of the U.S. L/C Exposure plus such U.S. Revolving Lender’s U.S. Revolving Pro Rata Percentage of the outstanding amount all U.S. Swing Line Loans.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Facility</w:t>
      </w:r>
      <w:r>
        <w:rPr>
          <w:rFonts w:ascii="Arial" w:cs="Arial" w:eastAsia="Arial" w:hAnsi="Arial"/>
          <w:sz w:val="18"/>
          <w:szCs w:val="18"/>
          <w:color w:val="auto"/>
        </w:rPr>
        <w:t>” shall mean at any time the aggregate amount of the U.S. Revolving Commitments of the U.S. Revolving Lenders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Credit Loan</w:t>
      </w:r>
      <w:r>
        <w:rPr>
          <w:rFonts w:ascii="Arial" w:cs="Arial" w:eastAsia="Arial" w:hAnsi="Arial"/>
          <w:sz w:val="17"/>
          <w:szCs w:val="17"/>
          <w:color w:val="auto"/>
        </w:rPr>
        <w:t>” shall mean the U.S. dollar-denominated Revolving Credit Loans made by the U.S. Revolving Lenders to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4" w:name="page165"/>
    <w:bookmarkEnd w:id="16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Revolving Lenders</w:t>
      </w:r>
      <w:r>
        <w:rPr>
          <w:rFonts w:ascii="Arial" w:cs="Arial" w:eastAsia="Arial" w:hAnsi="Arial"/>
          <w:sz w:val="16"/>
          <w:szCs w:val="16"/>
          <w:color w:val="auto"/>
        </w:rPr>
        <w:t>” shall mean Lenders having U.S. Revolving Commitments, outstanding U.S. Revolving Credit Loans, participations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pursuant to Section 2.21(d) or in outstanding U.S. Swing Line Loans pursuant to Section 2.23.</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Pro Rata Percentage</w:t>
      </w:r>
      <w:r>
        <w:rPr>
          <w:rFonts w:ascii="Arial" w:cs="Arial" w:eastAsia="Arial" w:hAnsi="Arial"/>
          <w:sz w:val="18"/>
          <w:szCs w:val="18"/>
          <w:color w:val="auto"/>
        </w:rPr>
        <w:t xml:space="preserve">” of any U.S. Revolving Lender, subject to any adjustment as provided in Section 2.24(c) or 2.25(a), the percentage of the aggregate U.S. Revolving Commitments represented by such U.S. Revolving Lender’s U.S. Revolving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Secured Parties</w:t>
      </w:r>
      <w:r>
        <w:rPr>
          <w:rFonts w:ascii="Arial" w:cs="Arial" w:eastAsia="Arial" w:hAnsi="Arial"/>
          <w:sz w:val="18"/>
          <w:szCs w:val="18"/>
          <w:color w:val="auto"/>
        </w:rPr>
        <w:t>” shall have the meaning assigned to the term “Secured Parties” in the U.S.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Agreement</w:t>
      </w:r>
      <w:r>
        <w:rPr>
          <w:rFonts w:ascii="Arial" w:cs="Arial" w:eastAsia="Arial" w:hAnsi="Arial"/>
          <w:sz w:val="18"/>
          <w:szCs w:val="18"/>
          <w:color w:val="auto"/>
        </w:rPr>
        <w:t>” shall mean the U.S. Security Agreement, substantially in the form of Exhibit E-3,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Documents</w:t>
      </w:r>
      <w:r>
        <w:rPr>
          <w:rFonts w:ascii="Arial" w:cs="Arial" w:eastAsia="Arial" w:hAnsi="Arial"/>
          <w:sz w:val="18"/>
          <w:szCs w:val="18"/>
          <w:color w:val="auto"/>
        </w:rPr>
        <w:t>” shall mean the U.S. Security Agreement, the U.S. Pledge Agreement and each other Security Document to which the U.S. Borrower or any Domestic Subsidiary is a party and that purports to grant a Lien in the assets of any such person in favor of the U.S. Collateral Agent for the benefit of the Secured Parties.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Subsidiary Guarantor</w:t>
      </w:r>
      <w:r>
        <w:rPr>
          <w:rFonts w:ascii="Arial" w:cs="Arial" w:eastAsia="Arial" w:hAnsi="Arial"/>
          <w:sz w:val="18"/>
          <w:szCs w:val="18"/>
          <w:color w:val="auto"/>
        </w:rPr>
        <w:t>” shall mean each Domestic Subsidiary of the U.S. Borrower listed on Schedule 1.01(b), and each other Material Subsidiary that is or becomes a party to the U.S. Guarantee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Borrowing</w:t>
      </w:r>
      <w:r>
        <w:rPr>
          <w:rFonts w:ascii="Arial" w:cs="Arial" w:eastAsia="Arial" w:hAnsi="Arial"/>
          <w:sz w:val="18"/>
          <w:szCs w:val="18"/>
          <w:color w:val="auto"/>
        </w:rPr>
        <w:t>” shall mean a borrowing of a U.S. Swing Line Loan pursuant to Section 2.23(a)(i) or, if an AutoBorrow Agreement is in effect, any transfer of funds pursuant to such AutoBorrow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Swing Line Lender</w:t>
      </w:r>
      <w:r>
        <w:rPr>
          <w:rFonts w:ascii="Arial" w:cs="Arial" w:eastAsia="Arial" w:hAnsi="Arial"/>
          <w:sz w:val="17"/>
          <w:szCs w:val="17"/>
          <w:color w:val="auto"/>
        </w:rPr>
        <w:t>” shall mean RBC in its capacity as provider of U.S.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Loan</w:t>
      </w:r>
      <w:r>
        <w:rPr>
          <w:rFonts w:ascii="Arial" w:cs="Arial" w:eastAsia="Arial" w:hAnsi="Arial"/>
          <w:sz w:val="18"/>
          <w:szCs w:val="18"/>
          <w:color w:val="auto"/>
        </w:rPr>
        <w:t>” shall have the meaning assigned to such term in Section 2.23(a)(i).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Sublimit</w:t>
      </w:r>
      <w:r>
        <w:rPr>
          <w:rFonts w:ascii="Arial" w:cs="Arial" w:eastAsia="Arial" w:hAnsi="Arial"/>
          <w:sz w:val="18"/>
          <w:szCs w:val="18"/>
          <w:color w:val="auto"/>
        </w:rPr>
        <w:t>” shall mean U.S.$10,000,000. The U.S. Swing Line Sublimit is part of, and not in addition to, the U.S. Revolving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shall have the meaning assigned to such term in Section 2.19(g)(ii)(B)(3).</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xml:space="preserve">” of any person shall mean (a) any subsidiary of such person of which securities (except for directors’ qualifying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5" w:name="page166"/>
    <w:bookmarkEnd w:id="16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Withholding Agent</w:t>
      </w:r>
      <w:r>
        <w:rPr>
          <w:rFonts w:ascii="Arial" w:cs="Arial" w:eastAsia="Arial" w:hAnsi="Arial"/>
          <w:sz w:val="18"/>
          <w:szCs w:val="18"/>
          <w:color w:val="auto"/>
        </w:rPr>
        <w:t>” shall mean any Loan Party and the Administrative Agent.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i w:val="1"/>
          <w:iCs w:val="1"/>
          <w:color w:val="auto"/>
        </w:rPr>
        <w:t>Terms Generally</w:t>
      </w:r>
      <w:r>
        <w:rPr>
          <w:rFonts w:ascii="Arial" w:cs="Arial" w:eastAsia="Arial" w:hAnsi="Arial"/>
          <w:sz w:val="16"/>
          <w:szCs w:val="16"/>
          <w:color w:val="auto"/>
        </w:rPr>
        <w:t>. The definitions in Section 1.01 shall apply equally to both the singular and plural forms of the terms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2" w:lineRule="exact"/>
        <w:rPr>
          <w:sz w:val="20"/>
          <w:szCs w:val="20"/>
          <w:color w:val="auto"/>
        </w:rPr>
      </w:pPr>
    </w:p>
    <w:p>
      <w:pPr>
        <w:jc w:val="both"/>
        <w:ind w:firstLine="8"/>
        <w:spacing w:after="0" w:line="284" w:lineRule="auto"/>
        <w:tabs>
          <w:tab w:leader="none" w:pos="26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Parent Borrower notifies the Administrative Agent that the Borrowers wish to amend any covenant in Article VI or any related definition to eliminate the effect of any change in GAAP occurring after the Closing Date on the operation of such covenant (or if the Administrative Agent notifies the Parent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Parent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6" w:name="page167"/>
    <w:bookmarkEnd w:id="166"/>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i w:val="1"/>
          <w:iCs w:val="1"/>
          <w:color w:val="auto"/>
        </w:rPr>
        <w:t>Several Obligations; Power of Attorney</w:t>
      </w:r>
      <w:r>
        <w:rPr>
          <w:rFonts w:ascii="Arial" w:cs="Arial" w:eastAsia="Arial" w:hAnsi="Arial"/>
          <w:sz w:val="18"/>
          <w:szCs w:val="18"/>
          <w:color w:val="auto"/>
        </w:rPr>
        <w:t>. (a) Any Canadian Subsidiaries that are not U.S. Owned Subsidiaries, the Australian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any Australian Subsidiaries shall not be liable for the payment obligations of the U.S. Borrower hereunder.</w:t>
      </w:r>
    </w:p>
    <w:p>
      <w:pPr>
        <w:spacing w:after="0" w:line="166" w:lineRule="exact"/>
        <w:rPr>
          <w:sz w:val="20"/>
          <w:szCs w:val="20"/>
          <w:color w:val="auto"/>
        </w:rPr>
      </w:pPr>
    </w:p>
    <w:p>
      <w:pPr>
        <w:jc w:val="both"/>
        <w:ind w:firstLine="1305"/>
        <w:spacing w:after="0" w:line="255" w:lineRule="auto"/>
        <w:tabs>
          <w:tab w:leader="none" w:pos="185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of the U.S. Borrower and the Australian Borrower hereby appoints the Parent Borrower and each of its officers to be its attorneys in fact (its “</w:t>
      </w:r>
      <w:r>
        <w:rPr>
          <w:rFonts w:ascii="Arial" w:cs="Arial" w:eastAsia="Arial" w:hAnsi="Arial"/>
          <w:sz w:val="18"/>
          <w:szCs w:val="18"/>
          <w:i w:val="1"/>
          <w:iCs w:val="1"/>
          <w:color w:val="auto"/>
        </w:rPr>
        <w:t>Attorneys</w:t>
      </w:r>
      <w:r>
        <w:rPr>
          <w:rFonts w:ascii="Arial" w:cs="Arial" w:eastAsia="Arial" w:hAnsi="Arial"/>
          <w:sz w:val="18"/>
          <w:szCs w:val="18"/>
          <w:color w:val="auto"/>
        </w:rPr>
        <w:t>”) and in its name and on its behalf and as its act and deed or otherwise to sign all documents and carry out all such acts as are necessary or appropriate in connection with executing any Borrowing Request, any Loan Documents or any other instruments, certificates or documents delivered thereunder or in connection therewith (collectively, the “</w:t>
      </w:r>
      <w:r>
        <w:rPr>
          <w:rFonts w:ascii="Arial" w:cs="Arial" w:eastAsia="Arial" w:hAnsi="Arial"/>
          <w:sz w:val="18"/>
          <w:szCs w:val="18"/>
          <w:i w:val="1"/>
          <w:iCs w:val="1"/>
          <w:color w:val="auto"/>
        </w:rPr>
        <w:t>Documents</w:t>
      </w:r>
      <w:r>
        <w:rPr>
          <w:rFonts w:ascii="Arial" w:cs="Arial" w:eastAsia="Arial" w:hAnsi="Arial"/>
          <w:sz w:val="18"/>
          <w:szCs w:val="18"/>
          <w:color w:val="auto"/>
        </w:rPr>
        <w:t>”). This Power of Attorney shall be valid for the duration of the term of this Agreement. The U.S. Borrower and the Australian Borrower hereby ratifies any and all acts which any of its Attorneys shall do in order to execute on its behalf, or in connection with, the Documents mentioned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i w:val="1"/>
          <w:iCs w:val="1"/>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“U.S. Revolving Credit Loan”)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Credit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“U.S. Revolving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Borrowing”).</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1.05 </w:t>
      </w:r>
      <w:r>
        <w:rPr>
          <w:rFonts w:ascii="Arial" w:cs="Arial" w:eastAsia="Arial" w:hAnsi="Arial"/>
          <w:sz w:val="17"/>
          <w:szCs w:val="17"/>
          <w:b w:val="1"/>
          <w:bCs w:val="1"/>
          <w:i w:val="1"/>
          <w:iCs w:val="1"/>
          <w:color w:val="auto"/>
        </w:rPr>
        <w:t>Additional Alternative Currencies</w:t>
      </w:r>
      <w:r>
        <w:rPr>
          <w:rFonts w:ascii="Arial" w:cs="Arial" w:eastAsia="Arial" w:hAnsi="Arial"/>
          <w:sz w:val="17"/>
          <w:szCs w:val="17"/>
          <w:color w:val="auto"/>
        </w:rPr>
        <w:t>. The Borrowers may from time to time request that Letters of Credit be issued in a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than those specifically listed in the definition of “Alternative Currency;”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7" w:name="page168"/>
    <w:bookmarkEnd w:id="167"/>
    <w:p>
      <w:pPr>
        <w:jc w:val="center"/>
        <w:ind w:right="6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CREDITS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i w:val="1"/>
          <w:iCs w:val="1"/>
          <w:color w:val="auto"/>
        </w:rPr>
        <w:t>Commitments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Loans</w:t>
      </w:r>
      <w:r>
        <w:rPr>
          <w:rFonts w:ascii="Arial" w:cs="Arial" w:eastAsia="Arial" w:hAnsi="Arial"/>
          <w:sz w:val="15"/>
          <w:szCs w:val="15"/>
          <w:color w:val="auto"/>
        </w:rPr>
        <w:t>.</w:t>
      </w:r>
    </w:p>
    <w:p>
      <w:pPr>
        <w:spacing w:after="0" w:line="229" w:lineRule="exact"/>
        <w:rPr>
          <w:sz w:val="20"/>
          <w:szCs w:val="20"/>
          <w:color w:val="auto"/>
        </w:rPr>
      </w:pPr>
    </w:p>
    <w:p>
      <w:pPr>
        <w:ind w:left="1060" w:hanging="415"/>
        <w:spacing w:after="0"/>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the terms and conditions and relying upon the representations and warranties herein set forth:</w:t>
      </w:r>
    </w:p>
    <w:p>
      <w:pPr>
        <w:spacing w:after="0" w:line="225" w:lineRule="exact"/>
        <w:rPr>
          <w:rFonts w:ascii="Arial" w:cs="Arial" w:eastAsia="Arial" w:hAnsi="Arial"/>
          <w:sz w:val="18"/>
          <w:szCs w:val="18"/>
          <w:color w:val="auto"/>
        </w:rPr>
      </w:pPr>
    </w:p>
    <w:p>
      <w:pPr>
        <w:jc w:val="both"/>
        <w:ind w:firstLine="1131"/>
        <w:spacing w:after="0" w:line="279" w:lineRule="auto"/>
        <w:tabs>
          <w:tab w:leader="none" w:pos="1559" w:val="left"/>
        </w:tabs>
        <w:numPr>
          <w:ilvl w:val="1"/>
          <w:numId w:val="178"/>
        </w:numPr>
        <w:rPr>
          <w:rFonts w:ascii="Arial" w:cs="Arial" w:eastAsia="Arial" w:hAnsi="Arial"/>
          <w:sz w:val="17"/>
          <w:szCs w:val="17"/>
          <w:color w:val="auto"/>
        </w:rPr>
      </w:pPr>
      <w:r>
        <w:rPr>
          <w:rFonts w:ascii="Arial" w:cs="Arial" w:eastAsia="Arial" w:hAnsi="Arial"/>
          <w:sz w:val="17"/>
          <w:szCs w:val="17"/>
          <w:color w:val="auto"/>
        </w:rPr>
        <w:t>each U.S. Revolving Lender agrees, severally and not jointly, to make U.S. Revolving Credit Loans in U.S. dollars to the U.S. Borrower, at any time and from time to time on or after the Closing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71" w:lineRule="exact"/>
        <w:rPr>
          <w:rFonts w:ascii="Arial" w:cs="Arial" w:eastAsia="Arial" w:hAnsi="Arial"/>
          <w:sz w:val="17"/>
          <w:szCs w:val="17"/>
          <w:color w:val="auto"/>
        </w:rPr>
      </w:pPr>
    </w:p>
    <w:p>
      <w:pPr>
        <w:jc w:val="both"/>
        <w:ind w:firstLine="1131"/>
        <w:spacing w:after="0" w:line="257" w:lineRule="auto"/>
        <w:tabs>
          <w:tab w:leader="none" w:pos="166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Canadian Revolving Lender agrees, severally and not jointly, to make Canadian Revolving Credit Loans in Canadian dollars and/or U.S. dollars to the Parent Borrower at any time and from time to time on or after the Closing Date, and until the earlier of the Maturity Date and the termination of the Canadian Revolving Commitment of such Lender in accordance with the terms hereof, in an aggregate principal amount at any time outstanding that will not result in such Lender’s Canadian Revolving Credit Exposure exceeding such Lender’s Canadian Revolving Commitment;</w:t>
      </w:r>
    </w:p>
    <w:p>
      <w:pPr>
        <w:spacing w:after="0" w:line="188" w:lineRule="exact"/>
        <w:rPr>
          <w:rFonts w:ascii="Arial" w:cs="Arial" w:eastAsia="Arial" w:hAnsi="Arial"/>
          <w:sz w:val="18"/>
          <w:szCs w:val="18"/>
          <w:color w:val="auto"/>
        </w:rPr>
      </w:pPr>
    </w:p>
    <w:p>
      <w:pPr>
        <w:jc w:val="both"/>
        <w:ind w:firstLine="1131"/>
        <w:spacing w:after="0" w:line="257" w:lineRule="auto"/>
        <w:tabs>
          <w:tab w:leader="none" w:pos="171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Australian Lender agrees, severally and not jointly, to make Australian Revolving Credit Loans in Australian dollars and/or U.S. dollars to the Australian Borrower at any time and from time to time on or after the Closing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188" w:lineRule="exact"/>
        <w:rPr>
          <w:rFonts w:ascii="Arial" w:cs="Arial" w:eastAsia="Arial" w:hAnsi="Arial"/>
          <w:sz w:val="18"/>
          <w:szCs w:val="18"/>
          <w:color w:val="auto"/>
        </w:rPr>
      </w:pPr>
    </w:p>
    <w:p>
      <w:pPr>
        <w:ind w:left="1620" w:hanging="489"/>
        <w:spacing w:after="0"/>
        <w:tabs>
          <w:tab w:leader="none" w:pos="16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U.S. Swing Line Lender agrees to make Swing Line Loans in U.S. dollars to the U.S. Borrower in accordance with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2.23;</w:t>
      </w:r>
    </w:p>
    <w:p>
      <w:pPr>
        <w:spacing w:after="0" w:line="210" w:lineRule="exact"/>
        <w:rPr>
          <w:rFonts w:ascii="Arial" w:cs="Arial" w:eastAsia="Arial" w:hAnsi="Arial"/>
          <w:sz w:val="16"/>
          <w:szCs w:val="16"/>
          <w:color w:val="auto"/>
        </w:rPr>
      </w:pPr>
    </w:p>
    <w:p>
      <w:pPr>
        <w:ind w:firstLine="1131"/>
        <w:spacing w:after="0" w:line="277" w:lineRule="auto"/>
        <w:tabs>
          <w:tab w:leader="none" w:pos="158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Canadian Swing Line Lender agrees to make Swing Line Loans in Canadian dollars or U.S. dollars to the Parent Borrower in accordance with Section 2.23; and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581" w:right="239" w:bottom="1440" w:gutter="0" w:footer="0" w:header="0"/>
        </w:sectPr>
      </w:pPr>
    </w:p>
    <w:bookmarkStart w:id="168" w:name="page169"/>
    <w:bookmarkEnd w:id="168"/>
    <w:p>
      <w:pPr>
        <w:ind w:left="660" w:right="20" w:firstLine="1131"/>
        <w:spacing w:after="0" w:line="277" w:lineRule="auto"/>
        <w:tabs>
          <w:tab w:leader="none" w:pos="233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within the limits set forth in the preceding sentence and subject to the terms, conditions and limitations set forth herein, the Borrowers may borrow, prepay and reborrow Revolving Credit Loans.</w:t>
      </w:r>
    </w:p>
    <w:p>
      <w:pPr>
        <w:spacing w:after="0" w:line="170" w:lineRule="exact"/>
        <w:rPr>
          <w:rFonts w:ascii="Arial" w:cs="Arial" w:eastAsia="Arial" w:hAnsi="Arial"/>
          <w:sz w:val="18"/>
          <w:szCs w:val="18"/>
          <w:color w:val="auto"/>
        </w:rPr>
      </w:pPr>
    </w:p>
    <w:p>
      <w:pPr>
        <w:jc w:val="both"/>
        <w:ind w:firstLine="1305"/>
        <w:spacing w:after="0" w:line="270" w:lineRule="auto"/>
        <w:tabs>
          <w:tab w:leader="none" w:pos="177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Under the Existing Credit Agreement, on the First Amendment Effective Date, the Canadian Term Lenders made a single Canadian Term Loan in Canadian dollars to the Parent Borrower. Upon the effectiveness of this Agreement on the Closing Date, the Canadian Term Loans shall remain outstanding Obligations of the Parent Borrower and be deemed to be the “Canadian Term Loans” under this Agreement in the amount set forth opposite such Lender’s name on Schedule 2.01 under the caption “Canadian Term Loans”. The Canadian Borrower may prepay the Canadian Term Loans but shall have no right to reborrow any portion of the Canadian Term Loans which is repaid or prepaid from time to time. With respect to the Canadian Term Loan Facility only, for purposes of determining the Canadian Dollar Equivalent, the Administrative Agent shall use the rate of exchange for Canadian interbank transactions at which Canadian dollars may be exchanged into U.S. dollars or at which U.S. dollars may be exchanged into Canadian dollars, respectively, established by the Bank of Canada as quoted at approximately the end of business (Standard Time) on the Business Day immediately preceding the Closing Date (the “</w:t>
      </w:r>
      <w:r>
        <w:rPr>
          <w:rFonts w:ascii="Arial" w:cs="Arial" w:eastAsia="Arial" w:hAnsi="Arial"/>
          <w:sz w:val="17"/>
          <w:szCs w:val="17"/>
          <w:b w:val="1"/>
          <w:bCs w:val="1"/>
          <w:i w:val="1"/>
          <w:iCs w:val="1"/>
          <w:color w:val="auto"/>
        </w:rPr>
        <w:t>Canadian Term Facility Exchange Rate</w:t>
      </w:r>
      <w:r>
        <w:rPr>
          <w:rFonts w:ascii="Arial" w:cs="Arial" w:eastAsia="Arial" w:hAnsi="Arial"/>
          <w:sz w:val="17"/>
          <w:szCs w:val="17"/>
          <w:color w:val="auto"/>
        </w:rPr>
        <w:t>”). Thereafter, the Canadian Term Facility Exchange Rate shall be fixed during the life of the Canadian Term Loan Facility.</w:t>
      </w:r>
    </w:p>
    <w:p>
      <w:pPr>
        <w:spacing w:after="0" w:line="17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2.02 </w:t>
      </w:r>
      <w:r>
        <w:rPr>
          <w:rFonts w:ascii="Arial" w:cs="Arial" w:eastAsia="Arial" w:hAnsi="Arial"/>
          <w:sz w:val="16"/>
          <w:szCs w:val="16"/>
          <w:b w:val="1"/>
          <w:bCs w:val="1"/>
          <w:i w:val="1"/>
          <w:iCs w:val="1"/>
          <w:color w:val="auto"/>
        </w:rPr>
        <w:t>Loans</w:t>
      </w:r>
      <w:r>
        <w:rPr>
          <w:rFonts w:ascii="Arial" w:cs="Arial" w:eastAsia="Arial" w:hAnsi="Arial"/>
          <w:sz w:val="16"/>
          <w:szCs w:val="16"/>
          <w:color w:val="auto"/>
        </w:rPr>
        <w:t>. (a) Each Loan shall be made as part of a Borrowing consisting of Loans made by the Applicable Lenders ratably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their Applicable Pro Rata Percentages of the applicable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Eurocurrency Loans, an integral multiple of U.S.$1,000,000 and in a minimum amount of U.S.$3,000,000, (iii) in the case of Canadian dollar-denominated Loans, an integral multiple of C$100,000 and in a minimum amount of C$1,000,000, (iv) in the case of Australian dollar-denominated Loans, an integral multiple of AUD$100,000 and in a minimum amount of AUD$1,000,000 or</w:t>
      </w:r>
    </w:p>
    <w:p>
      <w:pPr>
        <w:spacing w:after="0" w:line="5" w:lineRule="exact"/>
        <w:rPr>
          <w:sz w:val="20"/>
          <w:szCs w:val="20"/>
          <w:color w:val="auto"/>
        </w:rPr>
      </w:pPr>
    </w:p>
    <w:p>
      <w:pPr>
        <w:ind w:left="260" w:hanging="252"/>
        <w:spacing w:after="0"/>
        <w:tabs>
          <w:tab w:leader="none" w:pos="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equal to the remaining available balance of the applicable Commitment.</w:t>
      </w:r>
    </w:p>
    <w:p>
      <w:pPr>
        <w:spacing w:after="0" w:line="210" w:lineRule="exact"/>
        <w:rPr>
          <w:rFonts w:ascii="Arial" w:cs="Arial" w:eastAsia="Arial" w:hAnsi="Arial"/>
          <w:sz w:val="18"/>
          <w:szCs w:val="18"/>
          <w:color w:val="auto"/>
        </w:rPr>
      </w:pPr>
    </w:p>
    <w:p>
      <w:pPr>
        <w:jc w:val="both"/>
        <w:ind w:firstLine="1305"/>
        <w:spacing w:after="0" w:line="268" w:lineRule="auto"/>
        <w:tabs>
          <w:tab w:leader="none" w:pos="181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 xml:space="preserve">Subject to Sections 2.08 and 2.14, (i) each Borrowing (other than a Swing Line Borrowing) denominated in U.S. dollars shall be comprised entirely of ABR Loans (if made to the U.S. Borrower), U.S. Base Rate Loans (if made to the Canadian Borrower) or Eurocurrency Loans as the Applicable Borrower may request pursuant to Section 2.03, (ii) each Borrowing (other than a Swing Line Borrowing) denominated in Canadian dollars shall be comprised entirely of B/A Loans or Canadian Prime Rate Loans as the Canadian Borrower may request pursuant to Section 2.03 and (iii) each Borrowing denominated in Australian dollars shall be comprised entirely of BBSY Rate Loans. Each Lender may at its option make any Eurocurrency Loan, Canadian Revolving Credit Loan or Australian Revolving Credit Loan denominated in U.S. dollars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Borrowers shall not be entitled to request any Borrowing that, if made, would result in more than ten Eurocurrency Borrowings outstanding hereunder at any time, more than ten B/A Borrowings outstanding hereunder at any time, or more than ten BBSY Rate Borrowings outstanding hereunder at any time. For purposes of the foregoing, Eurocurrency Borrowings or BBSY Rate Borrowings having different Interest Periods and B/A Borrowings having different Contract Periods, regardless of whether they commence on the same date, shall be considered separate Borrowings.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9" w:name="page170"/>
    <w:bookmarkEnd w:id="169"/>
    <w:p>
      <w:pPr>
        <w:jc w:val="both"/>
        <w:ind w:firstLine="1305"/>
        <w:spacing w:after="0" w:line="286" w:lineRule="auto"/>
        <w:tabs>
          <w:tab w:leader="none" w:pos="176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Except with respect to Loans made pursuant to Section 2.02(g), each U.S. Lender making Loans denominated in U.S. dollars to the U.S. Borrower shall make each such Loan to be made by it hereunder on the proposed date thereof by wire transfer of immediately available funds to such account as the Administrative Agent may designate not later than 1:00 p.m. (Standard Time) in the case of a Eurocurrency Borrowing, or 1:00 p.m. (Standard Time) in the case of an ABR Borrowing, and the Administrative Agent shall promptly credit the amounts so received to an account designated by the U.S. Borrower in the applicable Borrowing Request. Except with respect to Loans made pursuant to Section 2.02(g), each Canadian Lender making Loans to the Canadian Borrower shall make each Canadian Loan to be made by it hereunder on the proposed date thereof by wire transfer of immediately available funds to such account in Toronto, Ontario as the Canadian Administrative Agent may designate not later than 1:00 p.m. (Standard Time) in the case of a Eurocurrency Borrowing or a B/A Borrowing, or 1:00 p.m. (Standard Time) in the case of a Canadian Prime Rate Borrowing or U.S. Base Rate Borrowing, and the Canadian Administrative Agent shall promptly credit the amounts so received to an account designated by such Canadian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174" w:lineRule="exact"/>
        <w:rPr>
          <w:rFonts w:ascii="Arial" w:cs="Arial" w:eastAsia="Arial" w:hAnsi="Arial"/>
          <w:sz w:val="16"/>
          <w:szCs w:val="16"/>
          <w:color w:val="auto"/>
        </w:rPr>
      </w:pPr>
    </w:p>
    <w:p>
      <w:pPr>
        <w:jc w:val="both"/>
        <w:ind w:firstLine="1305"/>
        <w:spacing w:after="0" w:line="267" w:lineRule="auto"/>
        <w:tabs>
          <w:tab w:leader="none" w:pos="178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does not constitute a waiver by any Borrower of any claim for damages permitted hereunder and attributable to such Lender. Any payment by a Borrower shall be without prejudice to any claim any Borrower may have against a Lender that shall have failed to make such payment to the Applicable Administrative Agent.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0" w:name="page171"/>
    <w:bookmarkEnd w:id="170"/>
    <w:p>
      <w:pPr>
        <w:jc w:val="both"/>
        <w:ind w:firstLine="1305"/>
        <w:spacing w:after="0" w:line="270" w:lineRule="auto"/>
        <w:tabs>
          <w:tab w:leader="none" w:pos="175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177" w:lineRule="exact"/>
        <w:rPr>
          <w:rFonts w:ascii="Arial" w:cs="Arial" w:eastAsia="Arial" w:hAnsi="Arial"/>
          <w:sz w:val="17"/>
          <w:szCs w:val="17"/>
          <w:color w:val="auto"/>
        </w:rPr>
      </w:pPr>
    </w:p>
    <w:p>
      <w:pPr>
        <w:ind w:firstLine="1305"/>
        <w:spacing w:after="0" w:line="277" w:lineRule="auto"/>
        <w:tabs>
          <w:tab w:leader="none" w:pos="175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Borrowers shall not be entitled to request any Borrowing if the Interest Period or Contract Period requested with respect thereto would end after the Maturity Date.</w:t>
      </w:r>
    </w:p>
    <w:p>
      <w:pPr>
        <w:spacing w:after="0" w:line="170" w:lineRule="exact"/>
        <w:rPr>
          <w:rFonts w:ascii="Arial" w:cs="Arial" w:eastAsia="Arial" w:hAnsi="Arial"/>
          <w:sz w:val="18"/>
          <w:szCs w:val="18"/>
          <w:color w:val="auto"/>
        </w:rPr>
      </w:pPr>
    </w:p>
    <w:p>
      <w:pPr>
        <w:jc w:val="both"/>
        <w:ind w:firstLine="1305"/>
        <w:spacing w:after="0" w:line="283" w:lineRule="auto"/>
        <w:tabs>
          <w:tab w:leader="none" w:pos="175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If an Issuing Bank shall not have received from the U.S. Borrower, the Parent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Revolving Lender or Australian Lender, as applicable, of the U.S. Dollar Equivalent of such L/C Disbursement and its U.S. Revolving Pro Rata Percentage, Canadian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Revolving Pro Rata Percentage or Australian Revolving Pro Rata Percentage, as applicable, of the U.S. Dollar Equivalent of such L/C 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Revolving Pro Rata Percentage or Australian Revolving Pro Rata Percentage, as applicable, of such L/C Disbursement available to the Applicable Administrative Agent as provided above, such Lender and the Borrower for whose (or for whose Subsidiary’s)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Revolving Lender, an Australian Lender or the Borrower for whose (or for whose Subsidiary’s) account such L/C Disbursement was made), the Borrower for whose (or for whose Subsidiary’s) account such L/C Disbursement was made covenants and agrees to pay, or cause to be paid, such additional amounts, if any, as may be necessary to ensure that the amount paid in U.S. dollars,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1" w:name="page172"/>
    <w:bookmarkEnd w:id="171"/>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2.03 </w:t>
      </w:r>
      <w:r>
        <w:rPr>
          <w:rFonts w:ascii="Arial" w:cs="Arial" w:eastAsia="Arial" w:hAnsi="Arial"/>
          <w:sz w:val="17"/>
          <w:szCs w:val="17"/>
          <w:b w:val="1"/>
          <w:bCs w:val="1"/>
          <w:i w:val="1"/>
          <w:iCs w:val="1"/>
          <w:color w:val="auto"/>
        </w:rPr>
        <w:t>Borrowing Procedure</w:t>
      </w:r>
      <w:r>
        <w:rPr>
          <w:rFonts w:ascii="Arial" w:cs="Arial" w:eastAsia="Arial" w:hAnsi="Arial"/>
          <w:sz w:val="17"/>
          <w:szCs w:val="17"/>
          <w:color w:val="auto"/>
        </w:rPr>
        <w:t>. (a) In order to request a Borrowing (other than a deemed Borrowing pursuant to Section 2.02(g) or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Swing Line Borrowing as to which this Section 2.03(a) shall not apply), the applicable U.S. Borrower (or the Parent Borrower on its behalf) shall hand deliver, fax or send by electronic communication (e-mail) (or by telephone notice promptly confirmed by a written, fax or electronic communication (e-mail)) to the Administrative Agent a duly completed Borrowing Request (x) in the case of a Eurocurrency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such U.S. Borrower (or the Parent Borrower on its behalf) and shall specify the following information: (i) [reserved], (ii) whether such Borrowing is to be a Eurocurrency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Eurocurrency Borrowing, the Interest Period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Eurocurrency Borrowing is specified in any such notice, then the Parent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187" w:lineRule="exact"/>
        <w:rPr>
          <w:sz w:val="20"/>
          <w:szCs w:val="20"/>
          <w:color w:val="auto"/>
        </w:rPr>
      </w:pPr>
    </w:p>
    <w:p>
      <w:pPr>
        <w:jc w:val="both"/>
        <w:ind w:firstLine="1305"/>
        <w:spacing w:after="0" w:line="285" w:lineRule="auto"/>
        <w:tabs>
          <w:tab w:leader="none" w:pos="17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or a Swing Line Borrowing as to which Section 2.03(b) shall not apply), the Canadian Borrower (or the Parent Borrower on its behalf) shall hand deliver, fax or send by electronic communication (e-mail) (or by telephone notice promptly confirmed by a written, fax or electronic communication (e-mail)) to the Canadian Administrative Agent a duly completed Borrowing Request (x) in the case of a B/A Borrowing or a Eurocurrency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Canadian Borrower (or the Parent Borrower on its behalf) and shall specify the following information: (i) in the case of a Canadian Revolving Borrowing, whether the Borrowing then being requested is to be denominated in Canadian dollars or U.S. dollars; (ii) whether such Borrowing is to be a Canadian Prime Rate Borrowing, a B/A Borrowing, a U.S. Base Rate Borrowing or a Eurocurrency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B/A Borrowing or a Eurocurrency Borrowing, the Contract Period or Interest Period, respectively,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 Canadian Prime Rate Borrowing (if denominated in Canadian dollars) or a U.S. Base Rate Borrowing (if denominated in U.S. dollars). If no Contract Period or Interest Period with respect to a B/A Borrowing or Eurocurrency Borrowing has been specified in any such notice, then the Canadian Borrower (or the Parent Borrower on its behalf) shall be deemed to have selected a Contract Period or Interest Period of one month’s duration. The Canadian Administrative Agent shall promptly advise the Applicable Lenders of any notice given pursuant to this Section 2.03(b) (and the contents thereof), and of each Lender’s portion of the requested Borrowing.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2" w:name="page173"/>
    <w:bookmarkEnd w:id="172"/>
    <w:p>
      <w:pPr>
        <w:jc w:val="both"/>
        <w:ind w:firstLine="1305"/>
        <w:spacing w:after="0" w:line="287" w:lineRule="auto"/>
        <w:tabs>
          <w:tab w:leader="none" w:pos="172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as to which this Section 2.03(c) shall not apply), the Australian Borrower (or the Parent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Parent Borrower on its behalf) and shall specify the following information: (i) whether the Borrowing then being requested is to be a BBSY Rate Borrowing denominated in Australian dollars or a Eurocurrency Borrowing denominated in U.S. dollars; (ii) the date of such Borrowing (which shall be a Business Day); (iii) the number and location of the account to which funds are to be disbursed (which shall be an account that complies with the requirements of Section 2.02(c)); (iv) the amount of such Borrowing; and (v) the Interest Period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contrary specification in any Borrowing Request, each requested Borrowing shall 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1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5"/>
          <w:szCs w:val="15"/>
          <w:b w:val="1"/>
          <w:bCs w:val="1"/>
          <w:i w:val="1"/>
          <w:iCs w:val="1"/>
          <w:color w:val="auto"/>
        </w:rPr>
        <w:t>Evidence of Debt; Repayment of Loans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5" w:lineRule="auto"/>
        <w:tabs>
          <w:tab w:leader="none" w:pos="182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U.S. Borrower hereby unconditionally promises to pay to the Administrative Agent for the account of each U.S. Revolving Lender holding U.S. Revolving Credit Loans the then unpaid principal amount of each such Revolving Credit Loan of such Lender on the Maturity Date. The Parent Borrower hereby unconditionally promises to pay to the Canadian Administrative Agent for the account of each Canadian Revolving Lender holding Canadian Revolving Credit Loans made to such Parent Borrower, the then unpaid principal amount of each such Revolving Credit Loan of such Canadian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78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Canadian Borrower hereby unconditionally promises to pay in Canadian Dollars to the Canadian Administrative Agent for the account of each Canadian Term Lender holding Canadian Term Loans the principal amounts set forth in Schedule 2.04 on each corresponding date set forth on such schedule;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Canadian Administrative Agent shall promptly update Schedule 2.04 upon any repayment or prepayment of Canadian Term Loans, which updated schedule shall become effective upon delivery to the Parent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3" w:name="page174"/>
    <w:bookmarkEnd w:id="173"/>
    <w:p>
      <w:pPr>
        <w:ind w:firstLine="1305"/>
        <w:spacing w:after="0" w:line="277" w:lineRule="auto"/>
        <w:tabs>
          <w:tab w:leader="none" w:pos="175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U.S. Borrower shall repay each U.S. Swing Line Loan on the Swing Line Payment Date. The Parent Borrower shall repay each Canadian Swing Line Loan on the Swing Line Payment Date.</w:t>
      </w:r>
    </w:p>
    <w:p>
      <w:pPr>
        <w:spacing w:after="0" w:line="170" w:lineRule="exact"/>
        <w:rPr>
          <w:rFonts w:ascii="Arial" w:cs="Arial" w:eastAsia="Arial" w:hAnsi="Arial"/>
          <w:sz w:val="18"/>
          <w:szCs w:val="18"/>
          <w:color w:val="auto"/>
        </w:rPr>
      </w:pPr>
    </w:p>
    <w:p>
      <w:pPr>
        <w:ind w:firstLine="1305"/>
        <w:spacing w:after="0" w:line="277" w:lineRule="auto"/>
        <w:tabs>
          <w:tab w:leader="none" w:pos="17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for any B/A Loan (the compensation for which is set forth in Section 2.22), each Loan shall bear interest from and including the date made on the outstanding principal balance thereof as set forth in Section 2.06.</w:t>
      </w:r>
    </w:p>
    <w:p>
      <w:pPr>
        <w:spacing w:after="0" w:line="170" w:lineRule="exact"/>
        <w:rPr>
          <w:rFonts w:ascii="Arial" w:cs="Arial" w:eastAsia="Arial" w:hAnsi="Arial"/>
          <w:sz w:val="18"/>
          <w:szCs w:val="18"/>
          <w:color w:val="auto"/>
        </w:rPr>
      </w:pPr>
    </w:p>
    <w:p>
      <w:pPr>
        <w:jc w:val="both"/>
        <w:ind w:firstLine="1305"/>
        <w:spacing w:after="0" w:line="312" w:lineRule="auto"/>
        <w:tabs>
          <w:tab w:leader="none" w:pos="172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72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186" w:lineRule="exact"/>
        <w:rPr>
          <w:rFonts w:ascii="Arial" w:cs="Arial" w:eastAsia="Arial" w:hAnsi="Arial"/>
          <w:sz w:val="18"/>
          <w:szCs w:val="18"/>
          <w:color w:val="auto"/>
        </w:rPr>
      </w:pPr>
    </w:p>
    <w:p>
      <w:pPr>
        <w:jc w:val="both"/>
        <w:ind w:right="20" w:firstLine="1305"/>
        <w:spacing w:after="0" w:line="312" w:lineRule="auto"/>
        <w:tabs>
          <w:tab w:leader="none" w:pos="176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paragraphs (e) and (f) above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therein recorded;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any Lender or the Administrative Agents to maintain such accounts or any error therein shall not in any manner affect the obligations of the Borrowers to repay the Loans in accordance with the terms of this Agreement.</w:t>
      </w:r>
    </w:p>
    <w:p>
      <w:pPr>
        <w:spacing w:after="0" w:line="146" w:lineRule="exact"/>
        <w:rPr>
          <w:rFonts w:ascii="Arial" w:cs="Arial" w:eastAsia="Arial" w:hAnsi="Arial"/>
          <w:sz w:val="16"/>
          <w:szCs w:val="16"/>
          <w:color w:val="auto"/>
        </w:rPr>
      </w:pPr>
    </w:p>
    <w:p>
      <w:pPr>
        <w:jc w:val="both"/>
        <w:ind w:firstLine="1305"/>
        <w:spacing w:after="0" w:line="297" w:lineRule="auto"/>
        <w:tabs>
          <w:tab w:leader="none" w:pos="172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Lender may request that Loans made by it hereunder be evidenced by a promissory note (a “</w:t>
      </w:r>
      <w:r>
        <w:rPr>
          <w:rFonts w:ascii="Arial" w:cs="Arial" w:eastAsia="Arial" w:hAnsi="Arial"/>
          <w:sz w:val="16"/>
          <w:szCs w:val="16"/>
          <w:i w:val="1"/>
          <w:iCs w:val="1"/>
          <w:color w:val="auto"/>
        </w:rPr>
        <w:t>Note</w:t>
      </w:r>
      <w:r>
        <w:rPr>
          <w:rFonts w:ascii="Arial" w:cs="Arial" w:eastAsia="Arial" w:hAnsi="Arial"/>
          <w:sz w:val="16"/>
          <w:szCs w:val="16"/>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w:t>
      </w:r>
    </w:p>
    <w:p>
      <w:pPr>
        <w:spacing w:after="0" w:line="1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2.05 </w:t>
      </w:r>
      <w:r>
        <w:rPr>
          <w:rFonts w:ascii="Arial" w:cs="Arial" w:eastAsia="Arial" w:hAnsi="Arial"/>
          <w:sz w:val="16"/>
          <w:szCs w:val="16"/>
          <w:b w:val="1"/>
          <w:bCs w:val="1"/>
          <w:i w:val="1"/>
          <w:iCs w:val="1"/>
          <w:color w:val="auto"/>
        </w:rPr>
        <w:t>Fees</w:t>
      </w:r>
      <w:r>
        <w:rPr>
          <w:rFonts w:ascii="Arial" w:cs="Arial" w:eastAsia="Arial" w:hAnsi="Arial"/>
          <w:sz w:val="16"/>
          <w:szCs w:val="16"/>
          <w:color w:val="auto"/>
        </w:rPr>
        <w:t>. (a) (i) The U.S. Borrower agrees to pay to each U.S. Revolving Lender, through the Administrative Agent, on the last</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 of March, June, September and December in each year, a commitment fee (the “U.S. Commitment Fee”) equal to the Applicable Percentage on the daily unused amount of the U.S. Revolving Commitments of such U.S. Revolving Lender to make U.S. Revolving Credit Loans to the U.S. Borrower during the preceding quarter. The U.S. Commitment Fee shall be computed on the basis of the actual number of days elapsed in a year of 360 days.</w:t>
      </w:r>
    </w:p>
    <w:p>
      <w:pPr>
        <w:spacing w:after="0" w:line="155" w:lineRule="exact"/>
        <w:rPr>
          <w:sz w:val="20"/>
          <w:szCs w:val="20"/>
          <w:color w:val="auto"/>
        </w:rPr>
      </w:pPr>
    </w:p>
    <w:p>
      <w:pPr>
        <w:jc w:val="both"/>
        <w:ind w:left="660" w:firstLine="1131"/>
        <w:spacing w:after="0" w:line="276" w:lineRule="auto"/>
        <w:tabs>
          <w:tab w:leader="none" w:pos="228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Parent Borrower agrees to pay to each Canadian Revolving Lender, through the Canadian Administrative Agent, on the last Business Day of March, June, September and December in each year, a commitment fee (the “</w:t>
      </w:r>
      <w:r>
        <w:rPr>
          <w:rFonts w:ascii="Arial" w:cs="Arial" w:eastAsia="Arial" w:hAnsi="Arial"/>
          <w:sz w:val="17"/>
          <w:szCs w:val="17"/>
          <w:i w:val="1"/>
          <w:iCs w:val="1"/>
          <w:color w:val="auto"/>
        </w:rPr>
        <w:t>Canadian Commitment Fee</w:t>
      </w:r>
      <w:r>
        <w:rPr>
          <w:rFonts w:ascii="Arial" w:cs="Arial" w:eastAsia="Arial" w:hAnsi="Arial"/>
          <w:sz w:val="17"/>
          <w:szCs w:val="17"/>
          <w:color w:val="auto"/>
        </w:rPr>
        <w:t>”) equal to the Applicable Percentage on the daily unused amount of the Canadian Revolving Commitments of such Canadian Revolving Lender to make Canadian Revolving Credit Loans to the Parent Borrower during the preceding quarter. The Canadian Commitment Fees shall be computed on the basis of the actual number of days elapsed in a year of 365 or 366 days, as the case may be.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4" w:name="page175"/>
    <w:bookmarkEnd w:id="174"/>
    <w:p>
      <w:pPr>
        <w:jc w:val="both"/>
        <w:ind w:left="660" w:firstLine="1131"/>
        <w:spacing w:after="0" w:line="255" w:lineRule="auto"/>
        <w:tabs>
          <w:tab w:leader="none" w:pos="234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Australian Borrower agrees to pay to each Australian Lender, through the Australian Administrative Agent, on the last Business Day of March, June, September and December in each year, a commitment fee (the “</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together with the U.S. Commitment Fee and the Canadian Commitment Fees, the “</w:t>
      </w:r>
      <w:r>
        <w:rPr>
          <w:rFonts w:ascii="Arial" w:cs="Arial" w:eastAsia="Arial" w:hAnsi="Arial"/>
          <w:sz w:val="18"/>
          <w:szCs w:val="18"/>
          <w:i w:val="1"/>
          <w:iCs w:val="1"/>
          <w:color w:val="auto"/>
        </w:rPr>
        <w:t>Commitment Fees</w:t>
      </w:r>
      <w:r>
        <w:rPr>
          <w:rFonts w:ascii="Arial" w:cs="Arial" w:eastAsia="Arial" w:hAnsi="Arial"/>
          <w:sz w:val="18"/>
          <w:szCs w:val="18"/>
          <w:color w:val="auto"/>
        </w:rPr>
        <w:t>”) 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193" w:lineRule="exact"/>
        <w:rPr>
          <w:rFonts w:ascii="Arial" w:cs="Arial" w:eastAsia="Arial" w:hAnsi="Arial"/>
          <w:sz w:val="18"/>
          <w:szCs w:val="18"/>
          <w:color w:val="auto"/>
        </w:rPr>
      </w:pPr>
    </w:p>
    <w:p>
      <w:pPr>
        <w:jc w:val="both"/>
        <w:ind w:left="660" w:firstLine="1131"/>
        <w:spacing w:after="0" w:line="257" w:lineRule="auto"/>
        <w:tabs>
          <w:tab w:leader="none" w:pos="231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Commitment Fees due to each Revolving Lender shall commence to accrue on the Closing Date and shall, in each case, cease to accrue on the date on which the applicable 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Revolving Commitments when calculating the Canadian Commitment Fees under this Section 2.05(a).</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7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181" w:lineRule="exact"/>
        <w:rPr>
          <w:rFonts w:ascii="Arial" w:cs="Arial" w:eastAsia="Arial" w:hAnsi="Arial"/>
          <w:sz w:val="18"/>
          <w:szCs w:val="18"/>
          <w:color w:val="auto"/>
        </w:rPr>
      </w:pPr>
    </w:p>
    <w:p>
      <w:pPr>
        <w:jc w:val="both"/>
        <w:ind w:firstLine="1305"/>
        <w:spacing w:after="0" w:line="283" w:lineRule="auto"/>
        <w:tabs>
          <w:tab w:leader="none" w:pos="181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U.S. Borrower agrees to pay to each U.S. Revolving Lender, through the Administrative Agent, on the last Business Day of March, June, September and December of each year, commencing with the first such date to occur after the Closing Date, and on the date on which the U.S. Revolving Commitment of such Revolving Lender shall be terminated as provided herein, a fee (the “</w:t>
      </w:r>
      <w:r>
        <w:rPr>
          <w:rFonts w:ascii="Arial" w:cs="Arial" w:eastAsia="Arial" w:hAnsi="Arial"/>
          <w:sz w:val="16"/>
          <w:szCs w:val="16"/>
          <w:i w:val="1"/>
          <w:iCs w:val="1"/>
          <w:color w:val="auto"/>
        </w:rPr>
        <w:t>U.S. L/C Participation Fee</w:t>
      </w:r>
      <w:r>
        <w:rPr>
          <w:rFonts w:ascii="Arial" w:cs="Arial" w:eastAsia="Arial" w:hAnsi="Arial"/>
          <w:sz w:val="16"/>
          <w:szCs w:val="16"/>
          <w:color w:val="auto"/>
        </w:rPr>
        <w:t>”)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The Parent Borrower agrees to pay to each Canadian Revolving Lender, through the Canadian Administrative Agent, on the last Business Day of March, June, September and December of each year, commencing with the first such date to occur after the Closing Date, and on the date on which the Canadian Revolving Commitment of such Revolving Lender shall be terminated as provided herein, a fee (the “</w:t>
      </w:r>
      <w:r>
        <w:rPr>
          <w:rFonts w:ascii="Arial" w:cs="Arial" w:eastAsia="Arial" w:hAnsi="Arial"/>
          <w:sz w:val="16"/>
          <w:szCs w:val="16"/>
          <w:i w:val="1"/>
          <w:iCs w:val="1"/>
          <w:color w:val="auto"/>
        </w:rPr>
        <w:t>Canadian L/C Participation Fee</w:t>
      </w:r>
      <w:r>
        <w:rPr>
          <w:rFonts w:ascii="Arial" w:cs="Arial" w:eastAsia="Arial" w:hAnsi="Arial"/>
          <w:sz w:val="16"/>
          <w:szCs w:val="16"/>
          <w:color w:val="auto"/>
        </w:rPr>
        <w:t>”) calculated on such Lender’s Canadian Revolving Pro Rata Percentage of the daily aggregate Canadian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The Australian Borrower agrees to pay to each Australian Lender, through the Australian Administrative Agent, on the last Business Day of March, June, September and December of each year, commencing with the first such date to occur after the Closing Date, and on the date on which the Australian Revolving Commitment of such Revolving Lender shall be terminated as provided herein, a fee (the “</w:t>
      </w:r>
      <w:r>
        <w:rPr>
          <w:rFonts w:ascii="Arial" w:cs="Arial" w:eastAsia="Arial" w:hAnsi="Arial"/>
          <w:sz w:val="16"/>
          <w:szCs w:val="16"/>
          <w:i w:val="1"/>
          <w:iCs w:val="1"/>
          <w:color w:val="auto"/>
        </w:rPr>
        <w:t>Australian L/C Participation Fee</w:t>
      </w:r>
      <w:r>
        <w:rPr>
          <w:rFonts w:ascii="Arial" w:cs="Arial" w:eastAsia="Arial" w:hAnsi="Arial"/>
          <w:sz w:val="16"/>
          <w:szCs w:val="16"/>
          <w:color w:val="auto"/>
        </w:rPr>
        <w:t>”; together with the U.S. L/C Participation Fee and the Canadian L/C Participation Fees, the “</w:t>
      </w:r>
      <w:r>
        <w:rPr>
          <w:rFonts w:ascii="Arial" w:cs="Arial" w:eastAsia="Arial" w:hAnsi="Arial"/>
          <w:sz w:val="16"/>
          <w:szCs w:val="16"/>
          <w:i w:val="1"/>
          <w:iCs w:val="1"/>
          <w:color w:val="auto"/>
        </w:rPr>
        <w:t>L/C Participation Fees</w:t>
      </w:r>
      <w:r>
        <w:rPr>
          <w:rFonts w:ascii="Arial" w:cs="Arial" w:eastAsia="Arial" w:hAnsi="Arial"/>
          <w:sz w:val="16"/>
          <w:szCs w:val="16"/>
          <w:color w:val="auto"/>
        </w:rPr>
        <w:t>”) calculated on such Lender’s Australian Revolving Pro Rata Percentage of the daily aggregate Australian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Rate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Arial" w:cs="Arial" w:eastAsia="Arial" w:hAnsi="Arial"/>
          <w:sz w:val="16"/>
          <w:szCs w:val="16"/>
          <w:i w:val="1"/>
          <w:iCs w:val="1"/>
          <w:color w:val="auto"/>
        </w:rPr>
        <w:t>Issuing Bank Fees</w:t>
      </w:r>
      <w:r>
        <w:rPr>
          <w:rFonts w:ascii="Arial" w:cs="Arial" w:eastAsia="Arial" w:hAnsi="Arial"/>
          <w:sz w:val="16"/>
          <w:szCs w:val="16"/>
          <w:color w:val="auto"/>
        </w:rPr>
        <w:t>”).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5" w:name="page176"/>
    <w:bookmarkEnd w:id="175"/>
    <w:p>
      <w:pPr>
        <w:jc w:val="both"/>
        <w:ind w:firstLine="1305"/>
        <w:spacing w:after="0" w:line="255" w:lineRule="auto"/>
        <w:tabs>
          <w:tab w:leader="none" w:pos="177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Fees shall be paid on the dates due, in immediately available U.S. dollars (except with respect to (i) L/C Participation Fees and Issuing Bank Fees in respect of Letters of Credit denominated in Canadian dollars, each of which shall be payable in immediately available Canadian dollars and (ii) L/C Participation Fees and Issuing Bank Fees in respect of Letters of Credit denominated in Australian dollars,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i w:val="1"/>
          <w:iCs w:val="1"/>
          <w:color w:val="auto"/>
        </w:rPr>
        <w:t>Interest on Loans</w:t>
      </w:r>
      <w:r>
        <w:rPr>
          <w:rFonts w:ascii="Arial" w:cs="Arial" w:eastAsia="Arial" w:hAnsi="Arial"/>
          <w:sz w:val="18"/>
          <w:szCs w:val="18"/>
          <w:color w:val="auto"/>
        </w:rPr>
        <w:t>. (a) Subject to the provisions of Section 9.09, the Loans comprising each ABR Borrowing shall bear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88" w:lineRule="exact"/>
        <w:rPr>
          <w:sz w:val="20"/>
          <w:szCs w:val="20"/>
          <w:color w:val="auto"/>
        </w:rPr>
      </w:pPr>
    </w:p>
    <w:p>
      <w:pPr>
        <w:jc w:val="both"/>
        <w:ind w:firstLine="1305"/>
        <w:spacing w:after="0" w:line="264" w:lineRule="auto"/>
        <w:tabs>
          <w:tab w:leader="none" w:pos="178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Eurocurrency Borrowing shall bear interest (computed on the basis of the actual number of days elapsed over a year of 360 days) at a rate per annum equal to the Adjusted LIBO Rate for the Interest Period in effect for such Borrowing plus the Applicable Percentage in respect of Eurocurrency Loans in effect from time to time.</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6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6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B/A Borrowing shall be subject to an Acceptance Fee, payable by the Canadian Borrower on the date of acceptance of the relevant B/A and calculated as set forth in the definition of the term “Acceptance Fee” in Section 1.01.</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5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0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175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71" w:lineRule="exact"/>
        <w:rPr>
          <w:rFonts w:ascii="Arial" w:cs="Arial" w:eastAsia="Arial" w:hAnsi="Arial"/>
          <w:sz w:val="17"/>
          <w:szCs w:val="17"/>
          <w:color w:val="auto"/>
        </w:rPr>
      </w:pPr>
    </w:p>
    <w:p>
      <w:pPr>
        <w:jc w:val="both"/>
        <w:ind w:firstLine="1305"/>
        <w:spacing w:after="0" w:line="273" w:lineRule="auto"/>
        <w:tabs>
          <w:tab w:leader="none" w:pos="179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6" w:name="page177"/>
    <w:bookmarkEnd w:id="176"/>
    <w:p>
      <w:pPr>
        <w:jc w:val="both"/>
        <w:ind w:firstLine="1305"/>
        <w:spacing w:after="0" w:line="259" w:lineRule="auto"/>
        <w:tabs>
          <w:tab w:leader="none" w:pos="170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Interest on each Loan shall be payable to the Applicable Administrative Agent on the Interest Payment Dates applicable to such Loan except as otherwise provided in this Agreement. The applicable Alternate Base Rate, Adjusted LIBO Rate, BBSY Rate, Canadian Prime Rate, U.S. Base Rate, B/A Discount Rate, and Acceptance Fee shall be determined by the Applicable Administrative Agent, and such determination shall be conclusive absent manifest error.</w:t>
      </w:r>
    </w:p>
    <w:p>
      <w:pPr>
        <w:spacing w:after="0" w:line="186" w:lineRule="exact"/>
        <w:rPr>
          <w:rFonts w:ascii="Arial" w:cs="Arial" w:eastAsia="Arial" w:hAnsi="Arial"/>
          <w:sz w:val="18"/>
          <w:szCs w:val="18"/>
          <w:color w:val="auto"/>
        </w:rPr>
      </w:pPr>
    </w:p>
    <w:p>
      <w:pPr>
        <w:jc w:val="both"/>
        <w:ind w:firstLine="1305"/>
        <w:spacing w:after="0" w:line="287" w:lineRule="auto"/>
        <w:tabs>
          <w:tab w:leader="none" w:pos="179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For the purposes of the </w:t>
      </w:r>
      <w:r>
        <w:rPr>
          <w:rFonts w:ascii="Arial" w:cs="Arial" w:eastAsia="Arial" w:hAnsi="Arial"/>
          <w:sz w:val="16"/>
          <w:szCs w:val="16"/>
          <w:i w:val="1"/>
          <w:iCs w:val="1"/>
          <w:color w:val="auto"/>
        </w:rPr>
        <w:t>Interest Act</w:t>
      </w:r>
      <w:r>
        <w:rPr>
          <w:rFonts w:ascii="Arial" w:cs="Arial" w:eastAsia="Arial" w:hAnsi="Arial"/>
          <w:sz w:val="16"/>
          <w:szCs w:val="16"/>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 Each Borrower confirms that it fully understands and is able to calculate the rate of interest applicable to the Facilities based on the methodology for calculating per annum rates provided for in this Agreement. Each Agent agrees that, if requested in writing by any Borrower, it will calculate the nominal and effective per annum rate of interest on any Loan outstanding at the time of such request and provide such information to such Borrower within a reasonable time following such request; provided that any error in any such calculation, or any failure to provide such information on request, shall not relieve any Borrower of any of its obligations under this Agreement or any other Loan Document, nor result in any liability to any Agent or any Lender. Each Borrower hereby irrevocably agrees not to plead or assert, whether by way of defense or otherwise, in any proceeding relating to the Loan Documents, that the interest payable under this Agreement and the calculation thereof has not been adequately disclosed to any Borrower, whether pursuant to section 4 of the </w:t>
      </w:r>
      <w:r>
        <w:rPr>
          <w:rFonts w:ascii="Arial" w:cs="Arial" w:eastAsia="Arial" w:hAnsi="Arial"/>
          <w:sz w:val="16"/>
          <w:szCs w:val="16"/>
          <w:i w:val="1"/>
          <w:iCs w:val="1"/>
          <w:color w:val="auto"/>
        </w:rPr>
        <w:t>Interest Act</w:t>
      </w:r>
      <w:r>
        <w:rPr>
          <w:rFonts w:ascii="Arial" w:cs="Arial" w:eastAsia="Arial" w:hAnsi="Arial"/>
          <w:sz w:val="16"/>
          <w:szCs w:val="16"/>
          <w:color w:val="auto"/>
        </w:rPr>
        <w:t xml:space="preserve"> (Canada) or any other applicable law or legal principle.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2.07 </w:t>
      </w:r>
      <w:r>
        <w:rPr>
          <w:rFonts w:ascii="Arial" w:cs="Arial" w:eastAsia="Arial" w:hAnsi="Arial"/>
          <w:sz w:val="17"/>
          <w:szCs w:val="17"/>
          <w:b w:val="1"/>
          <w:bCs w:val="1"/>
          <w:i w:val="1"/>
          <w:iCs w:val="1"/>
          <w:color w:val="auto"/>
        </w:rPr>
        <w:t>Default Interest</w:t>
      </w:r>
      <w:r>
        <w:rPr>
          <w:rFonts w:ascii="Arial" w:cs="Arial" w:eastAsia="Arial" w:hAnsi="Arial"/>
          <w:sz w:val="17"/>
          <w:szCs w:val="17"/>
          <w:color w:val="auto"/>
        </w:rPr>
        <w:t>. If a Borrower shall default in the payment of the principal of or interest on any Loan or any other amount</w:t>
      </w:r>
      <w:r>
        <w:rPr>
          <w:rFonts w:ascii="Arial" w:cs="Arial" w:eastAsia="Arial" w:hAnsi="Arial"/>
          <w:sz w:val="17"/>
          <w:szCs w:val="17"/>
          <w:b w:val="1"/>
          <w:bCs w:val="1"/>
          <w:color w:val="auto"/>
        </w:rPr>
        <w:t xml:space="preserve"> </w:t>
      </w:r>
      <w:r>
        <w:rPr>
          <w:rFonts w:ascii="Arial" w:cs="Arial" w:eastAsia="Arial" w:hAnsi="Arial"/>
          <w:sz w:val="17"/>
          <w:szCs w:val="17"/>
          <w:color w:val="auto"/>
        </w:rPr>
        <w:t>becoming 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Canadian Borrower, or a BBSY Rate Loan, in the case of the Australian Borrower) plus 2.00% (subject to Section 9.09).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7" w:name="page178"/>
    <w:bookmarkEnd w:id="177"/>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2.08 </w:t>
      </w:r>
      <w:r>
        <w:rPr>
          <w:rFonts w:ascii="Arial" w:cs="Arial" w:eastAsia="Arial" w:hAnsi="Arial"/>
          <w:sz w:val="17"/>
          <w:szCs w:val="17"/>
          <w:b w:val="1"/>
          <w:bCs w:val="1"/>
          <w:i w:val="1"/>
          <w:iCs w:val="1"/>
          <w:color w:val="auto"/>
        </w:rPr>
        <w:t>Alternate Rate of Interest</w:t>
      </w:r>
      <w:r>
        <w:rPr>
          <w:rFonts w:ascii="Arial" w:cs="Arial" w:eastAsia="Arial" w:hAnsi="Arial"/>
          <w:sz w:val="17"/>
          <w:szCs w:val="17"/>
          <w:color w:val="auto"/>
        </w:rPr>
        <w:t>. (a) In the event, and on each occasion, that (i) on the day two Business Days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of any Interest Period for a Eurocurrency Borrowing the Applicable Administrative Agent is unable to determine the Adjusted LIBO Rate for Eurocurrency Loans comprising any requested Borrowing, or (ii) if the Applicable Required Lenders shall, by 11:00 a.m. (Standard Time) at least one (1) Business Day before the date of any requested Borrowing, notify the Applicable Administrative Agent that the Adjusted LIBO Rate for Eurocurrency Loans comprising such Borrowing will not adequately and fairly reflect the cost to any Lender of making or maintaining its Eurocurrency Loan, during such Interest Period, then the Applicable Administrative Agent shall, as soon as practicable thereafter, give written, fax or electronic communication (e-mail) (or telephone notice promptly confirmed by a written, fax or electronic communication (e-mail)) notice of such determination to each Applicable Borrower and each Applicable Lender. In the event of any such determination, until the Applicable Administrative Agent shall have advised the Applicable Borrowers and the Applicable Lenders that the circumstances giving rise to such notice no longer exist, any request by such Borrower for a Eurocurrency Borrowing (other than a Eurocurrency Borrowing under the Australian Revolving Credit Facility) pursuant to Section 2.03 or 2.10 shall be deemed to be a request for an ABR Borrowing (or, in the case of a request by the Canadian Borrower, a U.S. Base Rate Borrowing). Each determination by the Administrative Agent hereunder shall be conclusive absent manifest error.</w:t>
      </w:r>
    </w:p>
    <w:p>
      <w:pPr>
        <w:spacing w:after="0" w:line="184" w:lineRule="exact"/>
        <w:rPr>
          <w:sz w:val="20"/>
          <w:szCs w:val="20"/>
          <w:color w:val="auto"/>
        </w:rPr>
      </w:pPr>
    </w:p>
    <w:p>
      <w:pPr>
        <w:jc w:val="both"/>
        <w:ind w:firstLine="1305"/>
        <w:spacing w:after="0" w:line="283" w:lineRule="auto"/>
        <w:tabs>
          <w:tab w:leader="none" w:pos="173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Notwithstanding the foregoing, if the Applicable Administrative Agent (i) determines that the circumstances described in clause (a)(i) of this Section 2.08 have arisen and such circumstances are unlikely to be temporary, (ii) determines that the circumstances described in clause (a)(i) of this Section 2.08 have not arisen but the supervisor for the administrator of the LIBO Rate or a Governmental Authority having jurisdiction over the Applicable Administrative Agent has made a public statement identifying a specific date after which the LIBO Rate shall no longer be used for determining interest rates for loans, or (iii) is advised by the Applicable Required Lenders of their determination in accordance with clause (a)(ii) of this Section 2.08, then the Applicable Administrative Agent and the Applicable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to the extent that the Applicable Administrative Agent determines that adoption of any portion of such market convention is not administratively feasible or that no market convention for the administration of such alternate rate of interest exists, the Applicable Administrative Agent shall administer such alternate rate of interest in a manner determined by the Applicable Administrative Agent and the Applicable Borrower. Notwithstanding anything to the contrary in Section 9.08, such amendment shall become effective without any further action or consent of any other party to this Agreement so long as the Applicable Administrative Agent shall not have received, within five (5) Business Days of the date notice of such alternate rate of interest is provided to the Applicable Lenders, a written notice from the Applicable Required Lenders stating that such Applicable Required Lenders object to such amendment. If a notice of an alternate rate of interest has been given and no such alternate rate of interest has been determined, and (x) the circumstances under clause (i) or</w:t>
      </w:r>
    </w:p>
    <w:p>
      <w:pPr>
        <w:spacing w:after="0" w:line="1" w:lineRule="exact"/>
        <w:rPr>
          <w:rFonts w:ascii="Arial" w:cs="Arial" w:eastAsia="Arial" w:hAnsi="Arial"/>
          <w:sz w:val="16"/>
          <w:szCs w:val="16"/>
          <w:color w:val="auto"/>
        </w:rPr>
      </w:pPr>
    </w:p>
    <w:p>
      <w:pPr>
        <w:jc w:val="both"/>
        <w:ind w:firstLine="8"/>
        <w:spacing w:after="0" w:line="255" w:lineRule="auto"/>
        <w:tabs>
          <w:tab w:leader="none" w:pos="32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above exist or (y) the specific date referred to in clause (ii) has occurred (as applicable), Alternate Base Rate shall apply without regard to clause (c) of the definition thereof. Provided that, if such alternate rate of interest shall be less than zero, such rate shall be deemed to be zero for the purposes of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8" w:name="page179"/>
    <w:bookmarkEnd w:id="178"/>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2.09 </w:t>
      </w:r>
      <w:r>
        <w:rPr>
          <w:rFonts w:ascii="Arial" w:cs="Arial" w:eastAsia="Arial" w:hAnsi="Arial"/>
          <w:sz w:val="18"/>
          <w:szCs w:val="18"/>
          <w:b w:val="1"/>
          <w:bCs w:val="1"/>
          <w:i w:val="1"/>
          <w:iCs w:val="1"/>
          <w:color w:val="auto"/>
        </w:rPr>
        <w:t>Termination and Reduction of Commitments</w:t>
      </w:r>
      <w:r>
        <w:rPr>
          <w:rFonts w:ascii="Arial" w:cs="Arial" w:eastAsia="Arial" w:hAnsi="Arial"/>
          <w:sz w:val="18"/>
          <w:szCs w:val="18"/>
          <w:color w:val="auto"/>
        </w:rPr>
        <w:t>. (a) The Revolving Commitments and the L/C Commitments shall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Maturity Date.</w:t>
      </w:r>
    </w:p>
    <w:p>
      <w:pPr>
        <w:spacing w:after="0" w:line="166" w:lineRule="exact"/>
        <w:rPr>
          <w:sz w:val="20"/>
          <w:szCs w:val="20"/>
          <w:color w:val="auto"/>
        </w:rPr>
      </w:pPr>
    </w:p>
    <w:p>
      <w:pPr>
        <w:ind w:left="1740" w:hanging="435"/>
        <w:spacing w:after="0"/>
        <w:tabs>
          <w:tab w:leader="none" w:pos="17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jc w:val="both"/>
        <w:ind w:firstLine="1305"/>
        <w:spacing w:after="0" w:line="302" w:lineRule="auto"/>
        <w:tabs>
          <w:tab w:leader="none" w:pos="18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Upon at least three Business Days’ prior irrevocable written, fax or electronic communication (e-mail) (or by telephone notice promptly confirmed by a written, fax or electronic communication (e-mail)) notice to the Applicable Administrative Agent, the U.S. Borrower, the Canadian Borrower or the Australian Borrower, as the case may be, may at any time in whole permanently terminate, or from time to time in part permanently reduce, any Class of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partial reduction of any Class of Commitments shall be in an integral multiple of U.S.$1,000,000.</w:t>
      </w:r>
    </w:p>
    <w:p>
      <w:pPr>
        <w:spacing w:after="0" w:line="154" w:lineRule="exact"/>
        <w:rPr>
          <w:sz w:val="20"/>
          <w:szCs w:val="20"/>
          <w:color w:val="auto"/>
        </w:rPr>
      </w:pPr>
    </w:p>
    <w:p>
      <w:pPr>
        <w:jc w:val="both"/>
        <w:ind w:firstLine="1305"/>
        <w:spacing w:after="0" w:line="259" w:lineRule="auto"/>
        <w:tabs>
          <w:tab w:leader="none" w:pos="17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i w:val="1"/>
          <w:iCs w:val="1"/>
          <w:color w:val="auto"/>
        </w:rPr>
        <w:t>Conversion and Continuation of Borrowings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shall have the right at any time upon prior irrevocable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Administrative Agent (a) not later than 1:00 p.m. (Standard Time) one Business Day before the proposed conversion, to convert any Eurocurrency Borrowing under a Class of U.S. Revolving Commitments into an ABR Borrowing under the same Class of U.S. Revolving Commitments, (b) not later than 1:00 p.m. (Standard Time) one Business Day before the proposed conversion, to convert any B/A Borrowing under one Canadian Facility into a Canadian Prime Rate Borrowing under the same Canadian Facility, (c) not later than 1:00 p.m. (Standard Time) three Business Days prior to conversion or continuation, to convert any ABR Borrowing under a Class of U.S. Revolving Commitments or U.S. Base Rate Borrowing under a Class of Canadian Revolving Commitments into a Eurocurrency Borrowing under the same Class of Commitments or to continue any Eurocurrency Borrowing under a Class of U.S. Revolving Commitments or Canadian Revolving Commitments as a Eurocurrency Borrowing under the same Class of Commitments for an additional Interest Period, (d) not later than 3:00 p.m. (Sydney time) three Business Days prior to continuation, to continue any Eurocurrency Borrowing under the Australian Revolving Commitments as a Eurocurrency Borrowing under the Australian Revolving Commitments for an additional Interest Period, (e) not later than 1:00 p.m. (Standard Time) three Business Days prior to conversion, to convert the Interest Period with respect to any Eurocurrency Borrowing under a Class of U.S. Revolving Commitments or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under a Canadian Facility to a B/A Borrowing under the same Canadian Facility or to continue any B/A Borrowing under a Canadian Facility as a B/A Borrowing under the same Canadian Facility for an additional Contract Period; provided, that with respect to this clause (g), such notice may be given one Business Day prior to conversion with respect to any Canadian Prime Rate Borrowing under a Canadian Facility outstanding as of the Closing Date to a B/A Borrowing under the same Canadian Facility, subject in each case to the following: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9" w:name="page180"/>
    <w:bookmarkEnd w:id="179"/>
    <w:p>
      <w:pPr>
        <w:ind w:left="-540" w:right="20" w:firstLine="1131"/>
        <w:spacing w:after="0" w:line="277" w:lineRule="auto"/>
        <w:tabs>
          <w:tab w:leader="none" w:pos="112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conversion or continuation shall be made pro rata among the Applicable Lenders in accordance with the respective principal amounts of the Loans comprising the converted or continued Borrowing;</w:t>
      </w:r>
    </w:p>
    <w:p>
      <w:pPr>
        <w:spacing w:after="0" w:line="170" w:lineRule="exact"/>
        <w:rPr>
          <w:rFonts w:ascii="Arial" w:cs="Arial" w:eastAsia="Arial" w:hAnsi="Arial"/>
          <w:sz w:val="18"/>
          <w:szCs w:val="18"/>
          <w:color w:val="auto"/>
        </w:rPr>
      </w:pPr>
    </w:p>
    <w:p>
      <w:pPr>
        <w:jc w:val="both"/>
        <w:ind w:left="-540" w:firstLine="1131"/>
        <w:spacing w:after="0" w:line="264" w:lineRule="auto"/>
        <w:tabs>
          <w:tab w:leader="none" w:pos="118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less than all the outstanding principal amount of any Borrowing shall be converted or continued, then each resulting Borrowing shall satisfy the limitations specified in Sections 2.02(a) and 2.02(b) and, if applicable, Section 2.22, regarding the principal amount and maximum number of Borrowings of the relevant Type;</w:t>
      </w:r>
    </w:p>
    <w:p>
      <w:pPr>
        <w:spacing w:after="0" w:line="181" w:lineRule="exact"/>
        <w:rPr>
          <w:rFonts w:ascii="Arial" w:cs="Arial" w:eastAsia="Arial" w:hAnsi="Arial"/>
          <w:sz w:val="18"/>
          <w:szCs w:val="18"/>
          <w:color w:val="auto"/>
        </w:rPr>
      </w:pPr>
    </w:p>
    <w:p>
      <w:pPr>
        <w:jc w:val="both"/>
        <w:ind w:left="-540" w:firstLine="1131"/>
        <w:spacing w:after="0" w:line="259" w:lineRule="auto"/>
        <w:tabs>
          <w:tab w:leader="none" w:pos="114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conversion shall be effected by each Applicable Lender and the Applicable Administrative Agent by recording for the account of such Lender the new Type and/or Interest Period or Contract Period for such Borrowing resulting from such conversion; accrued interest on any Eurocurrency Loan or BBSY Rate Loan (or, in each case, any portion thereof) being converted shall be paid by the Applicable Borrower at the time of conversion;</w:t>
      </w:r>
    </w:p>
    <w:p>
      <w:pPr>
        <w:spacing w:after="0" w:line="186" w:lineRule="exact"/>
        <w:rPr>
          <w:rFonts w:ascii="Arial" w:cs="Arial" w:eastAsia="Arial" w:hAnsi="Arial"/>
          <w:sz w:val="18"/>
          <w:szCs w:val="18"/>
          <w:color w:val="auto"/>
        </w:rPr>
      </w:pPr>
    </w:p>
    <w:p>
      <w:pPr>
        <w:jc w:val="both"/>
        <w:ind w:left="-540" w:firstLine="1131"/>
        <w:spacing w:after="0" w:line="264" w:lineRule="auto"/>
        <w:tabs>
          <w:tab w:leader="none" w:pos="11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any Eurocurrency Borrowing, BBSY Rate Borrowing or B/A Borrowing is converted at a time other than the end of the Interest Period or Contract Period applicable thereto, the Applicable Borrower shall pay, upon demand, any amounts due to the Applicable Lenders pursuant to Section 2.15;</w:t>
      </w:r>
    </w:p>
    <w:p>
      <w:pPr>
        <w:spacing w:after="0" w:line="181" w:lineRule="exact"/>
        <w:rPr>
          <w:rFonts w:ascii="Arial" w:cs="Arial" w:eastAsia="Arial" w:hAnsi="Arial"/>
          <w:sz w:val="18"/>
          <w:szCs w:val="18"/>
          <w:color w:val="auto"/>
        </w:rPr>
      </w:pPr>
    </w:p>
    <w:p>
      <w:pPr>
        <w:ind w:left="-540" w:firstLine="1131"/>
        <w:spacing w:after="0" w:line="277" w:lineRule="auto"/>
        <w:tabs>
          <w:tab w:leader="none" w:pos="103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portion of a Borrowing maturing or required to be repaid in less than one month may not be converted into or continued as a Eurocurrency Borrowing, a BBSY Rate Borrowing or a B/A Borrowing;</w:t>
      </w:r>
    </w:p>
    <w:p>
      <w:pPr>
        <w:spacing w:after="0" w:line="170" w:lineRule="exact"/>
        <w:rPr>
          <w:rFonts w:ascii="Arial" w:cs="Arial" w:eastAsia="Arial" w:hAnsi="Arial"/>
          <w:sz w:val="18"/>
          <w:szCs w:val="18"/>
          <w:color w:val="auto"/>
        </w:rPr>
      </w:pPr>
    </w:p>
    <w:p>
      <w:pPr>
        <w:jc w:val="both"/>
        <w:ind w:left="-540" w:firstLine="1131"/>
        <w:spacing w:after="0" w:line="279" w:lineRule="auto"/>
        <w:tabs>
          <w:tab w:leader="none" w:pos="121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any portion of a Eurocurrency Borrowing (other than a Eurocurrency Borrowing under the Australian Revolving Credit Facility) or a B/A Borrowing that cannot be converted into or continued as a Eurocurrency Borrowing or a B/A Borrowing by reason of the immediately preceding clause shall be automatically converted at the end of the Interest Period or Contract Period in effect for such Borrowing into an ABR Borrowing, a U.S. Base Rate Borrowing or a Canadian Prime Rate Borrowing, as the case may be;</w:t>
      </w:r>
    </w:p>
    <w:p>
      <w:pPr>
        <w:spacing w:after="0" w:line="171" w:lineRule="exact"/>
        <w:rPr>
          <w:rFonts w:ascii="Arial" w:cs="Arial" w:eastAsia="Arial" w:hAnsi="Arial"/>
          <w:sz w:val="17"/>
          <w:szCs w:val="17"/>
          <w:color w:val="auto"/>
        </w:rPr>
      </w:pPr>
    </w:p>
    <w:p>
      <w:pPr>
        <w:jc w:val="both"/>
        <w:ind w:left="-540" w:firstLine="1131"/>
        <w:spacing w:after="0" w:line="286" w:lineRule="auto"/>
        <w:tabs>
          <w:tab w:leader="none" w:pos="118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upon notice to each Applicable Borrower from the Applicable Administrative Agent given at the request of the Applicable Required Lenders after the occurrence and during the continuance of a Default or Event of Default, no outstanding Loan owing to such Lenders may be converted into, or continued as, a Eurocurrency Loan, a BBSY Rate Loan or a B/A Loan, as applicable; and</w:t>
      </w:r>
    </w:p>
    <w:p>
      <w:pPr>
        <w:spacing w:after="0" w:line="165" w:lineRule="exact"/>
        <w:rPr>
          <w:rFonts w:ascii="Arial" w:cs="Arial" w:eastAsia="Arial" w:hAnsi="Arial"/>
          <w:sz w:val="17"/>
          <w:szCs w:val="17"/>
          <w:color w:val="auto"/>
        </w:rPr>
      </w:pPr>
    </w:p>
    <w:p>
      <w:pPr>
        <w:ind w:left="1180" w:hanging="589"/>
        <w:spacing w:after="0"/>
        <w:tabs>
          <w:tab w:leader="none" w:pos="11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notwithstanding anything to the contrary herein, a Swing Line Loan may not be converted to a Eurocurrency Loan.</w:t>
      </w: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180" w:name="page181"/>
    <w:bookmarkEnd w:id="180"/>
    <w:p>
      <w:pPr>
        <w:jc w:val="both"/>
        <w:ind w:firstLine="648"/>
        <w:spacing w:after="0" w:line="286" w:lineRule="auto"/>
        <w:rPr>
          <w:sz w:val="20"/>
          <w:szCs w:val="20"/>
          <w:color w:val="auto"/>
        </w:rPr>
      </w:pPr>
      <w:r>
        <w:rPr>
          <w:rFonts w:ascii="Arial" w:cs="Arial" w:eastAsia="Arial" w:hAnsi="Arial"/>
          <w:sz w:val="16"/>
          <w:szCs w:val="16"/>
          <w:color w:val="auto"/>
        </w:rPr>
        <w:t>Each notice pursuant to this Section 2.10 shall be irrevocable, shall be hand delivered, faxed or sent by electronic communication (e-mail) (or by telephone notice promptly confirmed by a written, fax or electronic communication (e-mail)) and shall refer to this Agreement and specify (i) the identity and amount of the Borrowing that the Applicable Borrower requests be converted or continued, (ii) whether such Borrowing is to be converted to or continued as a Eurocurrency Borrowing, an ABR Borrowing, a B/A Borrowing, a U.S. Base Rate Borrowing, a Canadian Prime Rate Borrowing or a BBSY Rate Borrowing, (iii) if such notice requests a conversion, the date of such conversion (which shall be a Business Day) and (iv) if such Borrowing is to be converted to or continued as a Eurocurrency Borrowing, a BBSY Rate Borrowing or a B/A Borrowing, the Interest Period or Contract Period with respect thereto. If no Interest Period or Contract Period is specified in any such notice with respect to any conversion to or continuation as a Eurocurrency Borrowing, a BBSY Rate Borrowing or a B/A Borrowing, the Applicable Borrower shall be deemed to have selected an Interest Period or Contract Period of one month’s or 30 days’, as the case may be,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Eurocurrency Borrowing (other than a Eurocurrency Borrowing under the Australian Revolving Credit Facility) or B/A Borrowing into a subsequent Interest Period or Contract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i w:val="1"/>
          <w:iCs w:val="1"/>
          <w:color w:val="auto"/>
        </w:rPr>
        <w:t>Optional Prepayment</w:t>
      </w:r>
      <w:r>
        <w:rPr>
          <w:rFonts w:ascii="Arial" w:cs="Arial" w:eastAsia="Arial" w:hAnsi="Arial"/>
          <w:sz w:val="17"/>
          <w:szCs w:val="17"/>
          <w:color w:val="auto"/>
        </w:rPr>
        <w:t>. (a) Each Borrower shall have the right at any time and from time to time to prepay any Borrowing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than Bankers’ Acceptances or B/A Equivalent Loans, which may, however, be defeased as provided below), in whole or in part, upon written, fax or electronic communication (e-mail) (or by telephone notice promptly confirmed by written, fax or electronic communication (e-mail)), substantially in the form of Exhibit B-5, delivered to the Applicable Administrative Agent by (i) 1:00 p.m. (Standard Time) at least three Business Days prior to the date designated for such prepayment, in the case of any prepayment of a Eurocurrency Borrowing or a BBSY Rate Borrowing, (ii) 1:00 p.m. (Standard Time) on the date designated for such prepayment in the case of any prepayment of an ABR Borrowing under the U.S. Revolving Commitments, or (iii) 1:00 p.m. (Standard Time) one Business Day prior to the date designated for such prepayment, in the case of a U.S. Base Rate Borrowing or a Canadian Prime Rate Borrowing under the Canadian Revolving Commitments or Canadian Term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partial prepayment shall be in an amount that is a minimum amount of U.S.$500,000 or an integral multiple of U.S.$100,000 in excess thereof (or C$500,000 and C$100,000, respectively, in the case of Borrowings denominated in Canadian dollars or AUD$500,000 and AUD$100,000, respectively, in the case of Borrowings denominated in Australian dollars);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Canadian Borrower may defease any B/A or B/A Equivalent Loan by depositing with the Canadian Administrative Agent an amount that, together with interest accruing on such amount to the end of the Contract Period for such B/A or B/A Equivalent Loan, is sufficient to pay such maturing Bankers’ Acceptances or B/A Equivalent Loans when due. The Applicable Administrative Agent shall promptly advise the Applicable Lenders of any notice given pursuant to this Section 2.11 and of each Lender’s portion of such prepayment.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1" w:name="page182"/>
    <w:bookmarkEnd w:id="181"/>
    <w:p>
      <w:pPr>
        <w:jc w:val="both"/>
        <w:ind w:firstLine="1305"/>
        <w:spacing w:after="0" w:line="259" w:lineRule="auto"/>
        <w:tabs>
          <w:tab w:leader="none" w:pos="176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U.S. Borrower may, upon notice to the U.S. Swing Line Lender (with a copy to the Administrative Agent), at any time or from time to time, voluntarily prepay U.S.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U.S. Swing Line Lender and the Administrative Agent not later than 1:00 p.m. (Standard Time) on the date of the prepayment, and (B) any such prepayment shall be in a minimum principal amount of $100,000.</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7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Parent Borrower may, upon notice to the Canadian Swing Line Lender (with a copy to the Canadian Administrative Agent), at any time or from time to time, voluntarily prepay Canadian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173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Each prepayment of outstanding Canadian Term Loans pursuant to this Section 2.11 shall be applied to the principal repayment installments thereof in direct order of maturity.</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i w:val="1"/>
          <w:iCs w:val="1"/>
          <w:color w:val="auto"/>
        </w:rPr>
        <w:t>Mandatory Prepayments</w:t>
      </w:r>
      <w:r>
        <w:rPr>
          <w:rFonts w:ascii="Arial" w:cs="Arial" w:eastAsia="Arial" w:hAnsi="Arial"/>
          <w:sz w:val="16"/>
          <w:szCs w:val="16"/>
          <w:color w:val="auto"/>
        </w:rPr>
        <w:t>. (a) In the event of any termination of all the U.S. Revolving Commitments, Canadian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Australian Revolving Commitments, each Applicable Borrower shall, on the date of such termination, repay or prepay all its outstanding U.S. Revolving Credit Loans, Canadian Revolving Credit Loans or Australian Revolving Credit Loans, as applicable, and replace all outstanding U.S. Letters of Credit, Canadian Letters of Credit or Australian Letters of Credit, as applicable, and/or deposit an amount equal to the sum of the U.S. L/C Exposure, the Canadian L/C Exposure or the Australian L/C Exposure, as applicable, in cash in a cash collateral account established with the U.S. Collateral Agent for the benefit of the U.S. Secured Parties, the Canadian Collateral Agent for the benefit of the Canadian Secured Parties or the Australian Collateral Agent for the benefit of the Australian Secured Parties. In the event of any partial reduction of the U.S. Revolving Commitments, the Canadian Revolving Commitments or the Australian Revolving Commitments, then (i) at or prior to the effective date of such reduction, the Applicable Administrative Agent shall notify each of the Applicable Borrowers and Applicable Lenders of the aggregate U.S. Revolving Credit Exposure, the aggregate Canadian Revolving Credit Exposure or the aggregate Australian Revolving Credit Exposure, as the case may be, after giving effect thereto, and (ii) if the aggregate U.S. Revolving Credit Exposure, the aggregate Canadian Revolving Credit Exposure or the Australian Revolving Credit Exposure, as the case may be, would exceed the Total U.S. Revolving Commitment, Total Canadian Revolving Commitment or Total Australian Revolving Commitment, respectively, after giving effect to such reduction, then the U.S. Borrower, the Canadian Borrower, or the Australian Borrower, as the case may be, shall, on the date of such reduction, repay or prepay Borrowings of Revolving Credit Loans (or defease B/A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 shall repay or prepay U.S. Revolving Borrowings and/or replace or cash collateralize outstanding U.S. Letters of Credit in an amount sufficient to eliminate such excess. If on any date, the aggregate Canadian Revolving Credit Exposure exceeds the Total Canadian Revolving Commitment, then within two Business Days following such date, the Parent Borrower shall repay or prepay Canadian Revolving Borrowings (or defease B/A Borrowings as described in Section 2.11(a)) and/or replace or cash collateralize outstanding Canadian Letters of Credit in an amount sufficient to eliminate such excess. If on any date, the aggregate Australian Revolving Credit Exposure exceeds the Total Australian Revolving Commitment, then within two Business Days following such date, the Australian Borrower shall repay or prepay Australian Revolving Borrowings and/or replace or cash collateralize outstanding Australian Letters of Credit in an amount sufficient to eliminate such excess.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2" w:name="page183"/>
    <w:bookmarkEnd w:id="182"/>
    <w:p>
      <w:pPr>
        <w:jc w:val="both"/>
        <w:ind w:firstLine="1305"/>
        <w:spacing w:after="0" w:line="289" w:lineRule="auto"/>
        <w:tabs>
          <w:tab w:leader="none" w:pos="176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If on any date the Parent Borrower or any of its Subsidiaries shall receive Net Cash Proceeds from any Asset Sale and the aggregate amount of all such Net Cash Proceeds received since the later of the Closing Date and the date on which the last prepayment under this Section 2.12(b) was made exceeds C$5,000,000, the Canadian Term Loans shall be prepaid on or before the date which is not more than five (5) Business Days following the date of receipt of such Net Cash Proceeds by an amount equal to 100% of the amount of such Net Cash Proceeds;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prepayment shall be required under this Section 2.12(b) to the extent that, if no Event of Default has occurred and is then continuing, the Parent Borrower delivers a certificate to the Administrative Agent prior to the date of any such required prepayment stating that the Parent Borrower or such Subsidiary intends to reinvest such Net Cash Proceeds in assets used or useful in the business of the Parent Borrower and its Subsidiaries within twelve months after receipt of such Net Cash Proceeds by the Parent Borrower or such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however, that any Net Cash Proceeds not so reinvested within such twelve month period shall be immediately applied to the prepayment of the Canadian Term Loans as set forth in this Section 2.12(b).</w:t>
      </w:r>
    </w:p>
    <w:p>
      <w:pPr>
        <w:spacing w:after="0" w:line="166" w:lineRule="exact"/>
        <w:rPr>
          <w:rFonts w:ascii="Arial" w:cs="Arial" w:eastAsia="Arial" w:hAnsi="Arial"/>
          <w:sz w:val="16"/>
          <w:szCs w:val="16"/>
          <w:color w:val="auto"/>
        </w:rPr>
      </w:pPr>
    </w:p>
    <w:p>
      <w:pPr>
        <w:jc w:val="both"/>
        <w:ind w:firstLine="1305"/>
        <w:spacing w:after="0" w:line="279" w:lineRule="auto"/>
        <w:tabs>
          <w:tab w:leader="none" w:pos="181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on any date the Parent Borrower or any of its Subsidiaries shall receive Net Cash Proceeds from the issuance or incurrence of Indebtedness for borrowed money (other than any cash proceeds from the issuance of Indebtedness permitted pursuant to Section 6.01 (other than Section 6.01(e)), the Canadian Term Loans shall be prepaid, substantially simultaneously with (and in any event not later than the third Business Day next following) the date of receipt of such Net Cash Proceeds by an amount equal to 100% of the amount of such Net Cash Proceeds.</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77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at any time the aggregate amount of cash and Permitted Investments on hand at the Parent Borrower and its Subsidiaries exceeds $40,000,000 for a period of more than three consecutive Business Days, make mandatory prepayments of Revolving Credit Loans (or, in respect of Bankers’ Acceptances, defease such Bankers’ Acceptances in accordance with the procedures set forth in Section 2.11(a)) in an amount equal to the lesser of (a) an amount sufficient to reduce the aggregate amount of cash and Permitted Investments on hand at the Parent and its Subsidiaries after such prepayment to below $40,000,000 or (b) an amount sufficient to repay all Revolving Credit Loans outstanding hereunder, in each case, such prepayment shall be made within two Business Days.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3" w:name="page184"/>
    <w:bookmarkEnd w:id="183"/>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i w:val="1"/>
          <w:iCs w:val="1"/>
          <w:color w:val="auto"/>
        </w:rPr>
        <w:t>Increased Costs; Capital Requirements</w:t>
      </w:r>
      <w:r>
        <w:rPr>
          <w:rFonts w:ascii="Arial" w:cs="Arial" w:eastAsia="Arial" w:hAnsi="Arial"/>
          <w:sz w:val="16"/>
          <w:szCs w:val="16"/>
          <w:color w:val="auto"/>
        </w:rPr>
        <w:t>. (a) Notwithstanding any other provision of this Agreement, if any Change in Law shall</w:t>
      </w:r>
    </w:p>
    <w:p>
      <w:pPr>
        <w:spacing w:after="0" w:line="27" w:lineRule="exact"/>
        <w:rPr>
          <w:sz w:val="20"/>
          <w:szCs w:val="20"/>
          <w:color w:val="auto"/>
        </w:rPr>
      </w:pPr>
    </w:p>
    <w:p>
      <w:pPr>
        <w:jc w:val="both"/>
        <w:ind w:firstLine="8"/>
        <w:spacing w:after="0" w:line="281" w:lineRule="auto"/>
        <w:tabs>
          <w:tab w:leader="none" w:pos="2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the Adjusted LIBO Rate, the B/A Discount Rate or the BBSY Rate), (ii) subject any Lender or the Issuing Bank to any Taxes (other than (A) Indemnified Taxes,</w:t>
      </w:r>
    </w:p>
    <w:p>
      <w:pPr>
        <w:spacing w:after="0" w:line="2" w:lineRule="exact"/>
        <w:rPr>
          <w:rFonts w:ascii="Arial" w:cs="Arial" w:eastAsia="Arial" w:hAnsi="Arial"/>
          <w:sz w:val="16"/>
          <w:szCs w:val="16"/>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(B) Taxes described in clauses (b) through (h) of the definition of Excluded Taxes and (C) Connection Income Taxes) on its loans, loan principal, letters of credit, commitments, or other obligations, or its deposits, reserves, other liabilities or capital attributable thereto; or (iii) impose on any Lender or Issuing Bank or the London interbank market or other relevant interbank market, any other condition, cost or expense (other than Taxes) affecting this Agreement or Eurocurrency Loans, B/A Loans or BBSY Rate Loans made by such Lender or any Letter of Credit or participation therein, and the result of any of the foregoing shall be to increase the cost to such Lender or Issuing Bank of making or maintaining any Eurocurrency Loan, B/A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170" w:lineRule="exact"/>
        <w:rPr>
          <w:rFonts w:ascii="Arial" w:cs="Arial" w:eastAsia="Arial" w:hAnsi="Arial"/>
          <w:sz w:val="16"/>
          <w:szCs w:val="16"/>
          <w:color w:val="auto"/>
        </w:rPr>
      </w:pPr>
    </w:p>
    <w:p>
      <w:pPr>
        <w:jc w:val="both"/>
        <w:ind w:firstLine="1305"/>
        <w:spacing w:after="0" w:line="288" w:lineRule="auto"/>
        <w:tabs>
          <w:tab w:leader="none" w:pos="1793"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4" w:name="page185"/>
    <w:bookmarkEnd w:id="184"/>
    <w:p>
      <w:pPr>
        <w:jc w:val="both"/>
        <w:ind w:firstLine="1305"/>
        <w:spacing w:after="0" w:line="259" w:lineRule="auto"/>
        <w:tabs>
          <w:tab w:leader="none" w:pos="174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176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Borrowers shall not be under any obligation to compensate any Lender or Issuing Bank under paragraph (a) or (b) above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2.14 </w:t>
      </w:r>
      <w:r>
        <w:rPr>
          <w:rFonts w:ascii="Arial" w:cs="Arial" w:eastAsia="Arial" w:hAnsi="Arial"/>
          <w:sz w:val="18"/>
          <w:szCs w:val="18"/>
          <w:b w:val="1"/>
          <w:bCs w:val="1"/>
          <w:i w:val="1"/>
          <w:iCs w:val="1"/>
          <w:color w:val="auto"/>
        </w:rPr>
        <w:t>Change in Legality</w:t>
      </w:r>
      <w:r>
        <w:rPr>
          <w:rFonts w:ascii="Arial" w:cs="Arial" w:eastAsia="Arial" w:hAnsi="Arial"/>
          <w:sz w:val="18"/>
          <w:szCs w:val="18"/>
          <w:color w:val="auto"/>
        </w:rPr>
        <w:t>. (a) Notwithstanding any other provision of this Agreement, if any Change in Law shall make it unlawful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to make or maintain any Eurocurrency Loan (other than any Eurocurrency Loan under the Australian Revolving Credit Facility) or to give effect to its obligations as contemplated hereby with respect to any Eurocurrency Loan, then, by written notice to the Applicable Borrower and to the Applicable Administrative Agent:</w:t>
      </w:r>
    </w:p>
    <w:p>
      <w:pPr>
        <w:spacing w:after="0" w:line="184" w:lineRule="exact"/>
        <w:rPr>
          <w:sz w:val="20"/>
          <w:szCs w:val="20"/>
          <w:color w:val="auto"/>
        </w:rPr>
      </w:pPr>
    </w:p>
    <w:p>
      <w:pPr>
        <w:jc w:val="both"/>
        <w:ind w:left="660" w:firstLine="1131"/>
        <w:spacing w:after="0" w:line="293" w:lineRule="auto"/>
        <w:tabs>
          <w:tab w:leader="none" w:pos="239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such Lender may declare that Eurocurrency Loans, as the case may be, will not thereafter (for the duration of such unlawfulness) be made by such Lender hereunder (or be continued for additional Interest Periods and ABR Loans and U.S. Base Rate Loans will not thereafter (for such duration) be converted into Eurocurrency Loans), whereupon any request for a Eurocurrency Borrowing (or to convert an ABR Borrowing to a Eurocurrency Borrowing or to continue a Eurocurrency Borrowing for an additional Interest Period) shall, as to such Lender only, be deemed a request for an ABR Loan or a U.S. Base Rate Loan (or a request to continue an ABR Loan or a U.S. Base Rate Loan as such or to convert a Eurocurrency Loan into an ABR Loan or a U.S. Base Rate Loan), unless such declaration shall be subsequently withdrawn; and</w:t>
      </w:r>
    </w:p>
    <w:p>
      <w:pPr>
        <w:spacing w:after="0" w:line="164" w:lineRule="exact"/>
        <w:rPr>
          <w:rFonts w:ascii="Arial" w:cs="Arial" w:eastAsia="Arial" w:hAnsi="Arial"/>
          <w:sz w:val="16"/>
          <w:szCs w:val="16"/>
          <w:color w:val="auto"/>
        </w:rPr>
      </w:pPr>
    </w:p>
    <w:p>
      <w:pPr>
        <w:jc w:val="both"/>
        <w:ind w:left="660" w:firstLine="1131"/>
        <w:spacing w:after="0" w:line="264" w:lineRule="auto"/>
        <w:tabs>
          <w:tab w:leader="none" w:pos="229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Lender may require that all outstanding Eurocurrency Loans made by it be converted to ABR Loans or U.S. Base Rate Loans, as the case may be, in which event all such Eurocurrency Loans shall be automatically converted to ABR Loans or U.S. Base Rate Loans, as the case may be, as of the effective date of such notice as provided in paragraph (b) below.</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event any Lender shall exercise its rights under (i) or (ii) above, all payments and prepayments of principal that would otherwise have been applied to repay the Eurocurrency Loans that would have been made by such Lender or the converted Eurocurrency Loans of such Lender shall instead be applied to repay the ABR Loans or U.S. Base Rate Loans made by such Lender in lieu of, or resulting from the conversion of, such Eurocurrency Loans.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5" w:name="page186"/>
    <w:bookmarkEnd w:id="185"/>
    <w:p>
      <w:pPr>
        <w:jc w:val="both"/>
        <w:ind w:firstLine="1305"/>
        <w:spacing w:after="0" w:line="264" w:lineRule="auto"/>
        <w:tabs>
          <w:tab w:leader="none" w:pos="175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 purposes of this Section 2.14, a notice to the Parent Borrower by any Lender shall be effective as to each Eurocurrency Loan, as the case may be, made by such Lender, if lawful, on the last day of the Interest Period then applicable to such Eurocurrency Loan; in all other cases such notice shall be effective on the date of receipt by such Borrower.</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2.15 </w:t>
      </w:r>
      <w:r>
        <w:rPr>
          <w:rFonts w:ascii="Arial" w:cs="Arial" w:eastAsia="Arial" w:hAnsi="Arial"/>
          <w:sz w:val="16"/>
          <w:szCs w:val="16"/>
          <w:b w:val="1"/>
          <w:bCs w:val="1"/>
          <w:i w:val="1"/>
          <w:iCs w:val="1"/>
          <w:color w:val="auto"/>
        </w:rPr>
        <w:t>Breakage Costs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hereby severally indemnify each Lender against any loss or expense that such Lender may</w:t>
      </w:r>
      <w:r>
        <w:rPr>
          <w:rFonts w:ascii="Arial" w:cs="Arial" w:eastAsia="Arial" w:hAnsi="Arial"/>
          <w:sz w:val="16"/>
          <w:szCs w:val="16"/>
          <w:b w:val="1"/>
          <w:bCs w:val="1"/>
          <w:color w:val="auto"/>
        </w:rPr>
        <w:t xml:space="preserve"> </w:t>
      </w:r>
      <w:r>
        <w:rPr>
          <w:rFonts w:ascii="Arial" w:cs="Arial" w:eastAsia="Arial" w:hAnsi="Arial"/>
          <w:sz w:val="16"/>
          <w:szCs w:val="16"/>
          <w:color w:val="auto"/>
        </w:rPr>
        <w:t>sustain or incur as a consequence of (a) any event, other than a default by such Lender in the performance of its obligations hereunder, which results in (i) such Lender receiving or being deemed to receive any amount on account of the principal of any Eurocurrency Loan or BBSY Rate Loan prior to the end of the Interest Period in effect therefor, including, without limitation, as a result of any prepayment, the acceleration of the maturity of the Obligations or for any other reason, (ii) the conversion of any Eurocurrency Loan to an ABR Loan or U.S. Base Rate Loans or the conversion of the Interest Period with respect to any Eurocurrency Loan or BBSY Rate Loan, in each case other than on the last day of the Interest Period in effect therefor, (iii) any Eurocurrency Loan, B/A Loan or BBSY Rate Loan to be made by such Lender (including any Eurocurrency Loan, B/A Loan or BBSY Rate Loan to be made pursuant to a conversion or continuation under Section 2.10 or 2.22, as applicable) not being made after notice of such Loan shall have been given by a Borrower hereunder or (iv) other than with respect to any Defaulting Lender, any assignment of a Eurocurrency Loan or BBSY Rate Loan is made other than on the last day of the Interest Period for such Loan as a result of a request by the Applicable Borrower pursuant to Section 2.20 (any of the events referred to in this clause (a) being called a “</w:t>
      </w:r>
      <w:r>
        <w:rPr>
          <w:rFonts w:ascii="Arial" w:cs="Arial" w:eastAsia="Arial" w:hAnsi="Arial"/>
          <w:sz w:val="16"/>
          <w:szCs w:val="16"/>
          <w:i w:val="1"/>
          <w:iCs w:val="1"/>
          <w:color w:val="auto"/>
        </w:rPr>
        <w:t>Breakage Event</w:t>
      </w:r>
      <w:r>
        <w:rPr>
          <w:rFonts w:ascii="Arial" w:cs="Arial" w:eastAsia="Arial" w:hAnsi="Arial"/>
          <w:sz w:val="16"/>
          <w:szCs w:val="16"/>
          <w:color w:val="auto"/>
        </w:rPr>
        <w:t>”) or (b) any default in the making of any payment or prepayment required to be made hereunder. In the case of any Breakage Event, such loss shall include an amount equal to the excess, as reasonably determined by such Lender, of (i) its cost of obtaining funds for the Eurocurrency Loan, B/A Loan or BBSY Rate Loan that is the subject of such Breakage Event for the period from the date of such Breakage Event to the last day of the Interest Period or Contract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3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2.16 </w:t>
      </w:r>
      <w:r>
        <w:rPr>
          <w:rFonts w:ascii="Arial" w:cs="Arial" w:eastAsia="Arial" w:hAnsi="Arial"/>
          <w:sz w:val="18"/>
          <w:szCs w:val="18"/>
          <w:b w:val="1"/>
          <w:bCs w:val="1"/>
          <w:i w:val="1"/>
          <w:iCs w:val="1"/>
          <w:color w:val="auto"/>
        </w:rPr>
        <w:t>Pro Rata Treatment</w:t>
      </w:r>
      <w:r>
        <w:rPr>
          <w:rFonts w:ascii="Arial" w:cs="Arial" w:eastAsia="Arial" w:hAnsi="Arial"/>
          <w:sz w:val="18"/>
          <w:szCs w:val="18"/>
          <w:color w:val="auto"/>
        </w:rPr>
        <w:t>. Except as required under Section 2.14, each Borrowing, each payment or prepayment of principal of any</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each payment of interest on any Class of Loans, each payment of the Commitment Fees with respect to any Class of Loans, each reduction of the Commitments and each conversion of any Borrowing to or continuation of any Borrowing as a Borrowing of any Type shall be allocated pro rata among the Applicable Lenders in accordance with their Applicable Pro Rata Percentages.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6" w:name="page187"/>
    <w:bookmarkEnd w:id="186"/>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2.17 </w:t>
      </w:r>
      <w:r>
        <w:rPr>
          <w:rFonts w:ascii="Arial" w:cs="Arial" w:eastAsia="Arial" w:hAnsi="Arial"/>
          <w:sz w:val="16"/>
          <w:szCs w:val="16"/>
          <w:b w:val="1"/>
          <w:bCs w:val="1"/>
          <w:i w:val="1"/>
          <w:iCs w:val="1"/>
          <w:color w:val="auto"/>
        </w:rPr>
        <w:t>Sharing of Setoffs</w:t>
      </w:r>
      <w:r>
        <w:rPr>
          <w:rFonts w:ascii="Arial" w:cs="Arial" w:eastAsia="Arial" w:hAnsi="Arial"/>
          <w:sz w:val="16"/>
          <w:szCs w:val="16"/>
          <w:color w:val="auto"/>
        </w:rPr>
        <w:t>. (a) Each Canadian Lender agrees that if it shall, through the exercise of a right of banker’s lien, setoff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counterclaim against a Borrower or any other Loan Party, or pursuant to a secured claim or other security or interest arising from, or in lieu of, such secured claim, received by such Canadian Lender under any applicable Insolvency Law or otherwise, or by any other means, obtain payment (voluntary or involuntary) in respect of any Canadian Loan as a result of which the unpaid portion of its Canadian Loans shall be proportionately less than the unpaid portion of the Canadian Loans of any other Canadian Lender of the same Class, it shall (i) notify the Applicable Administrative Agent of such fact and (ii) be deemed simultaneously to have purchased from such other Canadian Lender at face value, and shall promptly pay to such other Canadian Lender the purchase price for, a participation in the Canadian Loans of the same Class of such other Canadian Lender and, if applicable, subparticipations in Canadian L/C Exposure and Canadian Swing Line Loans of such other Canadian Lender, or make such other adjustments as shall be equitable, so that the aggregate unpaid amount of the Canadian Loans and participations in Canadian L/C Exposure and Canadian Swing Line Loans held by each Canadian Lender shall be in the same proportion to the aggregate unpaid amount of all Canadian Loans, Canadian L/C Exposure and Canadian Swing Line Loans then outstanding of the same Class as the amount of its Canadian Loans, Canadian L/C Exposure and Canadian Swing Line Loans prior to such exercise of banker’s lien, setoff or counterclaim or other event was to the amount of all Canadian Loans, Canadian L/C Exposure and Canadian Swing Line Loans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73" w:lineRule="exact"/>
        <w:rPr>
          <w:sz w:val="20"/>
          <w:szCs w:val="20"/>
          <w:color w:val="auto"/>
        </w:rPr>
      </w:pPr>
    </w:p>
    <w:p>
      <w:pPr>
        <w:jc w:val="both"/>
        <w:ind w:firstLine="1305"/>
        <w:spacing w:after="0" w:line="286" w:lineRule="auto"/>
        <w:tabs>
          <w:tab w:leader="none" w:pos="176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 (i) 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2.17(b)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7" w:name="page188"/>
    <w:bookmarkEnd w:id="187"/>
    <w:p>
      <w:pPr>
        <w:jc w:val="both"/>
        <w:ind w:firstLine="1305"/>
        <w:spacing w:after="0" w:line="286" w:lineRule="auto"/>
        <w:tabs>
          <w:tab w:leader="none" w:pos="18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2.17(c)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68" w:lineRule="exact"/>
        <w:rPr>
          <w:rFonts w:ascii="Arial" w:cs="Arial" w:eastAsia="Arial" w:hAnsi="Arial"/>
          <w:sz w:val="16"/>
          <w:szCs w:val="16"/>
          <w:color w:val="auto"/>
        </w:rPr>
      </w:pPr>
    </w:p>
    <w:p>
      <w:pPr>
        <w:jc w:val="both"/>
        <w:ind w:firstLine="1305"/>
        <w:spacing w:after="0" w:line="259" w:lineRule="auto"/>
        <w:tabs>
          <w:tab w:leader="none" w:pos="174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provisions of Section 2.17(a), (b) and (c)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and (c) shall apply).</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3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Loan Party expressly consents to the arrangements set forth in Section 2.17(a), (b) and (c) above and agrees, to the extent it may effectively do so under applicable law, that any Lender holding a participation in a Loan or L/C Exposure pursuant to the foregoing arrangements may exercise against each Loan Party any and all rights of banker’s lien, setoff or counterclaim with respect to such participation as fully as if such Lender were a direct creditor of each Loan Party in the amount of such participation.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8" w:name="page189"/>
    <w:bookmarkEnd w:id="188"/>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2.18 </w:t>
      </w:r>
      <w:r>
        <w:rPr>
          <w:rFonts w:ascii="Arial" w:cs="Arial" w:eastAsia="Arial" w:hAnsi="Arial"/>
          <w:sz w:val="17"/>
          <w:szCs w:val="17"/>
          <w:b w:val="1"/>
          <w:bCs w:val="1"/>
          <w:i w:val="1"/>
          <w:iCs w:val="1"/>
          <w:color w:val="auto"/>
        </w:rPr>
        <w:t>Payments</w:t>
      </w:r>
      <w:r>
        <w:rPr>
          <w:rFonts w:ascii="Arial" w:cs="Arial" w:eastAsia="Arial" w:hAnsi="Arial"/>
          <w:sz w:val="17"/>
          <w:szCs w:val="17"/>
          <w:color w:val="auto"/>
        </w:rPr>
        <w:t>. (a) The Borrowers shall make each payment (including principal of or interest on any Borrowing or any L/C</w:t>
      </w:r>
      <w:r>
        <w:rPr>
          <w:rFonts w:ascii="Arial" w:cs="Arial" w:eastAsia="Arial" w:hAnsi="Arial"/>
          <w:sz w:val="17"/>
          <w:szCs w:val="17"/>
          <w:b w:val="1"/>
          <w:bCs w:val="1"/>
          <w:color w:val="auto"/>
        </w:rPr>
        <w:t xml:space="preserve"> </w:t>
      </w:r>
      <w:r>
        <w:rPr>
          <w:rFonts w:ascii="Arial" w:cs="Arial" w:eastAsia="Arial" w:hAnsi="Arial"/>
          <w:sz w:val="17"/>
          <w:szCs w:val="17"/>
          <w:color w:val="auto"/>
        </w:rPr>
        <w:t>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184" w:lineRule="exact"/>
        <w:rPr>
          <w:sz w:val="20"/>
          <w:szCs w:val="20"/>
          <w:color w:val="auto"/>
        </w:rPr>
      </w:pPr>
    </w:p>
    <w:p>
      <w:pPr>
        <w:jc w:val="both"/>
        <w:ind w:firstLine="1305"/>
        <w:spacing w:after="0" w:line="259" w:lineRule="auto"/>
        <w:tabs>
          <w:tab w:leader="none" w:pos="179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2.19</w:t>
      </w:r>
      <w:r>
        <w:rPr>
          <w:sz w:val="20"/>
          <w:szCs w:val="20"/>
          <w:color w:val="auto"/>
        </w:rPr>
        <w:tab/>
      </w:r>
      <w:r>
        <w:rPr>
          <w:rFonts w:ascii="Arial" w:cs="Arial" w:eastAsia="Arial" w:hAnsi="Arial"/>
          <w:sz w:val="14"/>
          <w:szCs w:val="14"/>
          <w:b w:val="1"/>
          <w:bCs w:val="1"/>
          <w:i w:val="1"/>
          <w:iCs w:val="1"/>
          <w:color w:val="auto"/>
        </w:rPr>
        <w:t>Taxes</w:t>
      </w:r>
      <w:r>
        <w:rPr>
          <w:rFonts w:ascii="Arial" w:cs="Arial" w:eastAsia="Arial" w:hAnsi="Arial"/>
          <w:sz w:val="14"/>
          <w:szCs w:val="14"/>
          <w:color w:val="auto"/>
        </w:rPr>
        <w:t>.</w:t>
      </w:r>
    </w:p>
    <w:p>
      <w:pPr>
        <w:spacing w:after="0" w:line="229" w:lineRule="exact"/>
        <w:rPr>
          <w:sz w:val="20"/>
          <w:szCs w:val="20"/>
          <w:color w:val="auto"/>
        </w:rPr>
      </w:pPr>
    </w:p>
    <w:p>
      <w:pPr>
        <w:ind w:left="1720" w:hanging="415"/>
        <w:spacing w:after="0"/>
        <w:tabs>
          <w:tab w:leader="none" w:pos="17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For purposes of this Section 2.19, the term “Lender” includes any Issuing Bank and the term “applicable law” includes FATCA.</w:t>
      </w:r>
    </w:p>
    <w:p>
      <w:pPr>
        <w:spacing w:after="0" w:line="236" w:lineRule="exact"/>
        <w:rPr>
          <w:rFonts w:ascii="Arial" w:cs="Arial" w:eastAsia="Arial" w:hAnsi="Arial"/>
          <w:sz w:val="17"/>
          <w:szCs w:val="17"/>
          <w:color w:val="auto"/>
        </w:rPr>
      </w:pPr>
    </w:p>
    <w:p>
      <w:pPr>
        <w:jc w:val="both"/>
        <w:ind w:firstLine="1305"/>
        <w:spacing w:after="0" w:line="271" w:lineRule="auto"/>
        <w:tabs>
          <w:tab w:leader="none" w:pos="177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89" w:name="page190"/>
    <w:bookmarkEnd w:id="189"/>
    <w:p>
      <w:pPr>
        <w:ind w:firstLine="1305"/>
        <w:spacing w:after="0" w:line="277" w:lineRule="auto"/>
        <w:tabs>
          <w:tab w:leader="none" w:pos="17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addition, the Loan Parties shall pay any Other Taxes to the relevant Governmental Authority in accordance with applicable law or, at the option of the Applicable Administrative Agent, timely reimburse it for the payment of any Other Taxes.</w:t>
      </w:r>
    </w:p>
    <w:p>
      <w:pPr>
        <w:spacing w:after="0" w:line="170" w:lineRule="exact"/>
        <w:rPr>
          <w:rFonts w:ascii="Arial" w:cs="Arial" w:eastAsia="Arial" w:hAnsi="Arial"/>
          <w:sz w:val="18"/>
          <w:szCs w:val="18"/>
          <w:color w:val="auto"/>
        </w:rPr>
      </w:pPr>
    </w:p>
    <w:p>
      <w:pPr>
        <w:jc w:val="both"/>
        <w:ind w:firstLine="1305"/>
        <w:spacing w:after="0" w:line="293" w:lineRule="auto"/>
        <w:tabs>
          <w:tab w:leader="none" w:pos="180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Borrowers shall severally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164" w:lineRule="exact"/>
        <w:rPr>
          <w:rFonts w:ascii="Arial" w:cs="Arial" w:eastAsia="Arial" w:hAnsi="Arial"/>
          <w:sz w:val="16"/>
          <w:szCs w:val="16"/>
          <w:color w:val="auto"/>
        </w:rPr>
      </w:pPr>
    </w:p>
    <w:p>
      <w:pPr>
        <w:jc w:val="both"/>
        <w:ind w:firstLine="1305"/>
        <w:spacing w:after="0" w:line="270" w:lineRule="auto"/>
        <w:tabs>
          <w:tab w:leader="none" w:pos="186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86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175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0" w:name="page191"/>
    <w:bookmarkEnd w:id="190"/>
    <w:p>
      <w:pPr>
        <w:ind w:left="1640" w:hanging="509"/>
        <w:spacing w:after="0"/>
        <w:tabs>
          <w:tab w:leader="none" w:pos="16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in the event that the Applicable Borrower with respect to such Lender is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 Person:</w:t>
      </w:r>
    </w:p>
    <w:p>
      <w:pPr>
        <w:spacing w:after="0" w:line="211" w:lineRule="exact"/>
        <w:rPr>
          <w:sz w:val="20"/>
          <w:szCs w:val="20"/>
          <w:color w:val="auto"/>
        </w:rPr>
      </w:pPr>
    </w:p>
    <w:p>
      <w:pPr>
        <w:jc w:val="both"/>
        <w:ind w:left="640" w:firstLine="977"/>
        <w:spacing w:after="0" w:line="259" w:lineRule="auto"/>
        <w:tabs>
          <w:tab w:leader="none" w:pos="219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Lender with respect to such Borrower that is a U.S. Person shall deliver to such Borrower and the Applicable Administrative Agent on or prior to the date on which such Lender becomes a Lender under this Agreement (and from time to time thereafter upon the reasonable request of such Borrower or the Applicable Administrative Agent), executed originals of IRS Form W-9 certifying that such Lender is exempt from U.S. federal backup withholding tax;</w:t>
      </w:r>
    </w:p>
    <w:p>
      <w:pPr>
        <w:spacing w:after="0" w:line="186" w:lineRule="exact"/>
        <w:rPr>
          <w:rFonts w:ascii="Arial" w:cs="Arial" w:eastAsia="Arial" w:hAnsi="Arial"/>
          <w:sz w:val="18"/>
          <w:szCs w:val="18"/>
          <w:color w:val="auto"/>
        </w:rPr>
      </w:pPr>
    </w:p>
    <w:p>
      <w:pPr>
        <w:jc w:val="both"/>
        <w:ind w:left="640" w:firstLine="977"/>
        <w:spacing w:after="0" w:line="279" w:lineRule="auto"/>
        <w:tabs>
          <w:tab w:leader="none" w:pos="214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any Foreign Lender with respect to such Borrower shall deliver to such Borrower and the Applicable Administrative Agent, in such number of copies as shall be requested by the recipient, (on or prior to the date on which such Foreign Lender becomes a Lender under this Agreement and from time to time thereafter upon the request of such Borrower or the Applicable Administrative Agent), but only if such Foreign Lender is legally entitled to do so, whichever of the following is applicable:</w:t>
      </w:r>
    </w:p>
    <w:p>
      <w:pPr>
        <w:spacing w:after="0" w:line="171" w:lineRule="exact"/>
        <w:rPr>
          <w:rFonts w:ascii="Arial" w:cs="Arial" w:eastAsia="Arial" w:hAnsi="Arial"/>
          <w:sz w:val="17"/>
          <w:szCs w:val="17"/>
          <w:color w:val="auto"/>
        </w:rPr>
      </w:pPr>
    </w:p>
    <w:p>
      <w:pPr>
        <w:jc w:val="both"/>
        <w:ind w:left="1300" w:firstLine="965"/>
        <w:spacing w:after="0" w:line="255" w:lineRule="auto"/>
        <w:tabs>
          <w:tab w:leader="none" w:pos="277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duly completed copies of an applicable IRS Form W-8BEN or W-8BEN-E establishing an exemption from, or reduction of, U.S. federal withholding Tax pursuant to the “interest” article of such tax treaty and (y) with respect to any other applicable payments under any Loan Document, an applicable IRS Form W-8BEN or W-8BEN-E establishing an exemption from, or reduction of, U.S. federal withholding Tax pursuant to the “business profits” or “other income” article of such tax treaty,</w:t>
      </w:r>
    </w:p>
    <w:p>
      <w:pPr>
        <w:spacing w:after="0" w:line="193" w:lineRule="exact"/>
        <w:rPr>
          <w:rFonts w:ascii="Arial" w:cs="Arial" w:eastAsia="Arial" w:hAnsi="Arial"/>
          <w:sz w:val="18"/>
          <w:szCs w:val="18"/>
          <w:color w:val="auto"/>
        </w:rPr>
      </w:pPr>
    </w:p>
    <w:p>
      <w:pPr>
        <w:ind w:left="2700" w:hanging="435"/>
        <w:spacing w:after="0"/>
        <w:tabs>
          <w:tab w:leader="none" w:pos="27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duly completed copies of IRS Form W-8ECI,</w:t>
      </w:r>
    </w:p>
    <w:p>
      <w:pPr>
        <w:spacing w:after="0" w:line="225" w:lineRule="exact"/>
        <w:rPr>
          <w:rFonts w:ascii="Arial" w:cs="Arial" w:eastAsia="Arial" w:hAnsi="Arial"/>
          <w:sz w:val="18"/>
          <w:szCs w:val="18"/>
          <w:color w:val="auto"/>
        </w:rPr>
      </w:pPr>
    </w:p>
    <w:p>
      <w:pPr>
        <w:jc w:val="both"/>
        <w:ind w:left="1300" w:firstLine="965"/>
        <w:spacing w:after="0" w:line="255" w:lineRule="auto"/>
        <w:tabs>
          <w:tab w:leader="none" w:pos="280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881(c)(3)(A) of the Code, (B) a “10 percent shareholder” of the Applicable Borrower within the meaning of Section 881(c)(3)(B) of the Code, or (C) a “controlled foreign corporation” described in Section 881(c)(3)(C) of the Code (a “U.S. Tax Compliance Certificate”) and (y) duly completed copies of an applicable IRS Form W-8BEN or W-8BEN-E, or</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191" w:name="page192"/>
    <w:bookmarkEnd w:id="191"/>
    <w:p>
      <w:pPr>
        <w:jc w:val="both"/>
        <w:ind w:left="760" w:firstLine="965"/>
        <w:spacing w:after="0" w:line="273" w:lineRule="auto"/>
        <w:tabs>
          <w:tab w:leader="none" w:pos="2289" w:val="left"/>
        </w:tabs>
        <w:numPr>
          <w:ilvl w:val="1"/>
          <w:numId w:val="213"/>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duly completed copies of IRS Form W-8IMY, accompanied by IRS Form W-8ECI, an applicable IRS Form W-8BEN or W-8BEN-E, a U.S. Tax Compliance Certificate substantially in the form of Exhibit I-2 or Exhibit I-3, IRS Form W-9, and/or other certification documents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8" w:lineRule="exact"/>
        <w:rPr>
          <w:rFonts w:ascii="Arial" w:cs="Arial" w:eastAsia="Arial" w:hAnsi="Arial"/>
          <w:sz w:val="17"/>
          <w:szCs w:val="17"/>
          <w:color w:val="auto"/>
        </w:rPr>
      </w:pPr>
    </w:p>
    <w:p>
      <w:pPr>
        <w:jc w:val="both"/>
        <w:ind w:left="100" w:firstLine="977"/>
        <w:spacing w:after="0" w:line="293" w:lineRule="auto"/>
        <w:tabs>
          <w:tab w:leader="none" w:pos="154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Lender shall, to the extent it is legally entitled to do so, deliver to such Borrower and the Applicable Administrative Agent (in such copies as shall be requested by the recipient) on or prior to the date on which such Lender becomes a Lender under this Agreement (and from time to time thereafter upon the reasonable request of such Borrower or the Applicable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164" w:lineRule="exact"/>
        <w:rPr>
          <w:rFonts w:ascii="Arial" w:cs="Arial" w:eastAsia="Arial" w:hAnsi="Arial"/>
          <w:sz w:val="16"/>
          <w:szCs w:val="16"/>
          <w:color w:val="auto"/>
        </w:rPr>
      </w:pPr>
    </w:p>
    <w:p>
      <w:pPr>
        <w:jc w:val="both"/>
        <w:ind w:left="100" w:firstLine="977"/>
        <w:spacing w:after="0" w:line="288" w:lineRule="auto"/>
        <w:tabs>
          <w:tab w:leader="none" w:pos="160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Applicable Borrower or the Applicable Administrative Agent, at the time or times prescribed by law and at such time or times reasonably requested by the Applicable Borrower or the Applicable Administrative Agent, such documentation prescribed by applicable law (including as prescribed by Section 1471(b)(3)(C)(i) of the Code) and such additional documentation reasonably requested by the Applicable Borrower or the Applicable Administrative Agent as may be necessary for the Applicable Borrower or the Applicable Administrative Agent to comply with its obligations under FATCA, to determine that such Agent, Lender or Issuing Bank has complied with its obligations under FATCA or to determine the amount to deduct and withhold from any such payments. Solely for purposes of this paragraph (i), “</w:t>
      </w:r>
      <w:r>
        <w:rPr>
          <w:rFonts w:ascii="Arial" w:cs="Arial" w:eastAsia="Arial" w:hAnsi="Arial"/>
          <w:sz w:val="16"/>
          <w:szCs w:val="16"/>
          <w:i w:val="1"/>
          <w:iCs w:val="1"/>
          <w:color w:val="auto"/>
        </w:rPr>
        <w:t>FATCA</w:t>
      </w:r>
      <w:r>
        <w:rPr>
          <w:rFonts w:ascii="Arial" w:cs="Arial" w:eastAsia="Arial" w:hAnsi="Arial"/>
          <w:sz w:val="16"/>
          <w:szCs w:val="16"/>
          <w:color w:val="auto"/>
        </w:rPr>
        <w:t>” shall include any amendments made to FATCA after the date of this Agreement.</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92" w:name="page193"/>
    <w:bookmarkEnd w:id="192"/>
    <w:p>
      <w:pPr>
        <w:jc w:val="both"/>
        <w:ind w:left="1300" w:firstLine="977"/>
        <w:spacing w:after="0" w:line="286" w:lineRule="auto"/>
        <w:tabs>
          <w:tab w:leader="none" w:pos="282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Solely for purposes of determining withholding Taxes imposed under FATCA, from and after the First Amendment Effective Date, the Borrowers and the Administrative Agents shall treat (and the Lenders hereby authorize the Administrative Agents to treat) the Loans as not qualifying as a “grandfathered obligation” within the meaning of Treasury Regulation Section 1.1471-2(b)(2)(i).</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Parent Borrower and the Applicable Administrative Agent in writing of its legal inability to do so.</w:t>
      </w:r>
    </w:p>
    <w:p>
      <w:pPr>
        <w:spacing w:after="0" w:line="147" w:lineRule="exact"/>
        <w:rPr>
          <w:sz w:val="20"/>
          <w:szCs w:val="20"/>
          <w:color w:val="auto"/>
        </w:rPr>
      </w:pPr>
    </w:p>
    <w:p>
      <w:pPr>
        <w:jc w:val="both"/>
        <w:ind w:firstLine="1305"/>
        <w:spacing w:after="0" w:line="270" w:lineRule="auto"/>
        <w:tabs>
          <w:tab w:leader="none" w:pos="175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RBC, as Administrative Agent, shall deliver, on or before the date it becomes a party to this Agreement, to the U.S. Borrower a duly completed copy of IRS Form W-8IMY certifying that it is a “U.S. branch” of a foreign bank and that it agrees to be treated as a U.S. Person with respect to any payments made to it by the U.S. Borrower under any Loan Document. RBC, as Administrative Agent agrees that if such IRS Form W-8IMY previously delivered expires or becomes obsolete or inaccurate in any respect, it shall update such form if it is legally able to do so or promptly notify the Parent Borrower in writing of its legal inability to do so (including as a result of a change in RBC’s operations). If the Administrative Agent (i) fails to deliver the form required by this Section 2.19(h) or is legally unable to update such form as required by this Section 2.19(h) and (ii) fails to appoint as a sub-agent pursuant to Section 8.05 any Affiliate of the Administrative Agent that is a U.S. Person or that can deliver the form required by this Section 2.19(h), then the Parent Borrower shall have the right to require the appointment of an agent that is a U.S. Person solely for the purposes of receiving U.S. tax forms and administering any required withholding for U.S. Taxes under this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appointment shall not otherwise affect the rights and obligations of the Administrative Agent set forth in this Agreement.</w:t>
      </w:r>
    </w:p>
    <w:p>
      <w:pPr>
        <w:spacing w:after="0" w:line="177" w:lineRule="exact"/>
        <w:rPr>
          <w:rFonts w:ascii="Arial" w:cs="Arial" w:eastAsia="Arial" w:hAnsi="Arial"/>
          <w:sz w:val="17"/>
          <w:szCs w:val="17"/>
          <w:color w:val="auto"/>
        </w:rPr>
      </w:pPr>
    </w:p>
    <w:p>
      <w:pPr>
        <w:jc w:val="both"/>
        <w:ind w:firstLine="1305"/>
        <w:spacing w:after="0" w:line="287" w:lineRule="auto"/>
        <w:tabs>
          <w:tab w:leader="none" w:pos="170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3" w:name="page194"/>
    <w:bookmarkEnd w:id="193"/>
    <w:p>
      <w:pPr>
        <w:ind w:firstLine="1305"/>
        <w:spacing w:after="0" w:line="277" w:lineRule="auto"/>
        <w:tabs>
          <w:tab w:leader="none" w:pos="160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Unless expressly stated otherwise in the relevant Loan Document, the consideration payable for any supply made by or through a Lender or Issuing Bank under or in connection with any Loan Document does not include Australian GST.</w:t>
      </w:r>
    </w:p>
    <w:p>
      <w:pPr>
        <w:spacing w:after="0" w:line="170" w:lineRule="exact"/>
        <w:rPr>
          <w:rFonts w:ascii="Arial" w:cs="Arial" w:eastAsia="Arial" w:hAnsi="Arial"/>
          <w:sz w:val="18"/>
          <w:szCs w:val="18"/>
          <w:color w:val="auto"/>
        </w:rPr>
      </w:pPr>
    </w:p>
    <w:p>
      <w:pPr>
        <w:ind w:left="660" w:right="20" w:firstLine="969"/>
        <w:spacing w:after="0" w:line="277" w:lineRule="auto"/>
        <w:tabs>
          <w:tab w:leader="none" w:pos="213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If Australian GST is payable in respect of any supply made by or through a Lender or Issuing Bank (a “</w:t>
      </w:r>
      <w:r>
        <w:rPr>
          <w:rFonts w:ascii="Arial" w:cs="Arial" w:eastAsia="Arial" w:hAnsi="Arial"/>
          <w:sz w:val="18"/>
          <w:szCs w:val="18"/>
          <w:i w:val="1"/>
          <w:iCs w:val="1"/>
          <w:color w:val="auto"/>
        </w:rPr>
        <w:t>Supplier</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under or in connection with any Loan Document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Australian GST Liability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then:</w:t>
      </w:r>
    </w:p>
    <w:p>
      <w:pPr>
        <w:spacing w:after="0" w:line="170" w:lineRule="exact"/>
        <w:rPr>
          <w:sz w:val="20"/>
          <w:szCs w:val="20"/>
          <w:color w:val="auto"/>
        </w:rPr>
      </w:pPr>
    </w:p>
    <w:p>
      <w:pPr>
        <w:ind w:left="1300" w:firstLine="329"/>
        <w:spacing w:after="0" w:line="277" w:lineRule="auto"/>
        <w:tabs>
          <w:tab w:leader="none" w:pos="22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where consideration is provided by a party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in relation to that supply, the Recipient Party will pay an additional amount to the Supplier equal to the full amount of the Australian GST Liability; and</w:t>
      </w:r>
    </w:p>
    <w:p>
      <w:pPr>
        <w:spacing w:after="0" w:line="170" w:lineRule="exact"/>
        <w:rPr>
          <w:rFonts w:ascii="Arial" w:cs="Arial" w:eastAsia="Arial" w:hAnsi="Arial"/>
          <w:sz w:val="18"/>
          <w:szCs w:val="18"/>
          <w:color w:val="auto"/>
        </w:rPr>
      </w:pPr>
    </w:p>
    <w:p>
      <w:pPr>
        <w:ind w:left="1300" w:right="20" w:firstLine="329"/>
        <w:spacing w:after="0" w:line="277" w:lineRule="auto"/>
        <w:tabs>
          <w:tab w:leader="none" w:pos="20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except where the foregoing clause (A) applies, the Australian Borrower will indemnify and keep the Supplier indemnified for the full amount of the Australian GST Liability.</w:t>
      </w:r>
    </w:p>
    <w:p>
      <w:pPr>
        <w:spacing w:after="0" w:line="170"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2.20(j)(ii)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 Recipient Party or the Supplier (as the case may be) must make any payments necessary to reflect the adjustment; and (3) this Section 2.20(j)(ii) does not apply to the extent that the Australian GST Liability on a supply made by or through a Lender or Issuing Bank under or in connection with any Loan Document is payable by the Recipient Party or the Australian Borrower, as appropriate, under Division 83 or 84 of the A New Tax System (</w:t>
      </w:r>
      <w:r>
        <w:rPr>
          <w:rFonts w:ascii="Arial" w:cs="Arial" w:eastAsia="Arial" w:hAnsi="Arial"/>
          <w:sz w:val="16"/>
          <w:szCs w:val="16"/>
          <w:i w:val="1"/>
          <w:iCs w:val="1"/>
          <w:color w:val="auto"/>
        </w:rPr>
        <w:t>Goods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Tax</w:t>
      </w:r>
      <w:r>
        <w:rPr>
          <w:rFonts w:ascii="Arial" w:cs="Arial" w:eastAsia="Arial" w:hAnsi="Arial"/>
          <w:sz w:val="16"/>
          <w:szCs w:val="16"/>
          <w:color w:val="auto"/>
        </w:rPr>
        <w:t>) Act 1999 (</w:t>
      </w:r>
      <w:r>
        <w:rPr>
          <w:rFonts w:ascii="Arial" w:cs="Arial" w:eastAsia="Arial" w:hAnsi="Arial"/>
          <w:sz w:val="16"/>
          <w:szCs w:val="16"/>
          <w:i w:val="1"/>
          <w:iCs w:val="1"/>
          <w:color w:val="auto"/>
        </w:rPr>
        <w:t>Cth</w:t>
      </w:r>
      <w:r>
        <w:rPr>
          <w:rFonts w:ascii="Arial" w:cs="Arial" w:eastAsia="Arial" w:hAnsi="Arial"/>
          <w:sz w:val="16"/>
          <w:szCs w:val="16"/>
          <w:color w:val="auto"/>
        </w:rPr>
        <w:t>) and the Lender or Issuing Bank has no liability at all in relation to that payment.</w:t>
      </w:r>
    </w:p>
    <w:p>
      <w:pPr>
        <w:spacing w:after="0" w:line="169" w:lineRule="exact"/>
        <w:rPr>
          <w:sz w:val="20"/>
          <w:szCs w:val="20"/>
          <w:color w:val="auto"/>
        </w:rPr>
      </w:pPr>
    </w:p>
    <w:p>
      <w:pPr>
        <w:jc w:val="both"/>
        <w:ind w:left="660" w:firstLine="969"/>
        <w:spacing w:after="0" w:line="279" w:lineRule="auto"/>
        <w:tabs>
          <w:tab w:leader="none" w:pos="212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 payment or reimbursement required to be made to a Lender or Issuing Bank under any Loan Document that is calculated by reference to a cost or other amount paid or incurred will be limited to the total cost or other amount less the amount of any input tax credit or other credit to which the relevant Lender or Issuing Bank (or the representative member for a Australian GST group of which the relevant Lender or Issuing Bank is a member) is entitled for the acquisition to which the cost or other amount relates.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4" w:name="page195"/>
    <w:bookmarkEnd w:id="194"/>
    <w:p>
      <w:pPr>
        <w:ind w:left="660" w:firstLine="969"/>
        <w:spacing w:after="0" w:line="277" w:lineRule="auto"/>
        <w:tabs>
          <w:tab w:leader="none" w:pos="215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Words used in this Section 2.19(j) which are not defined in this agreement but which have a defined meaning in the GST Law have the same meaning as in the GST Law unless the contrary intention appears.</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2.20 </w:t>
      </w:r>
      <w:r>
        <w:rPr>
          <w:rFonts w:ascii="Arial" w:cs="Arial" w:eastAsia="Arial" w:hAnsi="Arial"/>
          <w:sz w:val="17"/>
          <w:szCs w:val="17"/>
          <w:b w:val="1"/>
          <w:bCs w:val="1"/>
          <w:i w:val="1"/>
          <w:iCs w:val="1"/>
          <w:color w:val="auto"/>
        </w:rPr>
        <w:t>Assignment of Commitments Under Certain Circumstances; Duty to Mitigate</w:t>
      </w:r>
      <w:r>
        <w:rPr>
          <w:rFonts w:ascii="Arial" w:cs="Arial" w:eastAsia="Arial" w:hAnsi="Arial"/>
          <w:sz w:val="17"/>
          <w:szCs w:val="17"/>
          <w:color w:val="auto"/>
        </w:rPr>
        <w:t>. (a) In the event (i) any Lender or Issuing Bank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delivers a certificate requesting 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192" w:lineRule="exact"/>
        <w:rPr>
          <w:sz w:val="20"/>
          <w:szCs w:val="20"/>
          <w:color w:val="auto"/>
        </w:rPr>
      </w:pPr>
    </w:p>
    <w:p>
      <w:pPr>
        <w:jc w:val="both"/>
        <w:ind w:firstLine="1305"/>
        <w:spacing w:after="0" w:line="270" w:lineRule="auto"/>
        <w:tabs>
          <w:tab w:leader="none" w:pos="178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5" w:name="page196"/>
    <w:bookmarkEnd w:id="195"/>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2.21</w:t>
      </w:r>
      <w:r>
        <w:rPr>
          <w:sz w:val="20"/>
          <w:szCs w:val="20"/>
          <w:color w:val="auto"/>
        </w:rPr>
        <w:tab/>
      </w:r>
      <w:r>
        <w:rPr>
          <w:rFonts w:ascii="Arial" w:cs="Arial" w:eastAsia="Arial" w:hAnsi="Arial"/>
          <w:sz w:val="15"/>
          <w:szCs w:val="15"/>
          <w:b w:val="1"/>
          <w:bCs w:val="1"/>
          <w:i w:val="1"/>
          <w:iCs w:val="1"/>
          <w:color w:val="auto"/>
        </w:rPr>
        <w:t>Letters of Credit</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97" w:lineRule="auto"/>
        <w:tabs>
          <w:tab w:leader="none" w:pos="1802"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Each Borrower may request the issuance of a Letter of Credit denominated in U.S. dollars, Canadian dollars, Australian</w:t>
      </w:r>
      <w:r>
        <w:rPr>
          <w:rFonts w:ascii="Arial" w:cs="Arial" w:eastAsia="Arial" w:hAnsi="Arial"/>
          <w:sz w:val="16"/>
          <w:szCs w:val="16"/>
          <w:i w:val="1"/>
          <w:iCs w:val="1"/>
          <w:color w:val="auto"/>
        </w:rPr>
        <w:t xml:space="preserve"> </w:t>
      </w:r>
      <w:r>
        <w:rPr>
          <w:rFonts w:ascii="Arial" w:cs="Arial" w:eastAsia="Arial" w:hAnsi="Arial"/>
          <w:sz w:val="16"/>
          <w:szCs w:val="16"/>
          <w:color w:val="auto"/>
        </w:rPr>
        <w:t>dollars or in 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158" w:lineRule="exact"/>
        <w:rPr>
          <w:rFonts w:ascii="Arial" w:cs="Arial" w:eastAsia="Arial" w:hAnsi="Arial"/>
          <w:sz w:val="16"/>
          <w:szCs w:val="16"/>
          <w:color w:val="auto"/>
        </w:rPr>
      </w:pPr>
    </w:p>
    <w:p>
      <w:pPr>
        <w:jc w:val="both"/>
        <w:ind w:firstLine="1305"/>
        <w:spacing w:after="0" w:line="283" w:lineRule="auto"/>
        <w:tabs>
          <w:tab w:leader="none" w:pos="1855"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Notice of Issuance, Amendment, Renewal, Extension; Certain Conditions</w:t>
      </w:r>
      <w:r>
        <w:rPr>
          <w:rFonts w:ascii="Arial" w:cs="Arial" w:eastAsia="Arial" w:hAnsi="Arial"/>
          <w:sz w:val="16"/>
          <w:szCs w:val="16"/>
          <w:color w:val="auto"/>
        </w:rPr>
        <w:t>. In order to request the issuance of a Letter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denominated in U.S. dollars, Canadian dollars, 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 extension (which date shall be (x) 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whether the Letter of Credit is to be a U.S. Letter of Credit, a Canadian Letter of Credit or an Australian Letter of Credit, the name and address of the beneficiary thereof and such other information as shall be necessary to 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denominated in U.S. dollars or an Alternative Currency and shall be issued, amended, renewed or extended only if, and upon issuance, amendment, renewal or extension of each Letter of Credit the U.S. Borrower shall be deemed to represent and warrant that, after giving effect to such issuance, amendment, renewal or extension (i) the U.S. L/C Exposure shall not exceed U.S.$15,000,000, (ii) the aggregate U.S. Revolving Credit Exposure shall not exceed the Total U.S. Revolving Commitment, and</w:t>
      </w:r>
    </w:p>
    <w:p>
      <w:pPr>
        <w:jc w:val="both"/>
        <w:ind w:firstLine="8"/>
        <w:spacing w:after="0" w:line="286" w:lineRule="auto"/>
        <w:tabs>
          <w:tab w:leader="none" w:pos="33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U.S. L/C Exposure related to U.S. Letters of Credit issued by an Issuing Bank shall not exceed an amount agreed to in writing between the U.S. Borrower and such Issuing Bank and notified to the Administrative Agent. A Canadian Letter of Credit shall be denominated in Canadian dollars and shall be issued, amended, renewed or extended only if, and upon issuance, amendment, renewal or extension of each Canadian Letter of Credit, such Parent Borrower shall be deemed to represent and warrant that after giving effect to such issuance, amendment, renewal or extension (i) the Canadian L/C Exposure shall not exceed the Canadian Dollar Equivalent of U.S.$40,000,000, (ii) the aggregate Canadian Revolving Credit Exposure shall not exceed the Total Canadian Revolving Commitment and (iii) the portion of the Canadian L/C Exposure attributable to Letters of Credit issued by such Applicable Issuing Bank will not, unless such Applicable Issuing Bank shall so agree in its sole discretion, exceed the L/C Issuance Limit of such Applicable Issuing Bank. An Australian Letter of Credit shall be denominated in Australian dollars and shall be issued, amended, renewed or extended only if, and upon issuance, amendment, renewal or extension of each Australian Letter of Credit, 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w:t>
      </w:r>
    </w:p>
    <w:p>
      <w:pPr>
        <w:spacing w:after="0" w:line="166" w:lineRule="exact"/>
        <w:rPr>
          <w:rFonts w:ascii="Arial" w:cs="Arial" w:eastAsia="Arial" w:hAnsi="Arial"/>
          <w:sz w:val="16"/>
          <w:szCs w:val="16"/>
          <w:color w:val="auto"/>
        </w:rPr>
      </w:pPr>
    </w:p>
    <w:p>
      <w:pPr>
        <w:jc w:val="both"/>
        <w:ind w:firstLine="1305"/>
        <w:spacing w:after="0" w:line="286" w:lineRule="auto"/>
        <w:tabs>
          <w:tab w:leader="none" w:pos="1721" w:val="left"/>
        </w:tabs>
        <w:numPr>
          <w:ilvl w:val="1"/>
          <w:numId w:val="223"/>
        </w:numPr>
        <w:rPr>
          <w:rFonts w:ascii="Arial" w:cs="Arial" w:eastAsia="Arial" w:hAnsi="Arial"/>
          <w:sz w:val="16"/>
          <w:szCs w:val="16"/>
          <w:color w:val="auto"/>
        </w:rPr>
      </w:pPr>
      <w:r>
        <w:rPr>
          <w:rFonts w:ascii="Arial" w:cs="Arial" w:eastAsia="Arial" w:hAnsi="Arial"/>
          <w:sz w:val="16"/>
          <w:szCs w:val="16"/>
          <w:i w:val="1"/>
          <w:iCs w:val="1"/>
          <w:color w:val="auto"/>
        </w:rPr>
        <w:t>Expiration Date</w:t>
      </w:r>
      <w:r>
        <w:rPr>
          <w:rFonts w:ascii="Arial" w:cs="Arial" w:eastAsia="Arial" w:hAnsi="Arial"/>
          <w:sz w:val="16"/>
          <w:szCs w:val="16"/>
          <w:color w:val="auto"/>
        </w:rPr>
        <w:t>. Each U.S. Letter of Credit and Canadian Letter of Credit shall have an expiration date not later than the earlier of (y)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three years after the date of the issuance of such Letter of Credit and (z) the date that is 24 months after the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60 days prior to the Maturity Date the Borrowers shall deposit in an account with the U.S. Collateral Agent or the Canadian Collateral Agent, as the case may be, for the benefit of the U.S. Revolving Lenders or Canadian Revolving Lenders, as the case may be, an amount in cash equal to 105% of the U.S. L/C Exposure or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Event of Default has occurred and is continuing, be released to the Borrowers to the extent that the funds on deposit exceed 105% of the U.S. L/C Exposure or the Canadian L/C Exposure, respectively. Each Australian Letter of Credit shall have an expiration date not later than the Maturity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96" w:name="page197"/>
    <w:bookmarkEnd w:id="196"/>
    <w:p>
      <w:pPr>
        <w:jc w:val="both"/>
        <w:ind w:firstLine="1305"/>
        <w:spacing w:after="0" w:line="286" w:lineRule="auto"/>
        <w:tabs>
          <w:tab w:leader="none" w:pos="1745"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By the issuance of a Letter of Credit and without any further action on the part of an Issuing Bank or the Lenders,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Issuing Bank hereby grants to each U.S. Revolving Lender, Canadian Revolving Lender or Australian Lender, as the case may be, and each such Revolving Lender hereby acquires from the Applicable Issuing Bank, a participation in such Letter of Credit equal to such Lender’s U.S. Revolving Pro Rata Percentage, Canadian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Revolving Pro Rata Percentage or Australian Revolving Pro Rata Percentage, as applicable, of the U.S. Dollar Equivalent of each L/C Disbursement (except (i) in the case of Canadian Letter of Credit, in which case such payment shall be made in Canadian dollars or (ii) in the case of an Australian Letter of Credit,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w:t>
      </w:r>
    </w:p>
    <w:p>
      <w:pPr>
        <w:spacing w:after="0" w:line="171" w:lineRule="exact"/>
        <w:rPr>
          <w:rFonts w:ascii="Arial" w:cs="Arial" w:eastAsia="Arial" w:hAnsi="Arial"/>
          <w:sz w:val="16"/>
          <w:szCs w:val="16"/>
          <w:color w:val="auto"/>
        </w:rPr>
      </w:pPr>
    </w:p>
    <w:p>
      <w:pPr>
        <w:jc w:val="both"/>
        <w:ind w:firstLine="1305"/>
        <w:spacing w:after="0" w:line="255" w:lineRule="auto"/>
        <w:tabs>
          <w:tab w:leader="none" w:pos="1748"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Reimbursement</w:t>
      </w:r>
      <w:r>
        <w:rPr>
          <w:rFonts w:ascii="Arial" w:cs="Arial" w:eastAsia="Arial" w:hAnsi="Arial"/>
          <w:sz w:val="18"/>
          <w:szCs w:val="18"/>
          <w:color w:val="auto"/>
        </w:rPr>
        <w:t>. If an Issuing Bank shall make any L/C Disbursement in respect of a Letter of Credit, the Applicable Borrower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pay to the Applicable Administrative Agent, for the account of the Applicable Issuing Bank, an 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801"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Obligations Absolute</w:t>
      </w:r>
      <w:r>
        <w:rPr>
          <w:rFonts w:ascii="Arial" w:cs="Arial" w:eastAsia="Arial" w:hAnsi="Arial"/>
          <w:sz w:val="18"/>
          <w:szCs w:val="18"/>
          <w:color w:val="auto"/>
        </w:rPr>
        <w:t>. Each Borrower’s obligations to reimburse L/C Disbursements as provided in paragraph (e) above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absolute, unconditional and irrevocable, and shall be performed strictly in accordance with the terms of this Agreement, under any and all circumstances whatsoever, and irrespective of:</w:t>
      </w:r>
    </w:p>
    <w:p>
      <w:pPr>
        <w:spacing w:after="0" w:line="181" w:lineRule="exact"/>
        <w:rPr>
          <w:rFonts w:ascii="Arial" w:cs="Arial" w:eastAsia="Arial" w:hAnsi="Arial"/>
          <w:sz w:val="18"/>
          <w:szCs w:val="18"/>
          <w:color w:val="auto"/>
        </w:rPr>
      </w:pPr>
    </w:p>
    <w:p>
      <w:pPr>
        <w:ind w:left="2180" w:hanging="389"/>
        <w:spacing w:after="0"/>
        <w:tabs>
          <w:tab w:leader="none" w:pos="21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 or any Loan Document, or any term or provision therein;</w:t>
      </w:r>
    </w:p>
    <w:p>
      <w:pPr>
        <w:spacing w:after="0" w:line="225" w:lineRule="exact"/>
        <w:rPr>
          <w:rFonts w:ascii="Arial" w:cs="Arial" w:eastAsia="Arial" w:hAnsi="Arial"/>
          <w:sz w:val="18"/>
          <w:szCs w:val="18"/>
          <w:color w:val="auto"/>
        </w:rPr>
      </w:pPr>
    </w:p>
    <w:p>
      <w:pPr>
        <w:ind w:left="2220" w:hanging="429"/>
        <w:spacing w:after="0"/>
        <w:tabs>
          <w:tab w:leader="none" w:pos="22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any amendment or waiver of or any consent to departure from all or any of the provisions of any Letter of Credit or any Loan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Document;</w:t>
      </w:r>
    </w:p>
    <w:p>
      <w:pPr>
        <w:spacing w:after="0" w:line="210" w:lineRule="exact"/>
        <w:rPr>
          <w:rFonts w:ascii="Arial" w:cs="Arial" w:eastAsia="Arial" w:hAnsi="Arial"/>
          <w:sz w:val="16"/>
          <w:szCs w:val="16"/>
          <w:color w:val="auto"/>
        </w:rPr>
      </w:pPr>
    </w:p>
    <w:p>
      <w:pPr>
        <w:jc w:val="both"/>
        <w:ind w:left="660" w:firstLine="1131"/>
        <w:spacing w:after="0" w:line="259" w:lineRule="auto"/>
        <w:tabs>
          <w:tab w:leader="none" w:pos="224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such Borrower, any other party guaranteeing, or otherwise obligated with, such Borrower, any subsidiary or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7" w:name="page198"/>
    <w:bookmarkEnd w:id="197"/>
    <w:p>
      <w:pPr>
        <w:jc w:val="both"/>
        <w:ind w:left="660" w:firstLine="1131"/>
        <w:spacing w:after="0" w:line="264" w:lineRule="auto"/>
        <w:tabs>
          <w:tab w:leader="none" w:pos="230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jc w:val="both"/>
        <w:ind w:left="660" w:firstLine="1131"/>
        <w:spacing w:after="0" w:line="257" w:lineRule="auto"/>
        <w:tabs>
          <w:tab w:leader="none" w:pos="229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188" w:lineRule="exact"/>
        <w:rPr>
          <w:rFonts w:ascii="Arial" w:cs="Arial" w:eastAsia="Arial" w:hAnsi="Arial"/>
          <w:sz w:val="18"/>
          <w:szCs w:val="18"/>
          <w:color w:val="auto"/>
        </w:rPr>
      </w:pPr>
    </w:p>
    <w:p>
      <w:pPr>
        <w:ind w:left="660" w:firstLine="1131"/>
        <w:spacing w:after="0" w:line="277" w:lineRule="auto"/>
        <w:tabs>
          <w:tab w:leader="none" w:pos="230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any Borrower, any Subsidiary or any other person, or in the relevant currency markets generally; or</w:t>
      </w:r>
    </w:p>
    <w:p>
      <w:pPr>
        <w:spacing w:after="0" w:line="170" w:lineRule="exact"/>
        <w:rPr>
          <w:rFonts w:ascii="Arial" w:cs="Arial" w:eastAsia="Arial" w:hAnsi="Arial"/>
          <w:sz w:val="18"/>
          <w:szCs w:val="18"/>
          <w:color w:val="auto"/>
        </w:rPr>
      </w:pPr>
    </w:p>
    <w:p>
      <w:pPr>
        <w:jc w:val="both"/>
        <w:ind w:left="660" w:firstLine="1131"/>
        <w:spacing w:after="0" w:line="264" w:lineRule="auto"/>
        <w:tabs>
          <w:tab w:leader="none" w:pos="239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81" w:lineRule="exact"/>
        <w:rPr>
          <w:sz w:val="20"/>
          <w:szCs w:val="20"/>
          <w:color w:val="auto"/>
        </w:rPr>
      </w:pPr>
    </w:p>
    <w:p>
      <w:pPr>
        <w:jc w:val="both"/>
        <w:ind w:firstLine="1305"/>
        <w:spacing w:after="0" w:line="264" w:lineRule="auto"/>
        <w:tabs>
          <w:tab w:leader="none" w:pos="1731"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Role of Issuing Bank</w:t>
      </w:r>
      <w:r>
        <w:rPr>
          <w:rFonts w:ascii="Arial" w:cs="Arial" w:eastAsia="Arial" w:hAnsi="Arial"/>
          <w:sz w:val="18"/>
          <w:szCs w:val="18"/>
          <w:color w:val="auto"/>
        </w:rPr>
        <w:t>. Each Borrower assumes all risks of the acts or omissions of any beneficiary or transferee of any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its use of such Letter of Credit. None of the Issuing Banks, the Agents, any of their respective Related Parties or any correspondent, participant or assignee of any Issuing Bank shall be liable or responsible for:</w:t>
      </w:r>
    </w:p>
    <w:p>
      <w:pPr>
        <w:spacing w:after="0" w:line="181" w:lineRule="exact"/>
        <w:rPr>
          <w:rFonts w:ascii="Arial" w:cs="Arial" w:eastAsia="Arial" w:hAnsi="Arial"/>
          <w:sz w:val="18"/>
          <w:szCs w:val="18"/>
          <w:color w:val="auto"/>
        </w:rPr>
      </w:pPr>
    </w:p>
    <w:p>
      <w:pPr>
        <w:ind w:left="2280" w:hanging="489"/>
        <w:spacing w:after="0"/>
        <w:tabs>
          <w:tab w:leader="none" w:pos="228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use which may be made of any Letter of Credit or any acts or omissions of any beneficiary or transferee in connection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therewith;</w:t>
      </w:r>
    </w:p>
    <w:p>
      <w:pPr>
        <w:spacing w:after="0" w:line="210" w:lineRule="exact"/>
        <w:rPr>
          <w:rFonts w:ascii="Arial" w:cs="Arial" w:eastAsia="Arial" w:hAnsi="Arial"/>
          <w:sz w:val="17"/>
          <w:szCs w:val="17"/>
          <w:color w:val="auto"/>
        </w:rPr>
      </w:pPr>
    </w:p>
    <w:p>
      <w:pPr>
        <w:ind w:left="660" w:firstLine="1131"/>
        <w:spacing w:after="0" w:line="277" w:lineRule="auto"/>
        <w:tabs>
          <w:tab w:leader="none" w:pos="2263"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validity, sufficiency or genuineness of documents, or of any endorsement thereon, even if such documents should prove to be in any or all respects invalid, insufficient, fraudulent or forged;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8" w:name="page199"/>
    <w:bookmarkEnd w:id="198"/>
    <w:p>
      <w:pPr>
        <w:ind w:left="660" w:right="20" w:firstLine="1131"/>
        <w:spacing w:after="0" w:line="277" w:lineRule="auto"/>
        <w:tabs>
          <w:tab w:leader="none" w:pos="233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other circumstances whatsoever in making or failing to make payment under any Letter of Credit (including the Issuing Bank’s own negligence),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Borrower shall have a claim against the Applicable Issuing Bank, and such Issuing Bank shall be liable to, and shall promptly pay</w:t>
      </w:r>
      <w:r>
        <w:rPr>
          <w:rFonts w:ascii="Arial" w:cs="Arial" w:eastAsia="Arial" w:hAnsi="Arial"/>
          <w:sz w:val="16"/>
          <w:szCs w:val="16"/>
          <w:i w:val="1"/>
          <w:iCs w:val="1"/>
          <w:color w:val="auto"/>
        </w:rPr>
        <w:t xml:space="preserve"> </w:t>
      </w:r>
      <w:r>
        <w:rPr>
          <w:rFonts w:ascii="Arial" w:cs="Arial" w:eastAsia="Arial" w:hAnsi="Arial"/>
          <w:sz w:val="16"/>
          <w:szCs w:val="16"/>
          <w:color w:val="auto"/>
        </w:rPr>
        <w:t>to, such 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169" w:lineRule="exact"/>
        <w:rPr>
          <w:sz w:val="20"/>
          <w:szCs w:val="20"/>
          <w:color w:val="auto"/>
        </w:rPr>
      </w:pPr>
    </w:p>
    <w:p>
      <w:pPr>
        <w:jc w:val="both"/>
        <w:ind w:firstLine="1305"/>
        <w:spacing w:after="0" w:line="273" w:lineRule="auto"/>
        <w:tabs>
          <w:tab w:leader="none" w:pos="1911"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Disbursement Procedures</w:t>
      </w:r>
      <w:r>
        <w:rPr>
          <w:rFonts w:ascii="Arial" w:cs="Arial" w:eastAsia="Arial" w:hAnsi="Arial"/>
          <w:sz w:val="17"/>
          <w:szCs w:val="17"/>
          <w:color w:val="auto"/>
        </w:rPr>
        <w:t>. The Applicable Issuing Bank shall, promptly following its receipt thereof, examine all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purporting to 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177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Interim Interest</w:t>
      </w:r>
      <w:r>
        <w:rPr>
          <w:rFonts w:ascii="Arial" w:cs="Arial" w:eastAsia="Arial" w:hAnsi="Arial"/>
          <w:sz w:val="18"/>
          <w:szCs w:val="18"/>
          <w:color w:val="auto"/>
        </w:rPr>
        <w:t>. If an Issuing Bank shall make any L/C Disbursement in respect of a Letter of Credit, then, unless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or, in the case of any L/C Disbursement with respect to an Australian Letter of Credit, a BBSY Rate Loan, as the case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9" w:name="page200"/>
    <w:bookmarkEnd w:id="199"/>
    <w:p>
      <w:pPr>
        <w:jc w:val="both"/>
        <w:ind w:firstLine="1305"/>
        <w:spacing w:after="0" w:line="268" w:lineRule="auto"/>
        <w:tabs>
          <w:tab w:leader="none" w:pos="1740"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Resignation or Removal of an Issuing Bank</w:t>
      </w:r>
      <w:r>
        <w:rPr>
          <w:rFonts w:ascii="Arial" w:cs="Arial" w:eastAsia="Arial" w:hAnsi="Arial"/>
          <w:sz w:val="17"/>
          <w:szCs w:val="17"/>
          <w:color w:val="auto"/>
        </w:rPr>
        <w:t>. An Issuing Bank may resign at any time by giving 30 days’ prior written notice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Administrative Agent, the Applicable Lenders and the Parent Borrower, and may be removed at any time by the Parent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each Applicable Borrower and the Applicable Administrative 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spacing w:after="0" w:line="185" w:lineRule="exact"/>
        <w:rPr>
          <w:rFonts w:ascii="Arial" w:cs="Arial" w:eastAsia="Arial" w:hAnsi="Arial"/>
          <w:sz w:val="17"/>
          <w:szCs w:val="17"/>
          <w:color w:val="auto"/>
        </w:rPr>
      </w:pPr>
    </w:p>
    <w:p>
      <w:pPr>
        <w:jc w:val="both"/>
        <w:ind w:firstLine="1305"/>
        <w:spacing w:after="0" w:line="283" w:lineRule="auto"/>
        <w:tabs>
          <w:tab w:leader="none" w:pos="1810"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t>Cash Collateralization</w:t>
      </w:r>
      <w:r>
        <w:rPr>
          <w:rFonts w:ascii="Arial" w:cs="Arial" w:eastAsia="Arial" w:hAnsi="Arial"/>
          <w:sz w:val="16"/>
          <w:szCs w:val="16"/>
          <w:color w:val="auto"/>
        </w:rPr>
        <w:t>. If (i) any Event of Default shall occur and be continuing, other than an event with respect to a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in Section 7.01(g) or (h) and a Borrower shall receive notice from Applicable Administrative Agent or the Required U.S. Revolving Lenders, the Required Canadian Revolving Lenders or the Required Australian Lenders, as applicable, requesting that it deposit Cash Collateral and specifying the amount to be deposited, or (ii) 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Revolving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a condition to the issuance amendment, renewal or extension of a Letter of Credit), the Applicable Borrower shall deliver to the U.S. Collateral Agent, the Canadian Collateral Agent or the Australian Collateral Agent, as the case may be, for the benefit of the U.S. Revolving Lenders, Canadian Revolving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Australian L/C Exposure or Fronting Exposure pursuant to Section 2.22(c) or (k), then such Borrower and the Applicable Collateral Agent shall establish a cash collateral account (an “</w:t>
      </w:r>
      <w:r>
        <w:rPr>
          <w:rFonts w:ascii="Arial" w:cs="Arial" w:eastAsia="Arial" w:hAnsi="Arial"/>
          <w:sz w:val="16"/>
          <w:szCs w:val="16"/>
          <w:i w:val="1"/>
          <w:iCs w:val="1"/>
          <w:color w:val="auto"/>
        </w:rPr>
        <w:t>L/C Cash Collateral Account</w:t>
      </w:r>
      <w:r>
        <w:rPr>
          <w:rFonts w:ascii="Arial" w:cs="Arial" w:eastAsia="Arial" w:hAnsi="Arial"/>
          <w:sz w:val="16"/>
          <w:szCs w:val="16"/>
          <w:color w:val="auto"/>
        </w:rPr>
        <w:t xml:space="preserve">”)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Cash Collateral furnished by or on behalf of a Loan Party shall not be released during the continuance of an Event of Default and may be otherwise applied in accordance with Section 7.06.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0" w:name="page201"/>
    <w:bookmarkEnd w:id="200"/>
    <w:p>
      <w:pPr>
        <w:jc w:val="both"/>
        <w:ind w:firstLine="1305"/>
        <w:spacing w:after="0" w:line="254" w:lineRule="auto"/>
        <w:tabs>
          <w:tab w:leader="none" w:pos="1775"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Additional Issuing Banks</w:t>
      </w:r>
      <w:r>
        <w:rPr>
          <w:rFonts w:ascii="Arial" w:cs="Arial" w:eastAsia="Arial" w:hAnsi="Arial"/>
          <w:sz w:val="18"/>
          <w:szCs w:val="18"/>
          <w:color w:val="auto"/>
        </w:rPr>
        <w:t>. A Borrower may, at any time and from time to time with the consent of the Applicable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(which consent shall not be unreasonably withheld or delayed) and such Revolving Lender, designate one or more additional Revolving Lenders to act as an issuing bank under the terms of this Agreement. The acceptance of any appointment as an Issuing Bank hereunder by a Revolving Lender shall be evidenced by an agreement entered into by such Revolving Lender, in a form satisfactory to each Applicable Borrower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192" w:lineRule="exact"/>
        <w:rPr>
          <w:rFonts w:ascii="Arial" w:cs="Arial" w:eastAsia="Arial" w:hAnsi="Arial"/>
          <w:sz w:val="18"/>
          <w:szCs w:val="18"/>
          <w:color w:val="auto"/>
        </w:rPr>
      </w:pPr>
    </w:p>
    <w:p>
      <w:pPr>
        <w:ind w:left="1780" w:hanging="475"/>
        <w:spacing w:after="0"/>
        <w:tabs>
          <w:tab w:leader="none" w:pos="17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the event of any conflict between the terms hereof and the terms of any Letter of Credit Document, the terms hereof shall control.</w:t>
      </w:r>
    </w:p>
    <w:p>
      <w:pPr>
        <w:spacing w:after="0" w:line="248" w:lineRule="exact"/>
        <w:rPr>
          <w:rFonts w:ascii="Arial" w:cs="Arial" w:eastAsia="Arial" w:hAnsi="Arial"/>
          <w:sz w:val="16"/>
          <w:szCs w:val="16"/>
          <w:color w:val="auto"/>
        </w:rPr>
      </w:pPr>
    </w:p>
    <w:p>
      <w:pPr>
        <w:jc w:val="both"/>
        <w:ind w:firstLine="1305"/>
        <w:spacing w:after="0" w:line="273" w:lineRule="auto"/>
        <w:tabs>
          <w:tab w:leader="none" w:pos="175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 the Parent Borrower or any Subsidiary thereof or the Australian Borrower or any Subsidiary thereof) inures to the benefit of such Borrower, and that such Borrower’s business derives substantial benefits from the businesses of such Borrower’s Subsidiaries.</w:t>
      </w:r>
    </w:p>
    <w:p>
      <w:pPr>
        <w:spacing w:after="0" w:line="178" w:lineRule="exact"/>
        <w:rPr>
          <w:rFonts w:ascii="Arial" w:cs="Arial" w:eastAsia="Arial" w:hAnsi="Arial"/>
          <w:sz w:val="17"/>
          <w:szCs w:val="17"/>
          <w:color w:val="auto"/>
        </w:rPr>
      </w:pPr>
    </w:p>
    <w:p>
      <w:pPr>
        <w:ind w:right="20" w:firstLine="1305"/>
        <w:spacing w:after="0" w:line="308" w:lineRule="auto"/>
        <w:tabs>
          <w:tab w:leader="none" w:pos="174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2.22 </w:t>
      </w:r>
      <w:r>
        <w:rPr>
          <w:rFonts w:ascii="Arial" w:cs="Arial" w:eastAsia="Arial" w:hAnsi="Arial"/>
          <w:sz w:val="18"/>
          <w:szCs w:val="18"/>
          <w:b w:val="1"/>
          <w:bCs w:val="1"/>
          <w:i w:val="1"/>
          <w:iCs w:val="1"/>
          <w:color w:val="auto"/>
        </w:rPr>
        <w:t>Bankers’ Acceptances</w:t>
      </w:r>
      <w:r>
        <w:rPr>
          <w:rFonts w:ascii="Arial" w:cs="Arial" w:eastAsia="Arial" w:hAnsi="Arial"/>
          <w:sz w:val="18"/>
          <w:szCs w:val="18"/>
          <w:color w:val="auto"/>
        </w:rPr>
        <w:t>. (a) Subject to the terms and conditions of this Agreement, the Parent Borrower may request a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denominated in Canadian dollars by presenting drafts for acceptance and, if applicable, purchase as B/As by the Canadian Revolving Lenders and the Parent Borrower may request a Borrowing denominated in Canadian dollars by presenting drafts for acceptance and, if applicable, purchase as B/As by the Canadian Revolving Lenders.</w:t>
      </w:r>
    </w:p>
    <w:p>
      <w:pPr>
        <w:spacing w:after="0" w:line="184" w:lineRule="exact"/>
        <w:rPr>
          <w:sz w:val="20"/>
          <w:szCs w:val="20"/>
          <w:color w:val="auto"/>
        </w:rPr>
      </w:pPr>
    </w:p>
    <w:p>
      <w:pPr>
        <w:ind w:right="20" w:firstLine="1305"/>
        <w:spacing w:after="0" w:line="277" w:lineRule="auto"/>
        <w:tabs>
          <w:tab w:leader="none" w:pos="179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Contract Period with respect to a B/A to be accepted and, if applicable, purchased as a Loan shall extend beyond the Maturity Date. All B/A Loans shall be denominated in Canadian dollars.</w:t>
      </w:r>
    </w:p>
    <w:p>
      <w:pPr>
        <w:spacing w:after="0" w:line="170" w:lineRule="exact"/>
        <w:rPr>
          <w:rFonts w:ascii="Arial" w:cs="Arial" w:eastAsia="Arial" w:hAnsi="Arial"/>
          <w:sz w:val="18"/>
          <w:szCs w:val="18"/>
          <w:color w:val="auto"/>
        </w:rPr>
      </w:pPr>
    </w:p>
    <w:p>
      <w:pPr>
        <w:jc w:val="both"/>
        <w:ind w:firstLine="1305"/>
        <w:spacing w:after="0" w:line="267" w:lineRule="auto"/>
        <w:tabs>
          <w:tab w:leader="none" w:pos="171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To facilitate availment of the B/A Loans, the Parent Borrower hereby appoints each Canadian Revolving Lender as its attorney to sign and endorse on its behalf, in handwriting or by facsimile or mechanical signature as and when deemed necessary by such Canadian Revolving Lender, blank forms of B/As in the form requested by such Canadian Revolving Lender. The Parent Borrower recognizes and agrees that all B/As signed and/or endorsed on its behalf by a Canadian Revolving Lender shall bind such Parent Borrower as fully and effectually as if signed in the handwriting of and duly issued by the proper signing officers of such Parent Borrower. Each Canadian Lender is hereby authorized to issue such B/As endorsed in blank in such face amounts as may be determined by such Canadian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thereof is equal to the aggregate amount of B/As required to be accepted and purchased by such Canadian Lender. No Canadian Lender shall be liable for any damage, loss or other claim arising by reason of any loss or improper use of any such instrument except the gross negligence or willful misconduct of such Canadian Lender. Each applicable Canadian Lender shall maintain a record with respect to B/As (i) voided by it for any reason, (ii) accepted and purchased by it hereunder and (iii) canceled at their respective maturities. Each Canadian Lender further agrees to retain such records in the manner and for the statutory periods provided in the various provincial or federal statutes and regulations which apply to such Canadian Lender. On request by or on behalf of the Parent Borrower, a Canadian Lender shall cancel all forms of B/A which have been pre-signed or pre-endorsed on behalf of such Parent Borrower and which are held by such Canadian Lender and are not required to be issued in accordance with such Parent Borrower’s irrevocable notice. At the discretion of a Lender, Bankers’ Acceptances to be accepted by such Lender may be issued in the form of “Depository Bills” within the meaning of the </w:t>
      </w:r>
      <w:r>
        <w:rPr>
          <w:rFonts w:ascii="Arial" w:cs="Arial" w:eastAsia="Arial" w:hAnsi="Arial"/>
          <w:sz w:val="17"/>
          <w:szCs w:val="17"/>
          <w:i w:val="1"/>
          <w:iCs w:val="1"/>
          <w:color w:val="auto"/>
        </w:rPr>
        <w:t>Depository Bills and Notes Act</w:t>
      </w:r>
      <w:r>
        <w:rPr>
          <w:rFonts w:ascii="Arial" w:cs="Arial" w:eastAsia="Arial" w:hAnsi="Arial"/>
          <w:sz w:val="17"/>
          <w:szCs w:val="17"/>
          <w:color w:val="auto"/>
        </w:rPr>
        <w:t xml:space="preserve"> (Canada) and deposited with the Canadian Depository for Securities Limited (“</w:t>
      </w:r>
      <w:r>
        <w:rPr>
          <w:rFonts w:ascii="Arial" w:cs="Arial" w:eastAsia="Arial" w:hAnsi="Arial"/>
          <w:sz w:val="17"/>
          <w:szCs w:val="17"/>
          <w:i w:val="1"/>
          <w:iCs w:val="1"/>
          <w:color w:val="auto"/>
        </w:rPr>
        <w:t>CDS</w:t>
      </w:r>
      <w:r>
        <w:rPr>
          <w:rFonts w:ascii="Arial" w:cs="Arial" w:eastAsia="Arial" w:hAnsi="Arial"/>
          <w:sz w:val="17"/>
          <w:szCs w:val="17"/>
          <w:color w:val="auto"/>
        </w:rPr>
        <w:t>”) and may be made payable to “CDS &amp; Co.” or in such other name as may be acceptable to CDS and thereafter dealt with in accordance with the rules and procedures of CDS, consistent with the terms of this Agreement. All Depository Bills so issued shall be governed by the provisions of this Section 2.22.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1" w:name="page202"/>
    <w:bookmarkEnd w:id="201"/>
    <w:p>
      <w:pPr>
        <w:jc w:val="both"/>
        <w:ind w:firstLine="1305"/>
        <w:spacing w:after="0" w:line="259" w:lineRule="auto"/>
        <w:tabs>
          <w:tab w:leader="none" w:pos="174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Drafts of the Parent Borrower to be accepted as B/As hereunder shall be signed as set forth in this Section 2.22. Notwithstanding that any person whose signature appears on any B/A may no longer be an authorized signatory for any of the Canadian Lenders or the Parent Borrower at the date of issuance of a B/A, such signature shall nevertheless be valid and sufficient for all purposes as if such authority had remained in force at the time of such issuance and any such B/A so signed shall be binding on such Parent Borrower.</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73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Promptly following receipt of a notice of borrowing, continuation or conversion of B/As, the Canadian Administrative Agent shall so advise the Canadian Revolving Lenders, and shall advise each Canadian Revolving Lender, of the aggregate face amount of the B/As to be accepted by it and the applicable Contract Period (which shall be identical for all Canadian Lenders). The aggregate face amount of the B/As to be accepted by a Canadian Lender shall be in an integral multiple of C$100,000 and such face amount shall be in each Canadian Lender’s pro rata portion of such Canadian Borrowing; </w:t>
      </w:r>
      <w:r>
        <w:rPr>
          <w:rFonts w:ascii="Arial" w:cs="Arial" w:eastAsia="Arial" w:hAnsi="Arial"/>
          <w:sz w:val="18"/>
          <w:szCs w:val="18"/>
          <w:i w:val="1"/>
          <w:iCs w:val="1"/>
          <w:color w:val="auto"/>
        </w:rPr>
        <w:t>provided</w:t>
      </w:r>
      <w:r>
        <w:rPr>
          <w:rFonts w:ascii="Arial" w:cs="Arial" w:eastAsia="Arial" w:hAnsi="Arial"/>
          <w:sz w:val="18"/>
          <w:szCs w:val="18"/>
          <w:color w:val="auto"/>
        </w:rPr>
        <w:t>, that the Canadian Administrative Agent may, in its sole discretion, increase or reduce any Canadian Lender’s portion of such B/A to the nearest</w:t>
      </w:r>
      <w:r>
        <w:rPr>
          <w:rFonts w:ascii="Arial" w:cs="Arial" w:eastAsia="Arial" w:hAnsi="Arial"/>
          <w:sz w:val="18"/>
          <w:szCs w:val="18"/>
          <w:i w:val="1"/>
          <w:iCs w:val="1"/>
          <w:color w:val="auto"/>
        </w:rPr>
        <w:t xml:space="preserve"> </w:t>
      </w:r>
      <w:r>
        <w:rPr>
          <w:rFonts w:ascii="Arial" w:cs="Arial" w:eastAsia="Arial" w:hAnsi="Arial"/>
          <w:sz w:val="18"/>
          <w:szCs w:val="18"/>
          <w:color w:val="auto"/>
        </w:rPr>
        <w:t>C$100,000.</w:t>
      </w:r>
    </w:p>
    <w:p>
      <w:pPr>
        <w:spacing w:after="0" w:line="193" w:lineRule="exact"/>
        <w:rPr>
          <w:rFonts w:ascii="Arial" w:cs="Arial" w:eastAsia="Arial" w:hAnsi="Arial"/>
          <w:sz w:val="18"/>
          <w:szCs w:val="18"/>
          <w:color w:val="auto"/>
        </w:rPr>
      </w:pPr>
    </w:p>
    <w:p>
      <w:pPr>
        <w:jc w:val="both"/>
        <w:ind w:firstLine="1305"/>
        <w:spacing w:after="0" w:line="273" w:lineRule="auto"/>
        <w:tabs>
          <w:tab w:leader="none" w:pos="176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Parent Borrower may specify in a notice of borrowing or conversion or continuation pursuant to Section 2.03 or Section 2.10, respectively, that it desires that any B/As requested by such notice be purchased by the applicable Canadian Lenders, in which case the applicable Canadian Lenders shall purchase, or arrange the purchase of, each B/A from such Parent Borrower at the B/A Discount Rate for such Canadian Lender applicable to such B/A accepted by it and provide to the Canadian Administrative Agent the Discount Proceeds for the account of such Parent Borrower. The Acceptance Fee payable by such Parent Borrower to a Canadian Lender under Section 2.06 in respect of each B/A accepted by such Canadian Lender shall be set off against the Discount Proceeds payable by such Canadian Lender under this Section 2.22.</w:t>
      </w:r>
    </w:p>
    <w:p>
      <w:pPr>
        <w:spacing w:after="0" w:line="178" w:lineRule="exact"/>
        <w:rPr>
          <w:rFonts w:ascii="Arial" w:cs="Arial" w:eastAsia="Arial" w:hAnsi="Arial"/>
          <w:sz w:val="17"/>
          <w:szCs w:val="17"/>
          <w:color w:val="auto"/>
        </w:rPr>
      </w:pPr>
    </w:p>
    <w:p>
      <w:pPr>
        <w:ind w:left="1760" w:hanging="455"/>
        <w:spacing w:after="0"/>
        <w:tabs>
          <w:tab w:leader="none" w:pos="17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Each Canadian Lender may at any time and from time to time hold, sell, rediscount or otherwise dispose of any or all B/As accepted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purchased by it.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2" w:name="page203"/>
    <w:bookmarkEnd w:id="202"/>
    <w:p>
      <w:pPr>
        <w:jc w:val="both"/>
        <w:ind w:firstLine="1305"/>
        <w:spacing w:after="0" w:line="269" w:lineRule="auto"/>
        <w:tabs>
          <w:tab w:leader="none" w:pos="188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If a Canadian Lender notifies the Canadian Administrative Agent in writing that it is unable or unwilling to accept Bankers’ Acceptances, such Canadian Lender will, instead of accepting and, if applicable, purchasing Bankers’ Acceptances, make an advance (a “</w:t>
      </w:r>
      <w:r>
        <w:rPr>
          <w:rFonts w:ascii="Arial" w:cs="Arial" w:eastAsia="Arial" w:hAnsi="Arial"/>
          <w:sz w:val="17"/>
          <w:szCs w:val="17"/>
          <w:i w:val="1"/>
          <w:iCs w:val="1"/>
          <w:color w:val="auto"/>
        </w:rPr>
        <w:t>B/A Equivalent</w:t>
      </w:r>
      <w:r>
        <w:rPr>
          <w:rFonts w:ascii="Arial" w:cs="Arial" w:eastAsia="Arial" w:hAnsi="Arial"/>
          <w:sz w:val="17"/>
          <w:szCs w:val="17"/>
          <w:color w:val="auto"/>
        </w:rPr>
        <w:t xml:space="preserve"> </w:t>
      </w:r>
      <w:r>
        <w:rPr>
          <w:rFonts w:ascii="Arial" w:cs="Arial" w:eastAsia="Arial" w:hAnsi="Arial"/>
          <w:sz w:val="17"/>
          <w:szCs w:val="17"/>
          <w:i w:val="1"/>
          <w:iCs w:val="1"/>
          <w:color w:val="auto"/>
        </w:rPr>
        <w:t>Loan</w:t>
      </w:r>
      <w:r>
        <w:rPr>
          <w:rFonts w:ascii="Arial" w:cs="Arial" w:eastAsia="Arial" w:hAnsi="Arial"/>
          <w:sz w:val="17"/>
          <w:szCs w:val="17"/>
          <w:color w:val="auto"/>
        </w:rPr>
        <w:t>”) to the Parent Borrower in the amount and for the same term as the draft that such Canadian Lender would otherwise have been required to accept and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hereunder. Each such Canadian Lender will provide to the Canadian Administrative Agent the Discount Proceeds of such B/A Equivalent Loan for the account of such Parent Borrower. Each such B/A Equivalent Loan will bear interest at the same rate that would result if such Lender had accepted (and been paid an Acceptance Fee) and purchased (on a discounted basis at the B/A Discount Rate) a Bankers’ Acceptance for the relevant Contract Period (it being the intention of the parties that each such B/A Equivalent Loan shall have the same economic consequences for the Lenders and the Parent Borrower as the Bankers’ Acceptance which such B/A Equivalent Loan replaces). All such interest shall be paid in advance on the date such B/A Equivalent Loan is made, and will be deducted from the principal amount of such B/A Equivalent Loan in the same manner in which the Discount Proceeds of a Bankers’ Acceptance would be deducted from the face amount of the Bankers’ Acceptance. Each B/A Equivalent Loan shall be evidenced by a non-interest bearing promissory note (a “</w:t>
      </w:r>
      <w:r>
        <w:rPr>
          <w:rFonts w:ascii="Arial" w:cs="Arial" w:eastAsia="Arial" w:hAnsi="Arial"/>
          <w:sz w:val="17"/>
          <w:szCs w:val="17"/>
          <w:i w:val="1"/>
          <w:iCs w:val="1"/>
          <w:color w:val="auto"/>
        </w:rPr>
        <w:t>Discount Note</w:t>
      </w:r>
      <w:r>
        <w:rPr>
          <w:rFonts w:ascii="Arial" w:cs="Arial" w:eastAsia="Arial" w:hAnsi="Arial"/>
          <w:sz w:val="17"/>
          <w:szCs w:val="17"/>
          <w:color w:val="auto"/>
        </w:rPr>
        <w:t>”) of the Parent Borrower, denominated in Canadian dollars, executed and delivered by the Parent Borrower to such Canadian Lender, substantially in the form of Exhibit H.</w:t>
      </w:r>
    </w:p>
    <w:p>
      <w:pPr>
        <w:spacing w:after="0" w:line="179" w:lineRule="exact"/>
        <w:rPr>
          <w:rFonts w:ascii="Arial" w:cs="Arial" w:eastAsia="Arial" w:hAnsi="Arial"/>
          <w:sz w:val="17"/>
          <w:szCs w:val="17"/>
          <w:color w:val="auto"/>
        </w:rPr>
      </w:pPr>
    </w:p>
    <w:p>
      <w:pPr>
        <w:jc w:val="both"/>
        <w:ind w:firstLine="1305"/>
        <w:spacing w:after="0" w:line="291" w:lineRule="auto"/>
        <w:tabs>
          <w:tab w:leader="none" w:pos="170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Parent Borrower waives presentment for payment and any other defense to payment of any amounts due to a Canadian Lender in respect of a B/A accepted and purchased by it pursuant to this Agreement which might exist solely by reason of such B/A being held, at the maturity thereof, by such Canadian Lender in its own right and the Parent Borrower agrees not to claim any days of grace if such Canadian Lender as holder sues such Parent Borrower on the B/A for payment of the amount payable by such Parent Borrower thereunder. On the last day of the Contract Period of a B/A, or such earlier date as may be required or permitted pursuant to the provisions of this Agreement, the Parent Borrower shall pay the Canadian Lender that has accepted and purchased such B/A the full face amount of such B/A and after such payment, such Parent Borrower shall have no further liability in respect of such B/A and such Canadian Lender shall be entitled to all benefits of, and be responsible for all payments due to third parties under, such B/A.</w:t>
      </w:r>
    </w:p>
    <w:p>
      <w:pPr>
        <w:spacing w:after="0" w:line="167" w:lineRule="exact"/>
        <w:rPr>
          <w:rFonts w:ascii="Arial" w:cs="Arial" w:eastAsia="Arial" w:hAnsi="Arial"/>
          <w:sz w:val="16"/>
          <w:szCs w:val="16"/>
          <w:color w:val="auto"/>
        </w:rPr>
      </w:pPr>
    </w:p>
    <w:p>
      <w:pPr>
        <w:jc w:val="both"/>
        <w:ind w:firstLine="1305"/>
        <w:spacing w:after="0" w:line="264" w:lineRule="auto"/>
        <w:tabs>
          <w:tab w:leader="none" w:pos="174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Except as required by any Canadian Lender upon the occurrence of an Event of Default, no B/A Loan may be repaid by the Parent Borrower prior to the expiry date of the Contract Period applicable to such B/A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B/A Loan may be defeased as provided in the proviso to Section 2.11(a).</w:t>
      </w:r>
    </w:p>
    <w:p>
      <w:pPr>
        <w:spacing w:after="0" w:line="181" w:lineRule="exact"/>
        <w:rPr>
          <w:rFonts w:ascii="Arial" w:cs="Arial" w:eastAsia="Arial" w:hAnsi="Arial"/>
          <w:sz w:val="18"/>
          <w:szCs w:val="18"/>
          <w:color w:val="auto"/>
        </w:rPr>
      </w:pPr>
    </w:p>
    <w:p>
      <w:pPr>
        <w:jc w:val="both"/>
        <w:ind w:firstLine="1305"/>
        <w:spacing w:after="0" w:line="285" w:lineRule="auto"/>
        <w:tabs>
          <w:tab w:leader="none" w:pos="174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With respect to any repayment of unmatured B/A’s pursuant to the proviso to Section 2.11(a) or otherwise hereunder, it is agreed that the Parent Borrower shall provide for the funding in full of the unmatured B/A’s to be repaid by paying to and depositing with the Canadian Administrative Agent Cash Collateral for each such unmatured B/A equal to the face amount payable at maturity thereof. The Canadian Administrative Agent shall hold such Cash Collateral in an interest bearing Cash Collateral account at rates prevailing at the time of deposit for similar accounts with the Canadian Administrative Agent; such Cash Collateral, such Cash Collateral account, any accounts receivable, claims, instruments or securities evidencing or relating to the foregoing, and any proceeds of any of the foregoing (collectively, the “</w:t>
      </w:r>
      <w:r>
        <w:rPr>
          <w:rFonts w:ascii="Arial" w:cs="Arial" w:eastAsia="Arial" w:hAnsi="Arial"/>
          <w:sz w:val="16"/>
          <w:szCs w:val="16"/>
          <w:i w:val="1"/>
          <w:iCs w:val="1"/>
          <w:color w:val="auto"/>
        </w:rPr>
        <w:t>Outstanding BAs Collateral</w:t>
      </w:r>
      <w:r>
        <w:rPr>
          <w:rFonts w:ascii="Arial" w:cs="Arial" w:eastAsia="Arial" w:hAnsi="Arial"/>
          <w:sz w:val="16"/>
          <w:szCs w:val="16"/>
          <w:color w:val="auto"/>
        </w:rPr>
        <w:t>”) shall be assigned to the Canadian Administrative Agent as security for the obligations of the Parent Borrower in relation to such B/A’s and the security interest of the Canadian Administrative Agent created in such Outstanding BAs Collateral shall rank in priority to all other security interests and adverse claims against such Outstanding BAs Collateral. Such Outstanding BAs Collateral shall be applied to satisfy the obligations of the Parent Borrower for such B/A’s as they mature and the Canadian Administrative Agent is hereby irrevocably directed by the Parent Borrower to apply any such Outstanding BAs Collateral to such maturing B/A’s. The Outstanding BAs Collateral created herein shall not be released to the Parent Borrower prior to the maturity of the applicable B/As without the consent of the applicable Canadian Lenders; however, interest on such deposited amounts shall be for the account of the Parent Borrower and may be withdrawn by the Parent Borrower so long as no Default or Event of Default is then continuing. If, after maturity of the B/A’s for which such Outstanding BAs Collateral is held and application by the Canadian Administrative Agent of the Outstanding BAs Collateral to satisfy the obligations of the Parent Borrower hereunder with respect to the B/A’s being repaid, any interest or other proceeds of the Outstanding BAs Collateral remains, such interest or other proceeds shall be promptly paid and transferred by the Canadian Administrative Agent to the Parent Borrower so long as no Default or Event of Default is then continuing.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3" w:name="page204"/>
    <w:bookmarkEnd w:id="203"/>
    <w:p>
      <w:pPr>
        <w:spacing w:after="0"/>
        <w:tabs>
          <w:tab w:leader="none" w:pos="1380" w:val="left"/>
        </w:tabs>
        <w:rPr>
          <w:sz w:val="20"/>
          <w:szCs w:val="20"/>
          <w:color w:val="auto"/>
        </w:rPr>
      </w:pPr>
      <w:r>
        <w:rPr>
          <w:rFonts w:ascii="Arial" w:cs="Arial" w:eastAsia="Arial" w:hAnsi="Arial"/>
          <w:sz w:val="18"/>
          <w:szCs w:val="18"/>
          <w:b w:val="1"/>
          <w:bCs w:val="1"/>
          <w:color w:val="auto"/>
        </w:rPr>
        <w:t>SECTION 2.23</w:t>
      </w:r>
      <w:r>
        <w:rPr>
          <w:sz w:val="20"/>
          <w:szCs w:val="20"/>
          <w:color w:val="auto"/>
        </w:rPr>
        <w:tab/>
      </w:r>
      <w:r>
        <w:rPr>
          <w:rFonts w:ascii="Arial" w:cs="Arial" w:eastAsia="Arial" w:hAnsi="Arial"/>
          <w:sz w:val="15"/>
          <w:szCs w:val="15"/>
          <w:b w:val="1"/>
          <w:bCs w:val="1"/>
          <w:i w:val="1"/>
          <w:iCs w:val="1"/>
          <w:color w:val="auto"/>
        </w:rPr>
        <w:t>Swing Line Loans</w:t>
      </w:r>
      <w:r>
        <w:rPr>
          <w:rFonts w:ascii="Arial" w:cs="Arial" w:eastAsia="Arial" w:hAnsi="Arial"/>
          <w:sz w:val="15"/>
          <w:szCs w:val="15"/>
          <w:color w:val="auto"/>
        </w:rPr>
        <w:t>.</w:t>
      </w:r>
    </w:p>
    <w:p>
      <w:pPr>
        <w:spacing w:after="0" w:line="229" w:lineRule="exact"/>
        <w:rPr>
          <w:sz w:val="20"/>
          <w:szCs w:val="20"/>
          <w:color w:val="auto"/>
        </w:rPr>
      </w:pPr>
    </w:p>
    <w:p>
      <w:pPr>
        <w:ind w:left="1060" w:hanging="415"/>
        <w:spacing w:after="0"/>
        <w:tabs>
          <w:tab w:leader="none" w:pos="1060"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31"/>
        <w:spacing w:after="0" w:line="285" w:lineRule="auto"/>
        <w:tabs>
          <w:tab w:leader="none" w:pos="1538" w:val="left"/>
        </w:tabs>
        <w:numPr>
          <w:ilvl w:val="1"/>
          <w:numId w:val="234"/>
        </w:numPr>
        <w:rPr>
          <w:rFonts w:ascii="Arial" w:cs="Arial" w:eastAsia="Arial" w:hAnsi="Arial"/>
          <w:sz w:val="16"/>
          <w:szCs w:val="16"/>
          <w:color w:val="auto"/>
        </w:rPr>
      </w:pPr>
      <w:r>
        <w:rPr>
          <w:rFonts w:ascii="Arial" w:cs="Arial" w:eastAsia="Arial" w:hAnsi="Arial"/>
          <w:sz w:val="16"/>
          <w:szCs w:val="16"/>
          <w:i w:val="1"/>
          <w:iCs w:val="1"/>
          <w:color w:val="auto"/>
        </w:rPr>
        <w:t>The U.S. Swing Line</w:t>
      </w:r>
      <w:r>
        <w:rPr>
          <w:rFonts w:ascii="Arial" w:cs="Arial" w:eastAsia="Arial" w:hAnsi="Arial"/>
          <w:sz w:val="16"/>
          <w:szCs w:val="16"/>
          <w:color w:val="auto"/>
        </w:rPr>
        <w:t>. Subject to the terms and conditions set forth herein, and if an AutoBorrow Agreement is in effect,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terms and conditions of such AutoBorrow Agreement, the U.S. Swing Line Lender may in its sole and absolute discretion, in reliance upon the agreements of the other U.S. Revolving Lenders set forth in this Section 2.23, make loans in U.S. dollars (each such loan, a “</w:t>
      </w:r>
      <w:r>
        <w:rPr>
          <w:rFonts w:ascii="Arial" w:cs="Arial" w:eastAsia="Arial" w:hAnsi="Arial"/>
          <w:sz w:val="16"/>
          <w:szCs w:val="16"/>
          <w:i w:val="1"/>
          <w:iCs w:val="1"/>
          <w:color w:val="auto"/>
        </w:rPr>
        <w:t>U.S. Swing Line Loan</w:t>
      </w:r>
      <w:r>
        <w:rPr>
          <w:rFonts w:ascii="Arial" w:cs="Arial" w:eastAsia="Arial" w:hAnsi="Arial"/>
          <w:sz w:val="16"/>
          <w:szCs w:val="16"/>
          <w:color w:val="auto"/>
        </w:rPr>
        <w:t xml:space="preserve">”) to the U.S. Borrower from time to time on or after the Closing Date until the earlier of the Maturity Date and the termination of the Total 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after giving effect to any U.S. Swing Line Loan, (i) the aggregate U.S. Revolving Credit Exposure of all U.S. Revolving Lenders shall not exceed the Total U.S. Revolving Commitments at such time, and (ii) the U.S. Revolving Credit Exposure of each U.S. Revolving Lender at such time shall not exceed such Lender’s U.S. Revolving Commitment,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U.S. Borrower shall not use the proceeds of any U.S. Swing Line Loan to refinance any outstanding U.S. Swing Line Loan. Within the foregoing limits, the U.S. Borrower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(expressed as a decimal) times the amount of such U.S. Swing Line Loan. Each U.S. Revolving Lender shall have the obligation to purchase and fund risk participations in the U.S. Swing Line Loans and to refinance U.S. Swing Line Loans as provided in this Agreement.</w:t>
      </w:r>
    </w:p>
    <w:p>
      <w:pPr>
        <w:spacing w:after="0" w:line="177" w:lineRule="exact"/>
        <w:rPr>
          <w:rFonts w:ascii="Arial" w:cs="Arial" w:eastAsia="Arial" w:hAnsi="Arial"/>
          <w:sz w:val="16"/>
          <w:szCs w:val="16"/>
          <w:color w:val="auto"/>
        </w:rPr>
      </w:pPr>
    </w:p>
    <w:p>
      <w:pPr>
        <w:jc w:val="both"/>
        <w:ind w:firstLine="1131"/>
        <w:spacing w:after="0" w:line="285" w:lineRule="auto"/>
        <w:tabs>
          <w:tab w:leader="none" w:pos="1613" w:val="left"/>
        </w:tabs>
        <w:numPr>
          <w:ilvl w:val="1"/>
          <w:numId w:val="234"/>
        </w:numPr>
        <w:rPr>
          <w:rFonts w:ascii="Arial" w:cs="Arial" w:eastAsia="Arial" w:hAnsi="Arial"/>
          <w:sz w:val="16"/>
          <w:szCs w:val="16"/>
          <w:color w:val="auto"/>
        </w:rPr>
      </w:pPr>
      <w:r>
        <w:rPr>
          <w:rFonts w:ascii="Arial" w:cs="Arial" w:eastAsia="Arial" w:hAnsi="Arial"/>
          <w:sz w:val="16"/>
          <w:szCs w:val="16"/>
          <w:i w:val="1"/>
          <w:iCs w:val="1"/>
          <w:color w:val="auto"/>
        </w:rPr>
        <w:t>The Canadian Swing Line</w:t>
      </w:r>
      <w:r>
        <w:rPr>
          <w:rFonts w:ascii="Arial" w:cs="Arial" w:eastAsia="Arial" w:hAnsi="Arial"/>
          <w:sz w:val="16"/>
          <w:szCs w:val="16"/>
          <w:color w:val="auto"/>
        </w:rPr>
        <w:t>. Subject to the terms and conditions set forth herein, and if an AutoBorrow Agreement is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and conditions of such AutoBorrow Agreement, the Canadian Swing Line Lender may in its sole and absolute discretion, in reliance upon the agreements of the other Canadian Revolving Lenders set forth in this Section 2.23, make loans in Canadian dollars or U.S. dollars (each such loan, a “</w:t>
      </w:r>
      <w:r>
        <w:rPr>
          <w:rFonts w:ascii="Arial" w:cs="Arial" w:eastAsia="Arial" w:hAnsi="Arial"/>
          <w:sz w:val="16"/>
          <w:szCs w:val="16"/>
          <w:i w:val="1"/>
          <w:iCs w:val="1"/>
          <w:color w:val="auto"/>
        </w:rPr>
        <w:t>Canadian Swing Line Loan</w:t>
      </w:r>
      <w:r>
        <w:rPr>
          <w:rFonts w:ascii="Arial" w:cs="Arial" w:eastAsia="Arial" w:hAnsi="Arial"/>
          <w:sz w:val="16"/>
          <w:szCs w:val="16"/>
          <w:color w:val="auto"/>
        </w:rPr>
        <w:t xml:space="preserve">”) to the Parent Borrower from time to time on or after the Closing Date until the earlier of the Maturity Date and the termination of the Total Canadian Revolving Commitments in an aggregate amount not to exceed at any time outstanding the amount of the Canadian Swing Line Sublimit, notwithstanding the fact that such Canadian Swing Line Loans, when aggregated with the Canadian Revolving Credit Exposure of the Lender acting as Canadian Swing Line Lender, may exceed the amount of such Lender’s Canadian Revolving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after giving effect to any Canadian Swing Line Loan, (i) the aggregate Canadian Revolving Credit Exposure of all Canadian Revolving Lenders shall not exceed the Total Canadian Revolving Commitments at such time, and (ii) the Canadian Revolving Credit Exposure of each Canadian Revolving Lender at such time shall not exceed such Lender’s Canadian Revolving Commitment,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Parent Borrower shall not use the proceeds of any Canadian Swing Line Loan to refinance any outstanding Canadian Swing Line</w:t>
      </w:r>
      <w:r>
        <w:rPr>
          <w:rFonts w:ascii="Arial" w:cs="Arial" w:eastAsia="Arial" w:hAnsi="Arial"/>
          <w:sz w:val="16"/>
          <w:szCs w:val="16"/>
          <w:i w:val="1"/>
          <w:iCs w:val="1"/>
          <w:color w:val="auto"/>
        </w:rPr>
        <w:t xml:space="preserve"> </w:t>
      </w:r>
      <w:r>
        <w:rPr>
          <w:rFonts w:ascii="Arial" w:cs="Arial" w:eastAsia="Arial" w:hAnsi="Arial"/>
          <w:sz w:val="16"/>
          <w:szCs w:val="16"/>
          <w:color w:val="auto"/>
        </w:rPr>
        <w:t>Loan. Within the foregoing limits, the Parent Borrower may borrow under this Section 2.23(a)(ii), prepay under Section 2.11, and reborrow under this Section 2.23(a)(ii). Immediately upon the making of a Canadian Swing Line Loan, each Canadian Revolving Lender shall be deemed to, and hereby irrevocably and unconditionally agrees to, purchase from the Canadian Swing Line Lender a risk participation in such Canadian Swing Line Loan in an amount equal to the product of such Canadian Revolving Lender’s Canadian Revolving Pro Rata Percentage (expressed as a decimal) times the amount of such Canadian Swing Line Loan. Each Canadian Revolving Lender shall have the obligation to purchase and fund risk participations in the Canadian Swing Line Loans and to refinance Canadian Swing Line Loans as provided in this Agreement.</w:t>
      </w:r>
    </w:p>
    <w:p>
      <w:pPr>
        <w:spacing w:after="0" w:line="17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581" w:right="239" w:bottom="1440" w:gutter="0" w:footer="0" w:header="0"/>
        </w:sectPr>
      </w:pPr>
    </w:p>
    <w:bookmarkStart w:id="204" w:name="page205"/>
    <w:bookmarkEnd w:id="204"/>
    <w:p>
      <w:pPr>
        <w:jc w:val="both"/>
        <w:ind w:firstLine="1305"/>
        <w:spacing w:after="0" w:line="284" w:lineRule="auto"/>
        <w:tabs>
          <w:tab w:leader="none" w:pos="1810"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Borrowing Procedures</w:t>
      </w:r>
      <w:r>
        <w:rPr>
          <w:rFonts w:ascii="Arial" w:cs="Arial" w:eastAsia="Arial" w:hAnsi="Arial"/>
          <w:sz w:val="16"/>
          <w:szCs w:val="16"/>
          <w:color w:val="auto"/>
        </w:rPr>
        <w:t>. If an AutoBorrow Agreement is in effect, each Swing Line Borrowing shall be made as provided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AutoBorrow 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(ii) in the case of a Canadian Swing Line Borrowing, whether such Canadian Swing Line Borrowing is to be denominated in Canadian dollars or U.S. dollars; and (iii) the amount of such Swing Line 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w:t>
      </w:r>
    </w:p>
    <w:p>
      <w:pPr>
        <w:spacing w:after="0" w:line="181" w:lineRule="exact"/>
        <w:rPr>
          <w:rFonts w:ascii="Arial" w:cs="Arial" w:eastAsia="Arial" w:hAnsi="Arial"/>
          <w:sz w:val="16"/>
          <w:szCs w:val="16"/>
          <w:color w:val="auto"/>
        </w:rPr>
      </w:pPr>
    </w:p>
    <w:p>
      <w:pPr>
        <w:jc w:val="both"/>
        <w:ind w:firstLine="1305"/>
        <w:spacing w:after="0" w:line="267" w:lineRule="auto"/>
        <w:tabs>
          <w:tab w:leader="none" w:pos="1759"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Refinancing of Swing Line Loans</w:t>
      </w:r>
      <w:r>
        <w:rPr>
          <w:rFonts w:ascii="Arial" w:cs="Arial" w:eastAsia="Arial" w:hAnsi="Arial"/>
          <w:sz w:val="17"/>
          <w:szCs w:val="17"/>
          <w:color w:val="auto"/>
        </w:rPr>
        <w:t>. (i) The Applicable Swing Line Lender at any time in its sole and absolute discretion may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on behalf of the Applicable Borrower (which 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dollars, a U.S. Base Rate Loan, in each case in an amount equal to such Lender’s Canadian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5" w:name="page206"/>
    <w:bookmarkEnd w:id="205"/>
    <w:p>
      <w:pPr>
        <w:jc w:val="both"/>
        <w:ind w:left="660" w:firstLine="1131"/>
        <w:spacing w:after="0" w:line="255" w:lineRule="auto"/>
        <w:tabs>
          <w:tab w:leader="none" w:pos="237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for any reason any Swing Line Loan cannot be refinanced by a U.S. Revolving Borrowing or a Canadian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w:t>
      </w:r>
    </w:p>
    <w:p>
      <w:pPr>
        <w:spacing w:after="0" w:line="193" w:lineRule="exact"/>
        <w:rPr>
          <w:rFonts w:ascii="Arial" w:cs="Arial" w:eastAsia="Arial" w:hAnsi="Arial"/>
          <w:sz w:val="18"/>
          <w:szCs w:val="18"/>
          <w:color w:val="auto"/>
        </w:rPr>
      </w:pPr>
    </w:p>
    <w:p>
      <w:pPr>
        <w:jc w:val="both"/>
        <w:ind w:left="660" w:firstLine="1131"/>
        <w:spacing w:after="0" w:line="270" w:lineRule="auto"/>
        <w:tabs>
          <w:tab w:leader="none" w:pos="2363" w:val="left"/>
        </w:tabs>
        <w:numPr>
          <w:ilvl w:val="1"/>
          <w:numId w:val="236"/>
        </w:numPr>
        <w:rPr>
          <w:rFonts w:ascii="Arial" w:cs="Arial" w:eastAsia="Arial" w:hAnsi="Arial"/>
          <w:sz w:val="17"/>
          <w:szCs w:val="17"/>
          <w:color w:val="auto"/>
        </w:rPr>
      </w:pPr>
      <w:r>
        <w:rPr>
          <w:rFonts w:ascii="Arial" w:cs="Arial" w:eastAsia="Arial" w:hAnsi="Arial"/>
          <w:sz w:val="17"/>
          <w:szCs w:val="17"/>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177" w:lineRule="exact"/>
        <w:rPr>
          <w:rFonts w:ascii="Arial" w:cs="Arial" w:eastAsia="Arial" w:hAnsi="Arial"/>
          <w:sz w:val="17"/>
          <w:szCs w:val="17"/>
          <w:color w:val="auto"/>
        </w:rPr>
      </w:pPr>
    </w:p>
    <w:p>
      <w:pPr>
        <w:jc w:val="both"/>
        <w:ind w:left="660" w:firstLine="1131"/>
        <w:spacing w:after="0" w:line="291" w:lineRule="auto"/>
        <w:tabs>
          <w:tab w:leader="none" w:pos="234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167" w:lineRule="exact"/>
        <w:rPr>
          <w:rFonts w:ascii="Arial" w:cs="Arial" w:eastAsia="Arial" w:hAnsi="Arial"/>
          <w:sz w:val="16"/>
          <w:szCs w:val="16"/>
          <w:color w:val="auto"/>
        </w:rPr>
      </w:pPr>
    </w:p>
    <w:p>
      <w:pPr>
        <w:jc w:val="both"/>
        <w:ind w:firstLine="1305"/>
        <w:spacing w:after="0" w:line="312" w:lineRule="auto"/>
        <w:tabs>
          <w:tab w:leader="none" w:pos="1780"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Repayment of Participations</w:t>
      </w:r>
      <w:r>
        <w:rPr>
          <w:rFonts w:ascii="Arial" w:cs="Arial" w:eastAsia="Arial" w:hAnsi="Arial"/>
          <w:sz w:val="16"/>
          <w:szCs w:val="16"/>
          <w:color w:val="auto"/>
        </w:rPr>
        <w:t>. (i) At any time after any Applicable Lender has purchased and funded a risk participation in a Swing</w:t>
      </w:r>
      <w:r>
        <w:rPr>
          <w:rFonts w:ascii="Arial" w:cs="Arial" w:eastAsia="Arial" w:hAnsi="Arial"/>
          <w:sz w:val="16"/>
          <w:szCs w:val="16"/>
          <w:i w:val="1"/>
          <w:iCs w:val="1"/>
          <w:color w:val="auto"/>
        </w:rPr>
        <w:t xml:space="preserve"> </w:t>
      </w:r>
      <w:r>
        <w:rPr>
          <w:rFonts w:ascii="Arial" w:cs="Arial" w:eastAsia="Arial" w:hAnsi="Arial"/>
          <w:sz w:val="16"/>
          <w:szCs w:val="16"/>
          <w:color w:val="auto"/>
        </w:rPr>
        <w:t>Line Loan, 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6" w:name="page207"/>
    <w:bookmarkEnd w:id="206"/>
    <w:p>
      <w:pPr>
        <w:jc w:val="both"/>
        <w:ind w:left="660" w:firstLine="1131"/>
        <w:spacing w:after="0" w:line="272" w:lineRule="auto"/>
        <w:tabs>
          <w:tab w:leader="none" w:pos="2297" w:val="left"/>
        </w:tabs>
        <w:numPr>
          <w:ilvl w:val="1"/>
          <w:numId w:val="238"/>
        </w:numPr>
        <w:rPr>
          <w:rFonts w:ascii="Arial" w:cs="Arial" w:eastAsia="Arial" w:hAnsi="Arial"/>
          <w:sz w:val="17"/>
          <w:szCs w:val="17"/>
          <w:color w:val="auto"/>
        </w:rPr>
      </w:pPr>
      <w:r>
        <w:rPr>
          <w:rFonts w:ascii="Arial" w:cs="Arial" w:eastAsia="Arial" w:hAnsi="Arial"/>
          <w:sz w:val="17"/>
          <w:szCs w:val="17"/>
          <w:color w:val="auto"/>
        </w:rPr>
        <w:t>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826"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Interest for Account of Swing Line Lender</w:t>
      </w:r>
      <w:r>
        <w:rPr>
          <w:rFonts w:ascii="Arial" w:cs="Arial" w:eastAsia="Arial" w:hAnsi="Arial"/>
          <w:sz w:val="18"/>
          <w:szCs w:val="18"/>
          <w:color w:val="auto"/>
        </w:rPr>
        <w:t>. The Applicable Swing Line Lender shall be responsible for invoicing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for interest on the Swing Line Loans. Until each Applicable Lender funds its Loan or risk participation pursuant to this Section 2.23 to refinance such Applicable Lender’s Applicable Pro Rata Percentage of any Swing Line Loan, interest in respect of such Applicable Pro Rata Percentage shall be solely for the account of the Applicable Swing Line Lender.</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22"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Payments Directly to Swing Line Lender</w:t>
      </w:r>
      <w:r>
        <w:rPr>
          <w:rFonts w:ascii="Arial" w:cs="Arial" w:eastAsia="Arial" w:hAnsi="Arial"/>
          <w:sz w:val="18"/>
          <w:szCs w:val="18"/>
          <w:color w:val="auto"/>
        </w:rPr>
        <w:t>. The Applicable Borrower shall make all payments of principal and interest in respect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Swing Line Loans directly to the Applicable Swing Line Lender, and, if an AutoBorrow Agreement is in effect, in accordance with the terms of such AutoBorrow Agreement.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5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Discretionary Nature of the Swing Line Facility</w:t>
      </w:r>
      <w:r>
        <w:rPr>
          <w:rFonts w:ascii="Arial" w:cs="Arial" w:eastAsia="Arial" w:hAnsi="Arial"/>
          <w:sz w:val="18"/>
          <w:szCs w:val="18"/>
          <w:color w:val="auto"/>
        </w:rPr>
        <w:t>. Notwithstanding any terms to the contrary contained herein, the swing line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2.24</w:t>
      </w:r>
      <w:r>
        <w:rPr>
          <w:sz w:val="20"/>
          <w:szCs w:val="20"/>
          <w:color w:val="auto"/>
        </w:rPr>
        <w:tab/>
      </w:r>
      <w:r>
        <w:rPr>
          <w:rFonts w:ascii="Arial" w:cs="Arial" w:eastAsia="Arial" w:hAnsi="Arial"/>
          <w:sz w:val="15"/>
          <w:szCs w:val="15"/>
          <w:b w:val="1"/>
          <w:bCs w:val="1"/>
          <w:i w:val="1"/>
          <w:iCs w:val="1"/>
          <w:color w:val="auto"/>
        </w:rPr>
        <w:t>Defaulting Lenders</w:t>
      </w:r>
      <w:r>
        <w:rPr>
          <w:rFonts w:ascii="Arial" w:cs="Arial" w:eastAsia="Arial" w:hAnsi="Arial"/>
          <w:sz w:val="15"/>
          <w:szCs w:val="15"/>
          <w:color w:val="auto"/>
        </w:rPr>
        <w:t>.</w:t>
      </w:r>
    </w:p>
    <w:p>
      <w:pPr>
        <w:spacing w:after="0" w:line="229" w:lineRule="exact"/>
        <w:rPr>
          <w:sz w:val="20"/>
          <w:szCs w:val="20"/>
          <w:color w:val="auto"/>
        </w:rPr>
      </w:pPr>
    </w:p>
    <w:p>
      <w:pPr>
        <w:ind w:firstLine="1305"/>
        <w:spacing w:after="0" w:line="277" w:lineRule="auto"/>
        <w:tabs>
          <w:tab w:leader="none" w:pos="1759"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Revolving Lender becomes a Defaulting</w:t>
      </w:r>
      <w:r>
        <w:rPr>
          <w:rFonts w:ascii="Arial" w:cs="Arial" w:eastAsia="Arial" w:hAnsi="Arial"/>
          <w:sz w:val="18"/>
          <w:szCs w:val="18"/>
          <w:i w:val="1"/>
          <w:iCs w:val="1"/>
          <w:color w:val="auto"/>
        </w:rPr>
        <w:t xml:space="preserve"> </w:t>
      </w:r>
      <w:r>
        <w:rPr>
          <w:rFonts w:ascii="Arial" w:cs="Arial" w:eastAsia="Arial" w:hAnsi="Arial"/>
          <w:sz w:val="18"/>
          <w:szCs w:val="18"/>
          <w:color w:val="auto"/>
        </w:rPr>
        <w:t>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60" w:firstLine="1131"/>
        <w:spacing w:after="0" w:line="277" w:lineRule="auto"/>
        <w:tabs>
          <w:tab w:leader="none" w:pos="222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such Defaulting Lender’s right to approve or disapprove any amendment, waiver or consent with respect to this Agreement or any other Loan Document shall be restricted as set forth in Section 9.08(b); and</w:t>
      </w:r>
    </w:p>
    <w:p>
      <w:pPr>
        <w:spacing w:after="0" w:line="170" w:lineRule="exact"/>
        <w:rPr>
          <w:rFonts w:ascii="Arial" w:cs="Arial" w:eastAsia="Arial" w:hAnsi="Arial"/>
          <w:sz w:val="18"/>
          <w:szCs w:val="18"/>
          <w:color w:val="auto"/>
        </w:rPr>
      </w:pPr>
    </w:p>
    <w:p>
      <w:pPr>
        <w:jc w:val="both"/>
        <w:ind w:left="660" w:firstLine="1131"/>
        <w:spacing w:after="0" w:line="259" w:lineRule="auto"/>
        <w:tabs>
          <w:tab w:leader="none" w:pos="228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7" w:name="page208"/>
    <w:bookmarkEnd w:id="207"/>
    <w:p>
      <w:pPr>
        <w:ind w:left="1720" w:hanging="643"/>
        <w:spacing w:after="0"/>
        <w:tabs>
          <w:tab w:leader="none" w:pos="1720" w:val="left"/>
        </w:tabs>
        <w:numPr>
          <w:ilvl w:val="0"/>
          <w:numId w:val="241"/>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any amounts owing by such Defaulting Lender to the Applicable Administrative Agent</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ind w:left="100" w:firstLine="977"/>
        <w:spacing w:after="0" w:line="277" w:lineRule="auto"/>
        <w:tabs>
          <w:tab w:leader="none" w:pos="1578"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on a pro rata basis of any amounts owing by such Defaulting Lender to the Issuing Banks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Swing Line Lenders hereunder;</w:t>
      </w:r>
    </w:p>
    <w:p>
      <w:pPr>
        <w:spacing w:after="0" w:line="170" w:lineRule="exact"/>
        <w:rPr>
          <w:rFonts w:ascii="Arial" w:cs="Arial" w:eastAsia="Arial" w:hAnsi="Arial"/>
          <w:sz w:val="18"/>
          <w:szCs w:val="18"/>
          <w:color w:val="auto"/>
        </w:rPr>
      </w:pPr>
    </w:p>
    <w:p>
      <w:pPr>
        <w:ind w:left="100" w:firstLine="977"/>
        <w:spacing w:after="0" w:line="277" w:lineRule="auto"/>
        <w:tabs>
          <w:tab w:leader="none" w:pos="1551"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Cash Collateralize the Issuing Banks’ Fronting Exposure with respect to such Defaulting Lender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2.21(k);</w:t>
      </w:r>
    </w:p>
    <w:p>
      <w:pPr>
        <w:spacing w:after="0" w:line="170" w:lineRule="exact"/>
        <w:rPr>
          <w:rFonts w:ascii="Arial" w:cs="Arial" w:eastAsia="Arial" w:hAnsi="Arial"/>
          <w:sz w:val="18"/>
          <w:szCs w:val="18"/>
          <w:color w:val="auto"/>
        </w:rPr>
      </w:pPr>
    </w:p>
    <w:p>
      <w:pPr>
        <w:jc w:val="both"/>
        <w:ind w:left="100" w:firstLine="977"/>
        <w:spacing w:after="0" w:line="264" w:lineRule="auto"/>
        <w:tabs>
          <w:tab w:leader="none" w:pos="1547"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as the Applicable Borrower may request (so long as no Default or Event of Default exists), to the funding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in respect of which such Defaulting Lender has failed to fund its portion thereof as required by this Agreement, as determined by the Applicable Administrative Agent;</w:t>
      </w:r>
    </w:p>
    <w:p>
      <w:pPr>
        <w:spacing w:after="0" w:line="181" w:lineRule="exact"/>
        <w:rPr>
          <w:rFonts w:ascii="Arial" w:cs="Arial" w:eastAsia="Arial" w:hAnsi="Arial"/>
          <w:sz w:val="18"/>
          <w:szCs w:val="18"/>
          <w:color w:val="auto"/>
        </w:rPr>
      </w:pPr>
    </w:p>
    <w:p>
      <w:pPr>
        <w:jc w:val="both"/>
        <w:ind w:left="100" w:firstLine="977"/>
        <w:spacing w:after="0" w:line="259" w:lineRule="auto"/>
        <w:tabs>
          <w:tab w:leader="none" w:pos="1595"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if so determined by the Administrative Agent and the applicable Borrower, to be held in a deposit account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2.21(k);</w:t>
      </w:r>
    </w:p>
    <w:p>
      <w:pPr>
        <w:spacing w:after="0" w:line="186" w:lineRule="exact"/>
        <w:rPr>
          <w:rFonts w:ascii="Arial" w:cs="Arial" w:eastAsia="Arial" w:hAnsi="Arial"/>
          <w:sz w:val="18"/>
          <w:szCs w:val="18"/>
          <w:color w:val="auto"/>
        </w:rPr>
      </w:pPr>
    </w:p>
    <w:p>
      <w:pPr>
        <w:jc w:val="both"/>
        <w:ind w:left="100" w:firstLine="977"/>
        <w:spacing w:after="0" w:line="312" w:lineRule="auto"/>
        <w:tabs>
          <w:tab w:leader="none" w:pos="1558" w:val="left"/>
        </w:tabs>
        <w:numPr>
          <w:ilvl w:val="0"/>
          <w:numId w:val="242"/>
        </w:numPr>
        <w:rPr>
          <w:rFonts w:ascii="Arial" w:cs="Arial" w:eastAsia="Arial" w:hAnsi="Arial"/>
          <w:sz w:val="16"/>
          <w:szCs w:val="16"/>
          <w:color w:val="auto"/>
        </w:rPr>
      </w:pPr>
      <w:r>
        <w:rPr>
          <w:rFonts w:ascii="Arial" w:cs="Arial" w:eastAsia="Arial" w:hAnsi="Arial"/>
          <w:sz w:val="16"/>
          <w:szCs w:val="16"/>
          <w:i w:val="1"/>
          <w:iCs w:val="1"/>
          <w:color w:val="auto"/>
        </w:rPr>
        <w:t>sixth</w:t>
      </w:r>
      <w:r>
        <w:rPr>
          <w:rFonts w:ascii="Arial" w:cs="Arial" w:eastAsia="Arial" w:hAnsi="Arial"/>
          <w:sz w:val="16"/>
          <w:szCs w:val="16"/>
          <w:color w:val="auto"/>
        </w:rPr>
        <w:t>, to the payment of any amounts owing to the Revolving Lenders, the Applicable Issuing Bank 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Swing Line Lender as a result of any judgment of a court of competent jurisdiction obtained by any Revolving Lender or an Applicable Issuing Bank against such Defaulting Lender as a result of such Defaulting Lender’s breach of its obligations under this Agreement;</w:t>
      </w:r>
    </w:p>
    <w:p>
      <w:pPr>
        <w:spacing w:after="0" w:line="146" w:lineRule="exact"/>
        <w:rPr>
          <w:rFonts w:ascii="Arial" w:cs="Arial" w:eastAsia="Arial" w:hAnsi="Arial"/>
          <w:sz w:val="16"/>
          <w:szCs w:val="16"/>
          <w:color w:val="auto"/>
        </w:rPr>
      </w:pPr>
    </w:p>
    <w:p>
      <w:pPr>
        <w:jc w:val="both"/>
        <w:ind w:left="100" w:firstLine="977"/>
        <w:spacing w:after="0" w:line="264" w:lineRule="auto"/>
        <w:tabs>
          <w:tab w:leader="none" w:pos="1642"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 owing to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as a result of any judgment of a court of competent jurisdiction obtained by the Applicable Borrower against such Defaulting Lender as a result of such Defaulting Lender’s breach of its obligations under this Agreement; and</w:t>
      </w:r>
    </w:p>
    <w:p>
      <w:pPr>
        <w:spacing w:after="0" w:line="181" w:lineRule="exact"/>
        <w:rPr>
          <w:rFonts w:ascii="Arial" w:cs="Arial" w:eastAsia="Arial" w:hAnsi="Arial"/>
          <w:sz w:val="18"/>
          <w:szCs w:val="18"/>
          <w:color w:val="auto"/>
        </w:rPr>
      </w:pPr>
    </w:p>
    <w:p>
      <w:pPr>
        <w:jc w:val="both"/>
        <w:ind w:left="100" w:firstLine="977"/>
        <w:spacing w:after="0" w:line="288" w:lineRule="auto"/>
        <w:tabs>
          <w:tab w:leader="none" w:pos="1547" w:val="left"/>
        </w:tabs>
        <w:numPr>
          <w:ilvl w:val="0"/>
          <w:numId w:val="242"/>
        </w:numPr>
        <w:rPr>
          <w:rFonts w:ascii="Arial" w:cs="Arial" w:eastAsia="Arial" w:hAnsi="Arial"/>
          <w:sz w:val="16"/>
          <w:szCs w:val="16"/>
          <w:color w:val="auto"/>
        </w:rPr>
      </w:pPr>
      <w:r>
        <w:rPr>
          <w:rFonts w:ascii="Arial" w:cs="Arial" w:eastAsia="Arial" w:hAnsi="Arial"/>
          <w:sz w:val="16"/>
          <w:szCs w:val="16"/>
          <w:i w:val="1"/>
          <w:iCs w:val="1"/>
          <w:color w:val="auto"/>
        </w:rPr>
        <w:t>eighth</w:t>
      </w:r>
      <w:r>
        <w:rPr>
          <w:rFonts w:ascii="Arial" w:cs="Arial" w:eastAsia="Arial" w:hAnsi="Arial"/>
          <w:sz w:val="16"/>
          <w:szCs w:val="16"/>
          <w:color w:val="auto"/>
        </w:rPr>
        <w:t>, to such Defaulting Lender or as otherwise directed by a court of competent jurisdiction;</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 (x) such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is a payment of the principal amount of any Revolving Credit Loans or L/C Disbursements in respect of which that Defaulting Lender has not fully funded its appropriate share and (y) such Revolving Credit Loans were made or the related Letters of Credit were issued at a time when the conditions set forth in Section 4.01 were satisfied or waived, such payment shall be applied solely to pay the Revolving Credit Loans of, and L/C Disbursements owed to, all Non-Defaulting Lenders on a pro rata basis prior to being applied to the payment of any Revolving Credit Loans of, or L/C Disbursements owed to, such Defaulting Lender until such time as all Loans and funded and unfunded participations in Letters of Credit and Swing Line Loans are held by the Lenders pro rata in 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08" w:name="page209"/>
    <w:bookmarkEnd w:id="208"/>
    <w:p>
      <w:pPr>
        <w:jc w:val="both"/>
        <w:ind w:left="660"/>
        <w:spacing w:after="0" w:line="264" w:lineRule="auto"/>
        <w:rPr>
          <w:sz w:val="20"/>
          <w:szCs w:val="20"/>
          <w:color w:val="auto"/>
        </w:rPr>
      </w:pPr>
      <w:r>
        <w:rPr>
          <w:rFonts w:ascii="Arial" w:cs="Arial" w:eastAsia="Arial" w:hAnsi="Arial"/>
          <w:sz w:val="18"/>
          <w:szCs w:val="18"/>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181" w:lineRule="exact"/>
        <w:rPr>
          <w:sz w:val="20"/>
          <w:szCs w:val="20"/>
          <w:color w:val="auto"/>
        </w:rPr>
      </w:pPr>
    </w:p>
    <w:p>
      <w:pPr>
        <w:jc w:val="both"/>
        <w:ind w:firstLine="1305"/>
        <w:spacing w:after="0" w:line="264" w:lineRule="auto"/>
        <w:tabs>
          <w:tab w:leader="none" w:pos="1775"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Certain Fees</w:t>
      </w:r>
      <w:r>
        <w:rPr>
          <w:rFonts w:ascii="Arial" w:cs="Arial" w:eastAsia="Arial" w:hAnsi="Arial"/>
          <w:sz w:val="18"/>
          <w:szCs w:val="18"/>
          <w:color w:val="auto"/>
        </w:rPr>
        <w:t>. (i) No Defaulting Lender shall be entitled to receive any Commitment Fee pursuant to Section 2.05(a) for any period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which such Lender is a Defaulting Lender (and, except as otherwise provided in Section 2.05(a), the Applicable Borrower shall not be required to pay any such fee that otherwise would have been required to have been paid to such Defaulting Lender).</w:t>
      </w:r>
    </w:p>
    <w:p>
      <w:pPr>
        <w:spacing w:after="0" w:line="181" w:lineRule="exact"/>
        <w:rPr>
          <w:rFonts w:ascii="Arial" w:cs="Arial" w:eastAsia="Arial" w:hAnsi="Arial"/>
          <w:sz w:val="18"/>
          <w:szCs w:val="18"/>
          <w:color w:val="auto"/>
        </w:rPr>
      </w:pPr>
    </w:p>
    <w:p>
      <w:pPr>
        <w:jc w:val="both"/>
        <w:ind w:left="660" w:firstLine="1131"/>
        <w:spacing w:after="0" w:line="264" w:lineRule="auto"/>
        <w:tabs>
          <w:tab w:leader="none" w:pos="236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L/C Participation Fees for any period during which that Lender is a Defaulting Lender only to the extent allocable to its Applicable Pro Rata Percentage of the stated amount of Letters of Credit for which it has provided cash collateral pursuant to Section 2.21(k).</w:t>
      </w:r>
    </w:p>
    <w:p>
      <w:pPr>
        <w:spacing w:after="0" w:line="181" w:lineRule="exact"/>
        <w:rPr>
          <w:rFonts w:ascii="Arial" w:cs="Arial" w:eastAsia="Arial" w:hAnsi="Arial"/>
          <w:sz w:val="18"/>
          <w:szCs w:val="18"/>
          <w:color w:val="auto"/>
        </w:rPr>
      </w:pPr>
    </w:p>
    <w:p>
      <w:pPr>
        <w:jc w:val="both"/>
        <w:ind w:left="660" w:firstLine="1131"/>
        <w:spacing w:after="0" w:line="273" w:lineRule="auto"/>
        <w:tabs>
          <w:tab w:leader="none" w:pos="229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With respect to any L/C Participation Fee not required to be paid to any Defaulting Lender pursuant to clause (i) or (ii) above, the 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Bank and Swing Line Lender, as applicable, the amount of any such fee otherwise payable to such Defaulting Lender to the extent allocable to such Issuing Bank’s or Swing Line Lender’s Fronting Exposure to such Defaulting Lender, and (z) not be required to pay the remaining amount of any such fee.</w:t>
      </w:r>
    </w:p>
    <w:p>
      <w:pPr>
        <w:spacing w:after="0" w:line="178" w:lineRule="exact"/>
        <w:rPr>
          <w:rFonts w:ascii="Arial" w:cs="Arial" w:eastAsia="Arial" w:hAnsi="Arial"/>
          <w:sz w:val="17"/>
          <w:szCs w:val="17"/>
          <w:color w:val="auto"/>
        </w:rPr>
      </w:pPr>
    </w:p>
    <w:p>
      <w:pPr>
        <w:jc w:val="both"/>
        <w:ind w:firstLine="1305"/>
        <w:spacing w:after="0" w:line="271" w:lineRule="auto"/>
        <w:tabs>
          <w:tab w:leader="none" w:pos="1764" w:val="left"/>
        </w:tabs>
        <w:numPr>
          <w:ilvl w:val="0"/>
          <w:numId w:val="243"/>
        </w:numPr>
        <w:rPr>
          <w:rFonts w:ascii="Arial" w:cs="Arial" w:eastAsia="Arial" w:hAnsi="Arial"/>
          <w:sz w:val="17"/>
          <w:szCs w:val="17"/>
          <w:color w:val="auto"/>
        </w:rPr>
      </w:pPr>
      <w:r>
        <w:rPr>
          <w:rFonts w:ascii="Arial" w:cs="Arial" w:eastAsia="Arial" w:hAnsi="Arial"/>
          <w:sz w:val="17"/>
          <w:szCs w:val="17"/>
          <w:i w:val="1"/>
          <w:iCs w:val="1"/>
          <w:color w:val="auto"/>
        </w:rPr>
        <w:t>Reallocation of Ratable Portions to Reduce Fronting Exposure</w:t>
      </w:r>
      <w:r>
        <w:rPr>
          <w:rFonts w:ascii="Arial" w:cs="Arial" w:eastAsia="Arial" w:hAnsi="Arial"/>
          <w:sz w:val="17"/>
          <w:szCs w:val="17"/>
          <w:color w:val="auto"/>
        </w:rPr>
        <w:t>. During any period in which there is a Defaulting Lender, solely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purposes of computing the amount of the obligation of each non-Defaulting Lender to acquire, refinance or fund participations in Letters of Credit and Swing Line Loans pursuant to Sections 2.21 and 2.23, the “U.S. Revolving Pro Rata Percentage”, “Canadian Revolving Pro Rata Percentage” or “Australian Revolving Pro Rata Percentage”, as applicable, of each non-Defaulting Lender shall be computed without giving effect to the Revolving Commitment of such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that (A) 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9" w:name="page210"/>
    <w:bookmarkEnd w:id="209"/>
    <w:p>
      <w:pPr>
        <w:jc w:val="both"/>
        <w:ind w:firstLine="1305"/>
        <w:spacing w:after="0" w:line="259" w:lineRule="auto"/>
        <w:tabs>
          <w:tab w:leader="none" w:pos="1787"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Cash Collateral, Repayment of Swing Line Loans</w:t>
      </w:r>
      <w:r>
        <w:rPr>
          <w:rFonts w:ascii="Arial" w:cs="Arial" w:eastAsia="Arial" w:hAnsi="Arial"/>
          <w:sz w:val="18"/>
          <w:szCs w:val="18"/>
          <w:color w:val="auto"/>
        </w:rPr>
        <w:t>. If the reallocation described in clause (c) above cannot, or can only partially,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effected, the applicable Borrower shall, without prejudice to any right or remedy available to it hereunder or under law, (x) first, prepay Swing Line Loans in an amount equal to the applicable Swing Line Lender’s Fronting Exposure and (y) second, cash collateralize the applicable Issuing Banks’ Fronting Exposure in accordance with the procedures set forth in Section 2.21(k).</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1767" w:val="left"/>
        </w:tabs>
        <w:numPr>
          <w:ilvl w:val="0"/>
          <w:numId w:val="244"/>
        </w:numPr>
        <w:rPr>
          <w:rFonts w:ascii="Arial" w:cs="Arial" w:eastAsia="Arial" w:hAnsi="Arial"/>
          <w:sz w:val="17"/>
          <w:szCs w:val="17"/>
          <w:color w:val="auto"/>
        </w:rPr>
      </w:pPr>
      <w:r>
        <w:rPr>
          <w:rFonts w:ascii="Arial" w:cs="Arial" w:eastAsia="Arial" w:hAnsi="Arial"/>
          <w:sz w:val="17"/>
          <w:szCs w:val="17"/>
          <w:i w:val="1"/>
          <w:iCs w:val="1"/>
          <w:color w:val="auto"/>
        </w:rPr>
        <w:t>Defaulting Lender Cure</w:t>
      </w:r>
      <w:r>
        <w:rPr>
          <w:rFonts w:ascii="Arial" w:cs="Arial" w:eastAsia="Arial" w:hAnsi="Arial"/>
          <w:sz w:val="17"/>
          <w:szCs w:val="17"/>
          <w:color w:val="auto"/>
        </w:rPr>
        <w:t>. If the Applicable Borrower, the Applicable Administrative Agent, the Applicable Swing Line Lenders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Revolving Pro Rata Percentage” or “Australian Revolving Pro Rata Percentage”, as applicable, (without giving effect to clause (a)(ii) above), whereupon such Lender will cease to be a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Applicable Borrower while such Lender was a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9" w:lineRule="exact"/>
        <w:rPr>
          <w:rFonts w:ascii="Arial" w:cs="Arial" w:eastAsia="Arial" w:hAnsi="Arial"/>
          <w:sz w:val="17"/>
          <w:szCs w:val="17"/>
          <w:color w:val="auto"/>
        </w:rPr>
      </w:pPr>
    </w:p>
    <w:p>
      <w:pPr>
        <w:jc w:val="both"/>
        <w:ind w:firstLine="1305"/>
        <w:spacing w:after="0" w:line="259" w:lineRule="auto"/>
        <w:tabs>
          <w:tab w:leader="none" w:pos="170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New Swing Line Loans/Letters of Credit</w:t>
      </w:r>
      <w:r>
        <w:rPr>
          <w:rFonts w:ascii="Arial" w:cs="Arial" w:eastAsia="Arial" w:hAnsi="Arial"/>
          <w:sz w:val="18"/>
          <w:szCs w:val="18"/>
          <w:color w:val="auto"/>
        </w:rPr>
        <w:t>. So long as any Lender is a Defaulting Lender, (i) the Applicable Swing Line Lender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934"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Termination of Defaulting Lender Revolving Commitment</w:t>
      </w:r>
      <w:r>
        <w:rPr>
          <w:rFonts w:ascii="Arial" w:cs="Arial" w:eastAsia="Arial" w:hAnsi="Arial"/>
          <w:sz w:val="18"/>
          <w:szCs w:val="18"/>
          <w:color w:val="auto"/>
        </w:rPr>
        <w:t>. A Borrower may terminate the unused amount of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Commitment of a Defaulting Lender upon not less than three (3) Business Days’ prior notice to the Applicable Administrative Agent (which will promptly notify the Revolving Lenders of the same Class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will not be deemed to be a waiver or release of any claim a Borrower, an Administrative Agent, an Issuing Bank or any Lender may have against such Defaulting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0" w:name="page211"/>
    <w:bookmarkEnd w:id="210"/>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2.25</w:t>
      </w:r>
      <w:r>
        <w:rPr>
          <w:sz w:val="20"/>
          <w:szCs w:val="20"/>
          <w:color w:val="auto"/>
        </w:rPr>
        <w:tab/>
      </w:r>
      <w:r>
        <w:rPr>
          <w:rFonts w:ascii="Arial" w:cs="Arial" w:eastAsia="Arial" w:hAnsi="Arial"/>
          <w:sz w:val="15"/>
          <w:szCs w:val="15"/>
          <w:b w:val="1"/>
          <w:bCs w:val="1"/>
          <w:i w:val="1"/>
          <w:iCs w:val="1"/>
          <w:color w:val="auto"/>
        </w:rPr>
        <w:t>Incremental Revolving Credit Increase</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68" w:lineRule="auto"/>
        <w:tabs>
          <w:tab w:leader="none" w:pos="179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At any time after the Original Closing Date, any Borrower may by written notice to the Applicable Administrative Agent elect to request the establishment of one or more increases in one or more of the Revolving Commitments (an “</w:t>
      </w:r>
      <w:r>
        <w:rPr>
          <w:rFonts w:ascii="Arial" w:cs="Arial" w:eastAsia="Arial" w:hAnsi="Arial"/>
          <w:sz w:val="17"/>
          <w:szCs w:val="17"/>
          <w:i w:val="1"/>
          <w:iCs w:val="1"/>
          <w:color w:val="auto"/>
        </w:rPr>
        <w:t>Incremental Revolving Commitment</w:t>
      </w:r>
      <w:r>
        <w:rPr>
          <w:rFonts w:ascii="Arial" w:cs="Arial" w:eastAsia="Arial" w:hAnsi="Arial"/>
          <w:sz w:val="17"/>
          <w:szCs w:val="17"/>
          <w:color w:val="auto"/>
        </w:rPr>
        <w:t>”) to make incremental Revolving Credit Loans (any Revolving Credit Loans made pursuant to such Incremental Revolving Commitments, the “</w:t>
      </w:r>
      <w:r>
        <w:rPr>
          <w:rFonts w:ascii="Arial" w:cs="Arial" w:eastAsia="Arial" w:hAnsi="Arial"/>
          <w:sz w:val="17"/>
          <w:szCs w:val="17"/>
          <w:i w:val="1"/>
          <w:iCs w:val="1"/>
          <w:color w:val="auto"/>
        </w:rPr>
        <w:t>Incremental Revolving</w:t>
      </w:r>
      <w:r>
        <w:rPr>
          <w:rFonts w:ascii="Arial" w:cs="Arial" w:eastAsia="Arial" w:hAnsi="Arial"/>
          <w:sz w:val="17"/>
          <w:szCs w:val="17"/>
          <w:color w:val="auto"/>
        </w:rPr>
        <w:t xml:space="preserve"> </w:t>
      </w:r>
      <w:r>
        <w:rPr>
          <w:rFonts w:ascii="Arial" w:cs="Arial" w:eastAsia="Arial" w:hAnsi="Arial"/>
          <w:sz w:val="17"/>
          <w:szCs w:val="17"/>
          <w:i w:val="1"/>
          <w:iCs w:val="1"/>
          <w:color w:val="auto"/>
        </w:rPr>
        <w:t>Credit Increase</w:t>
      </w:r>
      <w:r>
        <w:rPr>
          <w:rFonts w:ascii="Arial" w:cs="Arial" w:eastAsia="Arial" w:hAnsi="Arial"/>
          <w:sz w:val="17"/>
          <w:szCs w:val="17"/>
          <w:color w:val="auto"/>
        </w:rPr>
        <w:t>”);</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(1) the aggregate amount for all such Incremental Revolving Commitments shall not exceed $200,000,000 and (2)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amount for each Incremental Revolving Commitment shall not be less than a minimum principal amount of $25,000,000 or, if less, the remaining amount permitted pursuant to the foregoing clause (1). Each such notice shall specify the date (each, an “</w:t>
      </w:r>
      <w:r>
        <w:rPr>
          <w:rFonts w:ascii="Arial" w:cs="Arial" w:eastAsia="Arial" w:hAnsi="Arial"/>
          <w:sz w:val="17"/>
          <w:szCs w:val="17"/>
          <w:i w:val="1"/>
          <w:iCs w:val="1"/>
          <w:color w:val="auto"/>
        </w:rPr>
        <w:t>Increased Amount Date</w:t>
      </w:r>
      <w:r>
        <w:rPr>
          <w:rFonts w:ascii="Arial" w:cs="Arial" w:eastAsia="Arial" w:hAnsi="Arial"/>
          <w:sz w:val="17"/>
          <w:szCs w:val="17"/>
          <w:color w:val="auto"/>
        </w:rPr>
        <w:t>”)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person reasonably satisfactory to the Applicable Administrative Agent, the Applicable Issuing Bank and the Applicable Swing Line Lender, if any, to provide an Incremental Revolving Commitment (any such person that provides an Incremental Revolving Commitment, an “</w:t>
      </w:r>
      <w:r>
        <w:rPr>
          <w:rFonts w:ascii="Arial" w:cs="Arial" w:eastAsia="Arial" w:hAnsi="Arial"/>
          <w:sz w:val="17"/>
          <w:szCs w:val="17"/>
          <w:i w:val="1"/>
          <w:iCs w:val="1"/>
          <w:color w:val="auto"/>
        </w:rPr>
        <w:t>Incremental Lender</w:t>
      </w:r>
      <w:r>
        <w:rPr>
          <w:rFonts w:ascii="Arial" w:cs="Arial" w:eastAsia="Arial" w:hAnsi="Arial"/>
          <w:sz w:val="17"/>
          <w:szCs w:val="17"/>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87" w:lineRule="exact"/>
        <w:rPr>
          <w:rFonts w:ascii="Arial" w:cs="Arial" w:eastAsia="Arial" w:hAnsi="Arial"/>
          <w:sz w:val="17"/>
          <w:szCs w:val="17"/>
          <w:color w:val="auto"/>
        </w:rPr>
      </w:pPr>
    </w:p>
    <w:p>
      <w:pPr>
        <w:ind w:left="1300" w:right="20" w:firstLine="977"/>
        <w:spacing w:after="0" w:line="277" w:lineRule="auto"/>
        <w:tabs>
          <w:tab w:leader="none" w:pos="285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170" w:lineRule="exact"/>
        <w:rPr>
          <w:rFonts w:ascii="Arial" w:cs="Arial" w:eastAsia="Arial" w:hAnsi="Arial"/>
          <w:sz w:val="18"/>
          <w:szCs w:val="18"/>
          <w:color w:val="auto"/>
        </w:rPr>
      </w:pPr>
    </w:p>
    <w:p>
      <w:pPr>
        <w:jc w:val="both"/>
        <w:ind w:left="1300" w:firstLine="977"/>
        <w:spacing w:after="0" w:line="273" w:lineRule="auto"/>
        <w:tabs>
          <w:tab w:leader="none" w:pos="2737"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Applicable Borrower shall have delivered to the Administrative Agent (which shall promptly make such information available to the Lenders in accordance with its customary practice) a Compliance Certificate demonstrating that the Parent Borrower will be in compliance on a pro forma basis (using the criteria therefor described in Section 6.04(i)) with the Financial Covenants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178" w:lineRule="exact"/>
        <w:rPr>
          <w:rFonts w:ascii="Arial" w:cs="Arial" w:eastAsia="Arial" w:hAnsi="Arial"/>
          <w:sz w:val="17"/>
          <w:szCs w:val="17"/>
          <w:color w:val="auto"/>
        </w:rPr>
      </w:pPr>
    </w:p>
    <w:p>
      <w:pPr>
        <w:ind w:left="1300" w:firstLine="977"/>
        <w:spacing w:after="0" w:line="308" w:lineRule="auto"/>
        <w:tabs>
          <w:tab w:leader="none" w:pos="2762"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146" w:lineRule="exact"/>
        <w:rPr>
          <w:rFonts w:ascii="Arial" w:cs="Arial" w:eastAsia="Arial" w:hAnsi="Arial"/>
          <w:sz w:val="17"/>
          <w:szCs w:val="17"/>
          <w:color w:val="auto"/>
        </w:rPr>
      </w:pPr>
    </w:p>
    <w:p>
      <w:pPr>
        <w:jc w:val="both"/>
        <w:ind w:left="1300" w:firstLine="977"/>
        <w:spacing w:after="0" w:line="264" w:lineRule="auto"/>
        <w:tabs>
          <w:tab w:leader="none" w:pos="288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each Incremental Revolving Commitment (and the Incremental Revolving Credit Increase made thereunder) shall constitute Obligations of the Applicable Borrower and shall be secured and guaranteed with the other Revolving Credit Loans of such Class on a pari passu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1" w:name="page212"/>
    <w:bookmarkEnd w:id="211"/>
    <w:p>
      <w:pPr>
        <w:ind w:left="1640" w:hanging="563"/>
        <w:spacing w:after="0"/>
        <w:tabs>
          <w:tab w:leader="none" w:pos="16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 the case of each Incremental Revolving Commitment (the terms of which shall be set forth the relevant Lender</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Joinder Agreement):</w:t>
      </w:r>
    </w:p>
    <w:p>
      <w:pPr>
        <w:spacing w:after="0" w:line="210" w:lineRule="exact"/>
        <w:rPr>
          <w:rFonts w:ascii="Arial" w:cs="Arial" w:eastAsia="Arial" w:hAnsi="Arial"/>
          <w:sz w:val="17"/>
          <w:szCs w:val="17"/>
          <w:color w:val="auto"/>
        </w:rPr>
      </w:pPr>
    </w:p>
    <w:p>
      <w:pPr>
        <w:jc w:val="both"/>
        <w:ind w:left="760" w:firstLine="803"/>
        <w:spacing w:after="0" w:line="257" w:lineRule="auto"/>
        <w:tabs>
          <w:tab w:leader="none" w:pos="211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188" w:lineRule="exact"/>
        <w:rPr>
          <w:rFonts w:ascii="Arial" w:cs="Arial" w:eastAsia="Arial" w:hAnsi="Arial"/>
          <w:sz w:val="18"/>
          <w:szCs w:val="18"/>
          <w:color w:val="auto"/>
        </w:rPr>
      </w:pPr>
    </w:p>
    <w:p>
      <w:pPr>
        <w:jc w:val="both"/>
        <w:ind w:left="760" w:firstLine="803"/>
        <w:spacing w:after="0" w:line="291" w:lineRule="auto"/>
        <w:tabs>
          <w:tab w:leader="none" w:pos="2127"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outstanding Revolving Credit Loans and Applicable Pro Rata Percentages of Swing Line Loans and the aggregate amount available to be drawn under all applicable Letters of Credit of the applicable Class 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167" w:lineRule="exact"/>
        <w:rPr>
          <w:rFonts w:ascii="Arial" w:cs="Arial" w:eastAsia="Arial" w:hAnsi="Arial"/>
          <w:sz w:val="16"/>
          <w:szCs w:val="16"/>
          <w:color w:val="auto"/>
        </w:rPr>
      </w:pPr>
    </w:p>
    <w:p>
      <w:pPr>
        <w:jc w:val="both"/>
        <w:ind w:left="760" w:firstLine="803"/>
        <w:spacing w:after="0" w:line="286" w:lineRule="auto"/>
        <w:tabs>
          <w:tab w:leader="none" w:pos="205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all of the other terms and conditions applicable to such Incremental Revolving Commitment shall, except to the extent otherwise provided in this Section 2.25, be identical to the terms and conditions applicable to the U.S. Revolving Credit Facility, the Canadian Revolving Credit Facility or the Australian Revolving Credit Facility, as the case may be;</w:t>
      </w:r>
    </w:p>
    <w:p>
      <w:pPr>
        <w:spacing w:after="0" w:line="165" w:lineRule="exact"/>
        <w:rPr>
          <w:rFonts w:ascii="Arial" w:cs="Arial" w:eastAsia="Arial" w:hAnsi="Arial"/>
          <w:sz w:val="17"/>
          <w:szCs w:val="17"/>
          <w:color w:val="auto"/>
        </w:rPr>
      </w:pPr>
    </w:p>
    <w:p>
      <w:pPr>
        <w:jc w:val="both"/>
        <w:ind w:left="100" w:firstLine="977"/>
        <w:spacing w:after="0" w:line="279" w:lineRule="auto"/>
        <w:tabs>
          <w:tab w:leader="none" w:pos="16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Incremental Lender shall be entitled to the same voting rights as the existing Revolving Lenders under the U.S. Revolving Credit Facility, the Canadian Revolving Credit Facility or the Australian Revolving Credit Facility, as the case may be, and any Loans or issuances of Letters of Credit or Bankers’ Acceptances made in connection with each Incremental Revolving Credit Increase shall receive proceeds of prepayments on the same basis as the other Revolving Credit Loans made hereunder;</w:t>
      </w:r>
    </w:p>
    <w:p>
      <w:pPr>
        <w:spacing w:after="0" w:line="171" w:lineRule="exact"/>
        <w:rPr>
          <w:rFonts w:ascii="Arial" w:cs="Arial" w:eastAsia="Arial" w:hAnsi="Arial"/>
          <w:sz w:val="17"/>
          <w:szCs w:val="17"/>
          <w:color w:val="auto"/>
        </w:rPr>
      </w:pPr>
    </w:p>
    <w:p>
      <w:pPr>
        <w:jc w:val="both"/>
        <w:ind w:left="100" w:firstLine="977"/>
        <w:spacing w:after="0" w:line="257" w:lineRule="auto"/>
        <w:tabs>
          <w:tab w:leader="none" w:pos="168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12" w:name="page213"/>
    <w:bookmarkEnd w:id="212"/>
    <w:p>
      <w:pPr>
        <w:jc w:val="both"/>
        <w:ind w:left="1300" w:firstLine="977"/>
        <w:spacing w:after="0" w:line="286" w:lineRule="auto"/>
        <w:tabs>
          <w:tab w:leader="none" w:pos="2889"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174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Incremental Lenders shall be included in any determination of the Required U.S. Lenders, the Required U.S. Revolving Lenders, the Required Canadian Lenders, the Required Canadian Revolving Lenders or the Required Australian Lenders, as the case may be, and the Incremental Lenders will not constitute a separate voting class for any purposes under this Agreement.</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181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9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represents and warrants to the Agents, the Issuing Banks and each of the Lenders that:</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3.01 </w:t>
      </w:r>
      <w:r>
        <w:rPr>
          <w:rFonts w:ascii="Arial" w:cs="Arial" w:eastAsia="Arial" w:hAnsi="Arial"/>
          <w:sz w:val="17"/>
          <w:szCs w:val="17"/>
          <w:b w:val="1"/>
          <w:bCs w:val="1"/>
          <w:i w:val="1"/>
          <w:iCs w:val="1"/>
          <w:color w:val="auto"/>
        </w:rPr>
        <w:t>Organization; Powers</w:t>
      </w:r>
      <w:r>
        <w:rPr>
          <w:rFonts w:ascii="Arial" w:cs="Arial" w:eastAsia="Arial" w:hAnsi="Arial"/>
          <w:sz w:val="17"/>
          <w:szCs w:val="17"/>
          <w:color w:val="auto"/>
        </w:rPr>
        <w:t>. Each Borrower and each of its respective Subsidiaries (a) is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each other agreement or instrument contemplated hereby or thereby to which it is or will be a party and, in the case of the Borrowers, to borrow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3" w:name="page214"/>
    <w:bookmarkEnd w:id="213"/>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3.02 </w:t>
      </w:r>
      <w:r>
        <w:rPr>
          <w:rFonts w:ascii="Arial" w:cs="Arial" w:eastAsia="Arial" w:hAnsi="Arial"/>
          <w:sz w:val="16"/>
          <w:szCs w:val="16"/>
          <w:b w:val="1"/>
          <w:bCs w:val="1"/>
          <w:i w:val="1"/>
          <w:iCs w:val="1"/>
          <w:color w:val="auto"/>
        </w:rPr>
        <w:t>Authorization</w:t>
      </w:r>
      <w:r>
        <w:rPr>
          <w:rFonts w:ascii="Arial" w:cs="Arial" w:eastAsia="Arial" w:hAnsi="Arial"/>
          <w:sz w:val="16"/>
          <w:szCs w:val="16"/>
          <w:color w:val="auto"/>
        </w:rPr>
        <w:t>. The execution, delivery and performance by each Loan Party of each of the Loan Documents to which it is a party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consummation of the Transactions (i) have been (or will have been on, prior to or substantially contemporaneously with the Closing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 (D) 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i w:val="1"/>
          <w:iCs w:val="1"/>
          <w:color w:val="auto"/>
        </w:rPr>
        <w:t>Enforceability</w:t>
      </w:r>
      <w:r>
        <w:rPr>
          <w:rFonts w:ascii="Arial" w:cs="Arial" w:eastAsia="Arial" w:hAnsi="Arial"/>
          <w:sz w:val="18"/>
          <w:szCs w:val="18"/>
          <w:color w:val="auto"/>
        </w:rPr>
        <w:t>. This Agreement has been, and each other Loan Document to which any Loan Party is a party, when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such Loan Party, will have been, duly executed and delivered by the Borrowers and 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i w:val="1"/>
          <w:iCs w:val="1"/>
          <w:color w:val="auto"/>
        </w:rPr>
        <w:t>Governmental Approvals</w:t>
      </w:r>
      <w:r>
        <w:rPr>
          <w:rFonts w:ascii="Arial" w:cs="Arial" w:eastAsia="Arial" w:hAnsi="Arial"/>
          <w:sz w:val="18"/>
          <w:szCs w:val="18"/>
          <w:color w:val="auto"/>
        </w:rPr>
        <w:t>. (a) No authorization, action, exemption, consent or approval of, registration, notice or filing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action by any Governmental Authority is necessary or will be required in connection with the Loan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made or obtained and be in full force and effect and (iii) actions by, and notices to or filings with, Governmental Authorities (including, without limitation, the 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b w:val="1"/>
          <w:bCs w:val="1"/>
          <w:i w:val="1"/>
          <w:iCs w:val="1"/>
          <w:color w:val="auto"/>
        </w:rPr>
        <w:t>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Parent Borrower has heretofore furnished to the Lenders the audited combined balance sheets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combined statements of income, comprehensive income, changes in net investment, and cash flows of the Original U.S. Borrower, as of and for the year ended December 31, 2014. Such financial statements in each case present fairly, in all material respects, the financial condition of the Original U.S. Borrower, as of such date and for such period. Such financial statements and the notes thereto, disclose all material liabilities, direct or contingent, of the accommodations business and the Original U.S. Borrower, as applicable, as of the date thereof. Such financial statements were prepared in accordance with GAAP.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4" w:name="page215"/>
    <w:bookmarkEnd w:id="214"/>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i w:val="1"/>
          <w:iCs w:val="1"/>
          <w:color w:val="auto"/>
        </w:rPr>
        <w:t>No Material Adverse Change</w:t>
      </w:r>
      <w:r>
        <w:rPr>
          <w:rFonts w:ascii="Arial" w:cs="Arial" w:eastAsia="Arial" w:hAnsi="Arial"/>
          <w:sz w:val="18"/>
          <w:szCs w:val="18"/>
          <w:color w:val="auto"/>
        </w:rPr>
        <w:t>. Since December 31, 2013, there has been no material adverse effect on the business,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or condition (financial or otherwise) of the Borrowers and the Subsidiaries, taken as a whole.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3.07 </w:t>
      </w:r>
      <w:r>
        <w:rPr>
          <w:rFonts w:ascii="Arial" w:cs="Arial" w:eastAsia="Arial" w:hAnsi="Arial"/>
          <w:sz w:val="17"/>
          <w:szCs w:val="17"/>
          <w:b w:val="1"/>
          <w:bCs w:val="1"/>
          <w:i w:val="1"/>
          <w:iCs w:val="1"/>
          <w:color w:val="auto"/>
        </w:rPr>
        <w:t>Title to Properties; Possession Under Leases and Licenses</w:t>
      </w:r>
      <w:r>
        <w:rPr>
          <w:rFonts w:ascii="Arial" w:cs="Arial" w:eastAsia="Arial" w:hAnsi="Arial"/>
          <w:sz w:val="17"/>
          <w:szCs w:val="17"/>
          <w:color w:val="auto"/>
        </w:rPr>
        <w:t>. (a) Each of the Borrowers and the Subsidiaries has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w:t>
      </w:r>
    </w:p>
    <w:p>
      <w:pPr>
        <w:spacing w:after="0" w:line="169" w:lineRule="exact"/>
        <w:rPr>
          <w:sz w:val="20"/>
          <w:szCs w:val="20"/>
          <w:color w:val="auto"/>
        </w:rPr>
      </w:pPr>
    </w:p>
    <w:p>
      <w:pPr>
        <w:jc w:val="both"/>
        <w:ind w:firstLine="1305"/>
        <w:spacing w:after="0" w:line="259" w:lineRule="auto"/>
        <w:tabs>
          <w:tab w:leader="none" w:pos="176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 the Subsidiaries enjoys peaceful and undisturbed possession under all leases and licenses where the failure could not reasonably be expected to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As of the date such schedule was most recently delivered, Schedule 3.08 sets forth a list of all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Purpose Business Entities and, as to each such Subsidiary, the jurisdiction of formation, the outstanding Equity Interests therein and the percentage ownership interest of each class of such Equity Interests owned by the Parent Borrower and its Subsidiaries therein. As of the Closing Date, the Equity Interests indicated as owned by the Parent Borrower and its Subsidiaries on Schedule 3.08 are owned by the Borrowers, directly or indirectly, free and clear of all Liens (other than Liens permitted by Section 6.02).</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i w:val="1"/>
          <w:iCs w:val="1"/>
          <w:color w:val="auto"/>
        </w:rPr>
        <w:t>Litigation; Compliance with Laws</w:t>
      </w:r>
      <w:r>
        <w:rPr>
          <w:rFonts w:ascii="Arial" w:cs="Arial" w:eastAsia="Arial" w:hAnsi="Arial"/>
          <w:sz w:val="18"/>
          <w:szCs w:val="18"/>
          <w:color w:val="auto"/>
        </w:rPr>
        <w:t>. (a) Except as set forth on Schedule 3.09, there are no actions, suits, proceedings, claims or</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88" w:lineRule="exact"/>
        <w:rPr>
          <w:sz w:val="20"/>
          <w:szCs w:val="20"/>
          <w:color w:val="auto"/>
        </w:rPr>
      </w:pPr>
    </w:p>
    <w:p>
      <w:pPr>
        <w:jc w:val="both"/>
        <w:ind w:firstLine="1305"/>
        <w:spacing w:after="0" w:line="264" w:lineRule="auto"/>
        <w:tabs>
          <w:tab w:leader="none" w:pos="188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Since December 31, 2017, there has been no adverse change in the status or financial effect on the Parent Borrower and the Subsidiaries of the matters disclosed on Schedule 3.09 that, individually or in the aggregate, has resulted in, or materially increased the likelihood of,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15" w:name="page216"/>
    <w:bookmarkEnd w:id="215"/>
    <w:p>
      <w:pPr>
        <w:jc w:val="both"/>
        <w:ind w:firstLine="1305"/>
        <w:spacing w:after="0" w:line="257" w:lineRule="auto"/>
        <w:tabs>
          <w:tab w:leader="none" w:pos="176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None of the Borrowers or any of the Subsidiaries is in default in any manner under any provision of any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agreement or instrument, where such default has resulted in, or could, either individually or in the aggregate, reasonably be expected to result in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i w:val="1"/>
          <w:iCs w:val="1"/>
          <w:color w:val="auto"/>
        </w:rPr>
        <w:t>Federal Reserve Regulations</w:t>
      </w:r>
      <w:r>
        <w:rPr>
          <w:rFonts w:ascii="Arial" w:cs="Arial" w:eastAsia="Arial" w:hAnsi="Arial"/>
          <w:sz w:val="18"/>
          <w:szCs w:val="18"/>
          <w:color w:val="auto"/>
        </w:rPr>
        <w:t>. (a) None of the Loan Parties is engaged principally, or as one of its important activities,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of extending credit for the purpose of buying or carrying Margin Stock.</w:t>
      </w:r>
    </w:p>
    <w:p>
      <w:pPr>
        <w:spacing w:after="0" w:line="166" w:lineRule="exact"/>
        <w:rPr>
          <w:sz w:val="20"/>
          <w:szCs w:val="20"/>
          <w:color w:val="auto"/>
        </w:rPr>
      </w:pPr>
    </w:p>
    <w:p>
      <w:pPr>
        <w:jc w:val="both"/>
        <w:ind w:firstLine="1305"/>
        <w:spacing w:after="0" w:line="259" w:lineRule="auto"/>
        <w:tabs>
          <w:tab w:leader="none" w:pos="179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part of the proceeds of any Loan or any Letter of Credit will be used, whether directly or indirectly, and whether immediately, incidentally or ultimately, to purchase or carry Margin Stock or to extend credit to others for purpose of purchasing or carrying Margin Stock or for any other purpose, in each case to the extent that such use of proceeds would result in a violation of, or be inconsistent with, the provisions of the regulations of the Board, including Regulations T, U or X.</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Neither the Parent Borrower nor any Subsidiary is or is required to be registered as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defined in, or subject to regulation under, the Investment Company Act of 1940.</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i w:val="1"/>
          <w:iCs w:val="1"/>
          <w:color w:val="auto"/>
        </w:rPr>
        <w:t>Use of Proceeds</w:t>
      </w:r>
      <w:r>
        <w:rPr>
          <w:rFonts w:ascii="Arial" w:cs="Arial" w:eastAsia="Arial" w:hAnsi="Arial"/>
          <w:sz w:val="18"/>
          <w:szCs w:val="18"/>
          <w:color w:val="auto"/>
        </w:rPr>
        <w:t>. The Borrowers will use the proceeds of the Loans and will request the issuance of Letters of Credit for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purposes of the Parent Borrower and its Subsidiaries.</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3.14 </w:t>
      </w:r>
      <w:r>
        <w:rPr>
          <w:rFonts w:ascii="Arial" w:cs="Arial" w:eastAsia="Arial" w:hAnsi="Arial"/>
          <w:sz w:val="16"/>
          <w:szCs w:val="16"/>
          <w:b w:val="1"/>
          <w:bCs w:val="1"/>
          <w:i w:val="1"/>
          <w:iCs w:val="1"/>
          <w:color w:val="auto"/>
        </w:rPr>
        <w:t>Tax Returns</w:t>
      </w:r>
      <w:r>
        <w:rPr>
          <w:rFonts w:ascii="Arial" w:cs="Arial" w:eastAsia="Arial" w:hAnsi="Arial"/>
          <w:sz w:val="16"/>
          <w:szCs w:val="16"/>
          <w:color w:val="auto"/>
        </w:rPr>
        <w:t>. Each of the Borrowers and the Subsidiaries has filed or caused to be filed all federal, state, provincial, local and</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Canadian GAAP or Australian GAAP, as the case may be. There is no proposed tax assessment against any Borrower or any Subsidiary thereof that could reasonably be expected to have a Material Adverse Effect.</w:t>
      </w:r>
    </w:p>
    <w:p>
      <w:pPr>
        <w:spacing w:after="0" w:line="15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3.15 </w:t>
      </w:r>
      <w:r>
        <w:rPr>
          <w:rFonts w:ascii="Arial" w:cs="Arial" w:eastAsia="Arial" w:hAnsi="Arial"/>
          <w:sz w:val="16"/>
          <w:szCs w:val="16"/>
          <w:b w:val="1"/>
          <w:bCs w:val="1"/>
          <w:i w:val="1"/>
          <w:iCs w:val="1"/>
          <w:color w:val="auto"/>
        </w:rPr>
        <w:t>No Material Misstatements</w:t>
      </w:r>
      <w:r>
        <w:rPr>
          <w:rFonts w:ascii="Arial" w:cs="Arial" w:eastAsia="Arial" w:hAnsi="Arial"/>
          <w:sz w:val="16"/>
          <w:szCs w:val="16"/>
          <w:color w:val="auto"/>
        </w:rPr>
        <w:t>. No information, report, financial statement, exhibit or schedule furnished by or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Parent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6" w:name="page217"/>
    <w:bookmarkEnd w:id="216"/>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3.16 </w:t>
      </w:r>
      <w:r>
        <w:rPr>
          <w:rFonts w:ascii="Arial" w:cs="Arial" w:eastAsia="Arial" w:hAnsi="Arial"/>
          <w:sz w:val="17"/>
          <w:szCs w:val="17"/>
          <w:b w:val="1"/>
          <w:bCs w:val="1"/>
          <w:i w:val="1"/>
          <w:iCs w:val="1"/>
          <w:color w:val="auto"/>
        </w:rPr>
        <w:t>Employee Benefit Plans</w:t>
      </w:r>
      <w:r>
        <w:rPr>
          <w:rFonts w:ascii="Arial" w:cs="Arial" w:eastAsia="Arial" w:hAnsi="Arial"/>
          <w:sz w:val="17"/>
          <w:szCs w:val="17"/>
          <w:color w:val="auto"/>
        </w:rPr>
        <w:t>. (a) Each of the Borrowers that is subject to ERISA and such Borrower’s ERISA Affiliates is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Schedule 3.16(a), the present value of all benefit liabilities under each Plan (based on those assumptions used for purposes of Financial Accounting Standards No. 87) did not, as of the last annual valuation preceding the Closing Date, exceed the fair market value of the assets of such Plan.</w:t>
      </w:r>
    </w:p>
    <w:p>
      <w:pPr>
        <w:spacing w:after="0" w:line="176" w:lineRule="exact"/>
        <w:rPr>
          <w:sz w:val="20"/>
          <w:szCs w:val="20"/>
          <w:color w:val="auto"/>
        </w:rPr>
      </w:pPr>
    </w:p>
    <w:p>
      <w:pPr>
        <w:jc w:val="both"/>
        <w:ind w:firstLine="1305"/>
        <w:spacing w:after="0" w:line="285" w:lineRule="auto"/>
        <w:tabs>
          <w:tab w:leader="none" w:pos="177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Schedule 3.16(b) sets forth all Canadian Benefit Plans (other than, for greater certainty, universal plans created by and to which the Parent Borrower is obligated to contribute by statute) and Canadian Pension Plans and Defined Benefit Plans as of the Original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Parent Borrower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Parent Borrower,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Parent Borrower and the Canadian Subsidiaries to the Canadian Pension Plans, the Defined Benefit Plans or the Canadian Benefit Plans have been made on a timely basis in accordance with the terms of such plans and all applicable laws. There have been no improper withdrawals or applications of the assets of the Canadian Pension Plans and there have been no improper withdrawals by the Parent Borrower under the Canadian Benefit Plans. None of the Canadian Pension Plans contains a defined benefit provision (within the meaning of section 147.1(1) of the ITA). The obligations of the Parent Borrower and the Canadian Subsidiaries in respect of the Defined Benefit Plans are limited to making fixed contributions to the Defined Benefit Plans pursuant to the terms of the collective agreements entered into between them and the unions representing their employees and, for greater certainty, the Parent Borrower and the Canadian Subsidiaries have no obligation to administer, or fund any deficit in, any Defined Benefit Plan.</w:t>
      </w:r>
    </w:p>
    <w:p>
      <w:pPr>
        <w:spacing w:after="0" w:line="177" w:lineRule="exact"/>
        <w:rPr>
          <w:rFonts w:ascii="Arial" w:cs="Arial" w:eastAsia="Arial" w:hAnsi="Arial"/>
          <w:sz w:val="16"/>
          <w:szCs w:val="16"/>
          <w:color w:val="auto"/>
        </w:rPr>
      </w:pPr>
    </w:p>
    <w:p>
      <w:pPr>
        <w:jc w:val="both"/>
        <w:ind w:firstLine="1305"/>
        <w:spacing w:after="0" w:line="264" w:lineRule="auto"/>
        <w:tabs>
          <w:tab w:leader="none" w:pos="188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or Canada (a “</w:t>
      </w:r>
      <w:r>
        <w:rPr>
          <w:rFonts w:ascii="Arial" w:cs="Arial" w:eastAsia="Arial" w:hAnsi="Arial"/>
          <w:sz w:val="18"/>
          <w:szCs w:val="18"/>
          <w:i w:val="1"/>
          <w:iCs w:val="1"/>
          <w:color w:val="auto"/>
        </w:rPr>
        <w:t>Foreign</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Scheme or Arrangement</w:t>
      </w:r>
      <w:r>
        <w:rPr>
          <w:rFonts w:ascii="Arial" w:cs="Arial" w:eastAsia="Arial" w:hAnsi="Arial"/>
          <w:sz w:val="18"/>
          <w:szCs w:val="18"/>
          <w:color w:val="auto"/>
        </w:rPr>
        <w:t>”) and with respect to each employee benefit plan maintained or contributed to by any Loan Party or any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any Loan Party that is not subject to United States or Canadian law (a “</w:t>
      </w:r>
      <w:r>
        <w:rPr>
          <w:rFonts w:ascii="Arial" w:cs="Arial" w:eastAsia="Arial" w:hAnsi="Arial"/>
          <w:sz w:val="18"/>
          <w:szCs w:val="18"/>
          <w:i w:val="1"/>
          <w:iCs w:val="1"/>
          <w:color w:val="auto"/>
        </w:rPr>
        <w:t>Foreign Plan</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17" w:name="page218"/>
    <w:bookmarkEnd w:id="217"/>
    <w:p>
      <w:pPr>
        <w:jc w:val="both"/>
        <w:ind w:left="660" w:firstLine="1131"/>
        <w:spacing w:after="0" w:line="264" w:lineRule="auto"/>
        <w:tabs>
          <w:tab w:leader="none" w:pos="219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81" w:lineRule="exact"/>
        <w:rPr>
          <w:rFonts w:ascii="Arial" w:cs="Arial" w:eastAsia="Arial" w:hAnsi="Arial"/>
          <w:sz w:val="18"/>
          <w:szCs w:val="18"/>
          <w:color w:val="auto"/>
        </w:rPr>
      </w:pPr>
    </w:p>
    <w:p>
      <w:pPr>
        <w:jc w:val="both"/>
        <w:ind w:left="660" w:firstLine="1131"/>
        <w:spacing w:after="0" w:line="276" w:lineRule="auto"/>
        <w:tabs>
          <w:tab w:leader="none" w:pos="234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w:t>
      </w:r>
    </w:p>
    <w:p>
      <w:pPr>
        <w:spacing w:after="0" w:line="172" w:lineRule="exact"/>
        <w:rPr>
          <w:rFonts w:ascii="Arial" w:cs="Arial" w:eastAsia="Arial" w:hAnsi="Arial"/>
          <w:sz w:val="17"/>
          <w:szCs w:val="17"/>
          <w:color w:val="auto"/>
        </w:rPr>
      </w:pPr>
    </w:p>
    <w:p>
      <w:pPr>
        <w:ind w:left="660" w:firstLine="1131"/>
        <w:spacing w:after="0" w:line="277" w:lineRule="auto"/>
        <w:tabs>
          <w:tab w:leader="none" w:pos="236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i w:val="1"/>
          <w:iCs w:val="1"/>
          <w:color w:val="auto"/>
        </w:rPr>
        <w:t>Environmental Matters</w:t>
      </w:r>
      <w:r>
        <w:rPr>
          <w:rFonts w:ascii="Arial" w:cs="Arial" w:eastAsia="Arial" w:hAnsi="Arial"/>
          <w:sz w:val="16"/>
          <w:szCs w:val="16"/>
          <w:color w:val="auto"/>
        </w:rPr>
        <w:t>. (a) Except as set forth in Schedule 3.17 and except with respect to any other matters that, individually or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aggregate, could not reasonably be expected to result in a Material Adverse Effect, none of the Borrowers or any of the Subsidiaries (i) has failed to comply with any Environmental Law or to obtain, maintain or comply with any permit, license or other approval required under any Environmental Law</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necessary for the ownership and operation of their respective properties and the conduct of their respective businesses as currently conducted, (ii) has become subject to any Environmental Liability, (iii) has received notice of any claim with respect to any Environmental Liability or (iv) knows of any basis for any Environmental Liability.</w:t>
      </w:r>
    </w:p>
    <w:p>
      <w:pPr>
        <w:spacing w:after="0" w:line="181" w:lineRule="exact"/>
        <w:rPr>
          <w:sz w:val="20"/>
          <w:szCs w:val="20"/>
          <w:color w:val="auto"/>
        </w:rPr>
      </w:pPr>
    </w:p>
    <w:p>
      <w:pPr>
        <w:ind w:firstLine="1305"/>
        <w:spacing w:after="0" w:line="277" w:lineRule="auto"/>
        <w:tabs>
          <w:tab w:leader="none" w:pos="17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Since the Original Closing Date, there has been no change in the status of the matters disclosed on Schedule 3.17 that, individually or in the aggregate, has resulted in, or materially increased the likelihood of, a Material Adverse Effect.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Each of the Borrowers and each Subsidiary is insured by insurance providers that it reasonably considers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financially sound (including captive insurance companies, or through self-insurance), in such amounts, with such deductibles and covering such risks and liabilities as are consistent with past practices and is in compliance with the requirements to Section 5.02.</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3.19 </w:t>
      </w:r>
      <w:r>
        <w:rPr>
          <w:rFonts w:ascii="Arial" w:cs="Arial" w:eastAsia="Arial" w:hAnsi="Arial"/>
          <w:sz w:val="17"/>
          <w:szCs w:val="17"/>
          <w:b w:val="1"/>
          <w:bCs w:val="1"/>
          <w:i w:val="1"/>
          <w:iCs w:val="1"/>
          <w:color w:val="auto"/>
        </w:rPr>
        <w:t>Security Documents</w:t>
      </w:r>
      <w:r>
        <w:rPr>
          <w:rFonts w:ascii="Arial" w:cs="Arial" w:eastAsia="Arial" w:hAnsi="Arial"/>
          <w:sz w:val="17"/>
          <w:szCs w:val="17"/>
          <w:color w:val="auto"/>
        </w:rPr>
        <w:t>. (a) Each Pledge Agreement is effective to create in favor of the Applicable Collateral Agent, for the ratable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Secured Parties referred to therein, a legal, valid and enforceable security interest in the Collateral (as defined in such Pledge Agreement) and, when such Collateral (to the extent such Collateral constitutes an instrument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8" w:name="page219"/>
    <w:bookmarkEnd w:id="218"/>
    <w:p>
      <w:pPr>
        <w:jc w:val="both"/>
        <w:ind w:firstLine="1305"/>
        <w:spacing w:after="0" w:line="290" w:lineRule="auto"/>
        <w:tabs>
          <w:tab w:leader="none" w:pos="175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3.20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The Parent Borrower and each of its Subsidiaries own or are licensed or otherwise have the legal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use 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3.21 </w:t>
      </w:r>
      <w:r>
        <w:rPr>
          <w:rFonts w:ascii="Arial" w:cs="Arial" w:eastAsia="Arial" w:hAnsi="Arial"/>
          <w:sz w:val="17"/>
          <w:szCs w:val="17"/>
          <w:b w:val="1"/>
          <w:bCs w:val="1"/>
          <w:i w:val="1"/>
          <w:iCs w:val="1"/>
          <w:color w:val="auto"/>
        </w:rPr>
        <w:t>Labor Matters</w:t>
      </w:r>
      <w:r>
        <w:rPr>
          <w:rFonts w:ascii="Arial" w:cs="Arial" w:eastAsia="Arial" w:hAnsi="Arial"/>
          <w:sz w:val="17"/>
          <w:szCs w:val="17"/>
          <w:color w:val="auto"/>
        </w:rPr>
        <w:t>. As of the First Amendment Effective Date, there are no strikes, lockouts or slowdowns against the 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Subsidiary pending or, to the knowledge of the Borrowers, threatened. The hours worked by and payments made to employees 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17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3.22 </w:t>
      </w:r>
      <w:r>
        <w:rPr>
          <w:rFonts w:ascii="Arial" w:cs="Arial" w:eastAsia="Arial" w:hAnsi="Arial"/>
          <w:sz w:val="17"/>
          <w:szCs w:val="17"/>
          <w:b w:val="1"/>
          <w:bCs w:val="1"/>
          <w:i w:val="1"/>
          <w:iCs w:val="1"/>
          <w:color w:val="auto"/>
        </w:rPr>
        <w:t>Solvency</w:t>
      </w:r>
      <w:r>
        <w:rPr>
          <w:rFonts w:ascii="Arial" w:cs="Arial" w:eastAsia="Arial" w:hAnsi="Arial"/>
          <w:sz w:val="17"/>
          <w:szCs w:val="17"/>
          <w:color w:val="auto"/>
        </w:rPr>
        <w:t>. Immediately following the making of each Loan and the giving of each of the Guarantee Agreements and after giving</w:t>
      </w:r>
      <w:r>
        <w:rPr>
          <w:rFonts w:ascii="Arial" w:cs="Arial" w:eastAsia="Arial" w:hAnsi="Arial"/>
          <w:sz w:val="17"/>
          <w:szCs w:val="17"/>
          <w:b w:val="1"/>
          <w:bCs w:val="1"/>
          <w:color w:val="auto"/>
        </w:rPr>
        <w:t xml:space="preserve"> </w:t>
      </w:r>
      <w:r>
        <w:rPr>
          <w:rFonts w:ascii="Arial" w:cs="Arial" w:eastAsia="Arial" w:hAnsi="Arial"/>
          <w:sz w:val="17"/>
          <w:szCs w:val="17"/>
          <w:color w:val="auto"/>
        </w:rPr>
        <w:t>effect to the application of the proceeds of each Loan, the Parent Borrower and its subsidiaries on a consolidated basis will be Solvent.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9" w:name="page220"/>
    <w:bookmarkEnd w:id="219"/>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3.23 </w:t>
      </w:r>
      <w:r>
        <w:rPr>
          <w:rFonts w:ascii="Arial" w:cs="Arial" w:eastAsia="Arial" w:hAnsi="Arial"/>
          <w:sz w:val="17"/>
          <w:szCs w:val="17"/>
          <w:b w:val="1"/>
          <w:bCs w:val="1"/>
          <w:i w:val="1"/>
          <w:iCs w:val="1"/>
          <w:color w:val="auto"/>
        </w:rPr>
        <w:t>Anti-Corruption Laws</w:t>
      </w:r>
      <w:r>
        <w:rPr>
          <w:rFonts w:ascii="Arial" w:cs="Arial" w:eastAsia="Arial" w:hAnsi="Arial"/>
          <w:sz w:val="17"/>
          <w:szCs w:val="17"/>
          <w:color w:val="auto"/>
        </w:rPr>
        <w:t>. None of the Parent Borrower and its subsidiaries nor, to the knowledge of the Loan Parties, any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or officer acting on behalf of any the Parent Borrower or any of its subsidiaries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i w:val="1"/>
          <w:iCs w:val="1"/>
          <w:color w:val="auto"/>
        </w:rPr>
        <w:t>Anti-Money Laundering Laws</w:t>
      </w:r>
      <w:r>
        <w:rPr>
          <w:rFonts w:ascii="Arial" w:cs="Arial" w:eastAsia="Arial" w:hAnsi="Arial"/>
          <w:sz w:val="18"/>
          <w:szCs w:val="18"/>
          <w:color w:val="auto"/>
        </w:rPr>
        <w:t>. The operations of the Parent Borrower and each subsidiary are and have been conducted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 in compliance with Anti-Money Laundering Laws in all material respects and no action, suit or proceeding by or before any court or Governmental Agency or any arbitrator involving the Parent Borrower or any of its subsidiaries with respect to Anti-Money Laundering Laws is pending and no such actions, suits or proceedings have been threatened.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b w:val="1"/>
          <w:bCs w:val="1"/>
          <w:i w:val="1"/>
          <w:iCs w:val="1"/>
          <w:color w:val="auto"/>
        </w:rPr>
        <w:t>Foreign Assets Control Regulations, etc.</w:t>
      </w:r>
      <w:r>
        <w:rPr>
          <w:rFonts w:ascii="Arial" w:cs="Arial" w:eastAsia="Arial" w:hAnsi="Arial"/>
          <w:sz w:val="18"/>
          <w:szCs w:val="18"/>
          <w:color w:val="auto"/>
        </w:rPr>
        <w:t>. (a) The Parent Borrower and its subsidiaries are in compliance with the FCPA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and Foreign Transactions Reporting Act of 1970 and, (b) to the knowledge of the Loan Parties, no director, officer or employee of any Loan Party or any of their subsidiaries is the target of any Sanctions Laws and Regulations, in each case where such violation or sanctions could, individually or in the aggregate, reasonably be expected to have a Material Adverse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 AND FUNDING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the Lenders to make Loans and of the Issuing Banks to issue Letters of Credit hereunder are subject to the satisfaction of the following conditions: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i w:val="1"/>
          <w:iCs w:val="1"/>
          <w:color w:val="auto"/>
        </w:rPr>
        <w:t>Conditions to All Credit Events</w:t>
      </w:r>
      <w:r>
        <w:rPr>
          <w:rFonts w:ascii="Arial" w:cs="Arial" w:eastAsia="Arial" w:hAnsi="Arial"/>
          <w:sz w:val="18"/>
          <w:szCs w:val="18"/>
          <w:color w:val="auto"/>
        </w:rPr>
        <w:t>. On the date of each Borrowing and on the date of each issuance, amendment, extension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renewal of a Letter of Credit (each such event being called a “</w:t>
      </w:r>
      <w:r>
        <w:rPr>
          <w:rFonts w:ascii="Arial" w:cs="Arial" w:eastAsia="Arial" w:hAnsi="Arial"/>
          <w:sz w:val="18"/>
          <w:szCs w:val="18"/>
          <w:i w:val="1"/>
          <w:iCs w:val="1"/>
          <w:color w:val="auto"/>
        </w:rPr>
        <w:t>Credit Event</w:t>
      </w:r>
      <w:r>
        <w:rPr>
          <w:rFonts w:ascii="Arial" w:cs="Arial" w:eastAsia="Arial" w:hAnsi="Arial"/>
          <w:sz w:val="18"/>
          <w:szCs w:val="18"/>
          <w:color w:val="auto"/>
        </w:rPr>
        <w:t>”):</w:t>
      </w:r>
    </w:p>
    <w:p>
      <w:pPr>
        <w:spacing w:after="0" w:line="166" w:lineRule="exact"/>
        <w:rPr>
          <w:sz w:val="20"/>
          <w:szCs w:val="20"/>
          <w:color w:val="auto"/>
        </w:rPr>
      </w:pPr>
    </w:p>
    <w:p>
      <w:pPr>
        <w:jc w:val="both"/>
        <w:ind w:firstLine="1305"/>
        <w:spacing w:after="0" w:line="276" w:lineRule="auto"/>
        <w:tabs>
          <w:tab w:leader="none" w:pos="172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172" w:lineRule="exact"/>
        <w:rPr>
          <w:rFonts w:ascii="Arial" w:cs="Arial" w:eastAsia="Arial" w:hAnsi="Arial"/>
          <w:sz w:val="17"/>
          <w:szCs w:val="17"/>
          <w:color w:val="auto"/>
        </w:rPr>
      </w:pPr>
    </w:p>
    <w:p>
      <w:pPr>
        <w:jc w:val="both"/>
        <w:ind w:firstLine="1305"/>
        <w:spacing w:after="0" w:line="273" w:lineRule="auto"/>
        <w:tabs>
          <w:tab w:leader="none" w:pos="180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hereof and in each other Loan Document shall be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20" w:name="page221"/>
    <w:bookmarkEnd w:id="220"/>
    <w:p>
      <w:pPr>
        <w:jc w:val="both"/>
        <w:ind w:right="20" w:firstLine="1305"/>
        <w:spacing w:after="0" w:line="264" w:lineRule="auto"/>
        <w:tabs>
          <w:tab w:leader="none" w:pos="174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Immediately after giving effect to such Borrowing, no mandatory prepayment would be required under Section 2.12(d).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Credit Event shall be deemed to constitute a representation and warranty by the Borrowers on the date of such Credit Event as to the matters specified in paragraphs (b), (c) and (d) of this Section 4.01.</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5"/>
          <w:szCs w:val="15"/>
          <w:b w:val="1"/>
          <w:bCs w:val="1"/>
          <w:i w:val="1"/>
          <w:iCs w:val="1"/>
          <w:color w:val="auto"/>
        </w:rPr>
        <w:t>Conditions to Closing</w:t>
      </w:r>
      <w:r>
        <w:rPr>
          <w:rFonts w:ascii="Arial" w:cs="Arial" w:eastAsia="Arial" w:hAnsi="Arial"/>
          <w:sz w:val="15"/>
          <w:szCs w:val="15"/>
          <w:color w:val="auto"/>
        </w:rPr>
        <w:t>. On or before the Closing Date,</w:t>
      </w:r>
    </w:p>
    <w:p>
      <w:pPr>
        <w:spacing w:after="0" w:line="229" w:lineRule="exact"/>
        <w:rPr>
          <w:sz w:val="20"/>
          <w:szCs w:val="20"/>
          <w:color w:val="auto"/>
        </w:rPr>
      </w:pPr>
    </w:p>
    <w:p>
      <w:pPr>
        <w:ind w:firstLine="1305"/>
        <w:spacing w:after="0" w:line="277" w:lineRule="auto"/>
        <w:tabs>
          <w:tab w:leader="none" w:pos="17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Administrative Agents shall have received, on behalf of themselves, the Lenders and the Issuing Banks all documents necessary for the occurrence of the Closing Date, including, without limitation:</w:t>
      </w:r>
    </w:p>
    <w:p>
      <w:pPr>
        <w:spacing w:after="0" w:line="170" w:lineRule="exact"/>
        <w:rPr>
          <w:rFonts w:ascii="Arial" w:cs="Arial" w:eastAsia="Arial" w:hAnsi="Arial"/>
          <w:sz w:val="18"/>
          <w:szCs w:val="18"/>
          <w:color w:val="auto"/>
        </w:rPr>
      </w:pPr>
    </w:p>
    <w:p>
      <w:pPr>
        <w:ind w:left="660" w:right="20" w:firstLine="1131"/>
        <w:spacing w:after="0" w:line="277" w:lineRule="auto"/>
        <w:tabs>
          <w:tab w:leader="none" w:pos="2295"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this Agreement, executed and delivered by the Agents, the Borrowers, the Guarantors existing as of the Closing Date, the Lenders, the Issuing Lenders and the Exiting Australian Lenders;</w:t>
      </w:r>
    </w:p>
    <w:p>
      <w:pPr>
        <w:spacing w:after="0" w:line="170" w:lineRule="exact"/>
        <w:rPr>
          <w:rFonts w:ascii="Arial" w:cs="Arial" w:eastAsia="Arial" w:hAnsi="Arial"/>
          <w:sz w:val="18"/>
          <w:szCs w:val="18"/>
          <w:color w:val="auto"/>
        </w:rPr>
      </w:pPr>
    </w:p>
    <w:p>
      <w:pPr>
        <w:ind w:left="2240" w:hanging="449"/>
        <w:spacing w:after="0"/>
        <w:tabs>
          <w:tab w:leader="none" w:pos="22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any Note requested by a Lender pursuant to Section 2.04 of this Agreement payable to such requesting Lender;</w:t>
      </w:r>
    </w:p>
    <w:p>
      <w:pPr>
        <w:spacing w:after="0" w:line="225" w:lineRule="exact"/>
        <w:rPr>
          <w:rFonts w:ascii="Arial" w:cs="Arial" w:eastAsia="Arial" w:hAnsi="Arial"/>
          <w:sz w:val="18"/>
          <w:szCs w:val="18"/>
          <w:color w:val="auto"/>
        </w:rPr>
      </w:pPr>
    </w:p>
    <w:p>
      <w:pPr>
        <w:ind w:left="660" w:firstLine="1131"/>
        <w:spacing w:after="0" w:line="277" w:lineRule="auto"/>
        <w:tabs>
          <w:tab w:leader="none" w:pos="2399" w:val="left"/>
        </w:tabs>
        <w:numPr>
          <w:ilvl w:val="2"/>
          <w:numId w:val="259"/>
        </w:numPr>
        <w:rPr>
          <w:rFonts w:ascii="Arial" w:cs="Arial" w:eastAsia="Arial" w:hAnsi="Arial"/>
          <w:sz w:val="18"/>
          <w:szCs w:val="18"/>
          <w:color w:val="auto"/>
        </w:rPr>
      </w:pPr>
      <w:r>
        <w:rPr>
          <w:rFonts w:ascii="Arial" w:cs="Arial" w:eastAsia="Arial" w:hAnsi="Arial"/>
          <w:sz w:val="18"/>
          <w:szCs w:val="18"/>
          <w:color w:val="auto"/>
        </w:rPr>
        <w:t>if applicable, a certificate as to the good standing of each Noralta Acquired Entity as of a recent date, from the relevant Governmental Authority of the state or jurisdiction of its organization;</w:t>
      </w:r>
    </w:p>
    <w:p>
      <w:pPr>
        <w:spacing w:after="0" w:line="170" w:lineRule="exact"/>
        <w:rPr>
          <w:rFonts w:ascii="Arial" w:cs="Arial" w:eastAsia="Arial" w:hAnsi="Arial"/>
          <w:sz w:val="18"/>
          <w:szCs w:val="18"/>
          <w:color w:val="auto"/>
        </w:rPr>
      </w:pPr>
    </w:p>
    <w:p>
      <w:pPr>
        <w:jc w:val="both"/>
        <w:ind w:left="660" w:firstLine="1131"/>
        <w:spacing w:after="0" w:line="254" w:lineRule="auto"/>
        <w:tabs>
          <w:tab w:leader="none" w:pos="2344"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the results of searches of filings at the applicable provincial or territorial personal property security registries in Canada, as applicable (made with respect to each Noralta Acquired Entity in each jurisdiction within Canada in which such person is organized and in each jurisdiction where a Noralta Acquired Entity owns or holds personal property, and the other jurisdictions in which registrations pursuant to the PPSA (Alberta) or the equivalent personal property security legislation of the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after giving effect to the Noralta Acquisition on the Closing Date;</w:t>
      </w:r>
    </w:p>
    <w:p>
      <w:pPr>
        <w:spacing w:after="0" w:line="192" w:lineRule="exact"/>
        <w:rPr>
          <w:rFonts w:ascii="Arial" w:cs="Arial" w:eastAsia="Arial" w:hAnsi="Arial"/>
          <w:sz w:val="18"/>
          <w:szCs w:val="18"/>
          <w:color w:val="auto"/>
        </w:rPr>
      </w:pPr>
    </w:p>
    <w:p>
      <w:pPr>
        <w:jc w:val="both"/>
        <w:ind w:left="660" w:firstLine="1131"/>
        <w:spacing w:after="0" w:line="288" w:lineRule="auto"/>
        <w:tabs>
          <w:tab w:leader="none" w:pos="2236" w:val="left"/>
        </w:tabs>
        <w:numPr>
          <w:ilvl w:val="2"/>
          <w:numId w:val="259"/>
        </w:numPr>
        <w:rPr>
          <w:rFonts w:ascii="Arial" w:cs="Arial" w:eastAsia="Arial" w:hAnsi="Arial"/>
          <w:sz w:val="16"/>
          <w:szCs w:val="16"/>
          <w:color w:val="auto"/>
        </w:rPr>
      </w:pPr>
      <w:r>
        <w:rPr>
          <w:rFonts w:ascii="Arial" w:cs="Arial" w:eastAsia="Arial" w:hAnsi="Arial"/>
          <w:sz w:val="16"/>
          <w:szCs w:val="16"/>
          <w:color w:val="auto"/>
        </w:rPr>
        <w:t>all documentation and other information that the Administrative Agents, the Lead Arranger or the Lenders shall have requested in order to comply with their respective obligations under applicable “know your customer” and anti-money laundering rules and regulations, including the Patriot Act, in each case to the extent such documentation and other information shall have been reasonably requested not less than five</w:t>
      </w:r>
    </w:p>
    <w:p>
      <w:pPr>
        <w:ind w:left="920" w:hanging="264"/>
        <w:spacing w:after="0"/>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Business Days prior to the Closing Date; and</w:t>
      </w:r>
    </w:p>
    <w:p>
      <w:pPr>
        <w:spacing w:after="0" w:line="210" w:lineRule="exact"/>
        <w:rPr>
          <w:rFonts w:ascii="Arial" w:cs="Arial" w:eastAsia="Arial" w:hAnsi="Arial"/>
          <w:sz w:val="18"/>
          <w:szCs w:val="18"/>
          <w:color w:val="auto"/>
        </w:rPr>
      </w:pPr>
    </w:p>
    <w:p>
      <w:pPr>
        <w:ind w:left="2320" w:hanging="529"/>
        <w:spacing w:after="0"/>
        <w:tabs>
          <w:tab w:leader="none" w:pos="2320" w:val="left"/>
        </w:tabs>
        <w:numPr>
          <w:ilvl w:val="2"/>
          <w:numId w:val="260"/>
        </w:numPr>
        <w:rPr>
          <w:rFonts w:ascii="Arial" w:cs="Arial" w:eastAsia="Arial" w:hAnsi="Arial"/>
          <w:sz w:val="17"/>
          <w:szCs w:val="17"/>
          <w:color w:val="auto"/>
        </w:rPr>
      </w:pPr>
      <w:r>
        <w:rPr>
          <w:rFonts w:ascii="Arial" w:cs="Arial" w:eastAsia="Arial" w:hAnsi="Arial"/>
          <w:sz w:val="17"/>
          <w:szCs w:val="17"/>
          <w:color w:val="auto"/>
        </w:rPr>
        <w:t>such other documents as Administrative Agent or special counsel to Administrative Agent may reasonably request;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1" w:name="page222"/>
    <w:bookmarkEnd w:id="221"/>
    <w:p>
      <w:pPr>
        <w:jc w:val="both"/>
        <w:ind w:firstLine="1305"/>
        <w:spacing w:after="0" w:line="288" w:lineRule="auto"/>
        <w:tabs>
          <w:tab w:leader="none" w:pos="1775"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the Administrative Agents and the Lead Arranger shall have received all Fees and other amounts due and payable on or prior to the Closing Date, including, without limitation, (i)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 and (ii) a consent fee for the account of each Lender (the “</w:t>
      </w:r>
      <w:r>
        <w:rPr>
          <w:rFonts w:ascii="Arial" w:cs="Arial" w:eastAsia="Arial" w:hAnsi="Arial"/>
          <w:sz w:val="16"/>
          <w:szCs w:val="16"/>
          <w:u w:val="single" w:color="auto"/>
          <w:color w:val="auto"/>
        </w:rPr>
        <w:t>Consent Fees</w:t>
      </w:r>
      <w:r>
        <w:rPr>
          <w:rFonts w:ascii="Arial" w:cs="Arial" w:eastAsia="Arial" w:hAnsi="Arial"/>
          <w:sz w:val="16"/>
          <w:szCs w:val="16"/>
          <w:color w:val="auto"/>
        </w:rPr>
        <w:t>”) in an amount equal to (A) except as provided in clause (B) below, 0.25% of the aggregate principal amount of the outstanding Canadian Term Loans, the U.S. Revolving Commitment, the Canadian Revolving Commitment and the Australian Revolving Commitment of such Lender as of the Closing Date and (B) 0.35% of the aggregate principal amount of any increase to a Lender’s U.S. Revolving Commitment, the Canadian Revolving Commitment and the Australian Revolving Commitment of such Lender as of the Closing Date from the Commitments then in effect under the Existing Credit Agreement immediately prior to the Closing Date, which Consent Fees shall be payable (1) in U.S. dollars for the U.S. Revolving Commitment, (2) in U.S. Dollar Equivalent for the Australian Revolving Commitment and the Canadian Revolving Commitment and (3) in Canadian dollars for the Canadian Term Loans;</w:t>
      </w:r>
    </w:p>
    <w:p>
      <w:pPr>
        <w:spacing w:after="0" w:line="169" w:lineRule="exact"/>
        <w:rPr>
          <w:rFonts w:ascii="Arial" w:cs="Arial" w:eastAsia="Arial" w:hAnsi="Arial"/>
          <w:sz w:val="16"/>
          <w:szCs w:val="16"/>
          <w:color w:val="auto"/>
        </w:rPr>
      </w:pPr>
    </w:p>
    <w:p>
      <w:pPr>
        <w:jc w:val="both"/>
        <w:ind w:firstLine="1305"/>
        <w:spacing w:after="0" w:line="273" w:lineRule="auto"/>
        <w:tabs>
          <w:tab w:leader="none" w:pos="1806" w:val="left"/>
        </w:tabs>
        <w:numPr>
          <w:ilvl w:val="1"/>
          <w:numId w:val="261"/>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hereof and in each other Loan Document shall be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76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 and</w:t>
      </w:r>
    </w:p>
    <w:p>
      <w:pPr>
        <w:spacing w:after="0" w:line="181" w:lineRule="exact"/>
        <w:rPr>
          <w:rFonts w:ascii="Arial" w:cs="Arial" w:eastAsia="Arial" w:hAnsi="Arial"/>
          <w:sz w:val="18"/>
          <w:szCs w:val="18"/>
          <w:color w:val="auto"/>
        </w:rPr>
      </w:pPr>
    </w:p>
    <w:p>
      <w:pPr>
        <w:jc w:val="both"/>
        <w:ind w:firstLine="1305"/>
        <w:spacing w:after="0" w:line="291" w:lineRule="auto"/>
        <w:tabs>
          <w:tab w:leader="none" w:pos="1924"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the Parent Borrower shall have consummated the Noralta Acquisition, and the Parent Borrower shall have delivered to the Administrative Agent a certificate of a Financial Officer certifying that (i) the Parent Borrower (A) is in compliance with Section 6.10 and Section 6.11 and</w:t>
      </w:r>
    </w:p>
    <w:p>
      <w:pPr>
        <w:jc w:val="both"/>
        <w:ind w:firstLine="8"/>
        <w:spacing w:after="0" w:line="284" w:lineRule="auto"/>
        <w:tabs>
          <w:tab w:leader="none" w:pos="30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after giving effect to the Noralta Acquisition, (x) have a Total Leverage Ratio less than or equal to the Total Leverage Ratio immediately prior to the Noralta Acquisition,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the final proviso of Section 6.04(i)) to such transaction and to any other event occurring during or after such period as to which pro forma recalculation is appropriate as if such transaction had occurred as of the first day of such period and that such pro forma calculations have been prepared in good faith based upon reasonable assumptions, (y) the Parent Borrower and its subsidiaries, taken as a whole, will be Solvent on the Closing Date and (z) there are least U.S.$25,000,000 of the Revolving Commitments unused and available and (ii) (A) attached to such certificate are true, correct and complete copies of the Noralta Purchase Agreement and all side letters and each other material agreements and assignments (including any assignments and bills of sale) executed and delivered in connection with the Noralta Acquisition (collectively, the “</w:t>
      </w:r>
      <w:r>
        <w:rPr>
          <w:rFonts w:ascii="Arial" w:cs="Arial" w:eastAsia="Arial" w:hAnsi="Arial"/>
          <w:sz w:val="16"/>
          <w:szCs w:val="16"/>
          <w:u w:val="single" w:color="auto"/>
          <w:color w:val="auto"/>
        </w:rPr>
        <w:t>Noralta</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 Documents</w:t>
      </w:r>
      <w:r>
        <w:rPr>
          <w:rFonts w:ascii="Arial" w:cs="Arial" w:eastAsia="Arial" w:hAnsi="Arial"/>
          <w:sz w:val="16"/>
          <w:szCs w:val="16"/>
          <w:color w:val="auto"/>
        </w:rPr>
        <w:t>”), which Noralta Acquisition Documents shall be reasonably acceptable to the Administrative Agent, (B) the Parent Borrower is (x) consummating the Noralta Acquisition substantially in accordance with the terms of the Noralta Acquisition Documents (without any material waiver or amendment thereof not otherwise approved by the Administrative Agent including, without limitation, any waiver or amendment of any term, or exercise of any option by the Borrower, that results in the removal of any Acquired Entity from the Noralta Acquisition) and (y) acquiring substantially all of the assets and Acquired Entities contemplated by the Noralta Acquisition Documents, (C) all governmental and third party consents and all equity holder and board of director (or comparable entity management body) authorizations of the Noralta Acquisition required to be obtained by any Loan Party have been obtained and are in full force and effect, and (D) as to such other related documents and information as the Administrative Agent shall have reasonably requested.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i w:val="1"/>
          <w:iCs w:val="1"/>
          <w:color w:val="auto"/>
        </w:rPr>
        <w:t>Existence; Businesses and Properties</w:t>
      </w:r>
      <w:r>
        <w:rPr>
          <w:rFonts w:ascii="Arial" w:cs="Arial" w:eastAsia="Arial" w:hAnsi="Arial"/>
          <w:sz w:val="18"/>
          <w:szCs w:val="18"/>
          <w:color w:val="auto"/>
        </w:rPr>
        <w:t>. (a) Do or cause to be done all things necessary to preserve, renew and keep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84" w:lineRule="exact"/>
        <w:rPr>
          <w:sz w:val="20"/>
          <w:szCs w:val="20"/>
          <w:color w:val="auto"/>
        </w:rPr>
      </w:pPr>
    </w:p>
    <w:p>
      <w:pPr>
        <w:jc w:val="both"/>
        <w:ind w:right="20" w:firstLine="1305"/>
        <w:spacing w:after="0" w:line="264" w:lineRule="auto"/>
        <w:tabs>
          <w:tab w:leader="none" w:pos="179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77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(a) Maintain insurance with insurance providers that it reasonably considers to be financially sound (including captive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companies, or through self-insurance), in such amounts, with such deductibles and covering such risks and liabilities as are consistent with its past practices.</w:t>
      </w:r>
    </w:p>
    <w:p>
      <w:pPr>
        <w:spacing w:after="0" w:line="180" w:lineRule="exact"/>
        <w:rPr>
          <w:sz w:val="20"/>
          <w:szCs w:val="20"/>
          <w:color w:val="auto"/>
        </w:rPr>
      </w:pPr>
    </w:p>
    <w:p>
      <w:pPr>
        <w:jc w:val="both"/>
        <w:ind w:firstLine="1305"/>
        <w:spacing w:after="0" w:line="267" w:lineRule="auto"/>
        <w:tabs>
          <w:tab w:leader="none" w:pos="177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 Cause all such policies (other than policies relating to public liability, third party claims or workers’ compensation) covering any Collateral to be endorsed or otherwise 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Closing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23" w:name="page224"/>
    <w:bookmarkEnd w:id="223"/>
    <w:p>
      <w:pPr>
        <w:jc w:val="both"/>
        <w:ind w:firstLine="1305"/>
        <w:spacing w:after="0" w:line="264" w:lineRule="auto"/>
        <w:tabs>
          <w:tab w:leader="none" w:pos="178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b w:val="1"/>
          <w:bCs w:val="1"/>
          <w:i w:val="1"/>
          <w:iCs w:val="1"/>
          <w:color w:val="auto"/>
        </w:rPr>
        <w:t>Obligations and Taxes</w:t>
      </w:r>
      <w:r>
        <w:rPr>
          <w:rFonts w:ascii="Arial" w:cs="Arial" w:eastAsia="Arial" w:hAnsi="Arial"/>
          <w:sz w:val="18"/>
          <w:szCs w:val="18"/>
          <w:color w:val="auto"/>
        </w:rPr>
        <w:t>. Pay its Indebtedness and other obligations promptly and in accordance with their terms and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 with GAAP, Canadian GAAP or Australian GAAP, as the case may be, and such contest operates to suspend collection of the contested obligation, tax, assessment or charge and enforcement of a Lien.</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i w:val="1"/>
          <w:iCs w:val="1"/>
          <w:color w:val="auto"/>
        </w:rPr>
        <w:t>Financial Statements, Reports, etc.</w:t>
      </w:r>
      <w:r>
        <w:rPr>
          <w:rFonts w:ascii="Arial" w:cs="Arial" w:eastAsia="Arial" w:hAnsi="Arial"/>
          <w:sz w:val="16"/>
          <w:szCs w:val="16"/>
          <w:color w:val="auto"/>
        </w:rPr>
        <w:t>. Furnish to the Administrative Agent and, in the case of Section 5.04(f) or (g), the applicable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both"/>
        <w:ind w:firstLine="1305"/>
        <w:spacing w:after="0" w:line="270" w:lineRule="auto"/>
        <w:tabs>
          <w:tab w:leader="none" w:pos="179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within five Business Days after the date in each fiscal year on which the Parent Borrower is required to file its Annual Report on Form 10-K with the SEC (or would be required if the Parent Borrower is no longer required to file regular and periodic reports with the SEC), in each case without giving effect to any extension thereof, the audited consolidated balance sheet and related consolidated statements of income, stockholders’ equity and comprehensive income and cash flows of the Parent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Parent Borrower and its consolidated subsidiaries on a consolidated basis in accordance with GAAP;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4" w:name="page225"/>
    <w:bookmarkEnd w:id="224"/>
    <w:p>
      <w:pPr>
        <w:jc w:val="both"/>
        <w:ind w:firstLine="1305"/>
        <w:spacing w:after="0" w:line="271" w:lineRule="auto"/>
        <w:tabs>
          <w:tab w:leader="none" w:pos="177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within five Business Days after each date in each fiscal year on which the Parent Borrower is required to file a Quarterly Report on Form 10-Q with the SEC (or would be required if the Parent Borrower is no longer required to file regular and periodic reports with the SEC), in each case without giving effect to any extension thereof, the unaudited consolidated balance sheets and related condensed statements of operations and cash flows of the Parent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Parent Borrower and its consolidated subsidiaries on a consolidated basis in accordance with GAAP, subject to normal year-end audit adjustments and the absence of footnotes;</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81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paragraph (a) or (b) above, a certificate in the form of Exhibit G (a “</w:t>
      </w:r>
      <w:r>
        <w:rPr>
          <w:rFonts w:ascii="Arial" w:cs="Arial" w:eastAsia="Arial" w:hAnsi="Arial"/>
          <w:sz w:val="18"/>
          <w:szCs w:val="18"/>
          <w:i w:val="1"/>
          <w:iCs w:val="1"/>
          <w:color w:val="auto"/>
        </w:rPr>
        <w:t>Compliance Certificate</w:t>
      </w:r>
      <w:r>
        <w:rPr>
          <w:rFonts w:ascii="Arial" w:cs="Arial" w:eastAsia="Arial" w:hAnsi="Arial"/>
          <w:sz w:val="18"/>
          <w:szCs w:val="18"/>
          <w:color w:val="auto"/>
        </w:rPr>
        <w:t>”) of a Financial Officer (i) certifying that no Event of Default or Default has occurred or, if such an Event of Default or Default has occurred, specifying the nature and extent thereof and any corrective action taken or proposed to be taken with respect thereto and (ii) setting forth computations in detail reasonably satisfactory to the Agents demonstrating compliance with the Financial Covenants;</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176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promptly upon receipt thereof, copies of any audit or other reports delivered to the board of directors of the Parent Borrower (or the audit committee of such board) by an independent registered public accounting firm in connection with such firm’s audit of the consolidated financial statements of the Parent Borrower if such reports identify material weaknesses in internal controls over financial reporting of the Parent Borrower;</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81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(other than filings under Section 16 of the Securities Exchange Act of 1934) filed by the Parent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86" w:lineRule="exact"/>
        <w:rPr>
          <w:rFonts w:ascii="Arial" w:cs="Arial" w:eastAsia="Arial" w:hAnsi="Arial"/>
          <w:sz w:val="18"/>
          <w:szCs w:val="18"/>
          <w:color w:val="auto"/>
        </w:rPr>
      </w:pPr>
    </w:p>
    <w:p>
      <w:pPr>
        <w:ind w:firstLine="1305"/>
        <w:spacing w:after="0" w:line="308" w:lineRule="auto"/>
        <w:tabs>
          <w:tab w:leader="none" w:pos="170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146" w:lineRule="exact"/>
        <w:rPr>
          <w:rFonts w:ascii="Arial" w:cs="Arial" w:eastAsia="Arial" w:hAnsi="Arial"/>
          <w:sz w:val="17"/>
          <w:szCs w:val="17"/>
          <w:color w:val="auto"/>
        </w:rPr>
      </w:pPr>
    </w:p>
    <w:p>
      <w:pPr>
        <w:ind w:left="1740" w:hanging="435"/>
        <w:spacing w:after="0"/>
        <w:tabs>
          <w:tab w:leader="none" w:pos="174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promptly, following a request by any Lender, an updated organizational chart of the Parent Borrower and its subsidiaries; and</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190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5" w:name="page226"/>
    <w:bookmarkEnd w:id="225"/>
    <w:p>
      <w:pPr>
        <w:jc w:val="both"/>
        <w:ind w:firstLine="648"/>
        <w:spacing w:after="0" w:line="270" w:lineRule="auto"/>
        <w:rPr>
          <w:sz w:val="20"/>
          <w:szCs w:val="20"/>
          <w:color w:val="auto"/>
        </w:rPr>
      </w:pPr>
      <w:r>
        <w:rPr>
          <w:rFonts w:ascii="Arial" w:cs="Arial" w:eastAsia="Arial" w:hAnsi="Arial"/>
          <w:sz w:val="17"/>
          <w:szCs w:val="17"/>
          <w:color w:val="auto"/>
        </w:rPr>
        <w:t>Documents required to be delivered pursuant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Parent Borrower’s website on the Internet at http://www.civeo.com, (ii) shall be available on the website of the SEC at http://www.sec.gov or (iii) shall have been posted on the Parent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Parent Borrower with any such request for delivery, and each Lender shall be solely responsible for requesting delivery to it or maintaining its copies of such documents.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Parent Borrower hereby acknowledges that (a) the Agents will make available to the Lenders and the Issuing Banks materials and/or information provided by or on behalf of the Loan Parties hereunder (collectively, the “</w:t>
      </w:r>
      <w:r>
        <w:rPr>
          <w:rFonts w:ascii="Arial" w:cs="Arial" w:eastAsia="Arial" w:hAnsi="Arial"/>
          <w:sz w:val="17"/>
          <w:szCs w:val="17"/>
          <w:i w:val="1"/>
          <w:iCs w:val="1"/>
          <w:color w:val="auto"/>
        </w:rPr>
        <w:t>Borrower Materials</w:t>
      </w:r>
      <w:r>
        <w:rPr>
          <w:rFonts w:ascii="Arial" w:cs="Arial" w:eastAsia="Arial" w:hAnsi="Arial"/>
          <w:sz w:val="17"/>
          <w:szCs w:val="17"/>
          <w:color w:val="auto"/>
        </w:rPr>
        <w:t>”) by posting the Borrower Materials on SyndTrak or another similar electronic system (the “</w:t>
      </w:r>
      <w:r>
        <w:rPr>
          <w:rFonts w:ascii="Arial" w:cs="Arial" w:eastAsia="Arial" w:hAnsi="Arial"/>
          <w:sz w:val="17"/>
          <w:szCs w:val="17"/>
          <w:i w:val="1"/>
          <w:iCs w:val="1"/>
          <w:color w:val="auto"/>
        </w:rPr>
        <w:t>Platform</w:t>
      </w:r>
      <w:r>
        <w:rPr>
          <w:rFonts w:ascii="Arial" w:cs="Arial" w:eastAsia="Arial" w:hAnsi="Arial"/>
          <w:sz w:val="17"/>
          <w:szCs w:val="17"/>
          <w:color w:val="auto"/>
        </w:rPr>
        <w:t>”) and (b) certain of the Lenders may be “public-side” Lenders (i.e., Lenders that do not wish to receive material non-public information with respect to any Loan Party or its securities) (each, a “</w:t>
      </w:r>
      <w:r>
        <w:rPr>
          <w:rFonts w:ascii="Arial" w:cs="Arial" w:eastAsia="Arial" w:hAnsi="Arial"/>
          <w:sz w:val="17"/>
          <w:szCs w:val="17"/>
          <w:i w:val="1"/>
          <w:iCs w:val="1"/>
          <w:color w:val="auto"/>
        </w:rPr>
        <w:t>Public Lender</w:t>
      </w:r>
      <w:r>
        <w:rPr>
          <w:rFonts w:ascii="Arial" w:cs="Arial" w:eastAsia="Arial" w:hAnsi="Arial"/>
          <w:sz w:val="17"/>
          <w:szCs w:val="17"/>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such Borrower Materials constitute Information, they shall be treated as set forth in Section 9.16).</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b w:val="1"/>
          <w:bCs w:val="1"/>
          <w:i w:val="1"/>
          <w:iCs w:val="1"/>
          <w:color w:val="auto"/>
        </w:rPr>
        <w:t>Litigation and Other Notices</w:t>
      </w:r>
      <w:r>
        <w:rPr>
          <w:rFonts w:ascii="Arial" w:cs="Arial" w:eastAsia="Arial" w:hAnsi="Arial"/>
          <w:sz w:val="18"/>
          <w:szCs w:val="18"/>
          <w:color w:val="auto"/>
        </w:rPr>
        <w:t>. Upon obtaining knowledge thereof, furnish to the Administrative Agents prompt written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166" w:lineRule="exact"/>
        <w:rPr>
          <w:sz w:val="20"/>
          <w:szCs w:val="20"/>
          <w:color w:val="auto"/>
        </w:rPr>
      </w:pPr>
    </w:p>
    <w:p>
      <w:pPr>
        <w:ind w:firstLine="1305"/>
        <w:spacing w:after="0" w:line="277" w:lineRule="auto"/>
        <w:tabs>
          <w:tab w:leader="none" w:pos="178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Event of Default or Default, specifying the nature and extent thereof and the corrective action (if any) taken or proposed to be taken with respect thereto;</w:t>
      </w:r>
    </w:p>
    <w:p>
      <w:pPr>
        <w:spacing w:after="0" w:line="170" w:lineRule="exact"/>
        <w:rPr>
          <w:rFonts w:ascii="Arial" w:cs="Arial" w:eastAsia="Arial" w:hAnsi="Arial"/>
          <w:sz w:val="18"/>
          <w:szCs w:val="18"/>
          <w:color w:val="auto"/>
        </w:rPr>
      </w:pPr>
    </w:p>
    <w:p>
      <w:pPr>
        <w:ind w:firstLine="1305"/>
        <w:spacing w:after="0" w:line="277" w:lineRule="auto"/>
        <w:tabs>
          <w:tab w:leader="none" w:pos="187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170" w:lineRule="exact"/>
        <w:rPr>
          <w:rFonts w:ascii="Arial" w:cs="Arial" w:eastAsia="Arial" w:hAnsi="Arial"/>
          <w:sz w:val="18"/>
          <w:szCs w:val="18"/>
          <w:color w:val="auto"/>
        </w:rPr>
      </w:pPr>
    </w:p>
    <w:p>
      <w:pPr>
        <w:ind w:firstLine="1305"/>
        <w:spacing w:after="0" w:line="342" w:lineRule="auto"/>
        <w:tabs>
          <w:tab w:leader="none" w:pos="176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occurrence of any ERISA Event or analogous event with respect to a Canadian Pension Plan, Defined Benefit Plan or Canadian Benefit Plan that, alone or together with any other such events that have occurred, could reasonably be expected to result in a Material Adverse Effect;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6" w:name="page227"/>
    <w:bookmarkEnd w:id="226"/>
    <w:p>
      <w:pPr>
        <w:jc w:val="both"/>
        <w:ind w:firstLine="1305"/>
        <w:spacing w:after="0" w:line="286" w:lineRule="auto"/>
        <w:tabs>
          <w:tab w:leader="none" w:pos="1795"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 copy of any form of written notice, summons, material correspondence or citation received from any Governmental Authority or any other person, (i) concerning material violations or alleged violations of Environmental Laws, which seeks or threatens to impose liability on the Parent Borrower or its Subsidiaries therefor, (ii) alleging liability for any material action or omission on the part of the Parent Borrower or any of its Subsidiaries in connection with any Release of Hazardous Material, (iii) providing any written notice of potential responsibility or liability under any Environmental Law, or</w:t>
      </w:r>
    </w:p>
    <w:p>
      <w:pPr>
        <w:spacing w:after="0" w:line="1" w:lineRule="exact"/>
        <w:rPr>
          <w:rFonts w:ascii="Arial" w:cs="Arial" w:eastAsia="Arial" w:hAnsi="Arial"/>
          <w:sz w:val="16"/>
          <w:szCs w:val="16"/>
          <w:color w:val="auto"/>
        </w:rPr>
      </w:pPr>
    </w:p>
    <w:p>
      <w:pPr>
        <w:jc w:val="both"/>
        <w:ind w:firstLine="8"/>
        <w:spacing w:after="0" w:line="254" w:lineRule="auto"/>
        <w:tabs>
          <w:tab w:leader="none" w:pos="3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concerning the filing of a Lien other than a Lien permitted by Section 6.02 upon, against or in connection with the Parent Borrower or any of its Subsidiaries, or any of their leased or owned material property, wherever located, in each of cases (i) through (iv) that, individually or in the aggregate, could reasonably be expected to result in a liability (to the extent not covered by insurance) of the Parent Borrower or any of its Subsidiaries in an aggregate amount exceeding $25,000,000; or</w:t>
      </w:r>
    </w:p>
    <w:p>
      <w:pPr>
        <w:spacing w:after="0" w:line="189" w:lineRule="exact"/>
        <w:rPr>
          <w:rFonts w:ascii="Arial" w:cs="Arial" w:eastAsia="Arial" w:hAnsi="Arial"/>
          <w:sz w:val="18"/>
          <w:szCs w:val="18"/>
          <w:color w:val="auto"/>
        </w:rPr>
      </w:pPr>
    </w:p>
    <w:p>
      <w:pPr>
        <w:ind w:left="1720" w:hanging="415"/>
        <w:spacing w:after="0"/>
        <w:tabs>
          <w:tab w:leader="none" w:pos="17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development that has resulted in, or could reasonably be expected to result in, a Material Adverse Effect.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5.06 </w:t>
      </w:r>
      <w:r>
        <w:rPr>
          <w:rFonts w:ascii="Arial" w:cs="Arial" w:eastAsia="Arial" w:hAnsi="Arial"/>
          <w:sz w:val="18"/>
          <w:szCs w:val="18"/>
          <w:b w:val="1"/>
          <w:bCs w:val="1"/>
          <w:i w:val="1"/>
          <w:iCs w:val="1"/>
          <w:color w:val="auto"/>
        </w:rPr>
        <w:t>Information Regarding Collateral</w:t>
      </w:r>
      <w:r>
        <w:rPr>
          <w:rFonts w:ascii="Arial" w:cs="Arial" w:eastAsia="Arial" w:hAnsi="Arial"/>
          <w:sz w:val="18"/>
          <w:szCs w:val="18"/>
          <w:color w:val="auto"/>
        </w:rPr>
        <w:t>. Furnish to the Administrative Agent prompt (and in any event within 30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thereof) written notice (a) of any change in the legal name, corporate structure, jurisdiction of organization or formation or organizational identification number of a Loan Party; and (b) if any material portion of the Collateral is expropriated, damaged or destroyed.</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5.07 </w:t>
      </w:r>
      <w:r>
        <w:rPr>
          <w:rFonts w:ascii="Arial" w:cs="Arial" w:eastAsia="Arial" w:hAnsi="Arial"/>
          <w:sz w:val="18"/>
          <w:szCs w:val="18"/>
          <w:b w:val="1"/>
          <w:bCs w:val="1"/>
          <w:i w:val="1"/>
          <w:iCs w:val="1"/>
          <w:color w:val="auto"/>
        </w:rPr>
        <w:t>Maintaining Records; Access to Properties and Inspections</w:t>
      </w:r>
      <w:r>
        <w:rPr>
          <w:rFonts w:ascii="Arial" w:cs="Arial" w:eastAsia="Arial" w:hAnsi="Arial"/>
          <w:sz w:val="18"/>
          <w:szCs w:val="18"/>
          <w:color w:val="auto"/>
        </w:rPr>
        <w:t>. Keep proper books of record and account in which full,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correct entries in conformity with GAAP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Parent Borrower and at such reasonable times during normal business hours and as often as may be reasonably desired, upon reasonable advance notice to the applicable Loan Party or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5.08 </w:t>
      </w:r>
      <w:r>
        <w:rPr>
          <w:rFonts w:ascii="Arial" w:cs="Arial" w:eastAsia="Arial" w:hAnsi="Arial"/>
          <w:sz w:val="18"/>
          <w:szCs w:val="18"/>
          <w:b w:val="1"/>
          <w:bCs w:val="1"/>
          <w:i w:val="1"/>
          <w:iCs w:val="1"/>
          <w:color w:val="auto"/>
        </w:rPr>
        <w:t>Use of Proceeds</w:t>
      </w:r>
      <w:r>
        <w:rPr>
          <w:rFonts w:ascii="Arial" w:cs="Arial" w:eastAsia="Arial" w:hAnsi="Arial"/>
          <w:sz w:val="18"/>
          <w:szCs w:val="18"/>
          <w:color w:val="auto"/>
        </w:rPr>
        <w:t>. Use the proceeds of the Loans and request the issuance of Letters of Credit only for the purposes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3.13.</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5.09</w:t>
      </w:r>
      <w:r>
        <w:rPr>
          <w:sz w:val="20"/>
          <w:szCs w:val="20"/>
          <w:color w:val="auto"/>
        </w:rPr>
        <w:tab/>
      </w:r>
      <w:r>
        <w:rPr>
          <w:rFonts w:ascii="Arial" w:cs="Arial" w:eastAsia="Arial" w:hAnsi="Arial"/>
          <w:sz w:val="15"/>
          <w:szCs w:val="15"/>
          <w:b w:val="1"/>
          <w:bCs w:val="1"/>
          <w:i w:val="1"/>
          <w:iCs w:val="1"/>
          <w:color w:val="auto"/>
        </w:rPr>
        <w:t>Further Assurances</w:t>
      </w:r>
      <w:r>
        <w:rPr>
          <w:rFonts w:ascii="Arial" w:cs="Arial" w:eastAsia="Arial" w:hAnsi="Arial"/>
          <w:sz w:val="15"/>
          <w:szCs w:val="15"/>
          <w:color w:val="auto"/>
        </w:rPr>
        <w:t>. At its sole cost and expense,</w:t>
      </w:r>
    </w:p>
    <w:p>
      <w:pPr>
        <w:spacing w:after="0" w:line="229" w:lineRule="exact"/>
        <w:rPr>
          <w:sz w:val="20"/>
          <w:szCs w:val="20"/>
          <w:color w:val="auto"/>
        </w:rPr>
      </w:pPr>
    </w:p>
    <w:p>
      <w:pPr>
        <w:jc w:val="both"/>
        <w:ind w:firstLine="1305"/>
        <w:spacing w:after="0" w:line="257" w:lineRule="auto"/>
        <w:tabs>
          <w:tab w:leader="none" w:pos="174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execute any and all further documents, financing statements, agreements and 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7" w:name="page228"/>
    <w:bookmarkEnd w:id="227"/>
    <w:p>
      <w:pPr>
        <w:jc w:val="both"/>
        <w:ind w:firstLine="1305"/>
        <w:spacing w:after="0" w:line="297" w:lineRule="auto"/>
        <w:tabs>
          <w:tab w:leader="none" w:pos="177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Cause any subsequently acquired or organized Domestic Subsidiary that is a Material Subsidiary (other than a Domestic Subsidiary that is (i) a Subsidiary of a U.S. Owned Subsidiary or (ii) a FSHCO) or any Domestic Subsidiary that was not a Material Subsidiary that subsequently becomes a Material Subsidiary (other than a Domestic Subsidiary that is (i) a Subsidiary of a U.S. Owned Subsidiary or (ii) a FSHCO), to execute a supplement making it a party to the U.S.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58" w:lineRule="exact"/>
        <w:rPr>
          <w:rFonts w:ascii="Arial" w:cs="Arial" w:eastAsia="Arial" w:hAnsi="Arial"/>
          <w:sz w:val="16"/>
          <w:szCs w:val="16"/>
          <w:color w:val="auto"/>
        </w:rPr>
      </w:pPr>
    </w:p>
    <w:p>
      <w:pPr>
        <w:jc w:val="both"/>
        <w:ind w:firstLine="1305"/>
        <w:spacing w:after="0" w:line="255" w:lineRule="auto"/>
        <w:tabs>
          <w:tab w:leader="none" w:pos="173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Subsidiary is not a U.S. Owned Subsidiary, such Subsidiary shall, within such time, execute a supplement to the Parent Borrower Guarantee Agreement and each applicable Canadian Security Document to provide a guarantee and security with respect to the Obligations of the U.S. Borrower as well).</w:t>
      </w:r>
    </w:p>
    <w:p>
      <w:pPr>
        <w:spacing w:after="0" w:line="193" w:lineRule="exact"/>
        <w:rPr>
          <w:rFonts w:ascii="Arial" w:cs="Arial" w:eastAsia="Arial" w:hAnsi="Arial"/>
          <w:sz w:val="18"/>
          <w:szCs w:val="18"/>
          <w:color w:val="auto"/>
        </w:rPr>
      </w:pPr>
    </w:p>
    <w:p>
      <w:pPr>
        <w:jc w:val="both"/>
        <w:ind w:firstLine="1305"/>
        <w:spacing w:after="0" w:line="273" w:lineRule="auto"/>
        <w:tabs>
          <w:tab w:leader="none" w:pos="178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Cause any subsequently acquired or organized Australian Subsidiary that is a Material Subsidiary or any Australian Subsidiary that was not a Material Subsidiary that subsequently becomes a Material Subsidiary to execute a supplement to the Australian Guarantee Agreement and a new Australian Security Document, in each case within thirty (30) days (or such longer period as may be agreed to by the Administrative Agent) after such acquisition, organization or change in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Subsidiary is not a U.S. Owned Subsidiary, such Subsidiary shall, within such time, execute a new deed of guarantee and indemnity and new Australian Security Documents, each in form and substance reasonably satisfactory to the Administrative Agents, to provide a guarantee and security with respect to the Obligations of the U.S. Borrower as well).</w:t>
      </w:r>
    </w:p>
    <w:p>
      <w:pPr>
        <w:spacing w:after="0" w:line="178" w:lineRule="exact"/>
        <w:rPr>
          <w:rFonts w:ascii="Arial" w:cs="Arial" w:eastAsia="Arial" w:hAnsi="Arial"/>
          <w:sz w:val="17"/>
          <w:szCs w:val="17"/>
          <w:color w:val="auto"/>
        </w:rPr>
      </w:pPr>
    </w:p>
    <w:p>
      <w:pPr>
        <w:jc w:val="both"/>
        <w:ind w:firstLine="1305"/>
        <w:spacing w:after="0" w:line="267" w:lineRule="auto"/>
        <w:tabs>
          <w:tab w:leader="none" w:pos="177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with respect to the Obligations of the U.S. Borrower, the U.S. Borrower and each Domestic Subsidiary (other than any Domestic Subsidiary that is a subsidiary of a U.S. Owned Subsidiary) shall pledge substantially all of its material personal property located in the United States (provided that 100% of the Equity Interests of Material Subsidiaries that are Domestic Subsidiaries (other than a Domestic Subsidiary that is (i) a subsidiary of a U.S. Owned Subsidiary or (ii) a FSHCO) and 65% (and no more than 65%) of the total outstanding voting Equity Interests and 100% of the total outstanding nonvoting Equity Interests (if any) of each Material Subsidiary that is (i) a Foreign Subsidiary whose Equity Interests are directly owned by the U.S. Borrower or any Domestic Subsidiary (other than any Domestic Subsidiary that is a subsidiary of a U.S. Owned Subsidiary) or (ii) a FSHCO shall be pledged in support of the Obligations of the U.S. Borrower), and the Obligations of the Canadian Borrower and the Australian Borrowers shall be secured by (A) the Collateral securing the U.S. Revolving Credit Facility and (B) substantially all the material personal property of the Canadian Borrower and the Canadian Subsidiary Guarantors and the Australian Borrower and the Australian Subsidiary Guarantors (including personal property which, individually, has an estimated market value in excess of U.S.$1,000,000; 100% of the Equity Interests of Material Subsidiaries of the U.S. Borrower; 100% of the Equity Interests of the Australian Borrower; 100% of the Equity Interests of certain subsidiaries of the Parent Borrower; and 100% of the Equity Interests of certain subsidiaries of the Australian Borrower)).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Parent Borrower or any Subsidiary.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8" w:name="page229"/>
    <w:bookmarkEnd w:id="228"/>
    <w:p>
      <w:pPr>
        <w:jc w:val="both"/>
        <w:ind w:firstLine="1305"/>
        <w:spacing w:after="0" w:line="293" w:lineRule="auto"/>
        <w:tabs>
          <w:tab w:leader="none" w:pos="175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If, after the Closing Date, without duplication, the Parent Borrower acquires or forms a Subsidiary or any Subsidiary that was not a Material Subsidiary subsequently becomes a Material Subsidiary, such Subsidiary shall provide a guarantee and security with respect to the Obligations of all the Borrowers in form and substance reasonably satisfactory to the Collateral Agents, in each case within thirty (30) days (or such longer period as may be agreed to by the Administrative Agent) after such acquisition or formation (</w:t>
      </w:r>
      <w:r>
        <w:rPr>
          <w:rFonts w:ascii="Arial" w:cs="Arial" w:eastAsia="Arial" w:hAnsi="Arial"/>
          <w:sz w:val="16"/>
          <w:szCs w:val="16"/>
          <w:i w:val="1"/>
          <w:iCs w:val="1"/>
          <w:color w:val="auto"/>
        </w:rPr>
        <w:t>provided</w:t>
      </w:r>
      <w:r>
        <w:rPr>
          <w:rFonts w:ascii="Arial" w:cs="Arial" w:eastAsia="Arial" w:hAnsi="Arial"/>
          <w:sz w:val="16"/>
          <w:szCs w:val="16"/>
          <w:color w:val="auto"/>
        </w:rPr>
        <w:t>, the limitations laid out in connection with the guarantee and security with respect to the Obligations of the U.S. Borrower in the foregoing paragraphs shall apply mutatis mutandis with respect to any relevant Subsidiary acquired or formed by the Parent Borrower after the First Amendment Effective Date that is not specifically addressed in such foregoing paragraphs).</w:t>
      </w:r>
    </w:p>
    <w:p>
      <w:pPr>
        <w:spacing w:after="0" w:line="164" w:lineRule="exact"/>
        <w:rPr>
          <w:rFonts w:ascii="Arial" w:cs="Arial" w:eastAsia="Arial" w:hAnsi="Arial"/>
          <w:sz w:val="16"/>
          <w:szCs w:val="16"/>
          <w:color w:val="auto"/>
        </w:rPr>
      </w:pPr>
    </w:p>
    <w:p>
      <w:pPr>
        <w:jc w:val="both"/>
        <w:ind w:firstLine="1305"/>
        <w:spacing w:after="0" w:line="291" w:lineRule="auto"/>
        <w:tabs>
          <w:tab w:leader="none" w:pos="175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If, after the Closing Date, any of the Australian Borrower, the Canadian Subsidiary Guarantors, the Australian Subsidiary Guarantors or any other U.S. Owned Subsidiary, as applicable, ceases to be a “controlled foreign corporation” within the meaning of Section 957 of the Code, or a Domestic Subsidiary that was previously a FSHCO ceases to be a FSHCO or a Domestic Subsidiary that was previously owned by a U.S. Owned Subsidiary ceases to be owned by a U.S. Owned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a Domestic Subsidiary that was both a FSHCO and owned by a U.S. Owned Subsidiary, such Domestic Subsidiary both ceases to be a FSHCO and ceases to be owned by a U.S. Owned Subsidiary), such person shall provide a guarantee and security with respect to the Obligations of the U.S. Borrower in form and substance reasonably satisfactory to the Collateral Agents, in each case within thirty (30) days (or such longer period as may be agreed to by the Administrative Agent) after such cessation.</w:t>
      </w:r>
    </w:p>
    <w:p>
      <w:pPr>
        <w:spacing w:after="0" w:line="167" w:lineRule="exact"/>
        <w:rPr>
          <w:rFonts w:ascii="Arial" w:cs="Arial" w:eastAsia="Arial" w:hAnsi="Arial"/>
          <w:sz w:val="16"/>
          <w:szCs w:val="16"/>
          <w:color w:val="auto"/>
        </w:rPr>
      </w:pPr>
    </w:p>
    <w:p>
      <w:pPr>
        <w:jc w:val="both"/>
        <w:ind w:firstLine="1305"/>
        <w:spacing w:after="0" w:line="259" w:lineRule="auto"/>
        <w:tabs>
          <w:tab w:leader="none" w:pos="180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this Section 5.09 shall not apply to limit or diminish any guarantee or security provided as of the Closing Date by a Subsidiary with respect to the Obligations (including as a result of a change in the ownership of such Subsidiary pursuant to a reorganization subsequent to the Closing Date or otherwise) without the consent of the Administrative Agent (not to be unreasonably withheld or delayed).</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i w:val="1"/>
          <w:iCs w:val="1"/>
          <w:color w:val="auto"/>
        </w:rPr>
        <w:t>Post-Closing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Parent Borrower hereby agrees to deliver, or cause to be delivered, to the Administrative Agent, in</w:t>
      </w:r>
      <w:r>
        <w:rPr>
          <w:rFonts w:ascii="Arial" w:cs="Arial" w:eastAsia="Arial" w:hAnsi="Arial"/>
          <w:sz w:val="18"/>
          <w:szCs w:val="18"/>
          <w:b w:val="1"/>
          <w:bCs w:val="1"/>
          <w:color w:val="auto"/>
        </w:rPr>
        <w:t xml:space="preserve"> </w:t>
      </w:r>
      <w:r>
        <w:rPr>
          <w:rFonts w:ascii="Arial" w:cs="Arial" w:eastAsia="Arial" w:hAnsi="Arial"/>
          <w:sz w:val="18"/>
          <w:szCs w:val="18"/>
          <w:color w:val="auto"/>
        </w:rPr>
        <w:t>form and substance reasonably satisfactory to the Administrative Agent, within thirty (30) days of the Closing Date (or such longer time as the Administrative Agent may agree in its sole discretion):</w:t>
      </w:r>
    </w:p>
    <w:p>
      <w:pPr>
        <w:spacing w:after="0" w:line="180" w:lineRule="exact"/>
        <w:rPr>
          <w:sz w:val="20"/>
          <w:szCs w:val="20"/>
          <w:color w:val="auto"/>
        </w:rPr>
      </w:pPr>
    </w:p>
    <w:p>
      <w:pPr>
        <w:ind w:left="1720" w:hanging="415"/>
        <w:spacing w:after="0"/>
        <w:tabs>
          <w:tab w:leader="none" w:pos="17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Schedule 1.01(b), Schedule 1.01(c), Schedule 1.01(d), and Schedule 3.08 to this Agreement;</w:t>
      </w:r>
    </w:p>
    <w:p>
      <w:pPr>
        <w:spacing w:after="0" w:line="225" w:lineRule="exact"/>
        <w:rPr>
          <w:rFonts w:ascii="Arial" w:cs="Arial" w:eastAsia="Arial" w:hAnsi="Arial"/>
          <w:sz w:val="18"/>
          <w:szCs w:val="18"/>
          <w:color w:val="auto"/>
        </w:rPr>
      </w:pPr>
    </w:p>
    <w:p>
      <w:pPr>
        <w:jc w:val="both"/>
        <w:ind w:firstLine="1305"/>
        <w:spacing w:after="0" w:line="274" w:lineRule="auto"/>
        <w:tabs>
          <w:tab w:leader="none" w:pos="1842"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joinder to this Agreement in form and substance reasonably satisfactory to the Administrative Agent pursuant to which Civeo Canada Limited Partnership, a limited partnership organized under the laws of the Province of Alberta (the “</w:t>
      </w:r>
      <w:r>
        <w:rPr>
          <w:rFonts w:ascii="Arial" w:cs="Arial" w:eastAsia="Arial" w:hAnsi="Arial"/>
          <w:sz w:val="17"/>
          <w:szCs w:val="17"/>
          <w:i w:val="1"/>
          <w:iCs w:val="1"/>
          <w:color w:val="auto"/>
        </w:rPr>
        <w:t>New Canadian Borrower”)</w:t>
      </w:r>
      <w:r>
        <w:rPr>
          <w:rFonts w:ascii="Arial" w:cs="Arial" w:eastAsia="Arial" w:hAnsi="Arial"/>
          <w:sz w:val="17"/>
          <w:szCs w:val="17"/>
          <w:color w:val="auto"/>
        </w:rPr>
        <w:t>, is joined as a</w:t>
      </w:r>
    </w:p>
    <w:p>
      <w:pPr>
        <w:spacing w:after="0"/>
        <w:rPr>
          <w:sz w:val="20"/>
          <w:szCs w:val="20"/>
          <w:color w:val="auto"/>
        </w:rPr>
      </w:pPr>
      <w:r>
        <w:rPr>
          <w:rFonts w:ascii="Arial" w:cs="Arial" w:eastAsia="Arial" w:hAnsi="Arial"/>
          <w:sz w:val="18"/>
          <w:szCs w:val="18"/>
          <w:color w:val="auto"/>
        </w:rPr>
        <w:t>Canadian Borrower with respect to the Canadian Term Loan Facility, together with a ratification and reaffirmation from all of the Loan Parties</w:t>
      </w:r>
    </w:p>
    <w:p>
      <w:pPr>
        <w:spacing w:after="0" w:line="9" w:lineRule="exact"/>
        <w:rPr>
          <w:sz w:val="20"/>
          <w:szCs w:val="20"/>
          <w:color w:val="auto"/>
        </w:rPr>
      </w:pPr>
    </w:p>
    <w:p>
      <w:pPr>
        <w:jc w:val="both"/>
        <w:ind w:firstLine="8"/>
        <w:spacing w:after="0" w:line="254" w:lineRule="auto"/>
        <w:tabs>
          <w:tab w:leader="none" w:pos="21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acknowledging that the New Canadian Borrower is a Borrower under this Agreement and the other Loan Documents and that such Obligations of the New Canadian Borrower shall be Obligations guaranteed by the Guarantee Agreements and secured by the Security Documents to the extent applicable to Canadian Term Loans and (ii) ratifying and affirming their respective obligations under, and their continued liability under, each Loan Document to which it is a party;</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845"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 favorable written opinion of Denton Canada LLP, Canadian counsel for the Noralta Acquired Entities and the New Canadian Borrower (i) addressed to the Agents and the Lenders, and (ii) covering such matters relating to the Loan Documents in respect of the jurisdiction of the relevant counsel as the Administrative Agent shall reasonably request, and the Noralta Acquired Entities and the New Canadian Borrower hereby request such counsel to deliver such opinion;</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765"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 certificate of the Secretary or Assistant Secretary (or such other corporate officer satisfactory to the Administrative Agent) of each Noralta Acquired Entity and the New Canadian Borrower certifying (i) that attached thereto is a true and complete copy of the organizational documents of such Noralta Acquired Entity or the New Canadian Borrower, as applicable, as in effect at all times since a date prior to the date of the resolutions described in clause (ii) below, (ii) that attached thereto is a true and complete copy of resolutions authorizing the execution, delivery and performance of the Loan Documents to which such person is a party and that such resolutions have not been modified, rescinded or amended and are in full force and effect, and (iii) as to the incumbency and specimen signature of each officer executing any Loan Document or any other document delivered in connection herewith on behalf of such Noralta Acquired Entity or the New Canadian Borrower, as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9" w:name="page230"/>
    <w:bookmarkEnd w:id="229"/>
    <w:p>
      <w:pPr>
        <w:jc w:val="both"/>
        <w:ind w:firstLine="1305"/>
        <w:spacing w:after="0" w:line="297" w:lineRule="auto"/>
        <w:tabs>
          <w:tab w:leader="none" w:pos="181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supplements to the Parent Borrower Pledge Agreement, duly executed by each Noralta Acquired Entity, together with certificates representing such Equity Interests, if any, accompanied by instruments of transfer and stock powers endorsed in blank, which shall be in the actual possession of the Canadian Collateral Agent and, if required, the registration of the applicable financing statements at the applicable personal property registry in Canada necessary to create a valid, legal and perfected first-priority Lien on the Collateral described therein (subject to any Lien expressly permitted by Section 6.02), and all actions required to perfect the security interests granted pursuant to the Parent Borrower Pledge Agreement have been taken;</w:t>
      </w:r>
    </w:p>
    <w:p>
      <w:pPr>
        <w:spacing w:after="0" w:line="158" w:lineRule="exact"/>
        <w:rPr>
          <w:rFonts w:ascii="Arial" w:cs="Arial" w:eastAsia="Arial" w:hAnsi="Arial"/>
          <w:sz w:val="16"/>
          <w:szCs w:val="16"/>
          <w:color w:val="auto"/>
        </w:rPr>
      </w:pPr>
    </w:p>
    <w:p>
      <w:pPr>
        <w:jc w:val="both"/>
        <w:ind w:firstLine="1305"/>
        <w:spacing w:after="0" w:line="257" w:lineRule="auto"/>
        <w:tabs>
          <w:tab w:leader="none" w:pos="186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supplements to the Parent Borrower Security Agreement, duly executed by each Noralta Acquired Entity, and each document (including each financing statement) required by law or reasonably requested by the Canadian Collateral Agent to be filed, registered or in order to create in favor of the Canadian Collateral Agent for the benefit of the Secured Parties a valid, legal and perfected first-priority Lien on the Collateral (subject to any Lien expressly permitted by Section 6.02) described in such agreement, and all actions required to perfect the security interests granted pursuant to the Parent Borrower Security Agreement have been taken;</w:t>
      </w:r>
    </w:p>
    <w:p>
      <w:pPr>
        <w:spacing w:after="0" w:line="188" w:lineRule="exact"/>
        <w:rPr>
          <w:rFonts w:ascii="Arial" w:cs="Arial" w:eastAsia="Arial" w:hAnsi="Arial"/>
          <w:sz w:val="18"/>
          <w:szCs w:val="18"/>
          <w:color w:val="auto"/>
        </w:rPr>
      </w:pPr>
    </w:p>
    <w:p>
      <w:pPr>
        <w:ind w:left="1740" w:hanging="435"/>
        <w:spacing w:after="0"/>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supplements to the Parent Borrower Guarantee Agreement duly executed by each Noralta Acquired Entity;</w:t>
      </w:r>
    </w:p>
    <w:p>
      <w:pPr>
        <w:spacing w:after="0" w:line="225" w:lineRule="exact"/>
        <w:rPr>
          <w:rFonts w:ascii="Arial" w:cs="Arial" w:eastAsia="Arial" w:hAnsi="Arial"/>
          <w:sz w:val="18"/>
          <w:szCs w:val="18"/>
          <w:color w:val="auto"/>
        </w:rPr>
      </w:pPr>
    </w:p>
    <w:p>
      <w:pPr>
        <w:ind w:firstLine="1305"/>
        <w:spacing w:after="0" w:line="277" w:lineRule="auto"/>
        <w:tabs>
          <w:tab w:leader="none" w:pos="176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with respect to the Parent Borrower, a copy of, or a certificate as to coverage under, the insurance policies required by Section 5.02, including, without limitation, the Noralta Acquired Entities; and</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5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amendments and/or amendments and restatements of each of the Security Agreements such that each such Security Agreement sets forth (a) the exact legal name of each Loan Party as it appears in its articles or certificate of incorporation (or equivalent organizational document), the state of its incorporation or formation and the organizational identification number (or a specific designation that one does not exist) issued by its jurisdiction of incorporation or formation and (b) each other legal name any Loan Party has had at any time during the five years preceding the Closing Date, together with the date of the relevant change.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6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5"/>
          <w:szCs w:val="15"/>
          <w:b w:val="1"/>
          <w:bCs w:val="1"/>
          <w:i w:val="1"/>
          <w:iCs w:val="1"/>
          <w:color w:val="auto"/>
        </w:rPr>
        <w:t>Indebtedness</w:t>
      </w:r>
      <w:r>
        <w:rPr>
          <w:rFonts w:ascii="Arial" w:cs="Arial" w:eastAsia="Arial" w:hAnsi="Arial"/>
          <w:sz w:val="15"/>
          <w:szCs w:val="15"/>
          <w:color w:val="auto"/>
        </w:rPr>
        <w:t>. On or after the Closing Date, incur, create, assume or permit to exist any Indebtedness, except: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0" w:name="page231"/>
    <w:bookmarkEnd w:id="230"/>
    <w:p>
      <w:pPr>
        <w:jc w:val="both"/>
        <w:ind w:firstLine="1305"/>
        <w:spacing w:after="0" w:line="259" w:lineRule="auto"/>
        <w:tabs>
          <w:tab w:leader="none" w:pos="172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Indebtedness set forth in Schedule 6.01, and any extensions, renewals or replacements of such Indebtedness to the extent the principal amount of such Indebtedness is not increased, neither the final maturity nor the weighted average life to maturity of such Indebtedness is decreased, such Indebtedness, if subordinated to the Obligations, remains so subordinated on terms not less favorable to the Lenders and the original obligors in respect of such Indebtedness remain the only obligors thereon;</w:t>
      </w:r>
    </w:p>
    <w:p>
      <w:pPr>
        <w:spacing w:after="0" w:line="186" w:lineRule="exact"/>
        <w:rPr>
          <w:rFonts w:ascii="Arial" w:cs="Arial" w:eastAsia="Arial" w:hAnsi="Arial"/>
          <w:sz w:val="18"/>
          <w:szCs w:val="18"/>
          <w:color w:val="auto"/>
        </w:rPr>
      </w:pPr>
    </w:p>
    <w:p>
      <w:pPr>
        <w:ind w:left="1740" w:hanging="435"/>
        <w:spacing w:after="0"/>
        <w:tabs>
          <w:tab w:leader="none" w:pos="17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Indebtedness created hereunder and under the other Loan Documents;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intercompany Indebtedness of the Borrowers and the Subsidiaries to the extent permitted by Sections 6.04(a), (f), (g), (k) and (l);</w:t>
      </w:r>
    </w:p>
    <w:p>
      <w:pPr>
        <w:spacing w:after="0" w:line="236" w:lineRule="exact"/>
        <w:rPr>
          <w:rFonts w:ascii="Arial" w:cs="Arial" w:eastAsia="Arial" w:hAnsi="Arial"/>
          <w:sz w:val="17"/>
          <w:szCs w:val="17"/>
          <w:color w:val="auto"/>
        </w:rPr>
      </w:pPr>
    </w:p>
    <w:p>
      <w:pPr>
        <w:ind w:firstLine="1305"/>
        <w:spacing w:after="0" w:line="277" w:lineRule="auto"/>
        <w:tabs>
          <w:tab w:leader="none" w:pos="177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70" w:lineRule="exact"/>
        <w:rPr>
          <w:rFonts w:ascii="Arial" w:cs="Arial" w:eastAsia="Arial" w:hAnsi="Arial"/>
          <w:sz w:val="18"/>
          <w:szCs w:val="18"/>
          <w:color w:val="auto"/>
        </w:rPr>
      </w:pPr>
    </w:p>
    <w:p>
      <w:pPr>
        <w:jc w:val="both"/>
        <w:ind w:firstLine="1305"/>
        <w:spacing w:after="0" w:line="293" w:lineRule="auto"/>
        <w:tabs>
          <w:tab w:leader="none" w:pos="177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unsecured Indebtedness issued by the Parent Borrower and guarantees thereof by any Subsidiary Guarantor not otherwise permitted under this Section 6.01;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of the date of issuance, (i) the Parent Borrower would be in compliance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(using the criteria therefor described in Section 6.04(i)) to such transaction as if such transaction had occurred as of the first day of such period and (ii) the proceeds of such Indebtedness are applied as a mandatory prepayment of the Canadian Term Loans in accordance with Section 2.12(c);</w:t>
      </w:r>
    </w:p>
    <w:p>
      <w:pPr>
        <w:spacing w:after="0" w:line="164" w:lineRule="exact"/>
        <w:rPr>
          <w:rFonts w:ascii="Arial" w:cs="Arial" w:eastAsia="Arial" w:hAnsi="Arial"/>
          <w:sz w:val="16"/>
          <w:szCs w:val="16"/>
          <w:color w:val="auto"/>
        </w:rPr>
      </w:pPr>
    </w:p>
    <w:p>
      <w:pPr>
        <w:jc w:val="both"/>
        <w:ind w:firstLine="1305"/>
        <w:spacing w:after="0" w:line="264" w:lineRule="auto"/>
        <w:tabs>
          <w:tab w:leader="none" w:pos="184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secured Indebtedness of a Borrower and guarantees thereof by any Guarantor not otherwise permitted under this Section 6.01;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Liens securing such Indebtedness are permitted under Section 6.02(j) and (ii) the aggregate principal amount of such Indebtedness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exceed $20,000,000 at any time outstanding; and</w:t>
      </w:r>
    </w:p>
    <w:p>
      <w:pPr>
        <w:spacing w:after="0" w:line="181" w:lineRule="exact"/>
        <w:rPr>
          <w:rFonts w:ascii="Arial" w:cs="Arial" w:eastAsia="Arial" w:hAnsi="Arial"/>
          <w:sz w:val="18"/>
          <w:szCs w:val="18"/>
          <w:color w:val="auto"/>
        </w:rPr>
      </w:pPr>
    </w:p>
    <w:p>
      <w:pPr>
        <w:ind w:firstLine="1305"/>
        <w:spacing w:after="0" w:line="277" w:lineRule="auto"/>
        <w:tabs>
          <w:tab w:leader="none" w:pos="179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Indebtedness of the Subsidiaries and guaranties thereunder by the Parent Borrower in an aggregate principal amount not to exceed $25,000,000 at any time outstanding.</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b w:val="1"/>
          <w:bCs w:val="1"/>
          <w:i w:val="1"/>
          <w:iCs w:val="1"/>
          <w:color w:val="auto"/>
        </w:rPr>
        <w:t>Liens</w:t>
      </w:r>
      <w:r>
        <w:rPr>
          <w:rFonts w:ascii="Arial" w:cs="Arial" w:eastAsia="Arial" w:hAnsi="Arial"/>
          <w:sz w:val="18"/>
          <w:szCs w:val="18"/>
          <w:color w:val="auto"/>
        </w:rPr>
        <w:t>. On or after the Closing Date, create, incur, assume or permit to exist any Lien on any property or assets (including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securities of any person, including any Subsidiary) now owned or hereafter acquired by it or on any income or revenues or rights in respect of any thereof, except:</w:t>
      </w:r>
    </w:p>
    <w:p>
      <w:pPr>
        <w:spacing w:after="0" w:line="180" w:lineRule="exact"/>
        <w:rPr>
          <w:sz w:val="20"/>
          <w:szCs w:val="20"/>
          <w:color w:val="auto"/>
        </w:rPr>
      </w:pPr>
    </w:p>
    <w:p>
      <w:pPr>
        <w:ind w:firstLine="1305"/>
        <w:spacing w:after="0" w:line="277" w:lineRule="auto"/>
        <w:tabs>
          <w:tab w:leader="none" w:pos="188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Liens existing on the Original Closing Date and set forth in Schedule 6.02;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shall secure only those obligations which they secure on the date hereof and extensions, renewals and replacements thereof permitted hereunder;</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Lien created under the Loan Documents;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1" w:name="page232"/>
    <w:bookmarkEnd w:id="231"/>
    <w:p>
      <w:pPr>
        <w:ind w:left="1720" w:hanging="415"/>
        <w:spacing w:after="0"/>
        <w:tabs>
          <w:tab w:leader="none" w:pos="17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compliance with Section 5.03;</w:t>
      </w:r>
    </w:p>
    <w:p>
      <w:pPr>
        <w:spacing w:after="0" w:line="225" w:lineRule="exact"/>
        <w:rPr>
          <w:rFonts w:ascii="Arial" w:cs="Arial" w:eastAsia="Arial" w:hAnsi="Arial"/>
          <w:sz w:val="18"/>
          <w:szCs w:val="18"/>
          <w:color w:val="auto"/>
        </w:rPr>
      </w:pPr>
    </w:p>
    <w:p>
      <w:pPr>
        <w:ind w:firstLine="1305"/>
        <w:spacing w:after="0" w:line="277" w:lineRule="auto"/>
        <w:tabs>
          <w:tab w:leader="none" w:pos="175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170" w:lineRule="exact"/>
        <w:rPr>
          <w:rFonts w:ascii="Arial" w:cs="Arial" w:eastAsia="Arial" w:hAnsi="Arial"/>
          <w:sz w:val="18"/>
          <w:szCs w:val="18"/>
          <w:color w:val="auto"/>
        </w:rPr>
      </w:pPr>
    </w:p>
    <w:p>
      <w:pPr>
        <w:ind w:firstLine="1305"/>
        <w:spacing w:after="0" w:line="277" w:lineRule="auto"/>
        <w:tabs>
          <w:tab w:leader="none" w:pos="179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(other than any Lien imposed by ERISA), pledges and deposits made in the ordinary course of business in compliance with workmen’s compensation, unemployment insurance and other social security laws or regulations;</w:t>
      </w:r>
    </w:p>
    <w:p>
      <w:pPr>
        <w:spacing w:after="0" w:line="170" w:lineRule="exact"/>
        <w:rPr>
          <w:rFonts w:ascii="Arial" w:cs="Arial" w:eastAsia="Arial" w:hAnsi="Arial"/>
          <w:sz w:val="18"/>
          <w:szCs w:val="18"/>
          <w:color w:val="auto"/>
        </w:rPr>
      </w:pPr>
    </w:p>
    <w:p>
      <w:pPr>
        <w:ind w:firstLine="1305"/>
        <w:spacing w:after="0" w:line="342" w:lineRule="auto"/>
        <w:tabs>
          <w:tab w:leader="none" w:pos="171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(other than for Indebtedness), leases (including Capital Lease Obligations), statutory obligations, surety and appeal bonds, performance bonds and other obligations of a like nature incurred in the ordinary course of business;</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8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5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all such judgments or awards (and any cash and the fair market value of any property subject to such Liens) does not exceed U.S.$10,000,000 at any time outstanding;</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187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purchase money security interests in real property, improvements thereto or equipment hereafter acquired (or, in the case of improvements, constructed) by the Borrowers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security interests secure 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equipment at the time of such acquisition (or construction) and (iv) such security interests do not apply to any other property or assets of the Borrowers or any Subsidiary;</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176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Liens on Equity Interests in a Special Purpose Business Entity incurred for the purpose of providing independent financing for such Special Purpose Business Entity;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Liens are non-recourse as to the Parent Borrower or any of its Subsidiaries holding any Equity Interests in such Special Purpose Business Entity;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2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Liens securing Indebtedness and not otherwise permitted under this Section 6.02;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all Indebtedness secured by such Liens does not exceed $20,000,000 at any time outstanding;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Lien on any Collateral of any Borrower or any of their Subsidiaries shall be permitted by this Section 6.02(l);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2" w:name="page233"/>
    <w:bookmarkEnd w:id="232"/>
    <w:p>
      <w:pPr>
        <w:ind w:right="20" w:firstLine="1305"/>
        <w:spacing w:after="0" w:line="277" w:lineRule="auto"/>
        <w:tabs>
          <w:tab w:leader="none" w:pos="185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in connection with a deemed security interest under Section 12(3) of the PPSA (Australia) which do not secure payment or performance of any obligation;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6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81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or selling price (and other amounts incidental to those amounts) of such goods and products;</w:t>
      </w:r>
    </w:p>
    <w:p>
      <w:pPr>
        <w:spacing w:after="0" w:line="181" w:lineRule="exact"/>
        <w:rPr>
          <w:rFonts w:ascii="Arial" w:cs="Arial" w:eastAsia="Arial" w:hAnsi="Arial"/>
          <w:sz w:val="18"/>
          <w:szCs w:val="18"/>
          <w:color w:val="auto"/>
        </w:rPr>
      </w:pPr>
    </w:p>
    <w:p>
      <w:pPr>
        <w:ind w:firstLine="1305"/>
        <w:spacing w:after="0" w:line="277" w:lineRule="auto"/>
        <w:tabs>
          <w:tab w:leader="none" w:pos="180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netting or set-off arrangement entered into by any such entity in the ordinary course of its banking arrangements for the purposes of netting debit and credit balances; and</w:t>
      </w:r>
    </w:p>
    <w:p>
      <w:pPr>
        <w:spacing w:after="0" w:line="170" w:lineRule="exact"/>
        <w:rPr>
          <w:rFonts w:ascii="Arial" w:cs="Arial" w:eastAsia="Arial" w:hAnsi="Arial"/>
          <w:sz w:val="18"/>
          <w:szCs w:val="18"/>
          <w:color w:val="auto"/>
        </w:rPr>
      </w:pPr>
    </w:p>
    <w:p>
      <w:pPr>
        <w:ind w:right="20" w:firstLine="1305"/>
        <w:spacing w:after="0" w:line="308" w:lineRule="auto"/>
        <w:tabs>
          <w:tab w:leader="none" w:pos="186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with respect to the Australian Borrower or any Australian Subsidiary, any payment or close out netting or set-off arrangement pursuant to any derivative or foreign exchange transaction entered into by any such entity, but excluding any Liens under a credit support arrangement.</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b w:val="1"/>
          <w:bCs w:val="1"/>
          <w:i w:val="1"/>
          <w:iCs w:val="1"/>
          <w:color w:val="auto"/>
        </w:rPr>
        <w:t>Sale and Lease-Back Transactions</w:t>
      </w:r>
      <w:r>
        <w:rPr>
          <w:rFonts w:ascii="Arial" w:cs="Arial" w:eastAsia="Arial" w:hAnsi="Arial"/>
          <w:sz w:val="18"/>
          <w:szCs w:val="18"/>
          <w:color w:val="auto"/>
        </w:rPr>
        <w:t>. Enter into any arrangement, directly or indirectly, with any person whereby it shall sell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6.04 </w:t>
      </w:r>
      <w:r>
        <w:rPr>
          <w:rFonts w:ascii="Arial" w:cs="Arial" w:eastAsia="Arial" w:hAnsi="Arial"/>
          <w:sz w:val="18"/>
          <w:szCs w:val="18"/>
          <w:b w:val="1"/>
          <w:bCs w:val="1"/>
          <w:i w:val="1"/>
          <w:iCs w:val="1"/>
          <w:color w:val="auto"/>
        </w:rPr>
        <w:t>Investments, Loans and Advances</w:t>
      </w:r>
      <w:r>
        <w:rPr>
          <w:rFonts w:ascii="Arial" w:cs="Arial" w:eastAsia="Arial" w:hAnsi="Arial"/>
          <w:sz w:val="18"/>
          <w:szCs w:val="18"/>
          <w:color w:val="auto"/>
        </w:rPr>
        <w:t>. Purchase, hold or acquire any Equity Interests, evidences of indebtedness or other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of, make or permit to exist any loans or advances to, or make or permit to exist any investment or any other interest in, any other person (referred to herein as an “</w:t>
      </w:r>
      <w:r>
        <w:rPr>
          <w:rFonts w:ascii="Arial" w:cs="Arial" w:eastAsia="Arial" w:hAnsi="Arial"/>
          <w:sz w:val="18"/>
          <w:szCs w:val="18"/>
          <w:i w:val="1"/>
          <w:iCs w:val="1"/>
          <w:color w:val="auto"/>
        </w:rPr>
        <w:t>Investment</w:t>
      </w:r>
      <w:r>
        <w:rPr>
          <w:rFonts w:ascii="Arial" w:cs="Arial" w:eastAsia="Arial" w:hAnsi="Arial"/>
          <w:sz w:val="18"/>
          <w:szCs w:val="18"/>
          <w:color w:val="auto"/>
        </w:rPr>
        <w:t>”), except:</w:t>
      </w:r>
    </w:p>
    <w:p>
      <w:pPr>
        <w:spacing w:after="0" w:line="180" w:lineRule="exact"/>
        <w:rPr>
          <w:sz w:val="20"/>
          <w:szCs w:val="20"/>
          <w:color w:val="auto"/>
        </w:rPr>
      </w:pPr>
    </w:p>
    <w:p>
      <w:pPr>
        <w:ind w:left="1720" w:hanging="415"/>
        <w:spacing w:after="0"/>
        <w:tabs>
          <w:tab w:leader="none" w:pos="17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Investments set forth on Schedule 6.04;</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25" w:lineRule="exact"/>
        <w:rPr>
          <w:rFonts w:ascii="Arial" w:cs="Arial" w:eastAsia="Arial" w:hAnsi="Arial"/>
          <w:sz w:val="18"/>
          <w:szCs w:val="18"/>
          <w:color w:val="auto"/>
        </w:rPr>
      </w:pPr>
    </w:p>
    <w:p>
      <w:pPr>
        <w:ind w:firstLine="1305"/>
        <w:spacing w:after="0" w:line="277" w:lineRule="auto"/>
        <w:tabs>
          <w:tab w:leader="none" w:pos="175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accounts receivable owing to the Borrowers or any of the Subsidiaries arising from sales of inventory or the provision of services in the ordinary course of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3" w:name="page234"/>
    <w:bookmarkEnd w:id="233"/>
    <w:p>
      <w:pPr>
        <w:ind w:firstLine="1305"/>
        <w:spacing w:after="0" w:line="308" w:lineRule="auto"/>
        <w:tabs>
          <w:tab w:leader="none" w:pos="1734"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pacing w:after="0" w:line="146" w:lineRule="exact"/>
        <w:rPr>
          <w:rFonts w:ascii="Arial" w:cs="Arial" w:eastAsia="Arial" w:hAnsi="Arial"/>
          <w:sz w:val="17"/>
          <w:szCs w:val="17"/>
          <w:color w:val="auto"/>
        </w:rPr>
      </w:pPr>
    </w:p>
    <w:p>
      <w:pPr>
        <w:jc w:val="both"/>
        <w:ind w:firstLine="1305"/>
        <w:spacing w:after="0" w:line="286" w:lineRule="auto"/>
        <w:tabs>
          <w:tab w:leader="none" w:pos="1727"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Borrower or such Subsidiary, as the case may be, has paid no new consideration (other than forgiveness of Indebtedness) therefor;</w:t>
      </w:r>
    </w:p>
    <w:p>
      <w:pPr>
        <w:spacing w:after="0" w:line="165" w:lineRule="exact"/>
        <w:rPr>
          <w:rFonts w:ascii="Arial" w:cs="Arial" w:eastAsia="Arial" w:hAnsi="Arial"/>
          <w:sz w:val="17"/>
          <w:szCs w:val="17"/>
          <w:color w:val="auto"/>
        </w:rPr>
      </w:pPr>
    </w:p>
    <w:p>
      <w:pPr>
        <w:ind w:left="1700" w:hanging="395"/>
        <w:spacing w:after="0"/>
        <w:tabs>
          <w:tab w:leader="none" w:pos="17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Investments of a Loan Party in or to another Loan Party;</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Borrowers may enter into Hedging Agreements to the extent permitted by Section 6.12;</w:t>
      </w:r>
    </w:p>
    <w:p>
      <w:pPr>
        <w:spacing w:after="0" w:line="225" w:lineRule="exact"/>
        <w:rPr>
          <w:rFonts w:ascii="Arial" w:cs="Arial" w:eastAsia="Arial" w:hAnsi="Arial"/>
          <w:sz w:val="18"/>
          <w:szCs w:val="18"/>
          <w:color w:val="auto"/>
        </w:rPr>
      </w:pPr>
    </w:p>
    <w:p>
      <w:pPr>
        <w:ind w:firstLine="1305"/>
        <w:spacing w:after="0" w:line="277" w:lineRule="auto"/>
        <w:tabs>
          <w:tab w:leader="none" w:pos="169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the Parent Borrower and its Subsidiaries may acquire all or substantially all the assets of a person or line of business of such person, or Equity Interests of a person that would become a wholly owned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transaction:</w:t>
      </w:r>
    </w:p>
    <w:p>
      <w:pPr>
        <w:spacing w:after="0" w:line="170" w:lineRule="exact"/>
        <w:rPr>
          <w:rFonts w:ascii="Arial" w:cs="Arial" w:eastAsia="Arial" w:hAnsi="Arial"/>
          <w:sz w:val="18"/>
          <w:szCs w:val="18"/>
          <w:color w:val="auto"/>
        </w:rPr>
      </w:pPr>
    </w:p>
    <w:p>
      <w:pPr>
        <w:ind w:left="2180" w:hanging="389"/>
        <w:spacing w:after="0"/>
        <w:tabs>
          <w:tab w:leader="none" w:pos="21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both before and after giving effect thereto, no Event of Default or Default shall have occurred and be continuing;</w:t>
      </w:r>
    </w:p>
    <w:p>
      <w:pPr>
        <w:spacing w:after="0" w:line="225" w:lineRule="exact"/>
        <w:rPr>
          <w:rFonts w:ascii="Arial" w:cs="Arial" w:eastAsia="Arial" w:hAnsi="Arial"/>
          <w:sz w:val="18"/>
          <w:szCs w:val="18"/>
          <w:color w:val="auto"/>
        </w:rPr>
      </w:pPr>
    </w:p>
    <w:p>
      <w:pPr>
        <w:jc w:val="both"/>
        <w:ind w:left="660" w:firstLine="1131"/>
        <w:spacing w:after="0" w:line="290" w:lineRule="auto"/>
        <w:tabs>
          <w:tab w:leader="none" w:pos="2257"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the Parent Borrower would (A) be in compliance with the covenants set forth in Section 6.10 and (B) (1) if the Total Leverage Ratio is greater than or equal to 3.50:1.00 after giving effect to such Permitted Acquisition, have a Total Leverage Ratio less than or equal to the Total Leverage Ratio immediately prior to such Permitted Acquisition or (2) have a Total Leverage Ratio less than 3.50:1.00 after giving effect to such Permitted Acquisition,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or Section 6.04(m) occurring during or after such period) as if such transaction had occurred as of the first day of such period; and</w:t>
      </w:r>
    </w:p>
    <w:p>
      <w:pPr>
        <w:spacing w:after="0" w:line="166" w:lineRule="exact"/>
        <w:rPr>
          <w:rFonts w:ascii="Arial" w:cs="Arial" w:eastAsia="Arial" w:hAnsi="Arial"/>
          <w:sz w:val="16"/>
          <w:szCs w:val="16"/>
          <w:color w:val="auto"/>
        </w:rPr>
      </w:pPr>
    </w:p>
    <w:p>
      <w:pPr>
        <w:ind w:left="2380" w:hanging="589"/>
        <w:spacing w:after="0"/>
        <w:tabs>
          <w:tab w:leader="none" w:pos="238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after giving effect to such acquisition, there must be at least U.S.$25,000,000 of the Revolving Commitments unused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available;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 </w:t>
      </w:r>
      <w:r>
        <w:rPr>
          <w:rFonts w:ascii="Arial" w:cs="Arial" w:eastAsia="Arial" w:hAnsi="Arial"/>
          <w:sz w:val="16"/>
          <w:szCs w:val="16"/>
          <w:color w:val="auto"/>
        </w:rPr>
        <w:t>that all pro forma calculations required to be made pursuant to this Section 6.04(i) shall (A) other than adjustments pursuant to clause (a)</w:t>
      </w:r>
    </w:p>
    <w:p>
      <w:pPr>
        <w:spacing w:after="0" w:line="46" w:lineRule="exact"/>
        <w:rPr>
          <w:sz w:val="20"/>
          <w:szCs w:val="20"/>
          <w:color w:val="auto"/>
        </w:rPr>
      </w:pPr>
    </w:p>
    <w:p>
      <w:pPr>
        <w:ind w:right="20" w:firstLine="8"/>
        <w:spacing w:after="0" w:line="261" w:lineRule="auto"/>
        <w:tabs>
          <w:tab w:leader="none" w:pos="30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of the definition of EBITDA,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4" w:name="page235"/>
    <w:bookmarkEnd w:id="234"/>
    <w:p>
      <w:pPr>
        <w:ind w:left="1700" w:hanging="395"/>
        <w:spacing w:after="0"/>
        <w:tabs>
          <w:tab w:leader="none" w:pos="17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Investments consisting of non-cash proceeds of Asset Sales;</w:t>
      </w:r>
    </w:p>
    <w:p>
      <w:pPr>
        <w:spacing w:after="0" w:line="225" w:lineRule="exact"/>
        <w:rPr>
          <w:rFonts w:ascii="Arial" w:cs="Arial" w:eastAsia="Arial" w:hAnsi="Arial"/>
          <w:sz w:val="18"/>
          <w:szCs w:val="18"/>
          <w:color w:val="auto"/>
        </w:rPr>
      </w:pPr>
    </w:p>
    <w:p>
      <w:pPr>
        <w:ind w:firstLine="1305"/>
        <w:spacing w:after="0" w:line="277" w:lineRule="auto"/>
        <w:tabs>
          <w:tab w:leader="none" w:pos="177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Investments by the Parent Borrower or an existing Subsidiary in or to the Parent Borrower or an existing Subsidiary (but excluding, for the avoidance of doubt, Investments in any Person that will become a Subsidiary upon the making of such Investment);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3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other Investments, without duplication, in an aggregate amount (valued at cost or outstanding principal amount, as the case may be) not greater than 7.5% of the Parent Borrower’s Consolidated Net Worth calculated on the date of such Investment as of the most recent fiscal quarter for which financial statements are available; and</w:t>
      </w:r>
    </w:p>
    <w:p>
      <w:pPr>
        <w:spacing w:after="0" w:line="181" w:lineRule="exact"/>
        <w:rPr>
          <w:rFonts w:ascii="Arial" w:cs="Arial" w:eastAsia="Arial" w:hAnsi="Arial"/>
          <w:sz w:val="18"/>
          <w:szCs w:val="18"/>
          <w:color w:val="auto"/>
        </w:rPr>
      </w:pPr>
    </w:p>
    <w:p>
      <w:pPr>
        <w:ind w:firstLine="1305"/>
        <w:spacing w:after="0" w:line="277" w:lineRule="auto"/>
        <w:tabs>
          <w:tab w:leader="none" w:pos="178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Parent Borrower and its Subsidiaries may acquire Equity Interests of a person that would become a non-wholly owned Subsidiary (in each case referred to herein as the “</w:t>
      </w:r>
      <w:r>
        <w:rPr>
          <w:rFonts w:ascii="Arial" w:cs="Arial" w:eastAsia="Arial" w:hAnsi="Arial"/>
          <w:sz w:val="18"/>
          <w:szCs w:val="18"/>
          <w:i w:val="1"/>
          <w:iCs w:val="1"/>
          <w:color w:val="auto"/>
        </w:rPr>
        <w:t>Non-Wholly Owned Entity</w:t>
      </w:r>
      <w:r>
        <w:rPr>
          <w:rFonts w:ascii="Arial" w:cs="Arial" w:eastAsia="Arial" w:hAnsi="Arial"/>
          <w:sz w:val="18"/>
          <w:szCs w:val="18"/>
          <w:color w:val="auto"/>
        </w:rPr>
        <w:t>”); provided that:</w:t>
      </w:r>
    </w:p>
    <w:p>
      <w:pPr>
        <w:spacing w:after="0" w:line="170" w:lineRule="exact"/>
        <w:rPr>
          <w:rFonts w:ascii="Arial" w:cs="Arial" w:eastAsia="Arial" w:hAnsi="Arial"/>
          <w:sz w:val="18"/>
          <w:szCs w:val="18"/>
          <w:color w:val="auto"/>
        </w:rPr>
      </w:pPr>
    </w:p>
    <w:p>
      <w:pPr>
        <w:ind w:left="2180" w:hanging="389"/>
        <w:spacing w:after="0"/>
        <w:tabs>
          <w:tab w:leader="none" w:pos="21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both before and after giving effect thereto, no Event of Default or Default shall have occurred and be continuing;</w:t>
      </w:r>
    </w:p>
    <w:p>
      <w:pPr>
        <w:spacing w:after="0" w:line="225" w:lineRule="exact"/>
        <w:rPr>
          <w:rFonts w:ascii="Arial" w:cs="Arial" w:eastAsia="Arial" w:hAnsi="Arial"/>
          <w:sz w:val="18"/>
          <w:szCs w:val="18"/>
          <w:color w:val="auto"/>
        </w:rPr>
      </w:pPr>
    </w:p>
    <w:p>
      <w:pPr>
        <w:jc w:val="both"/>
        <w:ind w:left="660" w:firstLine="1131"/>
        <w:spacing w:after="0" w:line="272" w:lineRule="auto"/>
        <w:tabs>
          <w:tab w:leader="none" w:pos="2239"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Parent Borrower would (A) be in compliance with the covenants set forth in Section 6.10 and (B) after giving effect to such acquisition, have a Total Leverage Ratio less than or equal to the Total Leverage Ratio immediately prior to such acquisition,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Section 6.04(i) or this Section 6.04(m) occurring during or after such period) as if such transaction had occurred as of the first day of such period;</w:t>
      </w:r>
    </w:p>
    <w:p>
      <w:pPr>
        <w:spacing w:after="0" w:line="177" w:lineRule="exact"/>
        <w:rPr>
          <w:rFonts w:ascii="Arial" w:cs="Arial" w:eastAsia="Arial" w:hAnsi="Arial"/>
          <w:sz w:val="17"/>
          <w:szCs w:val="17"/>
          <w:color w:val="auto"/>
        </w:rPr>
      </w:pPr>
    </w:p>
    <w:p>
      <w:pPr>
        <w:ind w:left="2380" w:hanging="589"/>
        <w:spacing w:after="0"/>
        <w:tabs>
          <w:tab w:leader="none" w:pos="238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after giving effect to such acquisition, there must be at least U.S.$25,000,000 of the Revolving Commitments unused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available;</w:t>
      </w:r>
    </w:p>
    <w:p>
      <w:pPr>
        <w:spacing w:after="0" w:line="210" w:lineRule="exact"/>
        <w:rPr>
          <w:rFonts w:ascii="Arial" w:cs="Arial" w:eastAsia="Arial" w:hAnsi="Arial"/>
          <w:sz w:val="16"/>
          <w:szCs w:val="16"/>
          <w:color w:val="auto"/>
        </w:rPr>
      </w:pPr>
    </w:p>
    <w:p>
      <w:pPr>
        <w:jc w:val="both"/>
        <w:ind w:left="660" w:firstLine="1131"/>
        <w:spacing w:after="0" w:line="264" w:lineRule="auto"/>
        <w:tabs>
          <w:tab w:leader="none" w:pos="23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after giving effect to such acquisition, the Parent Borrower shall continue to own, directly or indirectly, beneficially and of record, a majority of the issued and outstanding Equity Interests of such Non-Wholly Owned Entity unless otherwise disposed of in accordance with Section 6.05;</w:t>
      </w:r>
    </w:p>
    <w:p>
      <w:pPr>
        <w:spacing w:after="0" w:line="181" w:lineRule="exact"/>
        <w:rPr>
          <w:rFonts w:ascii="Arial" w:cs="Arial" w:eastAsia="Arial" w:hAnsi="Arial"/>
          <w:sz w:val="18"/>
          <w:szCs w:val="18"/>
          <w:color w:val="auto"/>
        </w:rPr>
      </w:pPr>
    </w:p>
    <w:p>
      <w:pPr>
        <w:jc w:val="both"/>
        <w:ind w:left="660" w:right="20" w:firstLine="1131"/>
        <w:spacing w:after="0" w:line="264" w:lineRule="auto"/>
        <w:tabs>
          <w:tab w:leader="none" w:pos="223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upon the consummation of such acquisition, the Non-Wholly Owned Entity and any Borrower and/or Subsidiary that holds any Equity Interests in such Non-Wholly Owned Entity shall have each complied with the requirements of Section 5.09 regardless of whether such Non-Wholly Owned Entity is a Material Subsidiary; and</w:t>
      </w:r>
    </w:p>
    <w:p>
      <w:pPr>
        <w:spacing w:after="0" w:line="181" w:lineRule="exact"/>
        <w:rPr>
          <w:rFonts w:ascii="Arial" w:cs="Arial" w:eastAsia="Arial" w:hAnsi="Arial"/>
          <w:sz w:val="18"/>
          <w:szCs w:val="18"/>
          <w:color w:val="auto"/>
        </w:rPr>
      </w:pPr>
    </w:p>
    <w:p>
      <w:pPr>
        <w:jc w:val="both"/>
        <w:ind w:left="660" w:firstLine="1131"/>
        <w:spacing w:after="0" w:line="264" w:lineRule="auto"/>
        <w:tabs>
          <w:tab w:leader="none" w:pos="238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aggregate amount of the consideration for all such acquisitions made pursuant to this Section 6.04(m) after the Third Amendment Effective Date shall not exceed 10% of the Parent Borrower’s Consolidated Net Worth calculated on the date of such acquisition as of the most recent fiscal quarter for which financial statements are available;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5" w:name="page236"/>
    <w:bookmarkEnd w:id="235"/>
    <w:p>
      <w:pPr>
        <w:jc w:val="both"/>
        <w:ind w:firstLine="648"/>
        <w:spacing w:after="0" w:line="31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 </w:t>
      </w:r>
      <w:r>
        <w:rPr>
          <w:rFonts w:ascii="Arial" w:cs="Arial" w:eastAsia="Arial" w:hAnsi="Arial"/>
          <w:sz w:val="16"/>
          <w:szCs w:val="16"/>
          <w:color w:val="auto"/>
        </w:rPr>
        <w:t>that all pro forma calculations required to be made pursuant to this Section 6.04(m) shall (A) other than adjustments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14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5"/>
          <w:szCs w:val="15"/>
          <w:b w:val="1"/>
          <w:bCs w:val="1"/>
          <w:i w:val="1"/>
          <w:iCs w:val="1"/>
          <w:color w:val="auto"/>
        </w:rPr>
        <w:t>Mergers, Consolidations, Sales of Assets and Acquisitions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6" w:lineRule="auto"/>
        <w:tabs>
          <w:tab w:leader="none" w:pos="172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Merge, amalgamate or consolidate with or into any other person, or 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Parent Borrower may merge, amalgamate or consolidate with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Change in Control occurs, (ii) immediately after giving effect to any such proposed transaction no Default or Event of Default would exist, and (iii) the Parent Borrower is the surviving entity, (b) the Parent Borrower may merge or amalgamate with any of its wholly owned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after giving effect to any such proposed transaction no Default would exist and the Parent Borrower is 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other than with respect to any merger among wholly owned Subsidiaries of the Parent Borrower, the requirements of Section 6.04(i) are met with respect to such merger described in this clause (c) and (ii) if any such merger described in this clause (c) shall involve a Loan Party, the surviving entity of such merger shall be or become a Loan Party and (d) any Subsidiary of the Parent Borrower may liquidate or dissolve if the Parent Borrower determines in good faith that such liquidation or dissolution is in the best interests of the Parent Borrower and is not materially disadvantageous to the Lenders.</w:t>
      </w:r>
    </w:p>
    <w:p>
      <w:pPr>
        <w:spacing w:after="0" w:line="171" w:lineRule="exact"/>
        <w:rPr>
          <w:rFonts w:ascii="Arial" w:cs="Arial" w:eastAsia="Arial" w:hAnsi="Arial"/>
          <w:sz w:val="16"/>
          <w:szCs w:val="16"/>
          <w:color w:val="auto"/>
        </w:rPr>
      </w:pPr>
    </w:p>
    <w:p>
      <w:pPr>
        <w:jc w:val="both"/>
        <w:ind w:firstLine="1305"/>
        <w:spacing w:after="0" w:line="259" w:lineRule="auto"/>
        <w:tabs>
          <w:tab w:leader="none" w:pos="17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Original Closing Date shall not exceed 7.5% of Consolidated Net Worth calculated on the date of incurrence as of the most recent fiscal quarter for which financial statements are available in the aggregate.</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6.06 </w:t>
      </w:r>
      <w:r>
        <w:rPr>
          <w:rFonts w:ascii="Arial" w:cs="Arial" w:eastAsia="Arial" w:hAnsi="Arial"/>
          <w:sz w:val="17"/>
          <w:szCs w:val="17"/>
          <w:b w:val="1"/>
          <w:bCs w:val="1"/>
          <w:i w:val="1"/>
          <w:iCs w:val="1"/>
          <w:color w:val="auto"/>
        </w:rPr>
        <w:t>Restricted Payments; Restrictive Agreements</w:t>
      </w:r>
      <w:r>
        <w:rPr>
          <w:rFonts w:ascii="Arial" w:cs="Arial" w:eastAsia="Arial" w:hAnsi="Arial"/>
          <w:sz w:val="17"/>
          <w:szCs w:val="17"/>
          <w:color w:val="auto"/>
        </w:rPr>
        <w:t>. (a) Declare or make, or agree to declare or make, directly or indirectly,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Restricted Payment (including pursuant to any Synthetic Purchase Agreement), or incur any obligation (contingent or otherwise) to do 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any Subsidiary may declare and pay dividends or make other distributions ratably to its equity holders of a given class, (ii) so long as no Event of Default or Default shall have occurred and be continuing or would result therefrom, the Parent Borrower may repurchase its Equity Interests owned by employees of the Parent Borrower or the Subsidiaries or make payments to employees of the Parent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 and (iii) at any time on or after January 1, 2018, so long as (A) no Event of Default or Default shall have occurred and be continuing or result therefrom, (B) at least U.S.$25,000,000 of the Revolving Commitments is unused and available after giving effect to such Restricted Payment, (C) the Parent Borrower would (1) be in compliance with the covenants set forth in Sections 6.10 and (2) have a Total Leverage Ratio less than 3.50:1.00,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Section 6.04(i)) to such transaction and to any other event occurring during or after such period as to which pro forma recalculation is appropriate as if such transaction had occurred as of the first day of such period, the Parent Borrower may make Restricted Payments in any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6" w:name="page237"/>
    <w:bookmarkEnd w:id="236"/>
    <w:p>
      <w:pPr>
        <w:jc w:val="both"/>
        <w:ind w:firstLine="1305"/>
        <w:spacing w:after="0" w:line="284" w:lineRule="auto"/>
        <w:tabs>
          <w:tab w:leader="none" w:pos="1763"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Enter into, incur or permit to exist any agreement or other arrangement that prohibits, restricts or imposes any condition upon (i) the ability of the Parent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Parent Borrower or any other Subsidiary or to Guarantee Indebtedness of the Parent Borrower or any 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foregoing shall not apply to restrictions and conditions imposed by law or by any Loan Document, (B) the foregoing shall not apply to customary restrictions and conditions contained in agreements relating to the sale of a Subsidiary pending such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restrictions and conditions apply only to the Subsidiary that is to be sold and such sale is permitted hereunder,</w:t>
      </w:r>
    </w:p>
    <w:p>
      <w:pPr>
        <w:spacing w:after="0" w:line="2" w:lineRule="exact"/>
        <w:rPr>
          <w:rFonts w:ascii="Arial" w:cs="Arial" w:eastAsia="Arial" w:hAnsi="Arial"/>
          <w:sz w:val="16"/>
          <w:szCs w:val="16"/>
          <w:color w:val="auto"/>
        </w:rPr>
      </w:pPr>
    </w:p>
    <w:p>
      <w:pPr>
        <w:jc w:val="both"/>
        <w:ind w:firstLine="8"/>
        <w:spacing w:after="0" w:line="253" w:lineRule="auto"/>
        <w:tabs>
          <w:tab w:leader="none" w:pos="31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foregoing shall not apply to restrictions and conditions imposed on any Foreign Subsidiary (other than any Canadian Subsidiary, the Australian Borrower or any Australian Subsidiary) by the terms of any Indebtedness of such Foreign 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and (E) clause (i) of the foregoing shall not apply to customary provisions in leases and other contracts restricting the assignment thereof.</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6.07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Except for transactions by or among Loan Parties and transactions expressly permitted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sell or transfer any property or assets to, or purchase or acquire 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6.08 </w:t>
      </w:r>
      <w:r>
        <w:rPr>
          <w:rFonts w:ascii="Arial" w:cs="Arial" w:eastAsia="Arial" w:hAnsi="Arial"/>
          <w:sz w:val="18"/>
          <w:szCs w:val="18"/>
          <w:b w:val="1"/>
          <w:bCs w:val="1"/>
          <w:i w:val="1"/>
          <w:iCs w:val="1"/>
          <w:color w:val="auto"/>
        </w:rPr>
        <w:t>Business of Borrowers and Subsidiaries</w:t>
      </w:r>
      <w:r>
        <w:rPr>
          <w:rFonts w:ascii="Arial" w:cs="Arial" w:eastAsia="Arial" w:hAnsi="Arial"/>
          <w:sz w:val="18"/>
          <w:szCs w:val="18"/>
          <w:color w:val="auto"/>
        </w:rPr>
        <w:t>. Engage at any time in any business or business activity other than providing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to the energy industry, accommodations and business activities reasonably incidental thereto.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7" w:name="page238"/>
    <w:bookmarkEnd w:id="237"/>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6.09 </w:t>
      </w:r>
      <w:r>
        <w:rPr>
          <w:rFonts w:ascii="Arial" w:cs="Arial" w:eastAsia="Arial" w:hAnsi="Arial"/>
          <w:sz w:val="18"/>
          <w:szCs w:val="18"/>
          <w:b w:val="1"/>
          <w:bCs w:val="1"/>
          <w:i w:val="1"/>
          <w:iCs w:val="1"/>
          <w:color w:val="auto"/>
        </w:rPr>
        <w:t>Other Indebtedness and Agreements</w:t>
      </w:r>
      <w:r>
        <w:rPr>
          <w:rFonts w:ascii="Arial" w:cs="Arial" w:eastAsia="Arial" w:hAnsi="Arial"/>
          <w:sz w:val="18"/>
          <w:szCs w:val="18"/>
          <w:color w:val="auto"/>
        </w:rPr>
        <w:t>. (a) Permit any waiver, supplement, modification, amendment, termination or release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184" w:lineRule="exact"/>
        <w:rPr>
          <w:sz w:val="20"/>
          <w:szCs w:val="20"/>
          <w:color w:val="auto"/>
        </w:rPr>
      </w:pPr>
    </w:p>
    <w:p>
      <w:pPr>
        <w:jc w:val="both"/>
        <w:ind w:firstLine="1305"/>
        <w:spacing w:after="0" w:line="255" w:lineRule="auto"/>
        <w:tabs>
          <w:tab w:leader="none" w:pos="185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Parent Borrower could make a Restricted Payment pursuant to Section 6.06(a) or (ii) to the extent any Subordinated Indebtedness is repaid with the proceeds of a refinancing of such Subordinated Indebtedness permitted under Section 6.01(a) or Section 6.01(e).</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6.10 </w:t>
      </w:r>
      <w:r>
        <w:rPr>
          <w:rFonts w:ascii="Arial" w:cs="Arial" w:eastAsia="Arial" w:hAnsi="Arial"/>
          <w:sz w:val="18"/>
          <w:szCs w:val="18"/>
          <w:b w:val="1"/>
          <w:bCs w:val="1"/>
          <w:i w:val="1"/>
          <w:iCs w:val="1"/>
          <w:color w:val="auto"/>
        </w:rPr>
        <w:t>Interest Coverage Ratio</w:t>
      </w:r>
      <w:r>
        <w:rPr>
          <w:rFonts w:ascii="Arial" w:cs="Arial" w:eastAsia="Arial" w:hAnsi="Arial"/>
          <w:sz w:val="18"/>
          <w:szCs w:val="18"/>
          <w:color w:val="auto"/>
        </w:rPr>
        <w:t>. Permit the Interest Coverage Ratio for any period of four consecutive fiscal quarters of the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each case taken as one accounting period, to be less than 3.0 to 1.0.</w:t>
      </w:r>
    </w:p>
    <w:p>
      <w:pPr>
        <w:spacing w:after="0" w:line="16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5"/>
          <w:szCs w:val="15"/>
          <w:b w:val="1"/>
          <w:bCs w:val="1"/>
          <w:i w:val="1"/>
          <w:iCs w:val="1"/>
          <w:color w:val="auto"/>
        </w:rPr>
        <w:t>Leverage Ratios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86" w:val="left"/>
        </w:tabs>
        <w:numPr>
          <w:ilvl w:val="0"/>
          <w:numId w:val="289"/>
        </w:numPr>
        <w:rPr>
          <w:rFonts w:ascii="Arial" w:cs="Arial" w:eastAsia="Arial" w:hAnsi="Arial"/>
          <w:sz w:val="18"/>
          <w:szCs w:val="18"/>
          <w:color w:val="auto"/>
        </w:rPr>
      </w:pPr>
      <w:r>
        <w:rPr>
          <w:rFonts w:ascii="Arial" w:cs="Arial" w:eastAsia="Arial" w:hAnsi="Arial"/>
          <w:sz w:val="18"/>
          <w:szCs w:val="18"/>
          <w:b w:val="1"/>
          <w:bCs w:val="1"/>
          <w:i w:val="1"/>
          <w:iCs w:val="1"/>
          <w:color w:val="auto"/>
        </w:rPr>
        <w:t>Maximum Total Leverage Ratio</w:t>
      </w:r>
      <w:r>
        <w:rPr>
          <w:rFonts w:ascii="Arial" w:cs="Arial" w:eastAsia="Arial" w:hAnsi="Arial"/>
          <w:sz w:val="18"/>
          <w:szCs w:val="18"/>
          <w:color w:val="auto"/>
        </w:rPr>
        <w:t>. Commencing with the four fiscal quarter period ending March 31, 2018, permit the Total Leverage Ratio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period of four consecutive fiscal quarters of the Parent Borrower, in each case taken as one accounting period, as of the last day of any fiscal quarter, to be greater than (A) if a Qualified Offering has not been consummated:</w:t>
      </w:r>
    </w:p>
    <w:p>
      <w:pPr>
        <w:spacing w:after="0" w:line="17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Fiscal Quarter Ending</w:t>
            </w:r>
          </w:p>
        </w:tc>
        <w:tc>
          <w:tcPr>
            <w:tcW w:w="1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Total Leverage Ratio</w:t>
            </w: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2018 and June 30, 2018</w:t>
            </w:r>
          </w:p>
        </w:tc>
        <w:tc>
          <w:tcPr>
            <w:tcW w:w="160" w:type="dxa"/>
            <w:vAlign w:val="bottom"/>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4.50:1.00</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September 30, 2018</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4.25:1.00</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3.75:1.00</w:t>
            </w: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March 31, 2019 and thereafter</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3.50:1.00</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(B) if a Qualified Offering has been consummated, 4.00:1.00.</w:t>
      </w:r>
    </w:p>
    <w:p>
      <w:pPr>
        <w:spacing w:after="0" w:line="225" w:lineRule="exact"/>
        <w:rPr>
          <w:sz w:val="20"/>
          <w:szCs w:val="20"/>
          <w:color w:val="auto"/>
        </w:rPr>
      </w:pPr>
    </w:p>
    <w:p>
      <w:pPr>
        <w:jc w:val="both"/>
        <w:ind w:firstLine="656"/>
        <w:spacing w:after="0" w:line="264" w:lineRule="auto"/>
        <w:tabs>
          <w:tab w:leader="none" w:pos="1083" w:val="left"/>
        </w:tabs>
        <w:numPr>
          <w:ilvl w:val="0"/>
          <w:numId w:val="290"/>
        </w:numPr>
        <w:rPr>
          <w:rFonts w:ascii="Arial" w:cs="Arial" w:eastAsia="Arial" w:hAnsi="Arial"/>
          <w:sz w:val="18"/>
          <w:szCs w:val="18"/>
          <w:color w:val="auto"/>
        </w:rPr>
      </w:pPr>
      <w:r>
        <w:rPr>
          <w:rFonts w:ascii="Arial" w:cs="Arial" w:eastAsia="Arial" w:hAnsi="Arial"/>
          <w:sz w:val="18"/>
          <w:szCs w:val="18"/>
          <w:b w:val="1"/>
          <w:bCs w:val="1"/>
          <w:i w:val="1"/>
          <w:iCs w:val="1"/>
          <w:color w:val="auto"/>
        </w:rPr>
        <w:t>Maximum Senior Secured Leverage Ratio</w:t>
      </w:r>
      <w:r>
        <w:rPr>
          <w:rFonts w:ascii="Arial" w:cs="Arial" w:eastAsia="Arial" w:hAnsi="Arial"/>
          <w:sz w:val="18"/>
          <w:szCs w:val="18"/>
          <w:color w:val="auto"/>
        </w:rPr>
        <w:t>. Permit the Senior Secured Leverage Ratio for any period of four consecutive fiscal quarters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Borrower, in each case taken as one accounting period, as of the last day of any fiscal quarter occurring after a Qualified Offering, to be greater than 2.50:1.00.</w:t>
      </w:r>
    </w:p>
    <w:p>
      <w:pPr>
        <w:spacing w:after="0" w:line="177"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SECTION 6.12 </w:t>
      </w:r>
      <w:r>
        <w:rPr>
          <w:rFonts w:ascii="Arial" w:cs="Arial" w:eastAsia="Arial" w:hAnsi="Arial"/>
          <w:sz w:val="16"/>
          <w:szCs w:val="16"/>
          <w:b w:val="1"/>
          <w:bCs w:val="1"/>
          <w:i w:val="1"/>
          <w:iCs w:val="1"/>
          <w:color w:val="auto"/>
        </w:rPr>
        <w:t>Hedging Agreements</w:t>
      </w:r>
      <w:r>
        <w:rPr>
          <w:rFonts w:ascii="Arial" w:cs="Arial" w:eastAsia="Arial" w:hAnsi="Arial"/>
          <w:sz w:val="16"/>
          <w:szCs w:val="16"/>
          <w:color w:val="auto"/>
        </w:rPr>
        <w:t>. Enter into any Hedging Agreement, other than Hedging Agreements entered into in the ordinary course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hedge or mitigate risks to which a Borrower or any Subsidiary is exposed in the conduct of its business or the management of its liabilities.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38" w:name="page239"/>
    <w:bookmarkEnd w:id="238"/>
    <w:p>
      <w:pPr>
        <w:jc w:val="both"/>
        <w:ind w:firstLine="648"/>
        <w:spacing w:after="0" w:line="268" w:lineRule="auto"/>
        <w:rPr>
          <w:sz w:val="20"/>
          <w:szCs w:val="20"/>
          <w:color w:val="auto"/>
        </w:rPr>
      </w:pPr>
      <w:r>
        <w:rPr>
          <w:rFonts w:ascii="Arial" w:cs="Arial" w:eastAsia="Arial" w:hAnsi="Arial"/>
          <w:sz w:val="17"/>
          <w:szCs w:val="17"/>
          <w:b w:val="1"/>
          <w:bCs w:val="1"/>
          <w:color w:val="auto"/>
        </w:rPr>
        <w:t>SECTION 6.13 Pension Plans</w:t>
      </w:r>
      <w:r>
        <w:rPr>
          <w:rFonts w:ascii="Arial" w:cs="Arial" w:eastAsia="Arial" w:hAnsi="Arial"/>
          <w:sz w:val="17"/>
          <w:szCs w:val="17"/>
          <w:color w:val="auto"/>
        </w:rPr>
        <w:t>. (a) Terminate, in whole or in part, or initiate the termination of, in whole or in part, any Canadian Pension Plan so</w:t>
      </w:r>
      <w:r>
        <w:rPr>
          <w:rFonts w:ascii="Arial" w:cs="Arial" w:eastAsia="Arial" w:hAnsi="Arial"/>
          <w:sz w:val="17"/>
          <w:szCs w:val="17"/>
          <w:b w:val="1"/>
          <w:bCs w:val="1"/>
          <w:color w:val="auto"/>
        </w:rPr>
        <w:t xml:space="preserve"> </w:t>
      </w:r>
      <w:r>
        <w:rPr>
          <w:rFonts w:ascii="Arial" w:cs="Arial" w:eastAsia="Arial" w:hAnsi="Arial"/>
          <w:sz w:val="17"/>
          <w:szCs w:val="17"/>
          <w:color w:val="auto"/>
        </w:rPr>
        <w:t>as to result in any liability to the Parent Borrower or its applicable Canadian Subsidiaries which could reasonably be expected to have a Material Adverse Effect; (b) permit to exist any event or condition in respect of any Canadian Pension Plan or Defined Benefit Plan which presents the risk of liability of the Parent Borrower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Parent Borrower or any of its Canadian Subsidiaries and which could reasonably be expected to have a Material Adverse Effect; (d) permit their unfunded obligations and liabilities under Canadian Pension Plans or Defined Benefit Plans to remain unfunded, other than in accordance with applicable law; (e) engage in any transactions which result in a fine or penalty against the Parent Borrower in excess of C$10,000,000 in respect of any Canadian Pension Plan, Defined Benefit Plan or Canadian Benefit Plan which fine or penalty has not been paid within 30 days of final assessment unless (i) such fine or penalty is being contested in good faith by appropriate proceedings, (ii) the Parent Borrower has set aside on its books adequate reserves with respect thereto in accordance with Canadian GAAP and (iii) such contest does not operate to suspend collection of the contested fine or penalty; or (f) fail to make a required contribution under any Canadian Pension Plan, Defined Benefit Plan or Canadian Benefit Plan which would result in the imposition of a Lien upon the assets of the Parent Borrower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8"/>
          <w:szCs w:val="18"/>
          <w:b w:val="1"/>
          <w:bCs w:val="1"/>
          <w:i w:val="1"/>
          <w:iCs w:val="1"/>
          <w:color w:val="auto"/>
        </w:rPr>
        <w:t>Amendment of the Organizational DocumentsSection 6.15 .</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the limited partnership agreement of any Subsidiary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a limited partnership or otherwise take steps to expressly provide that the units of such limited partnership are securities for the purposes of this Securities Transfer Act (Alberta) without 30 days prior written notice to the Canadian Collateral Agent.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6.15 </w:t>
      </w:r>
      <w:r>
        <w:rPr>
          <w:rFonts w:ascii="Arial" w:cs="Arial" w:eastAsia="Arial" w:hAnsi="Arial"/>
          <w:sz w:val="18"/>
          <w:szCs w:val="18"/>
          <w:b w:val="1"/>
          <w:bCs w:val="1"/>
          <w:i w:val="1"/>
          <w:iCs w:val="1"/>
          <w:color w:val="auto"/>
        </w:rPr>
        <w:t>Sanction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Use the proceeds of the facilities under the Loan Documents, or lend, contribute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make available such proceeds to any Borrower or any Subsidiary, joint venture partner or other person or entity for the purpose of (i) funding any activities or business of or with any Designated Person, or in any country or territory that at the time of such funding is, or whose government is, the subject of any sanctions under any Sanctions Laws and Regulations, or (ii) causing a violation of any Sanctions Laws and Regulations by any party to this Agreement.</w:t>
      </w:r>
    </w:p>
    <w:p>
      <w:pPr>
        <w:spacing w:after="0" w:line="188" w:lineRule="exact"/>
        <w:rPr>
          <w:sz w:val="20"/>
          <w:szCs w:val="20"/>
          <w:color w:val="auto"/>
        </w:rPr>
      </w:pPr>
    </w:p>
    <w:p>
      <w:pPr>
        <w:jc w:val="both"/>
        <w:ind w:firstLine="1305"/>
        <w:spacing w:after="0" w:line="264" w:lineRule="auto"/>
        <w:tabs>
          <w:tab w:leader="none" w:pos="185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Pay any amount due pursuant under the Loan Documents with funds obtained from transactions with or relating to Designated Persons or countries which are the subject of sanctions under any Sanctions Laws and Regulations, including but not limited to, Iran, Sudan, Cuba, and Syria, or with funds derived from any activity in violation of Anti-Money Laundering Laws.</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6.16 </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Violate the laws or regulations described in Section 3.23 in such a manner as to result in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39" w:name="page240"/>
    <w:bookmarkEnd w:id="239"/>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6.17 </w:t>
      </w:r>
      <w:r>
        <w:rPr>
          <w:rFonts w:ascii="Arial" w:cs="Arial" w:eastAsia="Arial" w:hAnsi="Arial"/>
          <w:sz w:val="18"/>
          <w:szCs w:val="18"/>
          <w:b w:val="1"/>
          <w:bCs w:val="1"/>
          <w:i w:val="1"/>
          <w:iCs w:val="1"/>
          <w:color w:val="auto"/>
        </w:rPr>
        <w:t>Cross-Guarantee</w:t>
      </w:r>
      <w:r>
        <w:rPr>
          <w:rFonts w:ascii="Arial" w:cs="Arial" w:eastAsia="Arial" w:hAnsi="Arial"/>
          <w:sz w:val="18"/>
          <w:szCs w:val="18"/>
          <w:color w:val="auto"/>
        </w:rPr>
        <w:t>. No Loan Party shall enter into a deed of cross-guarantee for the purposes of ASIC Class Order CO 98/1418</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with Civeo Holdings Company 1 Pty Limited and its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i w:val="1"/>
          <w:iCs w:val="1"/>
          <w:color w:val="auto"/>
        </w:rPr>
        <w:t>Events of Default</w:t>
      </w:r>
      <w:r>
        <w:rPr>
          <w:rFonts w:ascii="Arial" w:cs="Arial" w:eastAsia="Arial" w:hAnsi="Arial"/>
          <w:sz w:val="16"/>
          <w:szCs w:val="16"/>
          <w:color w:val="auto"/>
        </w:rPr>
        <w:t>. In case of the happening of any of the following events (“</w:t>
      </w:r>
      <w:r>
        <w:rPr>
          <w:rFonts w:ascii="Arial" w:cs="Arial" w:eastAsia="Arial" w:hAnsi="Arial"/>
          <w:sz w:val="16"/>
          <w:szCs w:val="16"/>
          <w:i w:val="1"/>
          <w:iCs w:val="1"/>
          <w:color w:val="auto"/>
        </w:rPr>
        <w:t>Events of Default</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173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173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5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w:t>
      </w:r>
    </w:p>
    <w:p>
      <w:pPr>
        <w:spacing w:after="0" w:line="181" w:lineRule="exact"/>
        <w:rPr>
          <w:rFonts w:ascii="Arial" w:cs="Arial" w:eastAsia="Arial" w:hAnsi="Arial"/>
          <w:sz w:val="18"/>
          <w:szCs w:val="18"/>
          <w:color w:val="auto"/>
        </w:rPr>
      </w:pPr>
    </w:p>
    <w:p>
      <w:pPr>
        <w:ind w:firstLine="1305"/>
        <w:spacing w:after="0" w:line="277" w:lineRule="auto"/>
        <w:tabs>
          <w:tab w:leader="none" w:pos="173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a Borrower or any Subsidiary of any covenant, condition or agreement contained in Section 5.01(a), 5.05(a), 5.08 or in Article VI;</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2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Parent Borrower or (ii) any Responsible Officer of the Parent Borrower obtains actual knowledge thereof;</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809"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(ii) shall not apply to secured Indebtedness that becomes due as a result of the voluntary sale or transfer of the property or assets securing such Indebtedness;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0" w:name="page241"/>
    <w:bookmarkEnd w:id="240"/>
    <w:p>
      <w:pPr>
        <w:ind w:left="1800" w:hanging="495"/>
        <w:spacing w:after="0"/>
        <w:tabs>
          <w:tab w:leader="none" w:pos="180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in a court of competent jurisdiction seeking</w:t>
      </w:r>
    </w:p>
    <w:p>
      <w:pPr>
        <w:spacing w:after="0" w:line="46" w:lineRule="exact"/>
        <w:rPr>
          <w:rFonts w:ascii="Arial" w:cs="Arial" w:eastAsia="Arial" w:hAnsi="Arial"/>
          <w:sz w:val="16"/>
          <w:szCs w:val="16"/>
          <w:color w:val="auto"/>
        </w:rPr>
      </w:pPr>
    </w:p>
    <w:p>
      <w:pPr>
        <w:jc w:val="both"/>
        <w:ind w:firstLine="8"/>
        <w:spacing w:after="0" w:line="253" w:lineRule="auto"/>
        <w:tabs>
          <w:tab w:leader="none" w:pos="21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 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91" w:lineRule="exact"/>
        <w:rPr>
          <w:rFonts w:ascii="Arial" w:cs="Arial" w:eastAsia="Arial" w:hAnsi="Arial"/>
          <w:sz w:val="18"/>
          <w:szCs w:val="18"/>
          <w:color w:val="auto"/>
        </w:rPr>
      </w:pPr>
    </w:p>
    <w:p>
      <w:pPr>
        <w:jc w:val="both"/>
        <w:ind w:firstLine="1305"/>
        <w:spacing w:after="0" w:line="287" w:lineRule="auto"/>
        <w:tabs>
          <w:tab w:leader="none" w:pos="1772" w:val="left"/>
        </w:tabs>
        <w:numPr>
          <w:ilvl w:val="1"/>
          <w:numId w:val="294"/>
        </w:numPr>
        <w:rPr>
          <w:rFonts w:ascii="Arial" w:cs="Arial" w:eastAsia="Arial" w:hAnsi="Arial"/>
          <w:sz w:val="16"/>
          <w:szCs w:val="16"/>
          <w:color w:val="auto"/>
        </w:rPr>
      </w:pPr>
      <w:r>
        <w:rPr>
          <w:rFonts w:ascii="Arial" w:cs="Arial" w:eastAsia="Arial" w:hAnsi="Arial"/>
          <w:sz w:val="16"/>
          <w:szCs w:val="16"/>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 (E) 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68" w:lineRule="exact"/>
        <w:rPr>
          <w:rFonts w:ascii="Arial" w:cs="Arial" w:eastAsia="Arial" w:hAnsi="Arial"/>
          <w:sz w:val="16"/>
          <w:szCs w:val="16"/>
          <w:color w:val="auto"/>
        </w:rPr>
      </w:pPr>
    </w:p>
    <w:p>
      <w:pPr>
        <w:jc w:val="both"/>
        <w:ind w:firstLine="1305"/>
        <w:spacing w:after="0" w:line="259" w:lineRule="auto"/>
        <w:tabs>
          <w:tab w:leader="none" w:pos="171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86" w:lineRule="exact"/>
        <w:rPr>
          <w:rFonts w:ascii="Arial" w:cs="Arial" w:eastAsia="Arial" w:hAnsi="Arial"/>
          <w:sz w:val="18"/>
          <w:szCs w:val="18"/>
          <w:color w:val="auto"/>
        </w:rPr>
      </w:pPr>
    </w:p>
    <w:p>
      <w:pPr>
        <w:ind w:firstLine="1305"/>
        <w:spacing w:after="0" w:line="342" w:lineRule="auto"/>
        <w:tabs>
          <w:tab w:leader="none" w:pos="1763" w:val="left"/>
        </w:tabs>
        <w:numPr>
          <w:ilvl w:val="1"/>
          <w:numId w:val="294"/>
        </w:numPr>
        <w:rPr>
          <w:rFonts w:ascii="Arial" w:cs="Arial" w:eastAsia="Arial" w:hAnsi="Arial"/>
          <w:sz w:val="16"/>
          <w:szCs w:val="16"/>
          <w:color w:val="auto"/>
        </w:rPr>
      </w:pPr>
      <w:r>
        <w:rPr>
          <w:rFonts w:ascii="Arial" w:cs="Arial" w:eastAsia="Arial" w:hAnsi="Arial"/>
          <w:sz w:val="16"/>
          <w:szCs w:val="16"/>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1" w:name="page242"/>
    <w:bookmarkEnd w:id="241"/>
    <w:p>
      <w:pPr>
        <w:jc w:val="both"/>
        <w:ind w:firstLine="1305"/>
        <w:spacing w:after="0" w:line="264" w:lineRule="auto"/>
        <w:tabs>
          <w:tab w:leader="none" w:pos="173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74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security interest purported to be created by any Security Document shall cease to be, or shall be asserted by a Borrower or any other Loan Party not to be, a valid, perfected, first priority (except as otherwise expressly provided in this Agreement or such 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188" w:lineRule="exact"/>
        <w:rPr>
          <w:rFonts w:ascii="Arial" w:cs="Arial" w:eastAsia="Arial" w:hAnsi="Arial"/>
          <w:sz w:val="18"/>
          <w:szCs w:val="18"/>
          <w:color w:val="auto"/>
        </w:rPr>
      </w:pPr>
    </w:p>
    <w:p>
      <w:pPr>
        <w:ind w:left="1780" w:hanging="475"/>
        <w:spacing w:after="0"/>
        <w:tabs>
          <w:tab w:leader="none" w:pos="17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Change in Control shall have occurred.</w:t>
      </w:r>
    </w:p>
    <w:p>
      <w:pPr>
        <w:spacing w:after="0" w:line="22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6"/>
          <w:szCs w:val="16"/>
          <w:b w:val="1"/>
          <w:bCs w:val="1"/>
          <w:color w:val="auto"/>
        </w:rPr>
        <w:t>Optional Acceleration of Maturity</w:t>
      </w:r>
      <w:r>
        <w:rPr>
          <w:rFonts w:ascii="Arial" w:cs="Arial" w:eastAsia="Arial" w:hAnsi="Arial"/>
          <w:sz w:val="16"/>
          <w:szCs w:val="16"/>
          <w:color w:val="auto"/>
        </w:rPr>
        <w:t>. If any Event of Default (other than an Event of Default pursuant to Section 7.01(g) or (h))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shall have occurred and be continuing, then, and in any such event:</w:t>
      </w:r>
    </w:p>
    <w:p>
      <w:pPr>
        <w:spacing w:after="0" w:line="211" w:lineRule="exact"/>
        <w:rPr>
          <w:sz w:val="20"/>
          <w:szCs w:val="20"/>
          <w:color w:val="auto"/>
        </w:rPr>
      </w:pPr>
    </w:p>
    <w:p>
      <w:pPr>
        <w:jc w:val="both"/>
        <w:ind w:firstLine="1305"/>
        <w:spacing w:after="0" w:line="254" w:lineRule="auto"/>
        <w:tabs>
          <w:tab w:leader="none" w:pos="173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Administrative Agent (i) shall at the request, or may, with the consent, of the Required Revolving Lenders, by notice to the Parent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Parent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92" w:lineRule="exact"/>
        <w:rPr>
          <w:rFonts w:ascii="Arial" w:cs="Arial" w:eastAsia="Arial" w:hAnsi="Arial"/>
          <w:sz w:val="18"/>
          <w:szCs w:val="18"/>
          <w:color w:val="auto"/>
        </w:rPr>
      </w:pPr>
    </w:p>
    <w:p>
      <w:pPr>
        <w:ind w:firstLine="1305"/>
        <w:spacing w:after="0" w:line="277" w:lineRule="auto"/>
        <w:tabs>
          <w:tab w:leader="none" w:pos="177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Borrowers shall, on demand of any Administrative Agent at the request or with the consent of the Required Revolving Lenders, Cash Collateralize the Letters of Credit in accordance with Section 2.21(k); and</w:t>
      </w:r>
    </w:p>
    <w:p>
      <w:pPr>
        <w:spacing w:after="0" w:line="170" w:lineRule="exact"/>
        <w:rPr>
          <w:rFonts w:ascii="Arial" w:cs="Arial" w:eastAsia="Arial" w:hAnsi="Arial"/>
          <w:sz w:val="18"/>
          <w:szCs w:val="18"/>
          <w:color w:val="auto"/>
        </w:rPr>
      </w:pPr>
    </w:p>
    <w:p>
      <w:pPr>
        <w:jc w:val="both"/>
        <w:ind w:right="20" w:firstLine="1305"/>
        <w:spacing w:after="0" w:line="264" w:lineRule="auto"/>
        <w:tabs>
          <w:tab w:leader="none" w:pos="179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7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6"/>
          <w:szCs w:val="16"/>
          <w:b w:val="1"/>
          <w:bCs w:val="1"/>
          <w:i w:val="1"/>
          <w:iCs w:val="1"/>
          <w:color w:val="auto"/>
        </w:rPr>
        <w:t>Automatic Acceleration of Maturity</w:t>
      </w:r>
      <w:r>
        <w:rPr>
          <w:rFonts w:ascii="Arial" w:cs="Arial" w:eastAsia="Arial" w:hAnsi="Arial"/>
          <w:sz w:val="16"/>
          <w:szCs w:val="16"/>
          <w:color w:val="auto"/>
        </w:rPr>
        <w:t>. If any Event of Default pursuant to Section 7.01(g) or (h) shall occur:</w:t>
      </w:r>
    </w:p>
    <w:p>
      <w:pPr>
        <w:spacing w:after="0" w:line="229" w:lineRule="exact"/>
        <w:rPr>
          <w:sz w:val="20"/>
          <w:szCs w:val="20"/>
          <w:color w:val="auto"/>
        </w:rPr>
      </w:pPr>
    </w:p>
    <w:p>
      <w:pPr>
        <w:jc w:val="both"/>
        <w:ind w:firstLine="1305"/>
        <w:spacing w:after="0" w:line="276" w:lineRule="auto"/>
        <w:tabs>
          <w:tab w:leader="none" w:pos="182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2" w:name="page243"/>
    <w:bookmarkEnd w:id="242"/>
    <w:p>
      <w:pPr>
        <w:ind w:left="1740" w:hanging="435"/>
        <w:spacing w:after="0"/>
        <w:tabs>
          <w:tab w:leader="none" w:pos="17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Borrowers shall Cash Collateralize the Letters of Credit in accordance with Section 2.21(k); and</w:t>
      </w:r>
    </w:p>
    <w:p>
      <w:pPr>
        <w:spacing w:after="0" w:line="225" w:lineRule="exact"/>
        <w:rPr>
          <w:rFonts w:ascii="Arial" w:cs="Arial" w:eastAsia="Arial" w:hAnsi="Arial"/>
          <w:sz w:val="18"/>
          <w:szCs w:val="18"/>
          <w:color w:val="auto"/>
        </w:rPr>
      </w:pPr>
    </w:p>
    <w:p>
      <w:pPr>
        <w:ind w:firstLine="1305"/>
        <w:spacing w:after="0" w:line="342" w:lineRule="auto"/>
        <w:tabs>
          <w:tab w:leader="none" w:pos="182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Collateral Agents shall at the request of, or may with the consent of, the Required Lenders proceed to enforce its rights and remedies under the Security Documents, this Agreement, and any other Loan Document for the ratable benefit of the Lenders by appropriate proceedings.</w:t>
      </w:r>
    </w:p>
    <w:p>
      <w:pPr>
        <w:spacing w:after="0" w:line="12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7.04 </w:t>
      </w:r>
      <w:r>
        <w:rPr>
          <w:rFonts w:ascii="Arial" w:cs="Arial" w:eastAsia="Arial" w:hAnsi="Arial"/>
          <w:sz w:val="17"/>
          <w:szCs w:val="17"/>
          <w:b w:val="1"/>
          <w:bCs w:val="1"/>
          <w:i w:val="1"/>
          <w:iCs w:val="1"/>
          <w:color w:val="auto"/>
        </w:rPr>
        <w:t>Non-exclusivity of Remedies</w:t>
      </w:r>
      <w:r>
        <w:rPr>
          <w:rFonts w:ascii="Arial" w:cs="Arial" w:eastAsia="Arial" w:hAnsi="Arial"/>
          <w:sz w:val="17"/>
          <w:szCs w:val="17"/>
          <w:color w:val="auto"/>
        </w:rPr>
        <w:t>. No remedy conferred upon the Agents, the Issuing Banks and the Lenders is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of any other remedy, and each remedy shall be cumulative of all other remedies existing by contract, at law, in equity, by statute or otherwise.</w:t>
      </w:r>
    </w:p>
    <w:p>
      <w:pPr>
        <w:spacing w:after="0" w:line="1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7.05 </w:t>
      </w:r>
      <w:r>
        <w:rPr>
          <w:rFonts w:ascii="Arial" w:cs="Arial" w:eastAsia="Arial" w:hAnsi="Arial"/>
          <w:sz w:val="17"/>
          <w:szCs w:val="17"/>
          <w:b w:val="1"/>
          <w:bCs w:val="1"/>
          <w:i w:val="1"/>
          <w:iCs w:val="1"/>
          <w:color w:val="auto"/>
        </w:rPr>
        <w:t>Application of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during the continuance of any Event of Default, any monies or property actually received by</w:t>
      </w:r>
      <w:r>
        <w:rPr>
          <w:rFonts w:ascii="Arial" w:cs="Arial" w:eastAsia="Arial" w:hAnsi="Arial"/>
          <w:sz w:val="17"/>
          <w:szCs w:val="17"/>
          <w:b w:val="1"/>
          <w:bCs w:val="1"/>
          <w:color w:val="auto"/>
        </w:rPr>
        <w:t xml:space="preserve"> </w:t>
      </w:r>
      <w:r>
        <w:rPr>
          <w:rFonts w:ascii="Arial" w:cs="Arial" w:eastAsia="Arial" w:hAnsi="Arial"/>
          <w:sz w:val="17"/>
          <w:szCs w:val="17"/>
          <w:color w:val="auto"/>
        </w:rPr>
        <w:t>an Agent pursuant to this Agreement or any other Loan Document, the exercise of any rights or remedies under any Security Document or any other agreement with any Loan Party which secures any of the Obligations, shall be applied in accordance with the CAM Exchange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ADMINISTRATIVE AGENTS, THE COLLATERAL AGENTS,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ISSUING BANKS AND THE SWING LINE LENDERS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8.01 </w:t>
      </w:r>
      <w:r>
        <w:rPr>
          <w:rFonts w:ascii="Arial" w:cs="Arial" w:eastAsia="Arial" w:hAnsi="Arial"/>
          <w:sz w:val="16"/>
          <w:szCs w:val="16"/>
          <w:b w:val="1"/>
          <w:bCs w:val="1"/>
          <w:i w:val="1"/>
          <w:iCs w:val="1"/>
          <w:color w:val="auto"/>
        </w:rPr>
        <w:t>Appointment and Authority</w:t>
      </w:r>
      <w:r>
        <w:rPr>
          <w:rFonts w:ascii="Arial" w:cs="Arial" w:eastAsia="Arial" w:hAnsi="Arial"/>
          <w:sz w:val="16"/>
          <w:szCs w:val="16"/>
          <w:color w:val="auto"/>
        </w:rPr>
        <w:t>. Each of the Lenders, the Swing Line Lenders and the Issuing Banks hereby irrevocably appoints</w:t>
      </w:r>
      <w:r>
        <w:rPr>
          <w:rFonts w:ascii="Arial" w:cs="Arial" w:eastAsia="Arial" w:hAnsi="Arial"/>
          <w:sz w:val="16"/>
          <w:szCs w:val="16"/>
          <w:b w:val="1"/>
          <w:bCs w:val="1"/>
          <w:color w:val="auto"/>
        </w:rPr>
        <w:t xml:space="preserve"> </w:t>
      </w:r>
      <w:r>
        <w:rPr>
          <w:rFonts w:ascii="Arial" w:cs="Arial" w:eastAsia="Arial" w:hAnsi="Arial"/>
          <w:sz w:val="16"/>
          <w:szCs w:val="16"/>
          <w:color w:val="auto"/>
        </w:rPr>
        <w:t>RBC 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3" w:name="page244"/>
    <w:bookmarkEnd w:id="243"/>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8.02 </w:t>
      </w:r>
      <w:r>
        <w:rPr>
          <w:rFonts w:ascii="Arial" w:cs="Arial" w:eastAsia="Arial" w:hAnsi="Arial"/>
          <w:sz w:val="18"/>
          <w:szCs w:val="18"/>
          <w:b w:val="1"/>
          <w:bCs w:val="1"/>
          <w:i w:val="1"/>
          <w:iCs w:val="1"/>
          <w:color w:val="auto"/>
        </w:rPr>
        <w:t>Rights as a Lender</w:t>
      </w:r>
      <w:r>
        <w:rPr>
          <w:rFonts w:ascii="Arial" w:cs="Arial" w:eastAsia="Arial" w:hAnsi="Arial"/>
          <w:sz w:val="18"/>
          <w:szCs w:val="18"/>
          <w:color w:val="auto"/>
        </w:rPr>
        <w:t>. The person serving as an Agent or an Issuing Bank or a Swing Line Lender hereunder shall have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i w:val="1"/>
          <w:iCs w:val="1"/>
          <w:color w:val="auto"/>
        </w:rPr>
        <w:t>Exculpatory Provisions</w:t>
      </w:r>
      <w:r>
        <w:rPr>
          <w:rFonts w:ascii="Arial" w:cs="Arial" w:eastAsia="Arial" w:hAnsi="Arial"/>
          <w:sz w:val="18"/>
          <w:szCs w:val="18"/>
          <w:color w:val="auto"/>
        </w:rPr>
        <w:t>. None of the Agents, Issuing Banks or the Swing Line Lenders shall have any duties or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those expressly set forth herein and in the other Loan Documents. Without limiting the generality of the foregoing, none of the Agents or the Issuing Banks:</w:t>
      </w:r>
    </w:p>
    <w:p>
      <w:pPr>
        <w:spacing w:after="0" w:line="180" w:lineRule="exact"/>
        <w:rPr>
          <w:sz w:val="20"/>
          <w:szCs w:val="20"/>
          <w:color w:val="auto"/>
        </w:rPr>
      </w:pPr>
    </w:p>
    <w:p>
      <w:pPr>
        <w:ind w:left="1720" w:hanging="415"/>
        <w:spacing w:after="0"/>
        <w:tabs>
          <w:tab w:leader="none" w:pos="17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182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17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Loan Documents, have any duty to disclose, and shall not be liable for the failure to disclose, any information relating to the Parent Borrower or any of its Affiliates or Subsidiaries that is communicated to or obtained by the person serving as Agent, Issuing Bank, Swing Line Lender or any of their respective Affiliates in any capacity.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44" w:name="page245"/>
    <w:bookmarkEnd w:id="244"/>
    <w:p>
      <w:pPr>
        <w:jc w:val="both"/>
        <w:ind w:firstLine="648"/>
        <w:spacing w:after="0" w:line="291" w:lineRule="auto"/>
        <w:rPr>
          <w:sz w:val="20"/>
          <w:szCs w:val="20"/>
          <w:color w:val="auto"/>
        </w:rPr>
      </w:pPr>
      <w:r>
        <w:rPr>
          <w:rFonts w:ascii="Arial" w:cs="Arial" w:eastAsia="Arial" w:hAnsi="Arial"/>
          <w:sz w:val="16"/>
          <w:szCs w:val="16"/>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8.04 </w:t>
      </w:r>
      <w:r>
        <w:rPr>
          <w:rFonts w:ascii="Arial" w:cs="Arial" w:eastAsia="Arial" w:hAnsi="Arial"/>
          <w:sz w:val="18"/>
          <w:szCs w:val="18"/>
          <w:b w:val="1"/>
          <w:bCs w:val="1"/>
          <w:i w:val="1"/>
          <w:iCs w:val="1"/>
          <w:color w:val="auto"/>
        </w:rPr>
        <w:t>Reliance by the Agents, the Issuing Banks and the Swing Line Lenders</w:t>
      </w:r>
      <w:r>
        <w:rPr>
          <w:rFonts w:ascii="Arial" w:cs="Arial" w:eastAsia="Arial" w:hAnsi="Arial"/>
          <w:sz w:val="18"/>
          <w:szCs w:val="18"/>
          <w:color w:val="auto"/>
        </w:rPr>
        <w:t>. Each of the Agents, Issuing Banks and the Swing Line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8.05 </w:t>
      </w:r>
      <w:r>
        <w:rPr>
          <w:rFonts w:ascii="Arial" w:cs="Arial" w:eastAsia="Arial" w:hAnsi="Arial"/>
          <w:sz w:val="17"/>
          <w:szCs w:val="17"/>
          <w:b w:val="1"/>
          <w:bCs w:val="1"/>
          <w:i w:val="1"/>
          <w:iCs w:val="1"/>
          <w:color w:val="auto"/>
        </w:rPr>
        <w:t>Delegation of Duties</w:t>
      </w:r>
      <w:r>
        <w:rPr>
          <w:rFonts w:ascii="Arial" w:cs="Arial" w:eastAsia="Arial" w:hAnsi="Arial"/>
          <w:sz w:val="17"/>
          <w:szCs w:val="17"/>
          <w:color w:val="auto"/>
        </w:rPr>
        <w:t>. Each of the Agents may perform any and all of its duties and exercise its rights and powers hereunder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5" w:name="page246"/>
    <w:bookmarkEnd w:id="245"/>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8.06</w:t>
      </w:r>
      <w:r>
        <w:rPr>
          <w:sz w:val="20"/>
          <w:szCs w:val="20"/>
          <w:color w:val="auto"/>
        </w:rPr>
        <w:tab/>
      </w:r>
      <w:r>
        <w:rPr>
          <w:rFonts w:ascii="Arial" w:cs="Arial" w:eastAsia="Arial" w:hAnsi="Arial"/>
          <w:sz w:val="15"/>
          <w:szCs w:val="15"/>
          <w:b w:val="1"/>
          <w:bCs w:val="1"/>
          <w:i w:val="1"/>
          <w:iCs w:val="1"/>
          <w:color w:val="auto"/>
        </w:rPr>
        <w:t>Resignation of an Agent or a Swing Line Lender</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4" w:lineRule="auto"/>
        <w:tabs>
          <w:tab w:leader="none" w:pos="171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An Agent may resign at any time by giving prior written notice thereof to the Lenders and the Parent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Lenders shall have the right to appoint, on behalf of the Parent Borrower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397" w:lineRule="exact"/>
        <w:rPr>
          <w:rFonts w:ascii="Arial" w:cs="Arial" w:eastAsia="Arial" w:hAnsi="Arial"/>
          <w:sz w:val="16"/>
          <w:szCs w:val="16"/>
          <w:color w:val="auto"/>
        </w:rPr>
      </w:pPr>
    </w:p>
    <w:p>
      <w:pPr>
        <w:jc w:val="both"/>
        <w:ind w:firstLine="1305"/>
        <w:spacing w:after="0" w:line="269" w:lineRule="auto"/>
        <w:tabs>
          <w:tab w:leader="none" w:pos="1812"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6" w:name="page247"/>
    <w:bookmarkEnd w:id="246"/>
    <w:p>
      <w:pPr>
        <w:jc w:val="both"/>
        <w:ind w:firstLine="1305"/>
        <w:spacing w:after="0" w:line="286" w:lineRule="auto"/>
        <w:tabs>
          <w:tab w:leader="none" w:pos="175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U.S. Swing Line Lender may resign at any time by giving prior written notice thereof to the Administrative Agent and the U.S. Borrower,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Borrowers shall have the right to appoint a successor U.S. Swing Line Lender. The Canadian Swing Line Lender may resign at any time by giving prior written notice thereof to the Canadian Administrative Agent and the Parent Borrower, such resignation to be effective upon the appointment of a successor Canadian Swing Line Lender or, if no successor Canadian Swing Line Lender has been appointed, forty-five (45) days after the retiring Canadian Swing Line Lender gives notice of its intention to resign. Upon any such resignation, the Parent Borrower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8.07</w:t>
      </w:r>
      <w:r>
        <w:rPr>
          <w:sz w:val="20"/>
          <w:szCs w:val="20"/>
          <w:color w:val="auto"/>
        </w:rPr>
        <w:tab/>
      </w:r>
      <w:r>
        <w:rPr>
          <w:rFonts w:ascii="Arial" w:cs="Arial" w:eastAsia="Arial" w:hAnsi="Arial"/>
          <w:sz w:val="15"/>
          <w:szCs w:val="15"/>
          <w:b w:val="1"/>
          <w:bCs w:val="1"/>
          <w:i w:val="1"/>
          <w:iCs w:val="1"/>
          <w:color w:val="auto"/>
        </w:rPr>
        <w:t>Non-Reliance on Agents and Other Lenders; Certain Acknowledgments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0" w:lineRule="auto"/>
        <w:tabs>
          <w:tab w:leader="none" w:pos="175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77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Each Lender shall be deemed by delivering its signature page to this Agreement and making any Loan on the Closing Date to have consented to, approved or accepted each Loan Document and each other document or other matter referred to in Section 4.01, 4.02 or 4.03 required to be consented to or approved by or acceptable or satisfactory to the Agents, the Lead Arranger or the Lenders and to have been satisfied with the satisfaction of all other conditions precedent required to be satisfied under Section 4.01, 4.02 or 4.03.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7" w:name="page248"/>
    <w:bookmarkEnd w:id="247"/>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8.08 </w:t>
      </w: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 The Lenders severally agree to indemnify upon demand the Agents, the Issuing Banks, the Swing Line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Lender shall be liable for (a) the payment to any Indemnitee for any portion of such Indemnified 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no action taken in accordance with the directions of the Applicable Required Lenders shall be 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8.09</w:t>
      </w:r>
      <w:r>
        <w:rPr>
          <w:sz w:val="20"/>
          <w:szCs w:val="20"/>
          <w:color w:val="auto"/>
        </w:rPr>
        <w:tab/>
      </w:r>
      <w:r>
        <w:rPr>
          <w:rFonts w:ascii="Arial" w:cs="Arial" w:eastAsia="Arial" w:hAnsi="Arial"/>
          <w:sz w:val="16"/>
          <w:szCs w:val="16"/>
          <w:b w:val="1"/>
          <w:bCs w:val="1"/>
          <w:i w:val="1"/>
          <w:iCs w:val="1"/>
          <w:color w:val="auto"/>
        </w:rPr>
        <w:t>Collateral and Guaranty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3" w:lineRule="auto"/>
        <w:tabs>
          <w:tab w:leader="none" w:pos="175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Each Lender (as a Lender and in its capacity as a potential provider of Banking Services or as a potential counterparty to a Hedging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164" w:lineRule="exact"/>
        <w:rPr>
          <w:rFonts w:ascii="Arial" w:cs="Arial" w:eastAsia="Arial" w:hAnsi="Arial"/>
          <w:sz w:val="16"/>
          <w:szCs w:val="16"/>
          <w:color w:val="auto"/>
        </w:rPr>
      </w:pPr>
    </w:p>
    <w:p>
      <w:pPr>
        <w:jc w:val="both"/>
        <w:ind w:firstLine="1305"/>
        <w:spacing w:after="0" w:line="286" w:lineRule="auto"/>
        <w:tabs>
          <w:tab w:leader="none" w:pos="176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Each Lender (as a Lender and in its capacity as a potential provider of Banking Services or as a potential counterparty to a Hedging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48" w:name="page249"/>
    <w:bookmarkEnd w:id="248"/>
    <w:p>
      <w:pPr>
        <w:jc w:val="both"/>
        <w:ind w:left="660" w:firstLine="1131"/>
        <w:spacing w:after="0" w:line="264" w:lineRule="auto"/>
        <w:tabs>
          <w:tab w:leader="none" w:pos="225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w:t>
      </w:r>
    </w:p>
    <w:p>
      <w:pPr>
        <w:spacing w:after="0" w:line="181" w:lineRule="exact"/>
        <w:rPr>
          <w:rFonts w:ascii="Arial" w:cs="Arial" w:eastAsia="Arial" w:hAnsi="Arial"/>
          <w:sz w:val="18"/>
          <w:szCs w:val="18"/>
          <w:color w:val="auto"/>
        </w:rPr>
      </w:pPr>
    </w:p>
    <w:p>
      <w:pPr>
        <w:ind w:left="660" w:firstLine="1131"/>
        <w:spacing w:after="0" w:line="277" w:lineRule="auto"/>
        <w:tabs>
          <w:tab w:leader="none" w:pos="2239"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70" w:lineRule="exact"/>
        <w:rPr>
          <w:rFonts w:ascii="Arial" w:cs="Arial" w:eastAsia="Arial" w:hAnsi="Arial"/>
          <w:sz w:val="18"/>
          <w:szCs w:val="18"/>
          <w:color w:val="auto"/>
        </w:rPr>
      </w:pPr>
    </w:p>
    <w:p>
      <w:pPr>
        <w:ind w:left="660" w:firstLine="1131"/>
        <w:spacing w:after="0" w:line="277" w:lineRule="auto"/>
        <w:tabs>
          <w:tab w:leader="none" w:pos="230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to take any action in exigent circumstances as may be reasonably necessary to preserve any rights or privileges of the Secured Parties under the Loan Documents or applicable law; and</w:t>
      </w:r>
    </w:p>
    <w:p>
      <w:pPr>
        <w:spacing w:after="0" w:line="170" w:lineRule="exact"/>
        <w:rPr>
          <w:rFonts w:ascii="Arial" w:cs="Arial" w:eastAsia="Arial" w:hAnsi="Arial"/>
          <w:sz w:val="18"/>
          <w:szCs w:val="18"/>
          <w:color w:val="auto"/>
        </w:rPr>
      </w:pPr>
    </w:p>
    <w:p>
      <w:pPr>
        <w:ind w:left="660" w:firstLine="1131"/>
        <w:spacing w:after="0" w:line="277" w:lineRule="auto"/>
        <w:tabs>
          <w:tab w:leader="none" w:pos="229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Collateral Agent under any Loan Document to the holder of any Lien on such property that is permitted by Section 6.02(j).</w:t>
      </w:r>
    </w:p>
    <w:p>
      <w:pPr>
        <w:spacing w:after="0" w:line="170" w:lineRule="exact"/>
        <w:rPr>
          <w:rFonts w:ascii="Arial" w:cs="Arial" w:eastAsia="Arial" w:hAnsi="Arial"/>
          <w:sz w:val="18"/>
          <w:szCs w:val="18"/>
          <w:color w:val="auto"/>
        </w:rPr>
      </w:pPr>
    </w:p>
    <w:p>
      <w:pPr>
        <w:ind w:firstLine="1305"/>
        <w:spacing w:after="0" w:line="277" w:lineRule="auto"/>
        <w:tabs>
          <w:tab w:leader="none" w:pos="176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Upon the request of the Collateral Agent at any time, the Secured Parties will confirm in writing the Collateral Agent’s authority to release particular types or items of Collateral pursuant to this Section 8.09.</w:t>
      </w:r>
    </w:p>
    <w:p>
      <w:pPr>
        <w:spacing w:after="0" w:line="170" w:lineRule="exact"/>
        <w:rPr>
          <w:rFonts w:ascii="Arial" w:cs="Arial" w:eastAsia="Arial" w:hAnsi="Arial"/>
          <w:sz w:val="18"/>
          <w:szCs w:val="18"/>
          <w:color w:val="auto"/>
        </w:rPr>
      </w:pPr>
    </w:p>
    <w:p>
      <w:pPr>
        <w:jc w:val="both"/>
        <w:ind w:firstLine="1305"/>
        <w:spacing w:after="0" w:line="287" w:lineRule="auto"/>
        <w:tabs>
          <w:tab w:leader="none" w:pos="175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172" w:lineRule="exact"/>
        <w:rPr>
          <w:rFonts w:ascii="Arial" w:cs="Arial" w:eastAsia="Arial" w:hAnsi="Arial"/>
          <w:sz w:val="16"/>
          <w:szCs w:val="16"/>
          <w:color w:val="auto"/>
        </w:rPr>
      </w:pPr>
    </w:p>
    <w:p>
      <w:pPr>
        <w:jc w:val="both"/>
        <w:ind w:firstLine="1305"/>
        <w:spacing w:after="0" w:line="290" w:lineRule="auto"/>
        <w:tabs>
          <w:tab w:leader="none" w:pos="179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Parent Borrower or selected by an Agent in good faith.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9" w:name="page250"/>
    <w:bookmarkEnd w:id="249"/>
    <w:p>
      <w:pPr>
        <w:jc w:val="both"/>
        <w:ind w:firstLine="1305"/>
        <w:spacing w:after="0" w:line="257" w:lineRule="auto"/>
        <w:tabs>
          <w:tab w:leader="none" w:pos="170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Anything contained in any of the Loan Documents to the contrary notwithstanding, the Borrowers, the Agents and each Secured Party hereby agree that no Secured Party shall have any right individually to realize upon any of the Collateral or to enforce any of the Guarantees in the Guarantee Agreements, it being 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i w:val="1"/>
          <w:iCs w:val="1"/>
          <w:color w:val="auto"/>
        </w:rPr>
        <w:t>No Other Duties, etc.</w:t>
      </w:r>
      <w:r>
        <w:rPr>
          <w:rFonts w:ascii="Arial" w:cs="Arial" w:eastAsia="Arial" w:hAnsi="Arial"/>
          <w:sz w:val="18"/>
          <w:szCs w:val="18"/>
          <w:color w:val="auto"/>
        </w:rPr>
        <w:t>. Anything herein to the contrary notwithstanding, the Lead Arranger and the Sole Bookrunner listed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cover page hereof shall not have any powers, duties or responsibilities under this Agreement or any of the other Loan Documents, except in its capacity, as applicable, as an Agent, a Lender or an Issuing Bank.</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b w:val="1"/>
          <w:bCs w:val="1"/>
          <w:i w:val="1"/>
          <w:iCs w:val="1"/>
          <w:color w:val="auto"/>
        </w:rPr>
        <w:t>Agents May File Proofs of Claim</w:t>
      </w:r>
      <w:r>
        <w:rPr>
          <w:rFonts w:ascii="Arial" w:cs="Arial" w:eastAsia="Arial" w:hAnsi="Arial"/>
          <w:sz w:val="18"/>
          <w:szCs w:val="18"/>
          <w:color w:val="auto"/>
        </w:rPr>
        <w:t>. In case of the pendency of any proceeding under any Insolvency Law or any other judicial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184" w:lineRule="exact"/>
        <w:rPr>
          <w:sz w:val="20"/>
          <w:szCs w:val="20"/>
          <w:color w:val="auto"/>
        </w:rPr>
      </w:pPr>
    </w:p>
    <w:p>
      <w:pPr>
        <w:jc w:val="both"/>
        <w:ind w:firstLine="1305"/>
        <w:spacing w:after="0" w:line="255" w:lineRule="auto"/>
        <w:tabs>
          <w:tab w:leader="none" w:pos="188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(other than obligations of the Parent Borrower or its Subsidiaries owing to any Lender or Affiliate thereof pursuant to any Hedging Agreement or any Banking Services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w:t>
      </w:r>
    </w:p>
    <w:p>
      <w:pPr>
        <w:spacing w:after="0" w:line="193" w:lineRule="exact"/>
        <w:rPr>
          <w:rFonts w:ascii="Arial" w:cs="Arial" w:eastAsia="Arial" w:hAnsi="Arial"/>
          <w:sz w:val="18"/>
          <w:szCs w:val="18"/>
          <w:color w:val="auto"/>
        </w:rPr>
      </w:pPr>
    </w:p>
    <w:p>
      <w:pPr>
        <w:ind w:left="1740" w:hanging="435"/>
        <w:spacing w:after="0"/>
        <w:tabs>
          <w:tab w:leader="none" w:pos="17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0" w:name="page251"/>
    <w:bookmarkEnd w:id="250"/>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4"/>
          <w:szCs w:val="14"/>
          <w:b w:val="1"/>
          <w:bCs w:val="1"/>
          <w:i w:val="1"/>
          <w:iCs w:val="1"/>
          <w:color w:val="auto"/>
        </w:rPr>
        <w:t>Notices</w:t>
      </w:r>
      <w:r>
        <w:rPr>
          <w:rFonts w:ascii="Arial" w:cs="Arial" w:eastAsia="Arial" w:hAnsi="Arial"/>
          <w:sz w:val="14"/>
          <w:szCs w:val="14"/>
          <w:color w:val="auto"/>
        </w:rPr>
        <w:t>.</w:t>
      </w:r>
    </w:p>
    <w:p>
      <w:pPr>
        <w:spacing w:after="0" w:line="229" w:lineRule="exact"/>
        <w:rPr>
          <w:sz w:val="20"/>
          <w:szCs w:val="20"/>
          <w:color w:val="auto"/>
        </w:rPr>
      </w:pPr>
    </w:p>
    <w:p>
      <w:pPr>
        <w:jc w:val="both"/>
        <w:ind w:firstLine="1305"/>
        <w:spacing w:after="0" w:line="312" w:lineRule="auto"/>
        <w:tabs>
          <w:tab w:leader="none" w:pos="1737"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 xml:space="preserve">Notices Generally. </w:t>
      </w:r>
      <w:r>
        <w:rPr>
          <w:rFonts w:ascii="Arial" w:cs="Arial" w:eastAsia="Arial" w:hAnsi="Arial"/>
          <w:sz w:val="16"/>
          <w:szCs w:val="16"/>
          <w:color w:val="auto"/>
        </w:rPr>
        <w:t>Except in the case of notices and other communications expressly permitted to be given by telephone (and except</w:t>
      </w:r>
      <w:r>
        <w:rPr>
          <w:rFonts w:ascii="Arial" w:cs="Arial" w:eastAsia="Arial" w:hAnsi="Arial"/>
          <w:sz w:val="16"/>
          <w:szCs w:val="16"/>
          <w:i w:val="1"/>
          <w:iCs w:val="1"/>
          <w:color w:val="auto"/>
        </w:rPr>
        <w:t xml:space="preserve"> </w:t>
      </w:r>
      <w:r>
        <w:rPr>
          <w:rFonts w:ascii="Arial" w:cs="Arial" w:eastAsia="Arial" w:hAnsi="Arial"/>
          <w:sz w:val="16"/>
          <w:szCs w:val="16"/>
          <w:color w:val="auto"/>
        </w:rPr>
        <w:t>as provided in paragraph (b) below), notices and other communications provided for herein or (except as otherwise provided therein) any other Loan Document shall be in writing and shall be delivered by hand or overnight courier service, mailed by certified or registered mail or sent by fax, as follows:</w:t>
      </w:r>
    </w:p>
    <w:p>
      <w:pPr>
        <w:spacing w:after="0" w:line="146" w:lineRule="exact"/>
        <w:rPr>
          <w:rFonts w:ascii="Arial" w:cs="Arial" w:eastAsia="Arial" w:hAnsi="Arial"/>
          <w:sz w:val="16"/>
          <w:szCs w:val="16"/>
          <w:color w:val="auto"/>
        </w:rPr>
      </w:pPr>
    </w:p>
    <w:p>
      <w:pPr>
        <w:ind w:left="660" w:firstLine="1131"/>
        <w:spacing w:after="0" w:line="277" w:lineRule="auto"/>
        <w:tabs>
          <w:tab w:leader="none" w:pos="22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to the Canadian Borrower, to it at Three Allen Center, 333 Clay Street, Suite 4980, Houston, Texas 77002, Attention of Chief Financial Officer (Fax No. (713) 651-0369);</w:t>
      </w:r>
    </w:p>
    <w:p>
      <w:pPr>
        <w:spacing w:after="0" w:line="170" w:lineRule="exact"/>
        <w:rPr>
          <w:rFonts w:ascii="Arial" w:cs="Arial" w:eastAsia="Arial" w:hAnsi="Arial"/>
          <w:sz w:val="18"/>
          <w:szCs w:val="18"/>
          <w:color w:val="auto"/>
        </w:rPr>
      </w:pPr>
    </w:p>
    <w:p>
      <w:pPr>
        <w:ind w:left="660" w:firstLine="1131"/>
        <w:spacing w:after="0" w:line="277" w:lineRule="auto"/>
        <w:tabs>
          <w:tab w:leader="none" w:pos="2335"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to a U.S. Borrower, to it at Three Allen Center, 333 Clay Street, Suite 4980, Houston, Texas 77002, Attention of Chief Financial Officer (Fax No. (713) 651-0369);</w:t>
      </w:r>
    </w:p>
    <w:p>
      <w:pPr>
        <w:spacing w:after="0" w:line="170" w:lineRule="exact"/>
        <w:rPr>
          <w:rFonts w:ascii="Arial" w:cs="Arial" w:eastAsia="Arial" w:hAnsi="Arial"/>
          <w:sz w:val="18"/>
          <w:szCs w:val="18"/>
          <w:color w:val="auto"/>
        </w:rPr>
      </w:pPr>
    </w:p>
    <w:p>
      <w:pPr>
        <w:ind w:left="660" w:right="20" w:firstLine="1131"/>
        <w:spacing w:after="0" w:line="277" w:lineRule="auto"/>
        <w:tabs>
          <w:tab w:leader="none" w:pos="243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to the Australian Borrower, to it at Civeo Pty Limited, c/o Civeo Corporation, Three Allen Center, 333 Clay Street, Suite 4980, Houston, Texas 77002, Attention of Chief Financial Officer (Fax No. (713) 462-6784);</w:t>
      </w:r>
    </w:p>
    <w:p>
      <w:pPr>
        <w:spacing w:after="0" w:line="170" w:lineRule="exact"/>
        <w:rPr>
          <w:rFonts w:ascii="Arial" w:cs="Arial" w:eastAsia="Arial" w:hAnsi="Arial"/>
          <w:sz w:val="18"/>
          <w:szCs w:val="18"/>
          <w:color w:val="auto"/>
        </w:rPr>
      </w:pPr>
    </w:p>
    <w:p>
      <w:pPr>
        <w:ind w:left="660" w:firstLine="1131"/>
        <w:spacing w:after="0" w:line="277" w:lineRule="auto"/>
        <w:tabs>
          <w:tab w:leader="none" w:pos="237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to the Administrative Agent or the U.S. Collateral Agent, to Royal Bank of Canada, at 4th Floor, 20 King Street West, Toronto, Ontario M5H 1C4, Attention: Manager, Agency Services Group (Fax No. (416) 842-4023);</w:t>
      </w:r>
    </w:p>
    <w:p>
      <w:pPr>
        <w:spacing w:after="0" w:line="170" w:lineRule="exact"/>
        <w:rPr>
          <w:rFonts w:ascii="Arial" w:cs="Arial" w:eastAsia="Arial" w:hAnsi="Arial"/>
          <w:sz w:val="18"/>
          <w:szCs w:val="18"/>
          <w:color w:val="auto"/>
        </w:rPr>
      </w:pPr>
    </w:p>
    <w:p>
      <w:pPr>
        <w:ind w:left="660" w:firstLine="1131"/>
        <w:spacing w:after="0" w:line="277" w:lineRule="auto"/>
        <w:tabs>
          <w:tab w:leader="none" w:pos="230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to the Canadian Administrative Agent or the Canadian Collateral Agent, to Royal Bank of Canada, at 4th Floor, 20 King Street West, Toronto, Ontario M5H 1C4, Attention: Manager, Agency Services Group (Fax No. (416) 842-4023);</w:t>
      </w:r>
    </w:p>
    <w:p>
      <w:pPr>
        <w:spacing w:after="0" w:line="170" w:lineRule="exact"/>
        <w:rPr>
          <w:rFonts w:ascii="Arial" w:cs="Arial" w:eastAsia="Arial" w:hAnsi="Arial"/>
          <w:sz w:val="18"/>
          <w:szCs w:val="18"/>
          <w:color w:val="auto"/>
        </w:rPr>
      </w:pPr>
    </w:p>
    <w:p>
      <w:pPr>
        <w:ind w:left="660" w:firstLine="1131"/>
        <w:spacing w:after="0" w:line="342" w:lineRule="auto"/>
        <w:tabs>
          <w:tab w:leader="none" w:pos="2279"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if to the Australian Administrative Agent or the Australian Collateral Agent, to RBC Europe Limited, at RBC Europe Limited, Thames Court, One Queenhithe, London, EC4V 3DQ, United Kingdom, Attention: Manager Loans Agency, (Fax No. +44 20 7029 7914); and</w:t>
      </w:r>
    </w:p>
    <w:p>
      <w:pPr>
        <w:spacing w:after="0" w:line="123" w:lineRule="exact"/>
        <w:rPr>
          <w:rFonts w:ascii="Arial" w:cs="Arial" w:eastAsia="Arial" w:hAnsi="Arial"/>
          <w:sz w:val="16"/>
          <w:szCs w:val="16"/>
          <w:color w:val="auto"/>
        </w:rPr>
      </w:pPr>
    </w:p>
    <w:p>
      <w:pPr>
        <w:ind w:left="2320" w:hanging="529"/>
        <w:spacing w:after="0"/>
        <w:tabs>
          <w:tab w:leader="none" w:pos="23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to a Lender or an Issuing Bank, to it at its address (or fax number) set forth in its Administrative Questionnaire.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1" w:name="page252"/>
    <w:bookmarkEnd w:id="251"/>
    <w:p>
      <w:pPr>
        <w:jc w:val="both"/>
        <w:spacing w:after="0" w:line="255"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Lender shall be required only to provide notice of such change to the Applicable Borrower and the Applicable Administrative Agent.</w:t>
      </w:r>
    </w:p>
    <w:p>
      <w:pPr>
        <w:spacing w:after="0" w:line="193" w:lineRule="exact"/>
        <w:rPr>
          <w:sz w:val="20"/>
          <w:szCs w:val="20"/>
          <w:color w:val="auto"/>
        </w:rPr>
      </w:pPr>
    </w:p>
    <w:p>
      <w:pPr>
        <w:jc w:val="both"/>
        <w:ind w:firstLine="1305"/>
        <w:spacing w:after="0" w:line="293" w:lineRule="auto"/>
        <w:tabs>
          <w:tab w:leader="none" w:pos="1742"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Electronic Communications</w:t>
      </w:r>
      <w:r>
        <w:rPr>
          <w:rFonts w:ascii="Arial" w:cs="Arial" w:eastAsia="Arial" w:hAnsi="Arial"/>
          <w:sz w:val="16"/>
          <w:szCs w:val="16"/>
          <w:color w:val="auto"/>
        </w:rPr>
        <w:t>. Notices and other communications to the Lenders and the Issuing Banks hereunder may be delivered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furnished by electronic communication (including e-mail and Internet or intranet websites) pursuant to procedures approved by the Applicable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notices to any Lender or Issuing Bank pursuant to Article II if such Lender or Issuing Bank, as applicable, has 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jc w:val="both"/>
        <w:ind w:firstLine="1305"/>
        <w:spacing w:after="0" w:line="257" w:lineRule="auto"/>
        <w:tabs>
          <w:tab w:leader="none" w:pos="1721"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Effectiveness of Facsimile Documents and Signatures</w:t>
      </w:r>
      <w:r>
        <w:rPr>
          <w:rFonts w:ascii="Arial" w:cs="Arial" w:eastAsia="Arial" w:hAnsi="Arial"/>
          <w:sz w:val="18"/>
          <w:szCs w:val="18"/>
          <w:color w:val="auto"/>
        </w:rPr>
        <w:t>. Loan Documents may be transmitted and/or signed by facsimile or in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(i.e., “pdf”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failure to request or deliver the same shall not limit the effectiveness of any facsimile document or signature.</w:t>
      </w:r>
    </w:p>
    <w:p>
      <w:pPr>
        <w:spacing w:after="0" w:line="188" w:lineRule="exact"/>
        <w:rPr>
          <w:rFonts w:ascii="Arial" w:cs="Arial" w:eastAsia="Arial" w:hAnsi="Arial"/>
          <w:sz w:val="18"/>
          <w:szCs w:val="18"/>
          <w:color w:val="auto"/>
        </w:rPr>
      </w:pPr>
    </w:p>
    <w:p>
      <w:pPr>
        <w:jc w:val="both"/>
        <w:ind w:firstLine="1305"/>
        <w:spacing w:after="0" w:line="269" w:lineRule="auto"/>
        <w:tabs>
          <w:tab w:leader="none" w:pos="1878" w:val="left"/>
        </w:tabs>
        <w:numPr>
          <w:ilvl w:val="0"/>
          <w:numId w:val="310"/>
        </w:numPr>
        <w:rPr>
          <w:rFonts w:ascii="Arial" w:cs="Arial" w:eastAsia="Arial" w:hAnsi="Arial"/>
          <w:sz w:val="17"/>
          <w:szCs w:val="17"/>
          <w:color w:val="auto"/>
        </w:rPr>
      </w:pPr>
      <w:r>
        <w:rPr>
          <w:rFonts w:ascii="Arial" w:cs="Arial" w:eastAsia="Arial" w:hAnsi="Arial"/>
          <w:sz w:val="17"/>
          <w:szCs w:val="17"/>
          <w:i w:val="1"/>
          <w:iCs w:val="1"/>
          <w:color w:val="auto"/>
        </w:rPr>
        <w:t>The Platform</w:t>
      </w:r>
      <w:r>
        <w:rPr>
          <w:rFonts w:ascii="Arial" w:cs="Arial" w:eastAsia="Arial" w:hAnsi="Arial"/>
          <w:sz w:val="17"/>
          <w:szCs w:val="17"/>
          <w:color w:val="auto"/>
        </w:rPr>
        <w:t>. THE PLATFORM IS PROVIDED “AS IS” AND “AS AVAILABLE.” THE AGENT PARTIES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its Related Parties (collectively, the “</w:t>
      </w:r>
      <w:r>
        <w:rPr>
          <w:rFonts w:ascii="Arial" w:cs="Arial" w:eastAsia="Arial" w:hAnsi="Arial"/>
          <w:sz w:val="17"/>
          <w:szCs w:val="17"/>
          <w:i w:val="1"/>
          <w:iCs w:val="1"/>
          <w:color w:val="auto"/>
        </w:rPr>
        <w:t>Agent Parties</w:t>
      </w:r>
      <w:r>
        <w:rPr>
          <w:rFonts w:ascii="Arial" w:cs="Arial" w:eastAsia="Arial" w:hAnsi="Arial"/>
          <w:sz w:val="17"/>
          <w:szCs w:val="17"/>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shall any Agent Party have any liability to any Borrower, any Lender, any Issuing Bank or any other person for indirect, special, incidental, consequential or punitive damages (as opposed to direct or actual damages).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2" w:name="page253"/>
    <w:bookmarkEnd w:id="252"/>
    <w:p>
      <w:pPr>
        <w:jc w:val="both"/>
        <w:ind w:firstLine="1305"/>
        <w:spacing w:after="0" w:line="272" w:lineRule="auto"/>
        <w:tabs>
          <w:tab w:leader="none" w:pos="1766" w:val="left"/>
        </w:tabs>
        <w:numPr>
          <w:ilvl w:val="0"/>
          <w:numId w:val="311"/>
        </w:numPr>
        <w:rPr>
          <w:rFonts w:ascii="Arial" w:cs="Arial" w:eastAsia="Arial" w:hAnsi="Arial"/>
          <w:sz w:val="17"/>
          <w:szCs w:val="17"/>
          <w:color w:val="auto"/>
        </w:rPr>
      </w:pPr>
      <w:r>
        <w:rPr>
          <w:rFonts w:ascii="Arial" w:cs="Arial" w:eastAsia="Arial" w:hAnsi="Arial"/>
          <w:sz w:val="17"/>
          <w:szCs w:val="17"/>
          <w:i w:val="1"/>
          <w:iCs w:val="1"/>
          <w:color w:val="auto"/>
        </w:rPr>
        <w:t>Reliance by Agents, Issuing Banks and Lenders</w:t>
      </w:r>
      <w:r>
        <w:rPr>
          <w:rFonts w:ascii="Arial" w:cs="Arial" w:eastAsia="Arial" w:hAnsi="Arial"/>
          <w:sz w:val="17"/>
          <w:szCs w:val="17"/>
          <w:color w:val="auto"/>
        </w:rPr>
        <w:t>. Each of the Agents, Issuing Banks and the Lenders shall be entitled to rely and act</w:t>
      </w:r>
      <w:r>
        <w:rPr>
          <w:rFonts w:ascii="Arial" w:cs="Arial" w:eastAsia="Arial" w:hAnsi="Arial"/>
          <w:sz w:val="17"/>
          <w:szCs w:val="17"/>
          <w:i w:val="1"/>
          <w:iCs w:val="1"/>
          <w:color w:val="auto"/>
        </w:rPr>
        <w:t xml:space="preserve"> </w:t>
      </w:r>
      <w:r>
        <w:rPr>
          <w:rFonts w:ascii="Arial" w:cs="Arial" w:eastAsia="Arial" w:hAnsi="Arial"/>
          <w:sz w:val="17"/>
          <w:szCs w:val="17"/>
          <w:color w:val="auto"/>
        </w:rPr>
        <w:t>upon any 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any Borrower. All telephonic notices to and other communications with any Agent, Issuing Bank or Lender may be recorded by such Agent, Issuing Bank or Lender, and each of the parties hereto hereby consents to such recording.</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9.02 </w:t>
      </w:r>
      <w:r>
        <w:rPr>
          <w:rFonts w:ascii="Arial" w:cs="Arial" w:eastAsia="Arial" w:hAnsi="Arial"/>
          <w:sz w:val="17"/>
          <w:szCs w:val="17"/>
          <w:b w:val="1"/>
          <w:bCs w:val="1"/>
          <w:i w:val="1"/>
          <w:iCs w:val="1"/>
          <w:color w:val="auto"/>
        </w:rPr>
        <w:t>Survival of Agreement</w:t>
      </w:r>
      <w:r>
        <w:rPr>
          <w:rFonts w:ascii="Arial" w:cs="Arial" w:eastAsia="Arial" w:hAnsi="Arial"/>
          <w:sz w:val="17"/>
          <w:szCs w:val="17"/>
          <w:color w:val="auto"/>
        </w:rPr>
        <w:t>. All covenants, agreements, representations and warranties made by a Borrower herein and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9.03 </w:t>
      </w:r>
      <w:r>
        <w:rPr>
          <w:rFonts w:ascii="Arial" w:cs="Arial" w:eastAsia="Arial" w:hAnsi="Arial"/>
          <w:sz w:val="18"/>
          <w:szCs w:val="18"/>
          <w:b w:val="1"/>
          <w:bCs w:val="1"/>
          <w:i w:val="1"/>
          <w:iCs w:val="1"/>
          <w:color w:val="auto"/>
        </w:rPr>
        <w:t>Binding Effect</w:t>
      </w:r>
      <w:r>
        <w:rPr>
          <w:rFonts w:ascii="Arial" w:cs="Arial" w:eastAsia="Arial" w:hAnsi="Arial"/>
          <w:sz w:val="18"/>
          <w:szCs w:val="18"/>
          <w:color w:val="auto"/>
        </w:rPr>
        <w:t>. This Agreement shall become effective when it shall have been executed by the Borrowers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when the Administrative Agent shall have received counterparts hereof which, when taken together, bear the signatures of each of the other parties 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3" w:name="page254"/>
    <w:bookmarkEnd w:id="253"/>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4"/>
          <w:szCs w:val="14"/>
          <w:b w:val="1"/>
          <w:bCs w:val="1"/>
          <w:i w:val="1"/>
          <w:iCs w:val="1"/>
          <w:color w:val="auto"/>
        </w:rPr>
        <w:t>Successors and Assigns</w:t>
      </w:r>
      <w:r>
        <w:rPr>
          <w:rFonts w:ascii="Arial" w:cs="Arial" w:eastAsia="Arial" w:hAnsi="Arial"/>
          <w:sz w:val="14"/>
          <w:szCs w:val="14"/>
          <w:i w:val="1"/>
          <w:iCs w:val="1"/>
          <w:color w:val="auto"/>
        </w:rPr>
        <w:t>.</w:t>
      </w:r>
    </w:p>
    <w:p>
      <w:pPr>
        <w:spacing w:after="0" w:line="229" w:lineRule="exact"/>
        <w:rPr>
          <w:sz w:val="20"/>
          <w:szCs w:val="20"/>
          <w:color w:val="auto"/>
        </w:rPr>
      </w:pPr>
    </w:p>
    <w:p>
      <w:pPr>
        <w:jc w:val="both"/>
        <w:ind w:firstLine="1305"/>
        <w:spacing w:after="0" w:line="287" w:lineRule="auto"/>
        <w:tabs>
          <w:tab w:leader="none" w:pos="1735" w:val="left"/>
        </w:tabs>
        <w:numPr>
          <w:ilvl w:val="0"/>
          <w:numId w:val="312"/>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The terms and provisions of this Agreement and the other Loan Documents shall be binding upon and inure to the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assignment under the Australian Revolving Credit Facility, if such assignment would 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68" w:lineRule="exact"/>
        <w:rPr>
          <w:rFonts w:ascii="Arial" w:cs="Arial" w:eastAsia="Arial" w:hAnsi="Arial"/>
          <w:sz w:val="16"/>
          <w:szCs w:val="16"/>
          <w:color w:val="auto"/>
        </w:rPr>
      </w:pPr>
    </w:p>
    <w:p>
      <w:pPr>
        <w:jc w:val="both"/>
        <w:ind w:firstLine="1305"/>
        <w:spacing w:after="0" w:line="286" w:lineRule="auto"/>
        <w:tabs>
          <w:tab w:leader="none" w:pos="1814" w:val="left"/>
        </w:tabs>
        <w:numPr>
          <w:ilvl w:val="0"/>
          <w:numId w:val="312"/>
        </w:numPr>
        <w:rPr>
          <w:rFonts w:ascii="Arial" w:cs="Arial" w:eastAsia="Arial" w:hAnsi="Arial"/>
          <w:sz w:val="17"/>
          <w:szCs w:val="17"/>
          <w:color w:val="auto"/>
        </w:rPr>
      </w:pPr>
      <w:r>
        <w:rPr>
          <w:rFonts w:ascii="Arial" w:cs="Arial" w:eastAsia="Arial" w:hAnsi="Arial"/>
          <w:sz w:val="17"/>
          <w:szCs w:val="17"/>
          <w:i w:val="1"/>
          <w:iCs w:val="1"/>
          <w:color w:val="auto"/>
        </w:rPr>
        <w:t>Assignments by Lenders</w:t>
      </w:r>
      <w:r>
        <w:rPr>
          <w:rFonts w:ascii="Arial" w:cs="Arial" w:eastAsia="Arial" w:hAnsi="Arial"/>
          <w:sz w:val="17"/>
          <w:szCs w:val="17"/>
          <w:color w:val="auto"/>
        </w:rPr>
        <w:t>. Any Lender may at any time assign to one or more Eligible Assignees all or a portion of its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obligations under this Agreement (including all or a portion of its Commitments (including, for purposes of this Section 9.04(b), participations in Letters of Credit and Swing Line Loans) and the Loans at the time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assignment shall be subject to the following conditions:</w:t>
      </w:r>
    </w:p>
    <w:p>
      <w:pPr>
        <w:spacing w:after="0" w:line="165" w:lineRule="exact"/>
        <w:rPr>
          <w:rFonts w:ascii="Arial" w:cs="Arial" w:eastAsia="Arial" w:hAnsi="Arial"/>
          <w:sz w:val="17"/>
          <w:szCs w:val="17"/>
          <w:color w:val="auto"/>
        </w:rPr>
      </w:pPr>
    </w:p>
    <w:p>
      <w:pPr>
        <w:ind w:left="2180" w:hanging="389"/>
        <w:spacing w:after="0"/>
        <w:tabs>
          <w:tab w:leader="none" w:pos="2180" w:val="left"/>
        </w:tabs>
        <w:numPr>
          <w:ilvl w:val="1"/>
          <w:numId w:val="312"/>
        </w:numPr>
        <w:rPr>
          <w:rFonts w:ascii="Arial" w:cs="Arial" w:eastAsia="Arial" w:hAnsi="Arial"/>
          <w:sz w:val="18"/>
          <w:szCs w:val="18"/>
          <w:color w:val="auto"/>
        </w:rPr>
      </w:pPr>
      <w:r>
        <w:rPr>
          <w:rFonts w:ascii="Arial" w:cs="Arial" w:eastAsia="Arial" w:hAnsi="Arial"/>
          <w:sz w:val="18"/>
          <w:szCs w:val="18"/>
          <w:i w:val="1"/>
          <w:iCs w:val="1"/>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right="20" w:firstLine="977"/>
        <w:spacing w:after="0" w:line="264" w:lineRule="auto"/>
        <w:tabs>
          <w:tab w:leader="none" w:pos="2779" w:val="left"/>
        </w:tabs>
        <w:numPr>
          <w:ilvl w:val="2"/>
          <w:numId w:val="31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jc w:val="both"/>
        <w:ind w:left="1300" w:firstLine="977"/>
        <w:spacing w:after="0" w:line="270" w:lineRule="auto"/>
        <w:tabs>
          <w:tab w:leader="none" w:pos="2791" w:val="left"/>
        </w:tabs>
        <w:numPr>
          <w:ilvl w:val="2"/>
          <w:numId w:val="312"/>
        </w:numPr>
        <w:rPr>
          <w:rFonts w:ascii="Arial" w:cs="Arial" w:eastAsia="Arial" w:hAnsi="Arial"/>
          <w:sz w:val="17"/>
          <w:szCs w:val="17"/>
          <w:color w:val="auto"/>
        </w:rPr>
      </w:pPr>
      <w:r>
        <w:rPr>
          <w:rFonts w:ascii="Arial" w:cs="Arial" w:eastAsia="Arial" w:hAnsi="Arial"/>
          <w:sz w:val="17"/>
          <w:szCs w:val="17"/>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Parent Borrower otherwise consents (each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4" w:name="page255"/>
    <w:bookmarkEnd w:id="254"/>
    <w:p>
      <w:pPr>
        <w:jc w:val="both"/>
        <w:ind w:left="-540" w:firstLine="1131"/>
        <w:spacing w:after="0" w:line="264" w:lineRule="auto"/>
        <w:tabs>
          <w:tab w:leader="none" w:pos="1107"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Proportionate Amounts</w:t>
      </w:r>
      <w:r>
        <w:rPr>
          <w:rFonts w:ascii="Arial" w:cs="Arial" w:eastAsia="Arial" w:hAnsi="Arial"/>
          <w:sz w:val="18"/>
          <w:szCs w:val="18"/>
          <w:color w:val="auto"/>
        </w:rPr>
        <w:t>. Each partial assignment shall be made as an assignment of a proportionate part of all the assigning</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rights and obligations under this Agreement with respect to the Loan or the Commitment assigned, except that this clause (ii) shall not apply to the Applicable Swing Line Lender’s rights and obligations in respect of Swing Line Loans.</w:t>
      </w:r>
    </w:p>
    <w:p>
      <w:pPr>
        <w:spacing w:after="0" w:line="181" w:lineRule="exact"/>
        <w:rPr>
          <w:rFonts w:ascii="Arial" w:cs="Arial" w:eastAsia="Arial" w:hAnsi="Arial"/>
          <w:sz w:val="18"/>
          <w:szCs w:val="18"/>
          <w:color w:val="auto"/>
        </w:rPr>
      </w:pPr>
    </w:p>
    <w:p>
      <w:pPr>
        <w:ind w:left="-540" w:right="20" w:firstLine="1131"/>
        <w:spacing w:after="0" w:line="277" w:lineRule="auto"/>
        <w:tabs>
          <w:tab w:leader="none" w:pos="1133"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 paragraph (b)(i)(B)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and, in addition:</w:t>
      </w:r>
    </w:p>
    <w:p>
      <w:pPr>
        <w:spacing w:after="0" w:line="170" w:lineRule="exact"/>
        <w:rPr>
          <w:rFonts w:ascii="Arial" w:cs="Arial" w:eastAsia="Arial" w:hAnsi="Arial"/>
          <w:sz w:val="18"/>
          <w:szCs w:val="18"/>
          <w:color w:val="auto"/>
        </w:rPr>
      </w:pPr>
    </w:p>
    <w:p>
      <w:pPr>
        <w:jc w:val="both"/>
        <w:ind w:left="100" w:firstLine="977"/>
        <w:spacing w:after="0" w:line="272" w:lineRule="auto"/>
        <w:tabs>
          <w:tab w:leader="none" w:pos="1635" w:val="left"/>
        </w:tabs>
        <w:numPr>
          <w:ilvl w:val="1"/>
          <w:numId w:val="313"/>
        </w:numPr>
        <w:rPr>
          <w:rFonts w:ascii="Arial" w:cs="Arial" w:eastAsia="Arial" w:hAnsi="Arial"/>
          <w:sz w:val="17"/>
          <w:szCs w:val="17"/>
          <w:color w:val="auto"/>
        </w:rPr>
      </w:pPr>
      <w:r>
        <w:rPr>
          <w:rFonts w:ascii="Arial" w:cs="Arial" w:eastAsia="Arial" w:hAnsi="Arial"/>
          <w:sz w:val="17"/>
          <w:szCs w:val="17"/>
          <w:color w:val="auto"/>
        </w:rPr>
        <w:t xml:space="preserve">the consent of the Parent Borrower (such consent not to be unreasonably withheld or delayed) shall be required for assignments in respect of the U.S. Revolving Credit Facility, the Canadian Revolving Credit Facility or the Australian Revolving Credit Facility, if such assignment is to a person that is not a Lender under the U.S. Revolving Credit Facility, the Canadian Revolving Credit Facility or the Australian Revolving Credit Facility, an Affiliate of such Lender or any Approved Fund with respect to such Lender,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consent shall be required if an Event of Default shall have occurred and is continuing;</w:t>
      </w:r>
      <w:r>
        <w:rPr>
          <w:rFonts w:ascii="Arial" w:cs="Arial" w:eastAsia="Arial" w:hAnsi="Arial"/>
          <w:sz w:val="17"/>
          <w:szCs w:val="17"/>
          <w:i w:val="1"/>
          <w:iCs w:val="1"/>
          <w:color w:val="auto"/>
        </w:rPr>
        <w:t xml:space="preserve"> provided further </w:t>
      </w:r>
      <w:r>
        <w:rPr>
          <w:rFonts w:ascii="Arial" w:cs="Arial" w:eastAsia="Arial" w:hAnsi="Arial"/>
          <w:sz w:val="17"/>
          <w:szCs w:val="17"/>
          <w:color w:val="auto"/>
        </w:rPr>
        <w:t>that if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Parent Borrower shall fail to respond to a request for consent to an assignment within ten (10) Business Days following receipt of such request, the Parent Borrower shall be deemed to have given such consent.</w:t>
      </w:r>
    </w:p>
    <w:p>
      <w:pPr>
        <w:spacing w:after="0" w:line="177" w:lineRule="exact"/>
        <w:rPr>
          <w:rFonts w:ascii="Arial" w:cs="Arial" w:eastAsia="Arial" w:hAnsi="Arial"/>
          <w:sz w:val="17"/>
          <w:szCs w:val="17"/>
          <w:color w:val="auto"/>
        </w:rPr>
      </w:pPr>
    </w:p>
    <w:p>
      <w:pPr>
        <w:jc w:val="both"/>
        <w:ind w:left="100" w:firstLine="977"/>
        <w:spacing w:after="0" w:line="297" w:lineRule="auto"/>
        <w:tabs>
          <w:tab w:leader="none" w:pos="1561"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consent of the Applicable Administrative Agent (such consent not to be unreasonably withheld or delayed) shall be required (1) for assignments in respect of the U.S. Revolving Credit Facility, the Canadian Revolving Credit Facility or the Australian Revolving Credit Facility if such assignment is to a person that is not a Lender under the U.S. Revolving Credit Facility, the Canadian Revolving Credit Facility or the Australian Revolving Credit Facility, an Affiliate of such Lender or an Approved Fund with respect to such Lender or (2) for assignments of Canadian Term Loans to a person who is not a Lender, an Affiliate of a Lender or an Approved Fund;</w:t>
      </w:r>
    </w:p>
    <w:p>
      <w:pPr>
        <w:spacing w:after="0" w:line="158" w:lineRule="exact"/>
        <w:rPr>
          <w:rFonts w:ascii="Arial" w:cs="Arial" w:eastAsia="Arial" w:hAnsi="Arial"/>
          <w:sz w:val="16"/>
          <w:szCs w:val="16"/>
          <w:color w:val="auto"/>
        </w:rPr>
      </w:pPr>
    </w:p>
    <w:p>
      <w:pPr>
        <w:jc w:val="both"/>
        <w:ind w:left="100" w:right="20" w:firstLine="977"/>
        <w:spacing w:after="0" w:line="264" w:lineRule="auto"/>
        <w:tabs>
          <w:tab w:leader="none" w:pos="158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consent of each Issuing Bank (such consent not to be unreasonably withheld or delayed) shall be required for any assignment in respect of the U.S. Revolving Credit Facility, the Canadian Revolving Credit Facility or the Australian Revolving Credit Facility; and</w:t>
      </w:r>
    </w:p>
    <w:p>
      <w:pPr>
        <w:spacing w:after="0" w:line="181" w:lineRule="exact"/>
        <w:rPr>
          <w:rFonts w:ascii="Arial" w:cs="Arial" w:eastAsia="Arial" w:hAnsi="Arial"/>
          <w:sz w:val="18"/>
          <w:szCs w:val="18"/>
          <w:color w:val="auto"/>
        </w:rPr>
      </w:pPr>
    </w:p>
    <w:p>
      <w:pPr>
        <w:ind w:left="100" w:right="20" w:firstLine="977"/>
        <w:spacing w:after="0" w:line="342" w:lineRule="auto"/>
        <w:tabs>
          <w:tab w:leader="none" w:pos="1606"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consent of the Applicable Swing Line Lender (such consent not to be unreasonably withheld or delayed) shall be required for any assignment in respect of the U.S. Revolving Credit Facility or the Canadian Revolving Credit Facility, as applicable.</w:t>
      </w:r>
    </w:p>
    <w:p>
      <w:pPr>
        <w:spacing w:after="0" w:line="1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55" w:name="page256"/>
    <w:bookmarkEnd w:id="255"/>
    <w:p>
      <w:pPr>
        <w:jc w:val="both"/>
        <w:ind w:left="660" w:firstLine="1131"/>
        <w:spacing w:after="0" w:line="273" w:lineRule="auto"/>
        <w:tabs>
          <w:tab w:leader="none" w:pos="2284" w:val="left"/>
        </w:tabs>
        <w:numPr>
          <w:ilvl w:val="0"/>
          <w:numId w:val="314"/>
        </w:numPr>
        <w:rPr>
          <w:rFonts w:ascii="Arial" w:cs="Arial" w:eastAsia="Arial" w:hAnsi="Arial"/>
          <w:sz w:val="17"/>
          <w:szCs w:val="17"/>
          <w:color w:val="auto"/>
        </w:rPr>
      </w:pPr>
      <w:r>
        <w:rPr>
          <w:rFonts w:ascii="Arial" w:cs="Arial" w:eastAsia="Arial" w:hAnsi="Arial"/>
          <w:sz w:val="17"/>
          <w:szCs w:val="17"/>
          <w:i w:val="1"/>
          <w:iCs w:val="1"/>
          <w:color w:val="auto"/>
        </w:rPr>
        <w:t>Assignment and Acceptance</w:t>
      </w:r>
      <w:r>
        <w:rPr>
          <w:rFonts w:ascii="Arial" w:cs="Arial" w:eastAsia="Arial" w:hAnsi="Arial"/>
          <w:sz w:val="17"/>
          <w:szCs w:val="17"/>
          <w:color w:val="auto"/>
        </w:rPr>
        <w:t>. The parties to each assignment shall execute and deliver to the Applicable Administrative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Assignment and Acceptance, together with a processing and recordation fee of $3,500;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Applicable Administrative Agent may, in its sole discretion, elect to waive such processing and recordation fee in the case of any assignment;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78" w:lineRule="exact"/>
        <w:rPr>
          <w:rFonts w:ascii="Arial" w:cs="Arial" w:eastAsia="Arial" w:hAnsi="Arial"/>
          <w:sz w:val="17"/>
          <w:szCs w:val="17"/>
          <w:color w:val="auto"/>
        </w:rPr>
      </w:pPr>
    </w:p>
    <w:p>
      <w:pPr>
        <w:ind w:left="660" w:firstLine="1131"/>
        <w:spacing w:after="0" w:line="277" w:lineRule="auto"/>
        <w:tabs>
          <w:tab w:leader="none" w:pos="2347"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No Assignment to Borrower</w:t>
      </w:r>
      <w:r>
        <w:rPr>
          <w:rFonts w:ascii="Arial" w:cs="Arial" w:eastAsia="Arial" w:hAnsi="Arial"/>
          <w:sz w:val="18"/>
          <w:szCs w:val="18"/>
          <w:color w:val="auto"/>
        </w:rPr>
        <w:t>. No such assignment shall be made to the Parent Borrower or any of the Parent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or Subsidiaries.</w:t>
      </w:r>
    </w:p>
    <w:p>
      <w:pPr>
        <w:spacing w:after="0" w:line="170" w:lineRule="exact"/>
        <w:rPr>
          <w:rFonts w:ascii="Arial" w:cs="Arial" w:eastAsia="Arial" w:hAnsi="Arial"/>
          <w:sz w:val="18"/>
          <w:szCs w:val="18"/>
          <w:color w:val="auto"/>
        </w:rPr>
      </w:pPr>
    </w:p>
    <w:p>
      <w:pPr>
        <w:ind w:left="2280" w:hanging="489"/>
        <w:spacing w:after="0"/>
        <w:tabs>
          <w:tab w:leader="none" w:pos="228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color w:val="auto"/>
        </w:rPr>
      </w:pPr>
    </w:p>
    <w:p>
      <w:pPr>
        <w:ind w:left="660" w:right="20" w:firstLine="1131"/>
        <w:spacing w:after="0" w:line="277" w:lineRule="auto"/>
        <w:tabs>
          <w:tab w:leader="none" w:pos="2397"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Defaulting Lenders</w:t>
      </w:r>
      <w:r>
        <w:rPr>
          <w:rFonts w:ascii="Arial" w:cs="Arial" w:eastAsia="Arial" w:hAnsi="Arial"/>
          <w:sz w:val="18"/>
          <w:szCs w:val="18"/>
          <w:color w:val="auto"/>
        </w:rPr>
        <w:t>. No assignment shall be made to any Defaulting Lender or any of its Subsidiaries, or any person who,</w:t>
      </w:r>
      <w:r>
        <w:rPr>
          <w:rFonts w:ascii="Arial" w:cs="Arial" w:eastAsia="Arial" w:hAnsi="Arial"/>
          <w:sz w:val="18"/>
          <w:szCs w:val="18"/>
          <w:i w:val="1"/>
          <w:iCs w:val="1"/>
          <w:color w:val="auto"/>
        </w:rPr>
        <w:t xml:space="preserve"> </w:t>
      </w:r>
      <w:r>
        <w:rPr>
          <w:rFonts w:ascii="Arial" w:cs="Arial" w:eastAsia="Arial" w:hAnsi="Arial"/>
          <w:sz w:val="18"/>
          <w:szCs w:val="18"/>
          <w:color w:val="auto"/>
        </w:rPr>
        <w:t>upon becoming a Lender hereunder, would constitute any of the foregoing persons.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such execution, delivery, acceptance and recording thereof by the Applicable Administrative Agent pursuant to paragraph (c) 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sub-participations, or other compensating actions, including funding, with the consent of the Parent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6" w:name="page257"/>
    <w:bookmarkEnd w:id="256"/>
    <w:p>
      <w:pPr>
        <w:jc w:val="both"/>
        <w:ind w:firstLine="1305"/>
        <w:spacing w:after="0" w:line="272" w:lineRule="auto"/>
        <w:tabs>
          <w:tab w:leader="none" w:pos="1829" w:val="left"/>
        </w:tabs>
        <w:numPr>
          <w:ilvl w:val="0"/>
          <w:numId w:val="315"/>
        </w:numPr>
        <w:rPr>
          <w:rFonts w:ascii="Arial" w:cs="Arial" w:eastAsia="Arial" w:hAnsi="Arial"/>
          <w:sz w:val="17"/>
          <w:szCs w:val="17"/>
          <w:color w:val="auto"/>
        </w:rPr>
      </w:pPr>
      <w:r>
        <w:rPr>
          <w:rFonts w:ascii="Arial" w:cs="Arial" w:eastAsia="Arial" w:hAnsi="Arial"/>
          <w:sz w:val="17"/>
          <w:szCs w:val="17"/>
          <w:i w:val="1"/>
          <w:iCs w:val="1"/>
          <w:color w:val="auto"/>
        </w:rPr>
        <w:t>Register</w:t>
      </w:r>
      <w:r>
        <w:rPr>
          <w:rFonts w:ascii="Arial" w:cs="Arial" w:eastAsia="Arial" w:hAnsi="Arial"/>
          <w:sz w:val="17"/>
          <w:szCs w:val="17"/>
          <w:color w:val="auto"/>
        </w:rPr>
        <w:t>. The Applicable Administrative Agent shall maintain at its Applicable Lending Office a copy of each Assignment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delivered to and accepted by it and a register for the recordation of the names and addresses of the Lenders and the Commitments of, and principal amount of the Loans owing to, each Lender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Parent Borrower, the U.S. Borrower or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1305"/>
        <w:spacing w:after="0" w:line="284" w:lineRule="auto"/>
        <w:tabs>
          <w:tab w:leader="none" w:pos="1934" w:val="left"/>
        </w:tabs>
        <w:numPr>
          <w:ilvl w:val="0"/>
          <w:numId w:val="315"/>
        </w:numPr>
        <w:rPr>
          <w:rFonts w:ascii="Arial" w:cs="Arial" w:eastAsia="Arial" w:hAnsi="Arial"/>
          <w:sz w:val="16"/>
          <w:szCs w:val="16"/>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Any Lender may at any time, without the consent of, or notice to, the Parent Borrower 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sell participations to any person (other than a natural person, a Defaulting Lender or the Parent Borrower or any of the Parent Borrower’s or a Defaulting Lender’s Affiliates or subsidiaries)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Agreement and the other Loan Documents (including all or a portion of its Commitment and/or the Loans (including such Lender’s participations in Letter of Credit Obligations and Swing Line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Parent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Parent Borrower agrees that each Participant shall be entitled to the benefits of 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Lender shall have any obligation to disclose all or any portion of the Participant Register (including the identity of any Participant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7" w:name="page258"/>
    <w:bookmarkEnd w:id="257"/>
    <w:p>
      <w:pPr>
        <w:jc w:val="both"/>
        <w:ind w:firstLine="1305"/>
        <w:spacing w:after="0" w:line="257" w:lineRule="auto"/>
        <w:tabs>
          <w:tab w:leader="none" w:pos="1755"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2.13 or 2.14 than the applicable Lender would have been entitled to receive with respect to the participation sold to such Participant, unless the sale of the participation to such Participant is made with the Parent Borrower’s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w:t>
      </w:r>
    </w:p>
    <w:p>
      <w:pPr>
        <w:spacing w:after="0" w:line="188" w:lineRule="exact"/>
        <w:rPr>
          <w:rFonts w:ascii="Arial" w:cs="Arial" w:eastAsia="Arial" w:hAnsi="Arial"/>
          <w:sz w:val="18"/>
          <w:szCs w:val="18"/>
          <w:color w:val="auto"/>
        </w:rPr>
      </w:pPr>
    </w:p>
    <w:p>
      <w:pPr>
        <w:jc w:val="both"/>
        <w:ind w:firstLine="1305"/>
        <w:spacing w:after="0" w:line="312" w:lineRule="auto"/>
        <w:tabs>
          <w:tab w:leader="none" w:pos="1772" w:val="left"/>
        </w:tabs>
        <w:numPr>
          <w:ilvl w:val="1"/>
          <w:numId w:val="316"/>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rFonts w:ascii="Arial" w:cs="Arial" w:eastAsia="Arial" w:hAnsi="Arial"/>
          <w:sz w:val="16"/>
          <w:szCs w:val="16"/>
          <w:color w:val="auto"/>
        </w:rPr>
      </w:pPr>
    </w:p>
    <w:p>
      <w:pPr>
        <w:jc w:val="both"/>
        <w:ind w:firstLine="1305"/>
        <w:spacing w:after="0" w:line="288" w:lineRule="auto"/>
        <w:tabs>
          <w:tab w:leader="none" w:pos="17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i w:val="1"/>
          <w:iCs w:val="1"/>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Applicable Administrative Agent and the Parent Borrower (an “</w:t>
      </w:r>
      <w:r>
        <w:rPr>
          <w:rFonts w:ascii="Arial" w:cs="Arial" w:eastAsia="Arial" w:hAnsi="Arial"/>
          <w:sz w:val="16"/>
          <w:szCs w:val="16"/>
          <w:i w:val="1"/>
          <w:iCs w:val="1"/>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jc w:val="both"/>
        <w:ind w:firstLine="8"/>
        <w:spacing w:after="0" w:line="267" w:lineRule="auto"/>
        <w:tabs>
          <w:tab w:leader="none" w:pos="221" w:val="left"/>
        </w:tabs>
        <w:numPr>
          <w:ilvl w:val="0"/>
          <w:numId w:val="317"/>
        </w:numPr>
        <w:rPr>
          <w:rFonts w:ascii="Arial" w:cs="Arial" w:eastAsia="Arial" w:hAnsi="Arial"/>
          <w:sz w:val="17"/>
          <w:szCs w:val="17"/>
          <w:color w:val="auto"/>
        </w:rPr>
      </w:pPr>
      <w:r>
        <w:rPr>
          <w:rFonts w:ascii="Arial" w:cs="Arial" w:eastAsia="Arial" w:hAnsi="Arial"/>
          <w:sz w:val="17"/>
          <w:szCs w:val="17"/>
          <w:color w:val="auto"/>
        </w:rPr>
        <w:t>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Parent Borrower and the Applicable Administrative Agent and without paying any processing fee therefor,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8" w:name="page259"/>
    <w:bookmarkEnd w:id="258"/>
    <w:p>
      <w:pPr>
        <w:jc w:val="both"/>
        <w:ind w:firstLine="1305"/>
        <w:spacing w:after="0" w:line="255" w:lineRule="auto"/>
        <w:tabs>
          <w:tab w:leader="none" w:pos="182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5"/>
          <w:szCs w:val="15"/>
          <w:b w:val="1"/>
          <w:bCs w:val="1"/>
          <w:i w:val="1"/>
          <w:iCs w:val="1"/>
          <w:color w:val="auto"/>
        </w:rPr>
        <w:t>Expenses; Indemnity</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67" w:lineRule="auto"/>
        <w:tabs>
          <w:tab w:leader="none" w:pos="186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Costs and Expenses. The Borrowers agree, jointly and severally, to pay or reimburse (i) all reasonable out-of-pocket expenses incurred by the 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person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Parent Borrower. The agreements in this Section shall survive the termination of the Commitments and repayment of all Obligations.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9" w:name="page260"/>
    <w:bookmarkEnd w:id="259"/>
    <w:p>
      <w:pPr>
        <w:jc w:val="both"/>
        <w:ind w:firstLine="1305"/>
        <w:spacing w:after="0" w:line="283" w:lineRule="auto"/>
        <w:tabs>
          <w:tab w:leader="none" w:pos="1737" w:val="left"/>
        </w:tabs>
        <w:numPr>
          <w:ilvl w:val="1"/>
          <w:numId w:val="320"/>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Borrowers. </w:t>
      </w:r>
      <w:r>
        <w:rPr>
          <w:rFonts w:ascii="Arial" w:cs="Arial" w:eastAsia="Arial" w:hAnsi="Arial"/>
          <w:sz w:val="16"/>
          <w:szCs w:val="16"/>
          <w:color w:val="auto"/>
        </w:rPr>
        <w:t>The Borrowers agree, jointly and severally, to indemnify the Administrative Agents,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Agents, each Lender, each Issuing Bank and the Related Parties of any of the foregoing persons (each such person being called an “</w:t>
      </w:r>
      <w:r>
        <w:rPr>
          <w:rFonts w:ascii="Arial" w:cs="Arial" w:eastAsia="Arial" w:hAnsi="Arial"/>
          <w:sz w:val="16"/>
          <w:szCs w:val="16"/>
          <w:i w:val="1"/>
          <w:iCs w:val="1"/>
          <w:color w:val="auto"/>
        </w:rPr>
        <w:t>Indemnitee</w:t>
      </w:r>
      <w:r>
        <w:rPr>
          <w:rFonts w:ascii="Arial" w:cs="Arial" w:eastAsia="Arial" w:hAnsi="Arial"/>
          <w:sz w:val="16"/>
          <w:szCs w:val="16"/>
          <w:color w:val="auto"/>
        </w:rPr>
        <w:t>”)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w:t>
      </w:r>
    </w:p>
    <w:p>
      <w:pPr>
        <w:spacing w:after="0" w:line="6" w:lineRule="exact"/>
        <w:rPr>
          <w:rFonts w:ascii="Arial" w:cs="Arial" w:eastAsia="Arial" w:hAnsi="Arial"/>
          <w:sz w:val="16"/>
          <w:szCs w:val="16"/>
          <w:color w:val="auto"/>
        </w:rPr>
      </w:pPr>
    </w:p>
    <w:p>
      <w:pPr>
        <w:jc w:val="both"/>
        <w:ind w:firstLine="8"/>
        <w:spacing w:after="0" w:line="281" w:lineRule="auto"/>
        <w:tabs>
          <w:tab w:leader="none" w:pos="26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(collectively, the “</w:t>
      </w:r>
      <w:r>
        <w:rPr>
          <w:rFonts w:ascii="Arial" w:cs="Arial" w:eastAsia="Arial" w:hAnsi="Arial"/>
          <w:sz w:val="16"/>
          <w:szCs w:val="16"/>
          <w:i w:val="1"/>
          <w:i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b w:val="1"/>
          <w:bCs w:val="1"/>
          <w:color w:val="auto"/>
        </w:rPr>
        <w:t xml:space="preserve">SUCH INDEMNITY SHALL EXPRESSLY INCLUDE ANY SUCH LOSSES, LIABILITIES, CLAIMS, DAMAGES OR EXPENSE INCURRED BY REASON OF THE PERSON BEING INDEMNIFIED’S OWN NEGLIGENCE;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foregoing indemnity will not, as to any</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apply to losses, claims, damages, liabilities or related expenses to the extent they are found in a final, non-appealable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0" w:name="page261"/>
    <w:bookmarkEnd w:id="260"/>
    <w:p>
      <w:pPr>
        <w:jc w:val="both"/>
        <w:ind w:firstLine="648"/>
        <w:spacing w:after="0" w:line="287" w:lineRule="auto"/>
        <w:rPr>
          <w:sz w:val="20"/>
          <w:szCs w:val="20"/>
          <w:color w:val="auto"/>
        </w:rPr>
      </w:pPr>
      <w:r>
        <w:rPr>
          <w:rFonts w:ascii="Arial" w:cs="Arial" w:eastAsia="Arial" w:hAnsi="Arial"/>
          <w:sz w:val="16"/>
          <w:szCs w:val="16"/>
          <w:color w:val="auto"/>
        </w:rPr>
        <w:t>No Borrower shall be liable for any settlement of any claim, litigation, investigation or proceeding (any of the foregoing, a “</w:t>
      </w:r>
      <w:r>
        <w:rPr>
          <w:rFonts w:ascii="Arial" w:cs="Arial" w:eastAsia="Arial" w:hAnsi="Arial"/>
          <w:sz w:val="16"/>
          <w:szCs w:val="16"/>
          <w:i w:val="1"/>
          <w:iCs w:val="1"/>
          <w:color w:val="auto"/>
        </w:rPr>
        <w:t>Proceeding</w:t>
      </w:r>
      <w:r>
        <w:rPr>
          <w:rFonts w:ascii="Arial" w:cs="Arial" w:eastAsia="Arial" w:hAnsi="Arial"/>
          <w:sz w:val="16"/>
          <w:szCs w:val="16"/>
          <w:color w:val="auto"/>
        </w:rPr>
        <w:t>”) effected without its consent (which consent shall not be unreasonably conditioned, withheld or delayed) unless (x) the Applicable Borrower has not confirmed that the indemnity provisions of this Section 9.05(b) are applicable or (y) a claim for indemnity has been made in accordance with this Section 9.05(b) which the Applicable Borrower has not paid with 30 days of the date on which such claim was made. If any Proceeding is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w:t>
      </w:r>
    </w:p>
    <w:p>
      <w:pPr>
        <w:spacing w:after="0" w:line="173" w:lineRule="exact"/>
        <w:rPr>
          <w:sz w:val="20"/>
          <w:szCs w:val="20"/>
          <w:color w:val="auto"/>
        </w:rPr>
      </w:pPr>
    </w:p>
    <w:p>
      <w:pPr>
        <w:jc w:val="both"/>
        <w:ind w:firstLine="1305"/>
        <w:spacing w:after="0" w:line="271" w:lineRule="auto"/>
        <w:tabs>
          <w:tab w:leader="none" w:pos="1856" w:val="left"/>
        </w:tabs>
        <w:numPr>
          <w:ilvl w:val="0"/>
          <w:numId w:val="322"/>
        </w:numPr>
        <w:rPr>
          <w:rFonts w:ascii="Arial" w:cs="Arial" w:eastAsia="Arial" w:hAnsi="Arial"/>
          <w:sz w:val="17"/>
          <w:szCs w:val="17"/>
          <w:color w:val="auto"/>
        </w:rPr>
      </w:pPr>
      <w:r>
        <w:rPr>
          <w:rFonts w:ascii="Arial" w:cs="Arial" w:eastAsia="Arial" w:hAnsi="Arial"/>
          <w:sz w:val="17"/>
          <w:szCs w:val="17"/>
          <w:i w:val="1"/>
          <w:iCs w:val="1"/>
          <w:color w:val="auto"/>
        </w:rPr>
        <w:t>Reimbursement by Lenders</w:t>
      </w:r>
      <w:r>
        <w:rPr>
          <w:rFonts w:ascii="Arial" w:cs="Arial" w:eastAsia="Arial" w:hAnsi="Arial"/>
          <w:sz w:val="17"/>
          <w:szCs w:val="17"/>
          <w:color w:val="auto"/>
        </w:rPr>
        <w:t>. To the extent that a Borrower for any reason fails to indefeasibly pay any amount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paragraph (a) or (b) of this Section to be paid by it to an Agent (or any sub-agent thereof), an Issuing Bank, a Swing Line Lender or any Related Party of any of the foregoing, each Lender severally agrees to pay to the Applicable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Applicable Agent (or any such sub-agent), the Applicable Issuing Bank or the Applicable Swing Line Lender in its capacity as such, or against any Related Party of any of the foregoing acting for the Applicable Agent (or any such sub-agent), Applicable Issuing Bank or the Applicable Swing Line Lender in connection with such capacity.</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176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1" w:name="page262"/>
    <w:bookmarkEnd w:id="261"/>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9.06 </w:t>
      </w:r>
      <w:r>
        <w:rPr>
          <w:rFonts w:ascii="Arial" w:cs="Arial" w:eastAsia="Arial" w:hAnsi="Arial"/>
          <w:sz w:val="16"/>
          <w:szCs w:val="16"/>
          <w:b w:val="1"/>
          <w:bCs w:val="1"/>
          <w:i w:val="1"/>
          <w:iCs w:val="1"/>
          <w:color w:val="auto"/>
        </w:rPr>
        <w:t>Right of Setoff</w:t>
      </w:r>
      <w:r>
        <w:rPr>
          <w:rFonts w:ascii="Arial" w:cs="Arial" w:eastAsia="Arial" w:hAnsi="Arial"/>
          <w:sz w:val="16"/>
          <w:szCs w:val="16"/>
          <w:color w:val="auto"/>
        </w:rPr>
        <w:t>. If an Event of Default shall have occurred and be continuing, each Agent, Lender, Issuing Bank and each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Parent Borrower and the Administrative Agent promptly after any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9.07 </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THIS AGREEMENT SHALL BE CONSTRUED IN ACCORDANCE WITH AND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9.08 </w:t>
      </w:r>
      <w:r>
        <w:rPr>
          <w:rFonts w:ascii="Arial" w:cs="Arial" w:eastAsia="Arial" w:hAnsi="Arial"/>
          <w:sz w:val="16"/>
          <w:szCs w:val="16"/>
          <w:b w:val="1"/>
          <w:bCs w:val="1"/>
          <w:i w:val="1"/>
          <w:iCs w:val="1"/>
          <w:color w:val="auto"/>
        </w:rPr>
        <w:t>Waivers; Amendment</w:t>
      </w:r>
      <w:r>
        <w:rPr>
          <w:rFonts w:ascii="Arial" w:cs="Arial" w:eastAsia="Arial" w:hAnsi="Arial"/>
          <w:sz w:val="16"/>
          <w:szCs w:val="16"/>
          <w:color w:val="auto"/>
        </w:rPr>
        <w:t>. (a) No failure or delay of any Agent, any Lender or any Issuing Bank in exercising any power or right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prohibit (i) the Agent 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2" w:name="page263"/>
    <w:bookmarkEnd w:id="262"/>
    <w:p>
      <w:pPr>
        <w:jc w:val="both"/>
        <w:ind w:firstLine="1305"/>
        <w:spacing w:after="0" w:line="253" w:lineRule="auto"/>
        <w:tabs>
          <w:tab w:leader="none" w:pos="172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waiver or consent shall be effective only in the specific instance and for the specific purpose for which given;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(x) any provision of this Agreement or any other Loan Document may be amended by an agreement in writing signed by the Administrative Agent and the Parent Borrower to cure any ambiguity, omission,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197" w:lineRule="exact"/>
        <w:rPr>
          <w:rFonts w:ascii="Arial" w:cs="Arial" w:eastAsia="Arial" w:hAnsi="Arial"/>
          <w:sz w:val="18"/>
          <w:szCs w:val="18"/>
          <w:color w:val="auto"/>
        </w:rPr>
      </w:pPr>
    </w:p>
    <w:p>
      <w:pPr>
        <w:ind w:left="660" w:firstLine="1131"/>
        <w:spacing w:after="0" w:line="277" w:lineRule="auto"/>
        <w:tabs>
          <w:tab w:leader="none" w:pos="222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extend the Maturity Date of or increase the stated amount of any Commitment of any Lender or reinstate any Commitment of any Lender terminated pursuant to the terms hereof without the written consent of such Lender;</w:t>
      </w:r>
    </w:p>
    <w:p>
      <w:pPr>
        <w:spacing w:after="0" w:line="170" w:lineRule="exact"/>
        <w:rPr>
          <w:rFonts w:ascii="Arial" w:cs="Arial" w:eastAsia="Arial" w:hAnsi="Arial"/>
          <w:sz w:val="18"/>
          <w:szCs w:val="18"/>
          <w:color w:val="auto"/>
        </w:rPr>
      </w:pPr>
    </w:p>
    <w:p>
      <w:pPr>
        <w:ind w:left="660" w:firstLine="1131"/>
        <w:spacing w:after="0" w:line="277" w:lineRule="auto"/>
        <w:tabs>
          <w:tab w:leader="none" w:pos="228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postpone any date fixed by this Agreement for any scheduled payment (but not any prepayment) of principal, interest or fees due to any Lender hereunder without the written consent of such Lender;</w:t>
      </w:r>
    </w:p>
    <w:p>
      <w:pPr>
        <w:spacing w:after="0" w:line="170" w:lineRule="exact"/>
        <w:rPr>
          <w:rFonts w:ascii="Arial" w:cs="Arial" w:eastAsia="Arial" w:hAnsi="Arial"/>
          <w:sz w:val="18"/>
          <w:szCs w:val="18"/>
          <w:color w:val="auto"/>
        </w:rPr>
      </w:pPr>
    </w:p>
    <w:p>
      <w:pPr>
        <w:jc w:val="both"/>
        <w:ind w:left="660" w:firstLine="1131"/>
        <w:spacing w:after="0" w:line="286" w:lineRule="auto"/>
        <w:tabs>
          <w:tab w:leader="none" w:pos="2391"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“Total Leverage Ratio”, “Senior Secured Leverage Ratio” or in the component definitions thereof, shall not constitute a reduction of rate of interest or any interest or Fees payable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only the consent of the U.S. Required Revolving Lenders shall be required to waive any obligation of the U.S. Borrower to pay default interest pursuant to Section 2.07 with respect to the U.S. Revolving Credit Facility, including with respect to any amount payable thereunder or in connection therewith (B) only the consent of the Canadian Required Revolving Lenders, as applicable shall be required to waive any obligation of the Parent Borrower to pay default interest pursuant to Section 2.07 with respect to the Canadian Revolving Credit Facility, including with respect to any amount payable thereunder or in connection therewith, (C) only the consent of the Australian Required Revolving Lenders shall be required to waive any obligation of the Australian Borrower to pay default interest pursuant to Section 2.07 with respect to the Australian Revolving Credit Facility, including with respect to any amount payable thereunder or in connection therewith, and (D) only the consent of the Required Canadian Term Lenders shall be required to waive (1) any obligation of the Parent Borrower to pay default interest pursuant to Section 2.07 with respect to the Canadian Term Loan Facility, including with respect to any amount payable thereunder or in connection therewith or (2) any mandatory prepayment of Canadian Term Loans;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3" w:name="page264"/>
    <w:bookmarkEnd w:id="263"/>
    <w:p>
      <w:pPr>
        <w:jc w:val="both"/>
        <w:ind w:left="-540" w:firstLine="1131"/>
        <w:spacing w:after="0" w:line="255" w:lineRule="auto"/>
        <w:tabs>
          <w:tab w:leader="none" w:pos="107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or in the CAM Exchange Agreement from the order set forth in such Section or in such agreement in a manner that adversely affects the Lenders under any Facility without the prior written consent of (A) if such Facility is the U.S. Revolving Credit Facility, the Required U.S. Revolving Lenders, (B) if such Facility is the Canadian Revolving Credit Facility, the Required Canadian Revolving Lenders, (C) if such Facility is the Canadian Term Loan Facility, the Required Canadian Term Lenders, and (D) if such Facility is the Australian Revolving Credit Facility, the Required Australian Lenders;</w:t>
      </w:r>
    </w:p>
    <w:p>
      <w:pPr>
        <w:spacing w:after="0" w:line="189" w:lineRule="exact"/>
        <w:rPr>
          <w:rFonts w:ascii="Arial" w:cs="Arial" w:eastAsia="Arial" w:hAnsi="Arial"/>
          <w:sz w:val="18"/>
          <w:szCs w:val="18"/>
          <w:color w:val="auto"/>
        </w:rPr>
      </w:pPr>
    </w:p>
    <w:p>
      <w:pPr>
        <w:jc w:val="both"/>
        <w:ind w:left="-540" w:firstLine="1131"/>
        <w:spacing w:after="0" w:line="302" w:lineRule="auto"/>
        <w:tabs>
          <w:tab w:leader="none" w:pos="120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change any provision of this Section, or the percentage specified in definition of “Required Lenders,” “Required U.S. Revolving Lenders,” “Required Canadian Revolving Lenders,” “Required Canadian Term Lenders,” “Required Australian Lenders,” or “Required Revolving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54" w:lineRule="exact"/>
        <w:rPr>
          <w:rFonts w:ascii="Arial" w:cs="Arial" w:eastAsia="Arial" w:hAnsi="Arial"/>
          <w:sz w:val="16"/>
          <w:szCs w:val="16"/>
          <w:color w:val="auto"/>
        </w:rPr>
      </w:pPr>
    </w:p>
    <w:p>
      <w:pPr>
        <w:jc w:val="both"/>
        <w:ind w:left="-540" w:firstLine="1131"/>
        <w:spacing w:after="0" w:line="259" w:lineRule="auto"/>
        <w:tabs>
          <w:tab w:leader="none" w:pos="119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except as expressly permitted hereunder or under any Security Document, (A) release the guaranty provided by the U.S. Borrower pursuant to the U.S. Guarantee Agreement without the written consent of each Canadian Lender and each Australian Lender, or (B) release all or substantially all of the value of the guaranties provided by the other Guarantors hereunder or all or substantially all of the Collateral without the written consent of each Lender;</w:t>
      </w:r>
    </w:p>
    <w:p>
      <w:pPr>
        <w:spacing w:after="0" w:line="186" w:lineRule="exact"/>
        <w:rPr>
          <w:rFonts w:ascii="Arial" w:cs="Arial" w:eastAsia="Arial" w:hAnsi="Arial"/>
          <w:sz w:val="18"/>
          <w:szCs w:val="18"/>
          <w:color w:val="auto"/>
        </w:rPr>
      </w:pPr>
    </w:p>
    <w:p>
      <w:pPr>
        <w:jc w:val="both"/>
        <w:ind w:left="-540" w:firstLine="1131"/>
        <w:spacing w:after="0" w:line="257" w:lineRule="auto"/>
        <w:tabs>
          <w:tab w:leader="none" w:pos="114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change Section 9.04 in a manner that imposes additional restrictions on the ability of any Lender under any Facility to assign any of its rights or obligations hereunder without the prior written consent of (A) if such Facility is the U.S. Revolving Credit Facility, the Required U.S. Revolving Lenders, (B) if such Facility is the Canadian Revolving Credit Facility, the Required Canadian Revolving Lenders, (C) if such Facility is the Canadian Term Loan Facility, the Required Canadian Term Lenders and (D) if such Facility is the Australian Revolving Credit Facility, the Required Australian Lenders;</w:t>
      </w:r>
    </w:p>
    <w:p>
      <w:pPr>
        <w:spacing w:after="0" w:line="188" w:lineRule="exact"/>
        <w:rPr>
          <w:rFonts w:ascii="Arial" w:cs="Arial" w:eastAsia="Arial" w:hAnsi="Arial"/>
          <w:sz w:val="18"/>
          <w:szCs w:val="18"/>
          <w:color w:val="auto"/>
        </w:rPr>
      </w:pPr>
    </w:p>
    <w:p>
      <w:pPr>
        <w:jc w:val="both"/>
        <w:ind w:left="-540" w:firstLine="1131"/>
        <w:spacing w:after="0" w:line="255" w:lineRule="auto"/>
        <w:tabs>
          <w:tab w:leader="none" w:pos="11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Revolving Lenders (if the U.S. Revolving Lenders are the adversely affected Class), Required Canadian Revolving Lenders (if the Canadian Revolving Lenders are the adversely affected Class), Required Canadian Term Lenders (if the Canadian Term Lenders are the adversely affected Class) or Required Australian Lenders (if the Australian Lenders are the adversely affected Class); or</w:t>
      </w:r>
    </w:p>
    <w:p>
      <w:pPr>
        <w:spacing w:after="0" w:line="1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64" w:name="page265"/>
    <w:bookmarkEnd w:id="264"/>
    <w:p>
      <w:pPr>
        <w:ind w:left="2300" w:hanging="509"/>
        <w:spacing w:after="0"/>
        <w:tabs>
          <w:tab w:leader="none" w:pos="23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amend or modify the protections afforded to an SPC pursuant to the provisions of Section 9.04(g) without the written consent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such SPC;</w:t>
      </w:r>
    </w:p>
    <w:p>
      <w:pPr>
        <w:spacing w:after="0" w:line="21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provided, further</w:t>
      </w:r>
      <w:r>
        <w:rPr>
          <w:rFonts w:ascii="Arial" w:cs="Arial" w:eastAsia="Arial" w:hAnsi="Arial"/>
          <w:sz w:val="18"/>
          <w:szCs w:val="18"/>
          <w:color w:val="auto"/>
        </w:rPr>
        <w:t>, that no such agreement shall amend, modify or otherwise affect the rights or duties of an Agent, an Issuing Bank or a Swing Line</w:t>
      </w:r>
      <w:r>
        <w:rPr>
          <w:rFonts w:ascii="Arial" w:cs="Arial" w:eastAsia="Arial" w:hAnsi="Arial"/>
          <w:sz w:val="18"/>
          <w:szCs w:val="18"/>
          <w:i w:val="1"/>
          <w:iCs w:val="1"/>
          <w:color w:val="auto"/>
        </w:rPr>
        <w:t xml:space="preserve"> </w:t>
      </w:r>
      <w:r>
        <w:rPr>
          <w:rFonts w:ascii="Arial" w:cs="Arial" w:eastAsia="Arial" w:hAnsi="Arial"/>
          <w:sz w:val="18"/>
          <w:szCs w:val="18"/>
          <w:color w:val="auto"/>
        </w:rPr>
        <w:t>Lender hereunder or under any other Loan Document without the prior written consent of such Agent, Issuing Bank or Swing Line Lender, respectively.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Lender or any Affiliate of a Lender shall have any voting rights under any Loan Document as a result of the existence of obligations owed to it under Hedging Agreements or Banking Services Obligations.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Notwithstanding anything to the contrary contained in this Section 9.08 or any other provision of this Agreement or any other Loan Document, (A) the Security Documents and related documents in connection with this Agreement and the other Loan Documents may be in a form reasonably determined by the Administrative Agent and the Collateral Agent and may be, together with this Agreement, amended, supplemented and waived with the consent of the Administrative Agent and the Collateral Agent at the request of the Parent Borrower without the need to obtain the consent of any other Lender if such amendment, supplement or waiver is delivered in order (i) to comply with local law or advice of local counsel, or (ii) to cause such Security Documents or other documents to be consistent with this Agreement and the other Loan Documents and (B) this Agreement and any other Loan Document may be amended solely with the consent of the Administrative Agent and the Parent Borrower without the need to obtain the consent of any other Lender if such amendment is consummated in order (x) to correct or cure any ambiguities, errors, omissions, mistakes, inconsistencies or defects jointly identified by the Parent Borrower and the Administrative Agent, (y) to effect administrative changes of a technical or immaterial nature or (z) to fix incorrect cross-references or similar inaccuracies in this Agreement or the applicable Loan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Administrative Agent shall have notified the Lenders of such amendment and the Required Lenders shall not have objected in writing to such amendment within five Business Days of notice thereof.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5" w:name="page266"/>
    <w:bookmarkEnd w:id="265"/>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9.09 </w:t>
      </w:r>
      <w:r>
        <w:rPr>
          <w:rFonts w:ascii="Arial" w:cs="Arial" w:eastAsia="Arial" w:hAnsi="Arial"/>
          <w:sz w:val="17"/>
          <w:szCs w:val="17"/>
          <w:b w:val="1"/>
          <w:bCs w:val="1"/>
          <w:i w:val="1"/>
          <w:iCs w:val="1"/>
          <w:color w:val="auto"/>
        </w:rPr>
        <w:t>Interest Rate Limitation</w:t>
      </w:r>
      <w:r>
        <w:rPr>
          <w:rFonts w:ascii="Arial" w:cs="Arial" w:eastAsia="Arial" w:hAnsi="Arial"/>
          <w:sz w:val="17"/>
          <w:szCs w:val="17"/>
          <w:color w:val="auto"/>
        </w:rPr>
        <w:t>. Regardless of any provisions contained in this Agreement or in any other Loan Documents,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never be deemed to have contracted for or be entitled to receive, collect or apply as interest on any Loan or participation in any L/C Disbursement any amount in excess of the maximum lawful rate (the “</w:t>
      </w:r>
      <w:r>
        <w:rPr>
          <w:rFonts w:ascii="Arial" w:cs="Arial" w:eastAsia="Arial" w:hAnsi="Arial"/>
          <w:sz w:val="17"/>
          <w:szCs w:val="17"/>
          <w:i w:val="1"/>
          <w:iCs w:val="1"/>
          <w:color w:val="auto"/>
        </w:rPr>
        <w:t>Maximum Rate</w:t>
      </w:r>
      <w:r>
        <w:rPr>
          <w:rFonts w:ascii="Arial" w:cs="Arial" w:eastAsia="Arial" w:hAnsi="Arial"/>
          <w:sz w:val="17"/>
          <w:szCs w:val="17"/>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18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9.10 </w:t>
      </w:r>
      <w:r>
        <w:rPr>
          <w:rFonts w:ascii="Arial" w:cs="Arial" w:eastAsia="Arial" w:hAnsi="Arial"/>
          <w:sz w:val="16"/>
          <w:szCs w:val="16"/>
          <w:b w:val="1"/>
          <w:bCs w:val="1"/>
          <w:i w:val="1"/>
          <w:iCs w:val="1"/>
          <w:color w:val="auto"/>
        </w:rPr>
        <w:t>Entire Agreement</w:t>
      </w:r>
      <w:r>
        <w:rPr>
          <w:rFonts w:ascii="Arial" w:cs="Arial" w:eastAsia="Arial" w:hAnsi="Arial"/>
          <w:sz w:val="16"/>
          <w:szCs w:val="16"/>
          <w:color w:val="auto"/>
        </w:rPr>
        <w:t>. This Agreement, the other Loan Documents and the Fee Letter constitute the entire contract among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subject matter hereof and supersede any and all previous agreements and understandings, oral or written, relating to the subject matter hereof.</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9.11 </w:t>
      </w:r>
      <w:r>
        <w:rPr>
          <w:rFonts w:ascii="Arial" w:cs="Arial" w:eastAsia="Arial" w:hAnsi="Arial"/>
          <w:sz w:val="17"/>
          <w:szCs w:val="17"/>
          <w:b w:val="1"/>
          <w:bCs w:val="1"/>
          <w:i w:val="1"/>
          <w:iCs w:val="1"/>
          <w:color w:val="auto"/>
        </w:rPr>
        <w:t>WAIVER OF JURY TRIAL</w:t>
      </w:r>
      <w:r>
        <w:rPr>
          <w:rFonts w:ascii="Arial" w:cs="Arial" w:eastAsia="Arial" w:hAnsi="Arial"/>
          <w:sz w:val="17"/>
          <w:szCs w:val="17"/>
          <w:color w:val="auto"/>
        </w:rPr>
        <w:t>. EACH PARTY HERETO HEREBY EXPRESSLY AND IRREVOCABLY WAIVES,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66" w:name="page267"/>
    <w:bookmarkEnd w:id="266"/>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9.12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In the event any one or more of the provisions contained in this Agreement or in any other Loan Document should</w:t>
      </w:r>
      <w:r>
        <w:rPr>
          <w:rFonts w:ascii="Arial" w:cs="Arial" w:eastAsia="Arial" w:hAnsi="Arial"/>
          <w:sz w:val="17"/>
          <w:szCs w:val="17"/>
          <w:b w:val="1"/>
          <w:bCs w:val="1"/>
          <w:color w:val="auto"/>
        </w:rPr>
        <w:t xml:space="preserve"> </w:t>
      </w:r>
      <w:r>
        <w:rPr>
          <w:rFonts w:ascii="Arial" w:cs="Arial" w:eastAsia="Arial" w:hAnsi="Arial"/>
          <w:sz w:val="17"/>
          <w:szCs w:val="17"/>
          <w:color w:val="auto"/>
        </w:rPr>
        <w:t>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9.13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counterparts (and by different parties hereto on different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constitute an original but 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9.14 </w:t>
      </w:r>
      <w:r>
        <w:rPr>
          <w:rFonts w:ascii="Arial" w:cs="Arial" w:eastAsia="Arial" w:hAnsi="Arial"/>
          <w:sz w:val="18"/>
          <w:szCs w:val="18"/>
          <w:b w:val="1"/>
          <w:bCs w:val="1"/>
          <w:i w:val="1"/>
          <w:iCs w:val="1"/>
          <w:color w:val="auto"/>
        </w:rPr>
        <w:t>Headings</w:t>
      </w:r>
      <w:r>
        <w:rPr>
          <w:rFonts w:ascii="Arial" w:cs="Arial" w:eastAsia="Arial" w:hAnsi="Arial"/>
          <w:sz w:val="18"/>
          <w:szCs w:val="18"/>
          <w:color w:val="auto"/>
        </w:rPr>
        <w:t>. Article and Section headings and the Table of Contents used herein are for convenience of reference only, are not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not to affect the construction of, or to be taken into consideration in interpreting, this Agreement.</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9.15 </w:t>
      </w:r>
      <w:r>
        <w:rPr>
          <w:rFonts w:ascii="Arial" w:cs="Arial" w:eastAsia="Arial" w:hAnsi="Arial"/>
          <w:sz w:val="17"/>
          <w:szCs w:val="17"/>
          <w:b w:val="1"/>
          <w:bCs w:val="1"/>
          <w:i w:val="1"/>
          <w:iCs w:val="1"/>
          <w:color w:val="auto"/>
        </w:rPr>
        <w:t>Jurisdiction; Consent to Service of Process</w:t>
      </w:r>
      <w:r>
        <w:rPr>
          <w:rFonts w:ascii="Arial" w:cs="Arial" w:eastAsia="Arial" w:hAnsi="Arial"/>
          <w:sz w:val="17"/>
          <w:szCs w:val="17"/>
          <w:color w:val="auto"/>
        </w:rPr>
        <w:t>. (a) Any legal action or proceeding with respect to this Agreement or any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176" w:lineRule="exact"/>
        <w:rPr>
          <w:sz w:val="20"/>
          <w:szCs w:val="20"/>
          <w:color w:val="auto"/>
        </w:rPr>
      </w:pPr>
    </w:p>
    <w:p>
      <w:pPr>
        <w:jc w:val="both"/>
        <w:ind w:firstLine="1305"/>
        <w:spacing w:after="0" w:line="259" w:lineRule="auto"/>
        <w:tabs>
          <w:tab w:leader="none" w:pos="177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7" w:name="page268"/>
    <w:bookmarkEnd w:id="267"/>
    <w:p>
      <w:pPr>
        <w:jc w:val="both"/>
        <w:ind w:firstLine="1305"/>
        <w:spacing w:after="0" w:line="286" w:lineRule="auto"/>
        <w:tabs>
          <w:tab w:leader="none" w:pos="172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65" w:lineRule="exact"/>
        <w:rPr>
          <w:rFonts w:ascii="Arial" w:cs="Arial" w:eastAsia="Arial" w:hAnsi="Arial"/>
          <w:sz w:val="17"/>
          <w:szCs w:val="17"/>
          <w:color w:val="auto"/>
        </w:rPr>
      </w:pPr>
    </w:p>
    <w:p>
      <w:pPr>
        <w:jc w:val="both"/>
        <w:ind w:firstLine="1305"/>
        <w:spacing w:after="0" w:line="302" w:lineRule="auto"/>
        <w:tabs>
          <w:tab w:leader="none" w:pos="182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Each Loan Party (other than the Parent Borrower) hereby irrevocably appoints the Parent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Parent Borrower at the Parent Borrower’s address set forth in Section 9.01, and each such Loan Party hereby irrevocably authorizes and directs the Parent Borrower to accept such service on its behalf.</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9.16 </w:t>
      </w:r>
      <w:r>
        <w:rPr>
          <w:rFonts w:ascii="Arial" w:cs="Arial" w:eastAsia="Arial" w:hAnsi="Arial"/>
          <w:sz w:val="16"/>
          <w:szCs w:val="16"/>
          <w:b w:val="1"/>
          <w:bCs w:val="1"/>
          <w:i w:val="1"/>
          <w:iCs w:val="1"/>
          <w:color w:val="auto"/>
        </w:rPr>
        <w:t>Confidentiality</w:t>
      </w:r>
      <w:r>
        <w:rPr>
          <w:rFonts w:ascii="Arial" w:cs="Arial" w:eastAsia="Arial" w:hAnsi="Arial"/>
          <w:sz w:val="16"/>
          <w:szCs w:val="16"/>
          <w:color w:val="auto"/>
        </w:rPr>
        <w:t>. Each of the Agents, the Issuing Banks and the Lenders agrees to maintain, and cause their respective Affiliates to</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Parent Borrower or (h) to the extent such Information (x) becomes publicly available other than as a result of a breach of this Section or (y) becomes available to any Agent, any Issuing Bank or any Lender on a non-confidential basis from a source other than a Borrower. For purposes of this Section, “</w:t>
      </w:r>
      <w:r>
        <w:rPr>
          <w:rFonts w:ascii="Arial" w:cs="Arial" w:eastAsia="Arial" w:hAnsi="Arial"/>
          <w:sz w:val="16"/>
          <w:szCs w:val="16"/>
          <w:i w:val="1"/>
          <w:iCs w:val="1"/>
          <w:color w:val="auto"/>
        </w:rPr>
        <w:t>Information</w:t>
      </w:r>
      <w:r>
        <w:rPr>
          <w:rFonts w:ascii="Arial" w:cs="Arial" w:eastAsia="Arial" w:hAnsi="Arial"/>
          <w:sz w:val="16"/>
          <w:szCs w:val="16"/>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8" w:name="page269"/>
    <w:bookmarkEnd w:id="268"/>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9.17 </w:t>
      </w:r>
      <w:r>
        <w:rPr>
          <w:rFonts w:ascii="Arial" w:cs="Arial" w:eastAsia="Arial" w:hAnsi="Arial"/>
          <w:sz w:val="16"/>
          <w:szCs w:val="16"/>
          <w:b w:val="1"/>
          <w:bCs w:val="1"/>
          <w:i w:val="1"/>
          <w:iCs w:val="1"/>
          <w:color w:val="auto"/>
        </w:rPr>
        <w:t>Judgment Currency</w:t>
      </w:r>
      <w:r>
        <w:rPr>
          <w:rFonts w:ascii="Arial" w:cs="Arial" w:eastAsia="Arial" w:hAnsi="Arial"/>
          <w:sz w:val="16"/>
          <w:szCs w:val="16"/>
          <w:color w:val="auto"/>
        </w:rPr>
        <w:t>. (a) The obligations of the Borrowers and the other Loan Parties hereunder and under the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to make payments in U.S. dollars, Canadian dollars or Australian dollars (the “</w:t>
      </w:r>
      <w:r>
        <w:rPr>
          <w:rFonts w:ascii="Arial" w:cs="Arial" w:eastAsia="Arial" w:hAnsi="Arial"/>
          <w:sz w:val="16"/>
          <w:szCs w:val="16"/>
          <w:i w:val="1"/>
          <w:iCs w:val="1"/>
          <w:color w:val="auto"/>
        </w:rPr>
        <w:t>Obligation Currency</w:t>
      </w:r>
      <w:r>
        <w:rPr>
          <w:rFonts w:ascii="Arial" w:cs="Arial" w:eastAsia="Arial" w:hAnsi="Arial"/>
          <w:sz w:val="16"/>
          <w:szCs w:val="16"/>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Arial" w:cs="Arial" w:eastAsia="Arial" w:hAnsi="Arial"/>
          <w:sz w:val="16"/>
          <w:szCs w:val="16"/>
          <w:i w:val="1"/>
          <w:iCs w:val="1"/>
          <w:color w:val="auto"/>
        </w:rPr>
        <w:t>Judgment Currency</w:t>
      </w:r>
      <w:r>
        <w:rPr>
          <w:rFonts w:ascii="Arial" w:cs="Arial" w:eastAsia="Arial" w:hAnsi="Arial"/>
          <w:sz w:val="16"/>
          <w:szCs w:val="16"/>
          <w:color w:val="auto"/>
        </w:rPr>
        <w:t>”) an amount due in the Obligation Currency, the conversion shall be made at the Canadian Dollar Equivalent, U.S. 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Arial" w:cs="Arial" w:eastAsia="Arial" w:hAnsi="Arial"/>
          <w:sz w:val="16"/>
          <w:szCs w:val="16"/>
          <w:i w:val="1"/>
          <w:iCs w:val="1"/>
          <w:color w:val="auto"/>
        </w:rPr>
        <w:t>Judgment Currency Conversion Date</w:t>
      </w:r>
      <w:r>
        <w:rPr>
          <w:rFonts w:ascii="Arial" w:cs="Arial" w:eastAsia="Arial" w:hAnsi="Arial"/>
          <w:sz w:val="16"/>
          <w:szCs w:val="16"/>
          <w:color w:val="auto"/>
        </w:rPr>
        <w:t>”).</w:t>
      </w:r>
    </w:p>
    <w:p>
      <w:pPr>
        <w:spacing w:after="0" w:line="168" w:lineRule="exact"/>
        <w:rPr>
          <w:sz w:val="20"/>
          <w:szCs w:val="20"/>
          <w:color w:val="auto"/>
        </w:rPr>
      </w:pPr>
    </w:p>
    <w:p>
      <w:pPr>
        <w:jc w:val="both"/>
        <w:ind w:firstLine="1305"/>
        <w:spacing w:after="0" w:line="255" w:lineRule="auto"/>
        <w:tabs>
          <w:tab w:leader="none" w:pos="185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93" w:lineRule="exact"/>
        <w:rPr>
          <w:rFonts w:ascii="Arial" w:cs="Arial" w:eastAsia="Arial" w:hAnsi="Arial"/>
          <w:sz w:val="18"/>
          <w:szCs w:val="18"/>
          <w:color w:val="auto"/>
        </w:rPr>
      </w:pPr>
    </w:p>
    <w:p>
      <w:pPr>
        <w:ind w:firstLine="1305"/>
        <w:spacing w:after="0" w:line="308" w:lineRule="auto"/>
        <w:tabs>
          <w:tab w:leader="none" w:pos="184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9.18 </w:t>
      </w:r>
      <w:r>
        <w:rPr>
          <w:rFonts w:ascii="Arial" w:cs="Arial" w:eastAsia="Arial" w:hAnsi="Arial"/>
          <w:sz w:val="18"/>
          <w:szCs w:val="18"/>
          <w:b w:val="1"/>
          <w:bCs w:val="1"/>
          <w:i w:val="1"/>
          <w:iCs w:val="1"/>
          <w:color w:val="auto"/>
        </w:rPr>
        <w:t>Exculpation Provisions</w:t>
      </w:r>
      <w:r>
        <w:rPr>
          <w:rFonts w:ascii="Arial" w:cs="Arial" w:eastAsia="Arial" w:hAnsi="Arial"/>
          <w:sz w:val="18"/>
          <w:szCs w:val="18"/>
          <w:color w:val="auto"/>
        </w:rPr>
        <w:t>. EACH OF THE PARTIES HERETO SPECIFICALLY AGREES THAT IT HAS A DUTY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69" w:name="page270"/>
    <w:bookmarkEnd w:id="269"/>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9.19 </w:t>
      </w:r>
      <w:r>
        <w:rPr>
          <w:rFonts w:ascii="Arial" w:cs="Arial" w:eastAsia="Arial" w:hAnsi="Arial"/>
          <w:sz w:val="16"/>
          <w:szCs w:val="16"/>
          <w:b w:val="1"/>
          <w:bCs w:val="1"/>
          <w:i w:val="1"/>
          <w:iCs w:val="1"/>
          <w:color w:val="auto"/>
        </w:rPr>
        <w:t>Payments Set Aside</w:t>
      </w:r>
      <w:r>
        <w:rPr>
          <w:rFonts w:ascii="Arial" w:cs="Arial" w:eastAsia="Arial" w:hAnsi="Arial"/>
          <w:sz w:val="16"/>
          <w:szCs w:val="16"/>
          <w:color w:val="auto"/>
        </w:rPr>
        <w:t>. To the extent that any payment by or on behalf of any Loan Party is made to any Agent, Issuing Bank or</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w:t>
      </w:r>
    </w:p>
    <w:p>
      <w:pPr>
        <w:spacing w:after="0" w:line="3" w:lineRule="exact"/>
        <w:rPr>
          <w:sz w:val="20"/>
          <w:szCs w:val="20"/>
          <w:color w:val="auto"/>
        </w:rPr>
      </w:pPr>
    </w:p>
    <w:p>
      <w:pPr>
        <w:jc w:val="both"/>
        <w:ind w:firstLine="8"/>
        <w:spacing w:after="0" w:line="270" w:lineRule="auto"/>
        <w:tabs>
          <w:tab w:leader="none" w:pos="251"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 (b) of the preceding sentence shall survive the payment in full of the Obligations and the termination of this Agreement.</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9.20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and each other Loan Document, and the covenants and agreements set forth herein and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in 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9.21 </w:t>
      </w:r>
      <w:r>
        <w:rPr>
          <w:rFonts w:ascii="Arial" w:cs="Arial" w:eastAsia="Arial" w:hAnsi="Arial"/>
          <w:sz w:val="18"/>
          <w:szCs w:val="18"/>
          <w:b w:val="1"/>
          <w:bCs w:val="1"/>
          <w:i w:val="1"/>
          <w:iCs w:val="1"/>
          <w:color w:val="auto"/>
        </w:rPr>
        <w:t>Patriot Act Notice</w:t>
      </w:r>
      <w:r>
        <w:rPr>
          <w:rFonts w:ascii="Arial" w:cs="Arial" w:eastAsia="Arial" w:hAnsi="Arial"/>
          <w:sz w:val="18"/>
          <w:szCs w:val="18"/>
          <w:color w:val="auto"/>
        </w:rPr>
        <w:t>. Each Lender hereby notifies each Borrower that pursuant to the requirements of the USA Patriot Act (Title III</w:t>
      </w:r>
      <w:r>
        <w:rPr>
          <w:rFonts w:ascii="Arial" w:cs="Arial" w:eastAsia="Arial" w:hAnsi="Arial"/>
          <w:sz w:val="18"/>
          <w:szCs w:val="18"/>
          <w:b w:val="1"/>
          <w:bCs w:val="1"/>
          <w:color w:val="auto"/>
        </w:rPr>
        <w:t xml:space="preserve"> </w:t>
      </w:r>
      <w:r>
        <w:rPr>
          <w:rFonts w:ascii="Arial" w:cs="Arial" w:eastAsia="Arial" w:hAnsi="Arial"/>
          <w:sz w:val="18"/>
          <w:szCs w:val="18"/>
          <w:color w:val="auto"/>
        </w:rPr>
        <w:t>of Pub. L. 107-56 (signed into law October 26, 2001)) (the “</w:t>
      </w:r>
      <w:r>
        <w:rPr>
          <w:rFonts w:ascii="Arial" w:cs="Arial" w:eastAsia="Arial" w:hAnsi="Arial"/>
          <w:sz w:val="18"/>
          <w:szCs w:val="18"/>
          <w:i w:val="1"/>
          <w:iCs w:val="1"/>
          <w:color w:val="auto"/>
        </w:rPr>
        <w:t>Patriot Act</w:t>
      </w:r>
      <w:r>
        <w:rPr>
          <w:rFonts w:ascii="Arial" w:cs="Arial" w:eastAsia="Arial" w:hAnsi="Arial"/>
          <w:sz w:val="18"/>
          <w:szCs w:val="18"/>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0" w:name="page271"/>
    <w:bookmarkEnd w:id="270"/>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9.22</w:t>
      </w:r>
      <w:r>
        <w:rPr>
          <w:sz w:val="20"/>
          <w:szCs w:val="20"/>
          <w:color w:val="auto"/>
        </w:rPr>
        <w:tab/>
      </w:r>
      <w:r>
        <w:rPr>
          <w:rFonts w:ascii="Arial" w:cs="Arial" w:eastAsia="Arial" w:hAnsi="Arial"/>
          <w:sz w:val="16"/>
          <w:szCs w:val="16"/>
          <w:b w:val="1"/>
          <w:bCs w:val="1"/>
          <w:i w:val="1"/>
          <w:iCs w:val="1"/>
          <w:color w:val="auto"/>
        </w:rPr>
        <w:t>Public Offer</w:t>
      </w:r>
    </w:p>
    <w:p>
      <w:pPr>
        <w:spacing w:after="0" w:line="229" w:lineRule="exact"/>
        <w:rPr>
          <w:sz w:val="20"/>
          <w:szCs w:val="20"/>
          <w:color w:val="auto"/>
        </w:rPr>
      </w:pPr>
    </w:p>
    <w:p>
      <w:pPr>
        <w:ind w:firstLine="1305"/>
        <w:spacing w:after="0" w:line="277" w:lineRule="auto"/>
        <w:tabs>
          <w:tab w:leader="none" w:pos="189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Lead Arranger’s representations, warranties and undertakings</w:t>
      </w:r>
      <w:r>
        <w:rPr>
          <w:rFonts w:ascii="Arial" w:cs="Arial" w:eastAsia="Arial" w:hAnsi="Arial"/>
          <w:sz w:val="18"/>
          <w:szCs w:val="18"/>
          <w:color w:val="auto"/>
        </w:rPr>
        <w:t>. The Lead Arranger undertakes, represents and warrants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Australian Loan Parties as follows:</w:t>
      </w:r>
    </w:p>
    <w:p>
      <w:pPr>
        <w:spacing w:after="0" w:line="170" w:lineRule="exact"/>
        <w:rPr>
          <w:rFonts w:ascii="Arial" w:cs="Arial" w:eastAsia="Arial" w:hAnsi="Arial"/>
          <w:sz w:val="18"/>
          <w:szCs w:val="18"/>
          <w:color w:val="auto"/>
        </w:rPr>
      </w:pPr>
    </w:p>
    <w:p>
      <w:pPr>
        <w:jc w:val="both"/>
        <w:ind w:left="660" w:firstLine="1131"/>
        <w:spacing w:after="0" w:line="302" w:lineRule="auto"/>
        <w:tabs>
          <w:tab w:leader="none" w:pos="2242" w:val="left"/>
        </w:tabs>
        <w:numPr>
          <w:ilvl w:val="1"/>
          <w:numId w:val="330"/>
        </w:numPr>
        <w:rPr>
          <w:rFonts w:ascii="Arial" w:cs="Arial" w:eastAsia="Arial" w:hAnsi="Arial"/>
          <w:sz w:val="16"/>
          <w:szCs w:val="16"/>
          <w:color w:val="auto"/>
        </w:rPr>
      </w:pPr>
      <w:r>
        <w:rPr>
          <w:rFonts w:ascii="Arial" w:cs="Arial" w:eastAsia="Arial" w:hAnsi="Arial"/>
          <w:sz w:val="16"/>
          <w:szCs w:val="16"/>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54" w:lineRule="exact"/>
        <w:rPr>
          <w:rFonts w:ascii="Arial" w:cs="Arial" w:eastAsia="Arial" w:hAnsi="Arial"/>
          <w:sz w:val="16"/>
          <w:szCs w:val="16"/>
          <w:color w:val="auto"/>
        </w:rPr>
      </w:pPr>
    </w:p>
    <w:p>
      <w:pPr>
        <w:jc w:val="both"/>
        <w:ind w:left="660" w:firstLine="1131"/>
        <w:spacing w:after="0" w:line="286" w:lineRule="auto"/>
        <w:tabs>
          <w:tab w:leader="none" w:pos="2271" w:val="left"/>
        </w:tabs>
        <w:numPr>
          <w:ilvl w:val="1"/>
          <w:numId w:val="330"/>
        </w:numPr>
        <w:rPr>
          <w:rFonts w:ascii="Arial" w:cs="Arial" w:eastAsia="Arial" w:hAnsi="Arial"/>
          <w:sz w:val="17"/>
          <w:szCs w:val="17"/>
          <w:color w:val="auto"/>
        </w:rPr>
      </w:pPr>
      <w:r>
        <w:rPr>
          <w:rFonts w:ascii="Arial" w:cs="Arial" w:eastAsia="Arial" w:hAnsi="Arial"/>
          <w:sz w:val="17"/>
          <w:szCs w:val="17"/>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65" w:lineRule="exact"/>
        <w:rPr>
          <w:rFonts w:ascii="Arial" w:cs="Arial" w:eastAsia="Arial" w:hAnsi="Arial"/>
          <w:sz w:val="17"/>
          <w:szCs w:val="17"/>
          <w:color w:val="auto"/>
        </w:rPr>
      </w:pPr>
    </w:p>
    <w:p>
      <w:pPr>
        <w:ind w:left="660" w:firstLine="1131"/>
        <w:spacing w:after="0" w:line="342" w:lineRule="auto"/>
        <w:tabs>
          <w:tab w:leader="none" w:pos="2297" w:val="left"/>
        </w:tabs>
        <w:numPr>
          <w:ilvl w:val="1"/>
          <w:numId w:val="330"/>
        </w:numPr>
        <w:rPr>
          <w:rFonts w:ascii="Arial" w:cs="Arial" w:eastAsia="Arial" w:hAnsi="Arial"/>
          <w:sz w:val="16"/>
          <w:szCs w:val="16"/>
          <w:color w:val="auto"/>
        </w:rPr>
      </w:pPr>
      <w:r>
        <w:rPr>
          <w:rFonts w:ascii="Arial" w:cs="Arial" w:eastAsia="Arial" w:hAnsi="Arial"/>
          <w:sz w:val="16"/>
          <w:szCs w:val="16"/>
          <w:color w:val="auto"/>
        </w:rPr>
        <w:t>the Lead Arranger has not made and will not make offers or invitations referred to in paragraph (i) above to persons whom the relevant officers of the Lead Arranger involved in the transaction know or suspect are Offshore Associates of the Australian Loan Parties.</w:t>
      </w:r>
    </w:p>
    <w:p>
      <w:pPr>
        <w:spacing w:after="0" w:line="123" w:lineRule="exact"/>
        <w:rPr>
          <w:rFonts w:ascii="Arial" w:cs="Arial" w:eastAsia="Arial" w:hAnsi="Arial"/>
          <w:sz w:val="16"/>
          <w:szCs w:val="16"/>
          <w:color w:val="auto"/>
        </w:rPr>
      </w:pPr>
    </w:p>
    <w:p>
      <w:pPr>
        <w:jc w:val="both"/>
        <w:ind w:firstLine="1305"/>
        <w:spacing w:after="0" w:line="272" w:lineRule="auto"/>
        <w:tabs>
          <w:tab w:leader="none" w:pos="1728" w:val="left"/>
        </w:tabs>
        <w:numPr>
          <w:ilvl w:val="0"/>
          <w:numId w:val="330"/>
        </w:numPr>
        <w:rPr>
          <w:rFonts w:ascii="Arial" w:cs="Arial" w:eastAsia="Arial" w:hAnsi="Arial"/>
          <w:sz w:val="17"/>
          <w:szCs w:val="17"/>
          <w:color w:val="auto"/>
        </w:rPr>
      </w:pPr>
      <w:r>
        <w:rPr>
          <w:rFonts w:ascii="Arial" w:cs="Arial" w:eastAsia="Arial" w:hAnsi="Arial"/>
          <w:sz w:val="17"/>
          <w:szCs w:val="17"/>
          <w:i w:val="1"/>
          <w:iCs w:val="1"/>
          <w:color w:val="auto"/>
        </w:rPr>
        <w:t>Australian Loan Parties’ representations and warranties</w:t>
      </w:r>
      <w:r>
        <w:rPr>
          <w:rFonts w:ascii="Arial" w:cs="Arial" w:eastAsia="Arial" w:hAnsi="Arial"/>
          <w:sz w:val="17"/>
          <w:szCs w:val="17"/>
          <w:color w:val="auto"/>
        </w:rPr>
        <w:t>. The Australian Loan Parties represent and warrant that none of the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offerees whose names were disclosed to it by 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 (ii) 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w:t>
      </w:r>
    </w:p>
    <w:p>
      <w:pPr>
        <w:spacing w:after="0" w:line="177" w:lineRule="exact"/>
        <w:rPr>
          <w:rFonts w:ascii="Arial" w:cs="Arial" w:eastAsia="Arial" w:hAnsi="Arial"/>
          <w:sz w:val="17"/>
          <w:szCs w:val="17"/>
          <w:color w:val="auto"/>
        </w:rPr>
      </w:pPr>
    </w:p>
    <w:p>
      <w:pPr>
        <w:jc w:val="both"/>
        <w:ind w:firstLine="1305"/>
        <w:spacing w:after="0" w:line="286" w:lineRule="auto"/>
        <w:tabs>
          <w:tab w:leader="none" w:pos="1762" w:val="left"/>
        </w:tabs>
        <w:numPr>
          <w:ilvl w:val="0"/>
          <w:numId w:val="330"/>
        </w:numPr>
        <w:rPr>
          <w:rFonts w:ascii="Arial" w:cs="Arial" w:eastAsia="Arial" w:hAnsi="Arial"/>
          <w:sz w:val="17"/>
          <w:szCs w:val="17"/>
          <w:color w:val="auto"/>
        </w:rPr>
      </w:pPr>
      <w:r>
        <w:rPr>
          <w:rFonts w:ascii="Arial" w:cs="Arial" w:eastAsia="Arial" w:hAnsi="Arial"/>
          <w:sz w:val="17"/>
          <w:szCs w:val="17"/>
          <w:i w:val="1"/>
          <w:iCs w:val="1"/>
          <w:color w:val="auto"/>
        </w:rPr>
        <w:t>Lenders’ representations and warranties</w:t>
      </w:r>
      <w:r>
        <w:rPr>
          <w:rFonts w:ascii="Arial" w:cs="Arial" w:eastAsia="Arial" w:hAnsi="Arial"/>
          <w:sz w:val="17"/>
          <w:szCs w:val="17"/>
          <w:color w:val="auto"/>
        </w:rPr>
        <w:t>. Each Lender represents and warrants to the Australian Loan Parties that, if it received an</w:t>
      </w:r>
      <w:r>
        <w:rPr>
          <w:rFonts w:ascii="Arial" w:cs="Arial" w:eastAsia="Arial" w:hAnsi="Arial"/>
          <w:sz w:val="17"/>
          <w:szCs w:val="17"/>
          <w:i w:val="1"/>
          <w:iCs w:val="1"/>
          <w:color w:val="auto"/>
        </w:rPr>
        <w:t xml:space="preserve"> </w:t>
      </w:r>
      <w:r>
        <w:rPr>
          <w:rFonts w:ascii="Arial" w:cs="Arial" w:eastAsia="Arial" w:hAnsi="Arial"/>
          <w:sz w:val="17"/>
          <w:szCs w:val="17"/>
          <w:color w:val="auto"/>
        </w:rPr>
        <w:t>invitation under paragraph (a)(i) above, at the time it received the invitation it was not an Offshore Associate of the Australian Loan Parties and it was carrying on the business of providing finance, or investing or dealing in securities, in the course of operating in financial markets.</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758"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The Lead Arranger and each Lender will provide to the Australian Loan Parties when reasonably requested any factual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its possession or which it is 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71" w:name="page272"/>
    <w:bookmarkEnd w:id="271"/>
    <w:p>
      <w:pPr>
        <w:jc w:val="both"/>
        <w:ind w:firstLine="1305"/>
        <w:spacing w:after="0" w:line="257" w:lineRule="auto"/>
        <w:tabs>
          <w:tab w:leader="none" w:pos="1768"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Cooperation if s128F requirement not satisfied</w:t>
      </w:r>
      <w:r>
        <w:rPr>
          <w:rFonts w:ascii="Arial" w:cs="Arial" w:eastAsia="Arial" w:hAnsi="Arial"/>
          <w:sz w:val="18"/>
          <w:szCs w:val="18"/>
          <w:color w:val="auto"/>
        </w:rPr>
        <w:t>. If, for any reason, the requirements of section 128F of the Australian Tax Act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 been 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88" w:lineRule="exact"/>
        <w:rPr>
          <w:rFonts w:ascii="Arial" w:cs="Arial" w:eastAsia="Arial" w:hAnsi="Arial"/>
          <w:sz w:val="18"/>
          <w:szCs w:val="18"/>
          <w:color w:val="auto"/>
        </w:rPr>
      </w:pPr>
    </w:p>
    <w:p>
      <w:pPr>
        <w:ind w:firstLine="1305"/>
        <w:spacing w:after="0" w:line="277" w:lineRule="auto"/>
        <w:tabs>
          <w:tab w:leader="none" w:pos="1769"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Section 128F syndication statement</w:t>
      </w:r>
      <w:r>
        <w:rPr>
          <w:rFonts w:ascii="Arial" w:cs="Arial" w:eastAsia="Arial" w:hAnsi="Arial"/>
          <w:sz w:val="18"/>
          <w:szCs w:val="18"/>
          <w:color w:val="auto"/>
        </w:rPr>
        <w:t>. The parties agree that this Agreement is a “syndicated facility agreement” for the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128F(11)(a) of the Australian Tax Act.</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9.23 </w:t>
      </w:r>
      <w:r>
        <w:rPr>
          <w:rFonts w:ascii="Arial" w:cs="Arial" w:eastAsia="Arial" w:hAnsi="Arial"/>
          <w:sz w:val="16"/>
          <w:szCs w:val="16"/>
          <w:b w:val="1"/>
          <w:bCs w:val="1"/>
          <w:i w:val="1"/>
          <w:iCs w:val="1"/>
          <w:color w:val="auto"/>
        </w:rPr>
        <w:t>Keepwell</w:t>
      </w:r>
      <w:r>
        <w:rPr>
          <w:rFonts w:ascii="Arial" w:cs="Arial" w:eastAsia="Arial" w:hAnsi="Arial"/>
          <w:sz w:val="16"/>
          <w:szCs w:val="16"/>
          <w:color w:val="auto"/>
        </w:rPr>
        <w:t>. The Parent Borrower hereby absolutely, unconditionally and irrevocably undertakes to provide such funds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as may be needed from time to time by each Guarantor to honor all of its obligations under its Guarantee in respect of Swap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Parent Borrower shall only be liable under this Section 9.23 for the maximum amount of such liability that can be hereby incurred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rendering its obligations under this Section 9.23, or otherwise under this Agreement, voidable under applicable law relating to fraudulent conveyance or fraudulent transfer, and not for any greater amount). The obligations of the Parent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Applicable Administrative Agent and the Applicable Issuing Bank have been made). The Parent Borrower intends that this Section 9.23 constitute, and this Section 9.23 shall be deemed to constitute, a “keepwell, support, or other agreement” for the benefit of each Guarantor for all purposes of Section 1a(18)(A)(v)(II) of the Commodity Exchange Act.</w:t>
      </w:r>
    </w:p>
    <w:p>
      <w:pPr>
        <w:spacing w:after="0" w:line="16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9.24 </w:t>
      </w:r>
      <w:r>
        <w:rPr>
          <w:rFonts w:ascii="Arial" w:cs="Arial" w:eastAsia="Arial" w:hAnsi="Arial"/>
          <w:sz w:val="17"/>
          <w:szCs w:val="17"/>
          <w:b w:val="1"/>
          <w:bCs w:val="1"/>
          <w:i w:val="1"/>
          <w:iCs w:val="1"/>
          <w:color w:val="auto"/>
        </w:rPr>
        <w:t>Acknowledgement and Consent to Bail-In of EEA Financial Institutions</w:t>
      </w:r>
      <w:r>
        <w:rPr>
          <w:rFonts w:ascii="Arial" w:cs="Arial" w:eastAsia="Arial" w:hAnsi="Arial"/>
          <w:sz w:val="17"/>
          <w:szCs w:val="17"/>
          <w:color w:val="auto"/>
        </w:rPr>
        <w:t>. Notwithstanding anything to the contrary in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9" w:lineRule="exact"/>
        <w:rPr>
          <w:sz w:val="20"/>
          <w:szCs w:val="20"/>
          <w:color w:val="auto"/>
        </w:rPr>
      </w:pPr>
    </w:p>
    <w:p>
      <w:pPr>
        <w:ind w:firstLine="1305"/>
        <w:spacing w:after="0" w:line="277" w:lineRule="auto"/>
        <w:tabs>
          <w:tab w:leader="none" w:pos="175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80" w:hanging="389"/>
        <w:spacing w:after="0"/>
        <w:tabs>
          <w:tab w:leader="none" w:pos="21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1131"/>
        <w:spacing w:after="0" w:line="259" w:lineRule="auto"/>
        <w:tabs>
          <w:tab w:leader="none" w:pos="2374"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2" w:name="page273"/>
    <w:bookmarkEnd w:id="272"/>
    <w:p>
      <w:pPr>
        <w:ind w:left="660" w:firstLine="1131"/>
        <w:spacing w:after="0" w:line="277" w:lineRule="auto"/>
        <w:tabs>
          <w:tab w:leader="none" w:pos="235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9.25</w:t>
      </w:r>
      <w:r>
        <w:rPr>
          <w:sz w:val="20"/>
          <w:szCs w:val="20"/>
          <w:color w:val="auto"/>
        </w:rPr>
        <w:tab/>
      </w:r>
      <w:r>
        <w:rPr>
          <w:rFonts w:ascii="Arial" w:cs="Arial" w:eastAsia="Arial" w:hAnsi="Arial"/>
          <w:sz w:val="15"/>
          <w:szCs w:val="15"/>
          <w:b w:val="1"/>
          <w:bCs w:val="1"/>
          <w:i w:val="1"/>
          <w:iCs w:val="1"/>
          <w:color w:val="auto"/>
        </w:rPr>
        <w:t>Amendment and RestatementSection 9.26 .</w:t>
      </w:r>
    </w:p>
    <w:p>
      <w:pPr>
        <w:spacing w:after="0" w:line="229" w:lineRule="exact"/>
        <w:rPr>
          <w:sz w:val="20"/>
          <w:szCs w:val="20"/>
          <w:color w:val="auto"/>
        </w:rPr>
      </w:pPr>
    </w:p>
    <w:p>
      <w:pPr>
        <w:jc w:val="both"/>
        <w:ind w:firstLine="1305"/>
        <w:spacing w:after="0" w:line="285" w:lineRule="auto"/>
        <w:tabs>
          <w:tab w:leader="none" w:pos="1763" w:val="left"/>
        </w:tabs>
        <w:numPr>
          <w:ilvl w:val="0"/>
          <w:numId w:val="334"/>
        </w:numPr>
        <w:rPr>
          <w:rFonts w:ascii="Arial" w:cs="Arial" w:eastAsia="Arial" w:hAnsi="Arial"/>
          <w:sz w:val="16"/>
          <w:szCs w:val="16"/>
          <w:color w:val="auto"/>
        </w:rPr>
      </w:pPr>
      <w:r>
        <w:rPr>
          <w:rFonts w:ascii="Arial" w:cs="Arial" w:eastAsia="Arial" w:hAnsi="Arial"/>
          <w:sz w:val="16"/>
          <w:szCs w:val="16"/>
          <w:color w:val="auto"/>
        </w:rPr>
        <w:t>Effective as of the Closing Date, the Existing Credit Agreement shall be amended and restated in its entirety by this Agreement and the Existing Credit Agreement shall thereafter be of no further force and effect except to evidence the incurrence by the Borrowers of the “Obligations” under and as defined in the Existing Credit Agreement (whether or not such “Obligations” are contingent as of the Closing Date). The terms and conditions of this Agreement and the rights and remedies of the Agents and the Lenders under this Agreement and the other Loan Documents shall apply to all of the Obligations incurred under the Existing Credit Agreement. On and after the Closing Date, (i) all references to the Credit Agreement in the Loan Documents (other than this Agreement) shall be deemed to refer to this Agreement and (ii) all references to any section (or subsection) of the Existing Credit Agreement in any Loan Document (but not herein) shall be amended to become, mutatis mutandis, references to the corresponding provisions of this Agreement. The parties hereto acknowledge and agree that the Liens securing payment of the “Obligations” as defined in the Existing Loan Agreement, shall from and after the Closing Date secure the payment and performance of all Obligations for the benefit of the Collateral Agents and the Secured Parties, and all such Liens shall continue in full force and effect after giving effect to this Agreement and are hereby confirmed and reaffirmed by each of the Loan Parties. The parties hereto further acknowledge and agree that all “Security Documents” as defined in the Existing Credit Agreement shall remain in full force and effect after the Closing Date in favor of and for the benefit of the Collateral Agents and the Secured Parties (with each reference therein to the collateral agent, the credit agreement or a loan document being a reference to the Collateral Agent, this Agreement or the other Loan Documents, as applicable), and each Loan Party hereby confirms and ratifies its obligations thereunder. In furtherance of the foregoing, Collateral Agent is hereby appointed as Collateral Agent in connection with the foregoing, and shall be entitled to all of the benefits, rights, privileges and immunities hereunder and under the other Loan Documents with respect to the foregoing. This amendment and restatement is limited as written and is not a consent to any other amendment, restatement or waiver or other modification, whether or not similar and, except as expressly provided herein or in any other Loan Document, all terms and conditions of the Loan Documents remain in full force and effect unless otherwise specifically amended hereby or by any other Loan Document. This Agreement shall not constitute a novation of the Existing Credit Agreement or of any other Loan Document (as defined in the Existing Credit Agreement).</w:t>
      </w:r>
    </w:p>
    <w:p>
      <w:pPr>
        <w:spacing w:after="0" w:line="170" w:lineRule="exact"/>
        <w:rPr>
          <w:rFonts w:ascii="Arial" w:cs="Arial" w:eastAsia="Arial" w:hAnsi="Arial"/>
          <w:sz w:val="16"/>
          <w:szCs w:val="16"/>
          <w:color w:val="auto"/>
        </w:rPr>
      </w:pPr>
    </w:p>
    <w:p>
      <w:pPr>
        <w:jc w:val="both"/>
        <w:ind w:firstLine="1305"/>
        <w:spacing w:after="0" w:line="269" w:lineRule="auto"/>
        <w:tabs>
          <w:tab w:leader="none" w:pos="1803"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obligations of each Exiting Australian Lender under the Existing Credit Agreement are terminated and the Exiting Australian Lenders are released of their Australian Revolving Commitments (as defined in the Existing Credit Agreement) as of the Closing Date. Notwithstanding the foregoing or anything else herein to the contrary, the Agents, each Exiting Australian Lender, each other Lender and each of the Loan Parties acknowledges and agrees (i) if the Closing Date is not a Business Day with respect to Australian Revolving Credit Loans, then each Exiting Australian Lender will receive payment of its outstanding Australian Revolving Credit Loans on the first Business Day to occur after the Closing Date (which payment shall be a permitted non-ratable payment hereunder to such Exiting Australian Lenders), (ii) until such Exiting Australian Lender receives payment in full in an amount equal to its outstanding Australian Revolving Credit Loans and all unpaid interest and fees thereon, such Exiting Australian Lender’s Australian Revolving Credit Loans and all other Obligations related thereto shall continue to be Obligations guaranteed by the Guarantee Agreements and secured by the Security Documents to the extent applicable to Australian Revolving Credit Loans and the Exiting Australian Lenders shall continue to be Australian Secured Parties and (iii) failure to repay such Australian Revolving Credit Loans and all unpaid interest and fees thereon on the first Business Day to occur after the Closing Date shall be an immediate Event of Default.</w:t>
      </w:r>
    </w:p>
    <w:p>
      <w:pPr>
        <w:spacing w:after="0" w:line="179" w:lineRule="exact"/>
        <w:rPr>
          <w:sz w:val="20"/>
          <w:szCs w:val="20"/>
          <w:color w:val="auto"/>
        </w:rPr>
      </w:pPr>
    </w:p>
    <w:p>
      <w:pPr>
        <w:jc w:val="both"/>
        <w:ind w:left="660"/>
        <w:spacing w:after="0" w:line="314" w:lineRule="auto"/>
        <w:rPr>
          <w:sz w:val="20"/>
          <w:szCs w:val="20"/>
          <w:color w:val="auto"/>
        </w:rPr>
      </w:pPr>
      <w:r>
        <w:rPr>
          <w:rFonts w:ascii="Arial" w:cs="Arial" w:eastAsia="Arial" w:hAnsi="Arial"/>
          <w:sz w:val="16"/>
          <w:szCs w:val="16"/>
          <w:b w:val="1"/>
          <w:bCs w:val="1"/>
          <w:color w:val="auto"/>
        </w:rPr>
        <w:t xml:space="preserve">SECTION 9.26. </w:t>
      </w:r>
      <w:r>
        <w:rPr>
          <w:rFonts w:ascii="Arial" w:cs="Arial" w:eastAsia="Arial" w:hAnsi="Arial"/>
          <w:sz w:val="16"/>
          <w:szCs w:val="16"/>
          <w:b w:val="1"/>
          <w:bCs w:val="1"/>
          <w:i w:val="1"/>
          <w:iCs w:val="1"/>
          <w:u w:val="single" w:color="auto"/>
          <w:color w:val="auto"/>
        </w:rPr>
        <w:t>Ratification and Affirmation</w:t>
      </w:r>
      <w:r>
        <w:rPr>
          <w:rFonts w:ascii="Arial" w:cs="Arial" w:eastAsia="Arial" w:hAnsi="Arial"/>
          <w:sz w:val="16"/>
          <w:szCs w:val="16"/>
          <w:color w:val="auto"/>
        </w:rPr>
        <w:t>. Each of the Loan Parties hereby (a) acknowledges the terms of this Agreement and (b) ratifies and</w:t>
      </w:r>
      <w:r>
        <w:rPr>
          <w:rFonts w:ascii="Arial" w:cs="Arial" w:eastAsia="Arial" w:hAnsi="Arial"/>
          <w:sz w:val="16"/>
          <w:szCs w:val="16"/>
          <w:b w:val="1"/>
          <w:bCs w:val="1"/>
          <w:color w:val="auto"/>
        </w:rPr>
        <w:t xml:space="preserve"> </w:t>
      </w:r>
      <w:r>
        <w:rPr>
          <w:rFonts w:ascii="Arial" w:cs="Arial" w:eastAsia="Arial" w:hAnsi="Arial"/>
          <w:sz w:val="16"/>
          <w:szCs w:val="16"/>
          <w:color w:val="auto"/>
        </w:rPr>
        <w:t>affirms its obligations under, and acknowledges, renews and extends its continued liability under, each Loan Document to which it is a party and agrees that each Loan Document to which it is a party remains in full force and effect, except as expressly amended or modified hereby.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 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3" w:name="page274"/>
    <w:bookmarkEnd w:id="273"/>
    <w:p>
      <w:pPr>
        <w:ind w:left="66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Executive Vice President, Chief Financial Officer</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MANAGEMENT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Executive Vice President, Chief Financial Officer</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PTY LIMITED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Bradley J. Dodson</w:t>
      </w:r>
      <w:r>
        <w:rPr>
          <w:rFonts w:ascii="Arial" w:cs="Arial" w:eastAsia="Arial" w:hAnsi="Arial"/>
          <w:sz w:val="18"/>
          <w:szCs w:val="18"/>
          <w:color w:val="auto"/>
        </w:rPr>
        <w:t>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Director/Company Secretary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Frank C. Steininger</w:t>
      </w:r>
      <w:r>
        <w:rPr>
          <w:rFonts w:ascii="Arial" w:cs="Arial" w:eastAsia="Arial" w:hAnsi="Arial"/>
          <w:sz w:val="18"/>
          <w:szCs w:val="18"/>
          <w:color w:val="auto"/>
        </w:rPr>
        <w:t>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Director/Company Secretary</w:t>
      </w:r>
    </w:p>
    <w:p>
      <w:pPr>
        <w:spacing w:after="0" w:line="21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GUARANTORS: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OFFSHORE LLC</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Frank C. Steininger</w:t>
      </w:r>
      <w:r>
        <w:rPr>
          <w:rFonts w:ascii="Arial" w:cs="Arial" w:eastAsia="Arial" w:hAnsi="Arial"/>
          <w:sz w:val="17"/>
          <w:szCs w:val="17"/>
          <w:color w:val="auto"/>
        </w:rPr>
        <w:t>_________________</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USA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Frank C. Steininger</w:t>
      </w:r>
      <w:r>
        <w:rPr>
          <w:rFonts w:ascii="Arial" w:cs="Arial" w:eastAsia="Arial" w:hAnsi="Arial"/>
          <w:sz w:val="17"/>
          <w:szCs w:val="17"/>
          <w:color w:val="auto"/>
        </w:rPr>
        <w:t>_________________</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USA MANUFACTURING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Frank C. Steininger</w:t>
      </w:r>
      <w:r>
        <w:rPr>
          <w:rFonts w:ascii="Arial" w:cs="Arial" w:eastAsia="Arial" w:hAnsi="Arial"/>
          <w:sz w:val="17"/>
          <w:szCs w:val="17"/>
          <w:color w:val="auto"/>
        </w:rPr>
        <w:t>_________________</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CIVEO WATER AND WASTE WATER USA,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Frank C. Steininger</w:t>
      </w:r>
      <w:r>
        <w:rPr>
          <w:rFonts w:ascii="Arial" w:cs="Arial" w:eastAsia="Arial" w:hAnsi="Arial"/>
          <w:sz w:val="17"/>
          <w:szCs w:val="17"/>
          <w:color w:val="auto"/>
        </w:rPr>
        <w:t>_________________</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GP HOLDINGS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Frank C. Steininger</w:t>
      </w:r>
      <w:r>
        <w:rPr>
          <w:rFonts w:ascii="Arial" w:cs="Arial" w:eastAsia="Arial" w:hAnsi="Arial"/>
          <w:sz w:val="17"/>
          <w:szCs w:val="17"/>
          <w:color w:val="auto"/>
        </w:rPr>
        <w:t>_________________</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 and Director</w:t>
      </w:r>
    </w:p>
    <w:p>
      <w:pPr>
        <w:spacing w:after="0" w:line="21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275" w:name="page276"/>
    <w:bookmarkEnd w:id="275"/>
    <w:p>
      <w:pPr>
        <w:ind w:left="4520"/>
        <w:spacing w:after="0" w:line="308" w:lineRule="auto"/>
        <w:rPr>
          <w:sz w:val="20"/>
          <w:szCs w:val="20"/>
          <w:color w:val="auto"/>
        </w:rPr>
      </w:pPr>
      <w:r>
        <w:rPr>
          <w:rFonts w:ascii="Arial" w:cs="Arial" w:eastAsia="Arial" w:hAnsi="Arial"/>
          <w:sz w:val="17"/>
          <w:szCs w:val="17"/>
          <w:color w:val="auto"/>
        </w:rPr>
        <w:t>CIVEO CANADA OPERATIONS GP LTD., on behalf of and in its capacity as general partner of CIVEO CANADA LIMITED PARTNERSHIP</w:t>
      </w: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CIVEO CANADA OPERATIONS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CIVEO LODGE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CIVEO CANADA HOLDCO3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CIVEO LODGE GP LTD., on behalf of and in its capacity as general partner of CIVEO LODGE EMPLOYEES LIMITED PARTNERSHIP</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76" w:name="page277"/>
    <w:bookmarkEnd w:id="276"/>
    <w:p>
      <w:pPr>
        <w:ind w:left="4520"/>
        <w:spacing w:after="0"/>
        <w:rPr>
          <w:sz w:val="20"/>
          <w:szCs w:val="20"/>
          <w:color w:val="auto"/>
        </w:rPr>
      </w:pPr>
      <w:r>
        <w:rPr>
          <w:rFonts w:ascii="Arial" w:cs="Arial" w:eastAsia="Arial" w:hAnsi="Arial"/>
          <w:sz w:val="18"/>
          <w:szCs w:val="18"/>
          <w:color w:val="auto"/>
        </w:rPr>
        <w:t>STRUCTURES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Frank C. Steininger</w:t>
      </w:r>
      <w:r>
        <w:rPr>
          <w:rFonts w:ascii="Arial" w:cs="Arial" w:eastAsia="Arial" w:hAnsi="Arial"/>
          <w:sz w:val="16"/>
          <w:szCs w:val="16"/>
          <w:color w:val="auto"/>
        </w:rPr>
        <w:t>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WATER CANADA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Bradley J. Dodson</w:t>
      </w:r>
      <w:r>
        <w:rPr>
          <w:rFonts w:ascii="Arial" w:cs="Arial" w:eastAsia="Arial" w:hAnsi="Arial"/>
          <w:sz w:val="16"/>
          <w:szCs w:val="16"/>
          <w:color w:val="auto"/>
        </w:rPr>
        <w:t>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PACIFIC CATERING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Bradley J. Dodson</w:t>
      </w:r>
      <w:r>
        <w:rPr>
          <w:rFonts w:ascii="Arial" w:cs="Arial" w:eastAsia="Arial" w:hAnsi="Arial"/>
          <w:sz w:val="16"/>
          <w:szCs w:val="16"/>
          <w:color w:val="auto"/>
        </w:rPr>
        <w:t>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CANADA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Frank C. Steininger</w:t>
      </w:r>
      <w:r>
        <w:rPr>
          <w:rFonts w:ascii="Arial" w:cs="Arial" w:eastAsia="Arial" w:hAnsi="Arial"/>
          <w:sz w:val="16"/>
          <w:szCs w:val="16"/>
          <w:color w:val="auto"/>
        </w:rPr>
        <w:t>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PREMIUM SERVICES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Frank C. Steininger</w:t>
      </w:r>
      <w:r>
        <w:rPr>
          <w:rFonts w:ascii="Arial" w:cs="Arial" w:eastAsia="Arial" w:hAnsi="Arial"/>
          <w:sz w:val="16"/>
          <w:szCs w:val="16"/>
          <w:color w:val="auto"/>
        </w:rPr>
        <w:t>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NORTHERN METIS CATERING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Bradley J. Dodson</w:t>
      </w:r>
      <w:r>
        <w:rPr>
          <w:rFonts w:ascii="Arial" w:cs="Arial" w:eastAsia="Arial" w:hAnsi="Arial"/>
          <w:sz w:val="16"/>
          <w:szCs w:val="16"/>
          <w:color w:val="auto"/>
        </w:rPr>
        <w:t>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77" w:name="page278"/>
    <w:bookmarkEnd w:id="277"/>
    <w:p>
      <w:pPr>
        <w:ind w:left="4520"/>
        <w:spacing w:after="0"/>
        <w:rPr>
          <w:sz w:val="20"/>
          <w:szCs w:val="20"/>
          <w:color w:val="auto"/>
        </w:rPr>
      </w:pPr>
      <w:r>
        <w:rPr>
          <w:rFonts w:ascii="Arial" w:cs="Arial" w:eastAsia="Arial" w:hAnsi="Arial"/>
          <w:sz w:val="18"/>
          <w:szCs w:val="18"/>
          <w:color w:val="auto"/>
        </w:rPr>
        <w:t>BUFFALO METIS CATERING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INSTALLATIONS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CROWN SERVICES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 MCMURRAY LODGE SERVICES GP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00" w:lineRule="exact"/>
        <w:rPr>
          <w:sz w:val="20"/>
          <w:szCs w:val="20"/>
          <w:color w:val="auto"/>
        </w:rPr>
      </w:pPr>
    </w:p>
    <w:p>
      <w:pPr>
        <w:spacing w:after="0" w:line="227" w:lineRule="exact"/>
        <w:rPr>
          <w:sz w:val="20"/>
          <w:szCs w:val="20"/>
          <w:color w:val="auto"/>
        </w:rPr>
      </w:pPr>
    </w:p>
    <w:p>
      <w:pPr>
        <w:ind w:left="4520"/>
        <w:spacing w:after="0" w:line="308" w:lineRule="auto"/>
        <w:rPr>
          <w:sz w:val="20"/>
          <w:szCs w:val="20"/>
          <w:color w:val="auto"/>
        </w:rPr>
      </w:pPr>
      <w:r>
        <w:rPr>
          <w:rFonts w:ascii="Arial" w:cs="Arial" w:eastAsia="Arial" w:hAnsi="Arial"/>
          <w:sz w:val="17"/>
          <w:szCs w:val="17"/>
          <w:color w:val="auto"/>
        </w:rPr>
        <w:t>STRUCTURES GP LTD., on behalf of and in its capacity as general partner of CIVEO STRUCTURES EMPLOYEES LIMITED PARTNERSHIP</w:t>
      </w: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78" w:name="page279"/>
    <w:bookmarkEnd w:id="278"/>
    <w:p>
      <w:pPr>
        <w:jc w:val="both"/>
        <w:ind w:left="4520"/>
        <w:spacing w:after="0" w:line="264" w:lineRule="auto"/>
        <w:rPr>
          <w:sz w:val="20"/>
          <w:szCs w:val="20"/>
          <w:color w:val="auto"/>
        </w:rPr>
      </w:pPr>
      <w:r>
        <w:rPr>
          <w:rFonts w:ascii="Arial" w:cs="Arial" w:eastAsia="Arial" w:hAnsi="Arial"/>
          <w:sz w:val="18"/>
          <w:szCs w:val="18"/>
          <w:color w:val="auto"/>
        </w:rPr>
        <w:t>WATER CANADA GP LTD., on behalf of and in its capacity as general partner of CIVEO WATER CANADA EMPLOYEES LIMITED PARTNERSHIP</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00" w:lineRule="exact"/>
        <w:rPr>
          <w:sz w:val="20"/>
          <w:szCs w:val="20"/>
          <w:color w:val="auto"/>
        </w:rPr>
      </w:pPr>
    </w:p>
    <w:p>
      <w:pPr>
        <w:spacing w:after="0" w:line="227" w:lineRule="exact"/>
        <w:rPr>
          <w:sz w:val="20"/>
          <w:szCs w:val="20"/>
          <w:color w:val="auto"/>
        </w:rPr>
      </w:pPr>
    </w:p>
    <w:p>
      <w:pPr>
        <w:jc w:val="both"/>
        <w:ind w:left="4520"/>
        <w:spacing w:after="0" w:line="264" w:lineRule="auto"/>
        <w:rPr>
          <w:sz w:val="20"/>
          <w:szCs w:val="20"/>
          <w:color w:val="auto"/>
        </w:rPr>
      </w:pPr>
      <w:r>
        <w:rPr>
          <w:rFonts w:ascii="Arial" w:cs="Arial" w:eastAsia="Arial" w:hAnsi="Arial"/>
          <w:sz w:val="18"/>
          <w:szCs w:val="18"/>
          <w:color w:val="auto"/>
        </w:rPr>
        <w:t>PACIFIC CATERING GP LTD., on behalf of and in its capacity as general partner of CIVEO PACIFIC CATERING EMPLOYEES LIMITED PARTNERSHIP</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00" w:lineRule="exact"/>
        <w:rPr>
          <w:sz w:val="20"/>
          <w:szCs w:val="20"/>
          <w:color w:val="auto"/>
        </w:rPr>
      </w:pPr>
    </w:p>
    <w:p>
      <w:pPr>
        <w:spacing w:after="0" w:line="227" w:lineRule="exact"/>
        <w:rPr>
          <w:sz w:val="20"/>
          <w:szCs w:val="20"/>
          <w:color w:val="auto"/>
        </w:rPr>
      </w:pPr>
    </w:p>
    <w:p>
      <w:pPr>
        <w:jc w:val="both"/>
        <w:ind w:left="4520"/>
        <w:spacing w:after="0" w:line="264" w:lineRule="auto"/>
        <w:rPr>
          <w:sz w:val="20"/>
          <w:szCs w:val="20"/>
          <w:color w:val="auto"/>
        </w:rPr>
      </w:pPr>
      <w:r>
        <w:rPr>
          <w:rFonts w:ascii="Arial" w:cs="Arial" w:eastAsia="Arial" w:hAnsi="Arial"/>
          <w:sz w:val="18"/>
          <w:szCs w:val="18"/>
          <w:color w:val="auto"/>
        </w:rPr>
        <w:t>PREMIUM SERVICES GP LTD., on behalf of and in its capacity as general partner of CIVEO PREMIUM SERVICES EMPLOYEES LIMITED PARTNERSHIP</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jc w:val="both"/>
        <w:ind w:left="4520"/>
        <w:spacing w:after="0" w:line="264" w:lineRule="auto"/>
        <w:rPr>
          <w:sz w:val="20"/>
          <w:szCs w:val="20"/>
          <w:color w:val="auto"/>
        </w:rPr>
      </w:pPr>
      <w:r>
        <w:rPr>
          <w:rFonts w:ascii="Arial" w:cs="Arial" w:eastAsia="Arial" w:hAnsi="Arial"/>
          <w:sz w:val="18"/>
          <w:szCs w:val="18"/>
          <w:color w:val="auto"/>
        </w:rPr>
        <w:t>INSTALLATIONS GP LTD., on behalf of and in its capacity as general partner of CIVEO INSTALLATIONS EMPLOYEES LIMITED PARTNERSHIP</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jc w:val="both"/>
        <w:ind w:left="4520"/>
        <w:spacing w:after="0" w:line="264" w:lineRule="auto"/>
        <w:rPr>
          <w:sz w:val="20"/>
          <w:szCs w:val="20"/>
          <w:color w:val="auto"/>
        </w:rPr>
      </w:pPr>
      <w:r>
        <w:rPr>
          <w:rFonts w:ascii="Arial" w:cs="Arial" w:eastAsia="Arial" w:hAnsi="Arial"/>
          <w:sz w:val="18"/>
          <w:szCs w:val="18"/>
          <w:color w:val="auto"/>
        </w:rPr>
        <w:t>CROWN SERVICES GP LTD., on behalf of and in its capacity as general partner of CIVEO CROWN SERVICES EMPLOYEES LIMITED PARTNERSHIP</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79" w:name="page280"/>
    <w:bookmarkEnd w:id="279"/>
    <w:p>
      <w:pPr>
        <w:ind w:left="4520" w:right="20"/>
        <w:spacing w:after="0" w:line="277" w:lineRule="auto"/>
        <w:rPr>
          <w:sz w:val="20"/>
          <w:szCs w:val="20"/>
          <w:color w:val="auto"/>
        </w:rPr>
      </w:pPr>
      <w:r>
        <w:rPr>
          <w:rFonts w:ascii="Arial" w:cs="Arial" w:eastAsia="Arial" w:hAnsi="Arial"/>
          <w:sz w:val="18"/>
          <w:szCs w:val="18"/>
          <w:color w:val="auto"/>
        </w:rPr>
        <w:t>CANADA GP LTD., on behalf of and in its capacity as general partner of CIVEO CANADA EMPLOYEES LIMITED PARTNERSHIP</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27" w:lineRule="exact"/>
        <w:rPr>
          <w:sz w:val="20"/>
          <w:szCs w:val="20"/>
          <w:color w:val="auto"/>
        </w:rPr>
      </w:pPr>
    </w:p>
    <w:p>
      <w:pPr>
        <w:jc w:val="both"/>
        <w:ind w:left="4520"/>
        <w:spacing w:after="0" w:line="264" w:lineRule="auto"/>
        <w:rPr>
          <w:sz w:val="20"/>
          <w:szCs w:val="20"/>
          <w:color w:val="auto"/>
        </w:rPr>
      </w:pPr>
      <w:r>
        <w:rPr>
          <w:rFonts w:ascii="Arial" w:cs="Arial" w:eastAsia="Arial" w:hAnsi="Arial"/>
          <w:sz w:val="18"/>
          <w:szCs w:val="18"/>
          <w:color w:val="auto"/>
        </w:rPr>
        <w:t>FORT MCMURRAY LODGE SERVICES GP LTD., on behalf of and in its capacity as general partner of FORT MCMURRAY LODGE SERVICES LIMITED PARTNERSHIP</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and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CIVEO PROPERTY PTY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CIVEO LINEN PTY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r>
        <w:rPr>
          <w:rFonts w:ascii="Arial" w:cs="Arial" w:eastAsia="Arial" w:hAnsi="Arial"/>
          <w:sz w:val="18"/>
          <w:szCs w:val="18"/>
          <w:color w:val="auto"/>
        </w:rPr>
        <w:t>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 Dodson</w:t>
      </w:r>
      <w:r>
        <w:rPr>
          <w:rFonts w:ascii="Arial" w:cs="Arial" w:eastAsia="Arial" w:hAnsi="Arial"/>
          <w:sz w:val="18"/>
          <w:szCs w:val="18"/>
          <w:color w:val="auto"/>
        </w:rPr>
        <w:t>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80" w:name="page281"/>
    <w:bookmarkEnd w:id="280"/>
    <w:p>
      <w:pPr>
        <w:ind w:left="4520"/>
        <w:spacing w:after="0"/>
        <w:rPr>
          <w:sz w:val="20"/>
          <w:szCs w:val="20"/>
          <w:color w:val="auto"/>
        </w:rPr>
      </w:pPr>
      <w:r>
        <w:rPr>
          <w:rFonts w:ascii="Arial" w:cs="Arial" w:eastAsia="Arial" w:hAnsi="Arial"/>
          <w:sz w:val="18"/>
          <w:szCs w:val="18"/>
          <w:color w:val="auto"/>
        </w:rPr>
        <w:t>CIVEO HOLDING COMPANY 2 PTY LTD.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Frank C. Steininger</w:t>
      </w:r>
      <w:r>
        <w:rPr>
          <w:rFonts w:ascii="Arial" w:cs="Arial" w:eastAsia="Arial" w:hAnsi="Arial"/>
          <w:sz w:val="16"/>
          <w:szCs w:val="16"/>
          <w:color w:val="auto"/>
        </w:rPr>
        <w:t>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Bradley J. Dodson</w:t>
      </w:r>
      <w:r>
        <w:rPr>
          <w:rFonts w:ascii="Arial" w:cs="Arial" w:eastAsia="Arial" w:hAnsi="Arial"/>
          <w:sz w:val="16"/>
          <w:szCs w:val="16"/>
          <w:color w:val="auto"/>
        </w:rPr>
        <w:t>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81" w:name="page282"/>
    <w:bookmarkEnd w:id="281"/>
    <w:p>
      <w:pPr>
        <w:ind w:left="452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4520"/>
        <w:spacing w:after="0" w:line="261" w:lineRule="auto"/>
        <w:rPr>
          <w:sz w:val="20"/>
          <w:szCs w:val="20"/>
          <w:color w:val="auto"/>
        </w:rPr>
      </w:pPr>
      <w:r>
        <w:rPr>
          <w:rFonts w:ascii="Arial" w:cs="Arial" w:eastAsia="Arial" w:hAnsi="Arial"/>
          <w:sz w:val="18"/>
          <w:szCs w:val="18"/>
          <w:color w:val="auto"/>
        </w:rPr>
        <w:t>as Administrative Agent, U.S. Collateral Agent, Canadian Administrative Agent and Canadian Collateral Agent</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Ann Hurley</w:t>
      </w:r>
      <w:r>
        <w:rPr>
          <w:rFonts w:ascii="Arial" w:cs="Arial" w:eastAsia="Arial" w:hAnsi="Arial"/>
          <w:sz w:val="18"/>
          <w:szCs w:val="18"/>
          <w:color w:val="auto"/>
        </w:rPr>
        <w:t>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Ann Hurley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Manager,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20"/>
          </w:cols>
          <w:pgMar w:left="1440" w:top="584" w:right="639" w:bottom="1440" w:gutter="0" w:footer="0" w:header="0"/>
        </w:sectPr>
      </w:pPr>
    </w:p>
    <w:bookmarkStart w:id="282" w:name="page283"/>
    <w:bookmarkEnd w:id="282"/>
    <w:p>
      <w:pPr>
        <w:ind w:left="4520"/>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Australian Administrative Agent, Australian Collateral Agent and an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Issuing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Johnson Tse</w:t>
      </w:r>
      <w:r>
        <w:rPr>
          <w:rFonts w:ascii="Arial" w:cs="Arial" w:eastAsia="Arial" w:hAnsi="Arial"/>
          <w:sz w:val="18"/>
          <w:szCs w:val="18"/>
          <w:color w:val="auto"/>
        </w:rPr>
        <w:t>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Johnson Tse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80"/>
          </w:cols>
          <w:pgMar w:left="1440" w:top="585" w:right="779" w:bottom="1440" w:gutter="0" w:footer="0" w:header="0"/>
        </w:sectPr>
      </w:pPr>
    </w:p>
    <w:bookmarkStart w:id="283" w:name="page284"/>
    <w:bookmarkEnd w:id="283"/>
    <w:p>
      <w:pPr>
        <w:ind w:left="4520"/>
        <w:spacing w:after="0" w:line="277" w:lineRule="auto"/>
        <w:rPr>
          <w:sz w:val="20"/>
          <w:szCs w:val="20"/>
          <w:color w:val="auto"/>
        </w:rPr>
      </w:pPr>
      <w:r>
        <w:rPr>
          <w:rFonts w:ascii="Arial" w:cs="Arial" w:eastAsia="Arial" w:hAnsi="Arial"/>
          <w:sz w:val="18"/>
          <w:szCs w:val="18"/>
          <w:color w:val="auto"/>
        </w:rPr>
        <w:t>ROYAL BANK OF CANADA, as a U.S. Lender, the U.S. Swing Line Lender, an Issuing Bank and an Extending Lender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Jay T. Sartain</w:t>
      </w:r>
      <w:r>
        <w:rPr>
          <w:rFonts w:ascii="Arial" w:cs="Arial" w:eastAsia="Arial" w:hAnsi="Arial"/>
          <w:sz w:val="18"/>
          <w:szCs w:val="18"/>
          <w:color w:val="auto"/>
        </w:rPr>
        <w:t>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Jay T. Sartain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584" w:right="259" w:bottom="1440" w:gutter="0" w:footer="0" w:header="0"/>
        </w:sectPr>
      </w:pPr>
    </w:p>
    <w:bookmarkStart w:id="284" w:name="page285"/>
    <w:bookmarkEnd w:id="284"/>
    <w:p>
      <w:pPr>
        <w:ind w:left="4520"/>
        <w:spacing w:after="0" w:line="277" w:lineRule="auto"/>
        <w:rPr>
          <w:sz w:val="20"/>
          <w:szCs w:val="20"/>
          <w:color w:val="auto"/>
        </w:rPr>
      </w:pPr>
      <w:r>
        <w:rPr>
          <w:rFonts w:ascii="Arial" w:cs="Arial" w:eastAsia="Arial" w:hAnsi="Arial"/>
          <w:sz w:val="18"/>
          <w:szCs w:val="18"/>
          <w:color w:val="auto"/>
        </w:rPr>
        <w:t>ROYAL BANK OF CANADA, as a Canadian Lender, the Canadian Swing Line Lender, an Issuing Bank and an Extending Lender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Mike Gaudet</w:t>
      </w:r>
      <w:r>
        <w:rPr>
          <w:rFonts w:ascii="Arial" w:cs="Arial" w:eastAsia="Arial" w:hAnsi="Arial"/>
          <w:sz w:val="18"/>
          <w:szCs w:val="18"/>
          <w:color w:val="auto"/>
        </w:rPr>
        <w:t>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Mike Gaudet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40"/>
          </w:cols>
          <w:pgMar w:left="1440" w:top="585" w:right="519" w:bottom="1440" w:gutter="0" w:footer="0" w:header="0"/>
        </w:sectPr>
      </w:pPr>
    </w:p>
    <w:bookmarkStart w:id="285" w:name="page286"/>
    <w:bookmarkEnd w:id="285"/>
    <w:p>
      <w:pPr>
        <w:ind w:left="4520"/>
        <w:spacing w:after="0" w:line="277" w:lineRule="auto"/>
        <w:rPr>
          <w:sz w:val="20"/>
          <w:szCs w:val="20"/>
          <w:color w:val="auto"/>
        </w:rPr>
      </w:pPr>
      <w:r>
        <w:rPr>
          <w:rFonts w:ascii="Arial" w:cs="Arial" w:eastAsia="Arial" w:hAnsi="Arial"/>
          <w:sz w:val="18"/>
          <w:szCs w:val="18"/>
          <w:color w:val="auto"/>
        </w:rPr>
        <w:t>ROYAL BANK OF CANADA, as an Australian Lender, an Issuing Bank and an Extending Lender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Amy Promaine</w:t>
      </w:r>
      <w:r>
        <w:rPr>
          <w:rFonts w:ascii="Arial" w:cs="Arial" w:eastAsia="Arial" w:hAnsi="Arial"/>
          <w:sz w:val="18"/>
          <w:szCs w:val="18"/>
          <w:color w:val="auto"/>
        </w:rPr>
        <w:t>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Amy Promaine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t>THE BANK OF NOVA SCOTIA, as a Canadian Lender and an Issuing Bank</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Alan Dawson</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Alan Dawson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00"/>
          </w:cols>
          <w:pgMar w:left="1440" w:top="585" w:right="359" w:bottom="1440" w:gutter="0" w:footer="0" w:header="0"/>
        </w:sectPr>
      </w:pPr>
    </w:p>
    <w:bookmarkStart w:id="287" w:name="page288"/>
    <w:bookmarkEnd w:id="287"/>
    <w:p>
      <w:pPr>
        <w:ind w:left="4520"/>
        <w:spacing w:after="0"/>
        <w:rPr>
          <w:sz w:val="20"/>
          <w:szCs w:val="20"/>
          <w:color w:val="auto"/>
        </w:rPr>
      </w:pPr>
      <w:r>
        <w:rPr>
          <w:rFonts w:ascii="Arial" w:cs="Arial" w:eastAsia="Arial" w:hAnsi="Arial"/>
          <w:sz w:val="18"/>
          <w:szCs w:val="18"/>
          <w:color w:val="auto"/>
        </w:rPr>
        <w:t>BNS Asia Limited, as an Australian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Genevieve SOH</w:t>
      </w:r>
      <w:r>
        <w:rPr>
          <w:rFonts w:ascii="Arial" w:cs="Arial" w:eastAsia="Arial" w:hAnsi="Arial"/>
          <w:sz w:val="16"/>
          <w:szCs w:val="16"/>
          <w:color w:val="auto"/>
        </w:rPr>
        <w:t>________________________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Genevieve SOH</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 Credit Execution</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Corporate Banking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88" w:name="page289"/>
    <w:bookmarkEnd w:id="288"/>
    <w:p>
      <w:pPr>
        <w:ind w:left="4520"/>
        <w:spacing w:after="0"/>
        <w:rPr>
          <w:sz w:val="20"/>
          <w:szCs w:val="20"/>
          <w:color w:val="auto"/>
        </w:rPr>
      </w:pPr>
      <w:r>
        <w:rPr>
          <w:rFonts w:ascii="Arial" w:cs="Arial" w:eastAsia="Arial" w:hAnsi="Arial"/>
          <w:sz w:val="18"/>
          <w:szCs w:val="18"/>
          <w:color w:val="auto"/>
        </w:rPr>
        <w:t>HSBC Bank Canada, as a Canadian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John Cherian</w:t>
      </w:r>
      <w:r>
        <w:rPr>
          <w:rFonts w:ascii="Arial" w:cs="Arial" w:eastAsia="Arial" w:hAnsi="Arial"/>
          <w:sz w:val="17"/>
          <w:szCs w:val="17"/>
          <w:color w:val="auto"/>
        </w:rPr>
        <w:t>________________________</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Cherian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Assistant Vice President, Energy Financing</w:t>
      </w: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Bruce Robinson</w:t>
      </w:r>
      <w:r>
        <w:rPr>
          <w:rFonts w:ascii="Arial" w:cs="Arial" w:eastAsia="Arial" w:hAnsi="Arial"/>
          <w:sz w:val="16"/>
          <w:szCs w:val="16"/>
          <w:color w:val="auto"/>
        </w:rPr>
        <w:t>________________________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Bruce Robinson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Energy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sectPr>
      </w:pPr>
    </w:p>
    <w:bookmarkStart w:id="289" w:name="page290"/>
    <w:bookmarkEnd w:id="289"/>
    <w:p>
      <w:pPr>
        <w:ind w:left="4520"/>
        <w:spacing w:after="0" w:line="264" w:lineRule="auto"/>
        <w:rPr>
          <w:sz w:val="20"/>
          <w:szCs w:val="20"/>
          <w:color w:val="auto"/>
        </w:rPr>
      </w:pPr>
      <w:r>
        <w:rPr>
          <w:rFonts w:ascii="Arial" w:cs="Arial" w:eastAsia="Arial" w:hAnsi="Arial"/>
          <w:sz w:val="18"/>
          <w:szCs w:val="18"/>
          <w:color w:val="auto"/>
        </w:rPr>
        <w:t>For and on behalf of the Hongkong and Shanghai Banking Corporation Limited, Sydney Branch by its duly authorised attorney pursuant to a power of attorney in the presence of:</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Craig Greenwood</w:t>
      </w:r>
      <w:r>
        <w:rPr>
          <w:rFonts w:ascii="Arial" w:cs="Arial" w:eastAsia="Arial" w:hAnsi="Arial"/>
          <w:sz w:val="18"/>
          <w:szCs w:val="18"/>
          <w:color w:val="auto"/>
        </w:rPr>
        <w:t>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Craig Greenwood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Attorney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Swei Tang</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Swei Tang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584" w:right="279" w:bottom="1440" w:gutter="0" w:footer="0" w:header="0"/>
        </w:sectPr>
      </w:pPr>
    </w:p>
    <w:bookmarkStart w:id="290" w:name="page291"/>
    <w:bookmarkEnd w:id="290"/>
    <w:p>
      <w:pPr>
        <w:ind w:left="4520"/>
        <w:spacing w:after="0" w:line="277" w:lineRule="auto"/>
        <w:rPr>
          <w:sz w:val="20"/>
          <w:szCs w:val="20"/>
          <w:color w:val="auto"/>
        </w:rPr>
      </w:pPr>
      <w:r>
        <w:rPr>
          <w:rFonts w:ascii="Arial" w:cs="Arial" w:eastAsia="Arial" w:hAnsi="Arial"/>
          <w:sz w:val="18"/>
          <w:szCs w:val="18"/>
          <w:color w:val="auto"/>
        </w:rPr>
        <w:t>THE TORONTO-DOMINION BANK, as a Canadian Lender and an Issuing Bank</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Carolyn Ni</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Carolyn Ni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Sr. Analyst, Commercial National Accounts</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Curtis Neumann</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Curtis Neumann</w:t>
      </w:r>
    </w:p>
    <w:p>
      <w:pPr>
        <w:spacing w:after="0" w:line="9"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8"/>
          <w:szCs w:val="18"/>
          <w:color w:val="auto"/>
        </w:rPr>
        <w:t>Title:</w:t>
        <w:tab/>
        <w:t>Associate Vice President, Commercial National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40"/>
          </w:cols>
          <w:pgMar w:left="1440" w:top="584" w:right="419" w:bottom="1440" w:gutter="0" w:footer="0" w:header="0"/>
        </w:sectPr>
      </w:pPr>
    </w:p>
    <w:bookmarkStart w:id="291" w:name="page292"/>
    <w:bookmarkEnd w:id="291"/>
    <w:p>
      <w:pPr>
        <w:jc w:val="right"/>
        <w:ind w:right="239"/>
        <w:spacing w:after="0"/>
        <w:rPr>
          <w:sz w:val="20"/>
          <w:szCs w:val="20"/>
          <w:color w:val="auto"/>
        </w:rPr>
      </w:pPr>
      <w:r>
        <w:rPr>
          <w:rFonts w:ascii="Arial" w:cs="Arial" w:eastAsia="Arial" w:hAnsi="Arial"/>
          <w:sz w:val="18"/>
          <w:szCs w:val="18"/>
          <w:color w:val="auto"/>
        </w:rPr>
        <w:t>TORONTO-DOMINION (TEXAS) LLC, as a U.S.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Pradeep Mehra</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Pradeep Mehra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92" w:name="page293"/>
    <w:bookmarkEnd w:id="292"/>
    <w:p>
      <w:pPr>
        <w:ind w:left="4520"/>
        <w:spacing w:after="0" w:line="277" w:lineRule="auto"/>
        <w:rPr>
          <w:sz w:val="20"/>
          <w:szCs w:val="20"/>
          <w:color w:val="auto"/>
        </w:rPr>
      </w:pPr>
      <w:r>
        <w:rPr>
          <w:rFonts w:ascii="Arial" w:cs="Arial" w:eastAsia="Arial" w:hAnsi="Arial"/>
          <w:sz w:val="18"/>
          <w:szCs w:val="18"/>
          <w:color w:val="auto"/>
        </w:rPr>
        <w:t>NATIONAL BANK OF CANADA, as a Canadian Lender and an Australian Lender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Jason Anderson</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Jason Anderson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Energy Services</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Darrell Stelmack</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Darrell Stelmack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Energy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40"/>
          </w:cols>
          <w:pgMar w:left="1440" w:top="584" w:right="419" w:bottom="1440" w:gutter="0" w:footer="0" w:header="0"/>
        </w:sectPr>
      </w:pPr>
    </w:p>
    <w:bookmarkStart w:id="293" w:name="page294"/>
    <w:bookmarkEnd w:id="293"/>
    <w:p>
      <w:pPr>
        <w:ind w:left="4520"/>
        <w:spacing w:after="0"/>
        <w:rPr>
          <w:sz w:val="20"/>
          <w:szCs w:val="20"/>
          <w:color w:val="auto"/>
        </w:rPr>
      </w:pPr>
      <w:r>
        <w:rPr>
          <w:rFonts w:ascii="Arial" w:cs="Arial" w:eastAsia="Arial" w:hAnsi="Arial"/>
          <w:sz w:val="18"/>
          <w:szCs w:val="18"/>
          <w:color w:val="auto"/>
        </w:rPr>
        <w:t>ATB Financial, as a Canadian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Neil Ternovatsky</w:t>
      </w:r>
      <w:r>
        <w:rPr>
          <w:rFonts w:ascii="Arial" w:cs="Arial" w:eastAsia="Arial" w:hAnsi="Arial"/>
          <w:sz w:val="16"/>
          <w:szCs w:val="16"/>
          <w:color w:val="auto"/>
        </w:rPr>
        <w:t>________________________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Neil Ternovatsky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 Lam</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Jeff Lam</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t>Wells Fargo Bank N.A., Canadian Branch, as a Canadian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Dennis DaSilva</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Dennis DaSilva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180"/>
          </w:cols>
          <w:pgMar w:left="1440" w:top="584" w:right="1279" w:bottom="1440" w:gutter="0" w:footer="0" w:header="0"/>
        </w:sectPr>
      </w:pPr>
    </w:p>
    <w:bookmarkStart w:id="295" w:name="page296"/>
    <w:bookmarkEnd w:id="295"/>
    <w:p>
      <w:pPr>
        <w:ind w:left="4520"/>
        <w:spacing w:after="0" w:line="277" w:lineRule="auto"/>
        <w:rPr>
          <w:sz w:val="20"/>
          <w:szCs w:val="20"/>
          <w:color w:val="auto"/>
        </w:rPr>
      </w:pPr>
      <w:r>
        <w:rPr>
          <w:rFonts w:ascii="Arial" w:cs="Arial" w:eastAsia="Arial" w:hAnsi="Arial"/>
          <w:sz w:val="18"/>
          <w:szCs w:val="18"/>
          <w:color w:val="auto"/>
        </w:rPr>
        <w:t>WELLS FARGO BANK, NATIONAL ASSOCIATION, as an Australian Lender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Kristen Brockman</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Kristen Brockman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0"/>
          </w:cols>
          <w:pgMar w:left="1440" w:top="584" w:right="65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color w:val="auto"/>
        </w:rPr>
        <w:t>SUMIMOTO MITSUI BANKING CORPORATION, as a U.S.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Toshitake Funaki</w:t>
      </w:r>
      <w:r>
        <w:rPr>
          <w:rFonts w:ascii="Arial" w:cs="Arial" w:eastAsia="Arial" w:hAnsi="Arial"/>
          <w:sz w:val="18"/>
          <w:szCs w:val="18"/>
          <w:color w:val="auto"/>
        </w:rPr>
        <w:t>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Toshitake Funaki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20"/>
          </w:cols>
          <w:pgMar w:left="1440" w:top="585" w:right="839" w:bottom="1440" w:gutter="0" w:footer="0" w:header="0"/>
        </w:sectPr>
      </w:pPr>
    </w:p>
    <w:bookmarkStart w:id="297" w:name="page298"/>
    <w:bookmarkEnd w:id="297"/>
    <w:p>
      <w:pPr>
        <w:ind w:left="4520"/>
        <w:spacing w:after="0" w:line="277" w:lineRule="auto"/>
        <w:rPr>
          <w:sz w:val="20"/>
          <w:szCs w:val="20"/>
          <w:color w:val="auto"/>
        </w:rPr>
      </w:pPr>
      <w:r>
        <w:rPr>
          <w:rFonts w:ascii="Arial" w:cs="Arial" w:eastAsia="Arial" w:hAnsi="Arial"/>
          <w:sz w:val="18"/>
          <w:szCs w:val="18"/>
          <w:color w:val="auto"/>
        </w:rPr>
        <w:t>Sumimoto Mitsui Banking Corporation, Canada Branch as a Canadian Lender and an Issuing Bank</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Wingfelder</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Wingfelder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Joint General Manager &amp;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40"/>
          </w:cols>
          <w:pgMar w:left="1440" w:top="584" w:right="319" w:bottom="1440" w:gutter="0" w:footer="0" w:header="0"/>
        </w:sectPr>
      </w:pPr>
    </w:p>
    <w:bookmarkStart w:id="298" w:name="page299"/>
    <w:bookmarkEnd w:id="298"/>
    <w:p>
      <w:pPr>
        <w:ind w:left="4520"/>
        <w:spacing w:after="0"/>
        <w:rPr>
          <w:sz w:val="20"/>
          <w:szCs w:val="20"/>
          <w:color w:val="auto"/>
        </w:rPr>
      </w:pPr>
      <w:r>
        <w:rPr>
          <w:rFonts w:ascii="Arial" w:cs="Arial" w:eastAsia="Arial" w:hAnsi="Arial"/>
          <w:sz w:val="18"/>
          <w:szCs w:val="18"/>
          <w:color w:val="auto"/>
        </w:rPr>
        <w:t>Canadian Western Bank, as a Canadian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Brett Robertson</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Brett Robertson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Title: Senior Account Manager, Energy &amp; Corporate Banking</w:t>
      </w:r>
    </w:p>
    <w:p>
      <w:pPr>
        <w:spacing w:after="0" w:line="200" w:lineRule="exact"/>
        <w:rPr>
          <w:sz w:val="20"/>
          <w:szCs w:val="20"/>
          <w:color w:val="auto"/>
        </w:rPr>
      </w:pP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Erin Depoe</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Erin Depoe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AVP &amp; Manager, Energy &amp;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t>CCP Credit Acquisition Holdings LLC, as an Exiting Australian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Susanne V. Clark</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Susanne V. Clark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20"/>
          </w:cols>
          <w:pgMar w:left="1440" w:top="584" w:right="7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color w:val="auto"/>
        </w:rPr>
        <w:t>Compass Bank (d.b.a. BBVA Compass) as an Exiting Australian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Wisel</w:t>
      </w:r>
      <w:r>
        <w:rPr>
          <w:rFonts w:ascii="Arial" w:cs="Arial" w:eastAsia="Arial" w:hAnsi="Arial"/>
          <w:sz w:val="18"/>
          <w:szCs w:val="18"/>
          <w:color w:val="auto"/>
        </w:rPr>
        <w:t>________________________</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Kevin Wisel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Amended and Restated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20"/>
          </w:cols>
          <w:pgMar w:left="1440" w:top="585" w:right="7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U.S. dollars, except noted otherwise in parentheses)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Canadian</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Australian</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U.S. Revolving</w:t>
            </w:r>
          </w:p>
        </w:tc>
        <w:tc>
          <w:tcPr>
            <w:tcW w:w="260" w:type="dxa"/>
            <w:vAlign w:val="bottom"/>
          </w:tcPr>
          <w:p>
            <w:pPr>
              <w:spacing w:after="0"/>
              <w:rPr>
                <w:sz w:val="18"/>
                <w:szCs w:val="18"/>
                <w:color w:val="auto"/>
              </w:rPr>
            </w:pPr>
          </w:p>
        </w:tc>
        <w:tc>
          <w:tcPr>
            <w:tcW w:w="144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Revolving</w:t>
            </w:r>
          </w:p>
        </w:tc>
        <w:tc>
          <w:tcPr>
            <w:tcW w:w="260" w:type="dxa"/>
            <w:vAlign w:val="bottom"/>
          </w:tcPr>
          <w:p>
            <w:pPr>
              <w:spacing w:after="0"/>
              <w:rPr>
                <w:sz w:val="18"/>
                <w:szCs w:val="18"/>
                <w:color w:val="auto"/>
              </w:rPr>
            </w:pPr>
          </w:p>
        </w:tc>
        <w:tc>
          <w:tcPr>
            <w:tcW w:w="144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Revolving</w:t>
            </w:r>
          </w:p>
        </w:tc>
        <w:tc>
          <w:tcPr>
            <w:tcW w:w="200" w:type="dxa"/>
            <w:vAlign w:val="bottom"/>
          </w:tcPr>
          <w:p>
            <w:pPr>
              <w:spacing w:after="0"/>
              <w:rPr>
                <w:sz w:val="18"/>
                <w:szCs w:val="18"/>
                <w:color w:val="auto"/>
              </w:rPr>
            </w:pPr>
          </w:p>
        </w:tc>
        <w:tc>
          <w:tcPr>
            <w:tcW w:w="14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Canadian Term</w:t>
            </w:r>
          </w:p>
        </w:tc>
        <w:tc>
          <w:tcPr>
            <w:tcW w:w="220" w:type="dxa"/>
            <w:vAlign w:val="bottom"/>
          </w:tcPr>
          <w:p>
            <w:pPr>
              <w:spacing w:after="0"/>
              <w:rPr>
                <w:sz w:val="18"/>
                <w:szCs w:val="18"/>
                <w:color w:val="auto"/>
              </w:rPr>
            </w:pPr>
          </w:p>
        </w:tc>
        <w:tc>
          <w:tcPr>
            <w:tcW w:w="14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Commitments /</w:t>
            </w:r>
          </w:p>
        </w:tc>
        <w:tc>
          <w:tcPr>
            <w:tcW w:w="0" w:type="dxa"/>
            <w:vAlign w:val="bottom"/>
          </w:tcPr>
          <w:p>
            <w:pPr>
              <w:spacing w:after="0"/>
              <w:rPr>
                <w:sz w:val="1"/>
                <w:szCs w:val="1"/>
                <w:color w:val="auto"/>
              </w:rPr>
            </w:pPr>
          </w:p>
        </w:tc>
      </w:tr>
      <w:tr>
        <w:trPr>
          <w:trHeight w:val="234"/>
        </w:trPr>
        <w:tc>
          <w:tcPr>
            <w:tcW w:w="290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Bank</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Commitment</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Commitment</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Commitment</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Loans (C$)</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Loans</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Royal Bank of Canada</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10,155,236.80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10,776,450.02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10,438,596.70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102,261,373.31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110,642,665.93</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The Bank of Nova Scotia</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16,733,658.24</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81,989,742.14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80,291,597.88</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BNS Asia Limited</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10,438,596.70</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10,438,596.70</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HSBC Bank Canada</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22,500,000.00</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64,500,000.00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72,500,000.00</w:t>
            </w: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The Hong Kong and Shanghai</w:t>
            </w:r>
          </w:p>
        </w:tc>
        <w:tc>
          <w:tcPr>
            <w:tcW w:w="240" w:type="dxa"/>
            <w:vAlign w:val="bottom"/>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Banking Corporation Limited,</w:t>
            </w:r>
          </w:p>
        </w:tc>
        <w:tc>
          <w:tcPr>
            <w:tcW w:w="240" w:type="dxa"/>
            <w:vAlign w:val="bottom"/>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21,250,000.00</w:t>
            </w:r>
          </w:p>
        </w:tc>
        <w:tc>
          <w:tcPr>
            <w:tcW w:w="200" w:type="dxa"/>
            <w:vAlign w:val="bottom"/>
            <w:shd w:val="clear" w:color="auto" w:fill="CCEEFF"/>
          </w:tcPr>
          <w:p>
            <w:pPr>
              <w:spacing w:after="0"/>
              <w:rPr>
                <w:sz w:val="18"/>
                <w:szCs w:val="18"/>
                <w:color w:val="auto"/>
              </w:rPr>
            </w:pP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21,250,000.00</w:t>
            </w:r>
          </w:p>
        </w:tc>
        <w:tc>
          <w:tcPr>
            <w:tcW w:w="0" w:type="dxa"/>
            <w:vAlign w:val="bottom"/>
          </w:tcPr>
          <w:p>
            <w:pPr>
              <w:spacing w:after="0"/>
              <w:rPr>
                <w:sz w:val="1"/>
                <w:szCs w:val="1"/>
                <w:color w:val="auto"/>
              </w:rPr>
            </w:pPr>
          </w:p>
        </w:tc>
      </w:tr>
      <w:tr>
        <w:trPr>
          <w:trHeight w:val="230"/>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Sydney Branch</w:t>
            </w: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right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The Toronto-Dominion Bank</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14,003,190.24</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51,568,594.35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53,978,844.77</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Toronto-Dominion (Texas) LLC</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2,488,038.40</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2,488,038.40</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National Bank of Canada</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15,454,427.63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7,434,209.90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28,394,522.90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44,899,895.59</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ATB Financial</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16,942,712.43</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28,324,766.28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38,899,895.59</w:t>
            </w: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Wells Fargo Bank National</w:t>
            </w:r>
          </w:p>
        </w:tc>
        <w:tc>
          <w:tcPr>
            <w:tcW w:w="240" w:type="dxa"/>
            <w:vAlign w:val="bottom"/>
          </w:tcPr>
          <w:p>
            <w:pPr>
              <w:spacing w:after="0"/>
              <w:rPr>
                <w:sz w:val="16"/>
                <w:szCs w:val="16"/>
                <w:color w:val="auto"/>
              </w:rPr>
            </w:pPr>
          </w:p>
        </w:tc>
        <w:tc>
          <w:tcPr>
            <w:tcW w:w="15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15,689,665.44</w:t>
            </w:r>
          </w:p>
        </w:tc>
        <w:tc>
          <w:tcPr>
            <w:tcW w:w="260" w:type="dxa"/>
            <w:vAlign w:val="bottom"/>
          </w:tcPr>
          <w:p>
            <w:pPr>
              <w:spacing w:after="0"/>
              <w:rPr>
                <w:sz w:val="16"/>
                <w:szCs w:val="16"/>
                <w:color w:val="auto"/>
              </w:rPr>
            </w:pPr>
          </w:p>
        </w:tc>
        <w:tc>
          <w:tcPr>
            <w:tcW w:w="1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11,084,438.52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24,282,253.44</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Association, Canadian Branch</w:t>
            </w:r>
          </w:p>
        </w:tc>
        <w:tc>
          <w:tcPr>
            <w:tcW w:w="24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Wells Fargo Bank, National</w:t>
            </w:r>
          </w:p>
        </w:tc>
        <w:tc>
          <w:tcPr>
            <w:tcW w:w="240" w:type="dxa"/>
            <w:vAlign w:val="bottom"/>
            <w:shd w:val="clear" w:color="auto" w:fill="CCEEFF"/>
          </w:tcPr>
          <w:p>
            <w:pPr>
              <w:spacing w:after="0"/>
              <w:rPr>
                <w:sz w:val="16"/>
                <w:szCs w:val="16"/>
                <w:color w:val="auto"/>
              </w:rPr>
            </w:pPr>
          </w:p>
        </w:tc>
        <w:tc>
          <w:tcPr>
            <w:tcW w:w="150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4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10,438,596.70</w:t>
            </w:r>
          </w:p>
        </w:tc>
        <w:tc>
          <w:tcPr>
            <w:tcW w:w="20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10,438,596.70</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vMerge w:val="restart"/>
            <w:shd w:val="clear" w:color="auto" w:fill="CCEEFF"/>
          </w:tcPr>
          <w:p>
            <w:pPr>
              <w:ind w:left="140"/>
              <w:spacing w:after="0"/>
              <w:rPr>
                <w:sz w:val="20"/>
                <w:szCs w:val="20"/>
                <w:color w:val="auto"/>
              </w:rPr>
            </w:pPr>
            <w:r>
              <w:rPr>
                <w:rFonts w:ascii="Arial" w:cs="Arial" w:eastAsia="Arial" w:hAnsi="Arial"/>
                <w:sz w:val="18"/>
                <w:szCs w:val="18"/>
                <w:color w:val="auto"/>
              </w:rPr>
              <w:t>Association</w:t>
            </w:r>
          </w:p>
        </w:tc>
        <w:tc>
          <w:tcPr>
            <w:tcW w:w="240" w:type="dxa"/>
            <w:vAlign w:val="bottom"/>
            <w:shd w:val="clear" w:color="auto" w:fill="CCEEFF"/>
          </w:tcPr>
          <w:p>
            <w:pPr>
              <w:spacing w:after="0"/>
              <w:rPr>
                <w:sz w:val="10"/>
                <w:szCs w:val="10"/>
                <w:color w:val="auto"/>
              </w:rPr>
            </w:pPr>
          </w:p>
        </w:tc>
        <w:tc>
          <w:tcPr>
            <w:tcW w:w="1500" w:type="dxa"/>
            <w:vAlign w:val="bottom"/>
            <w:tcBorders>
              <w:right w:val="single" w:sz="8" w:color="auto"/>
            </w:tcBorders>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40" w:type="dxa"/>
            <w:vAlign w:val="bottom"/>
            <w:tcBorders>
              <w:right w:val="single" w:sz="8" w:color="auto"/>
            </w:tcBorders>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1440" w:type="dxa"/>
            <w:vAlign w:val="bottom"/>
            <w:tcBorders>
              <w:right w:val="single" w:sz="8" w:color="auto"/>
            </w:tcBorders>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tcBorders>
              <w:right w:val="single" w:sz="8" w:color="auto"/>
            </w:tcBorders>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48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right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440" w:type="dxa"/>
            <w:vAlign w:val="bottom"/>
            <w:tcBorders>
              <w:bottom w:val="single" w:sz="8" w:color="auto"/>
              <w:right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440" w:type="dxa"/>
            <w:vAlign w:val="bottom"/>
            <w:tcBorders>
              <w:bottom w:val="single" w:sz="8" w:color="auto"/>
              <w:right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480" w:type="dxa"/>
            <w:vAlign w:val="bottom"/>
            <w:tcBorders>
              <w:bottom w:val="single" w:sz="8" w:color="auto"/>
              <w:right w:val="single" w:sz="8" w:color="auto"/>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48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Sumitomo Mitsui Banking</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7,356,724.80</w:t>
            </w:r>
          </w:p>
        </w:tc>
        <w:tc>
          <w:tcPr>
            <w:tcW w:w="260" w:type="dxa"/>
            <w:vAlign w:val="bottom"/>
          </w:tcPr>
          <w:p>
            <w:pPr>
              <w:spacing w:after="0"/>
              <w:rPr>
                <w:sz w:val="16"/>
                <w:szCs w:val="16"/>
                <w:color w:val="auto"/>
              </w:rPr>
            </w:pPr>
          </w:p>
        </w:tc>
        <w:tc>
          <w:tcPr>
            <w:tcW w:w="14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7,356,724.80</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Corporation</w:t>
            </w:r>
          </w:p>
        </w:tc>
        <w:tc>
          <w:tcPr>
            <w:tcW w:w="240" w:type="dxa"/>
            <w:vAlign w:val="bottom"/>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Sumitomo Mitsui Banking</w:t>
            </w:r>
          </w:p>
        </w:tc>
        <w:tc>
          <w:tcPr>
            <w:tcW w:w="240" w:type="dxa"/>
            <w:vAlign w:val="bottom"/>
            <w:shd w:val="clear" w:color="auto" w:fill="CCEEFF"/>
          </w:tcPr>
          <w:p>
            <w:pPr>
              <w:spacing w:after="0"/>
              <w:rPr>
                <w:sz w:val="16"/>
                <w:szCs w:val="16"/>
                <w:color w:val="auto"/>
              </w:rPr>
            </w:pPr>
          </w:p>
        </w:tc>
        <w:tc>
          <w:tcPr>
            <w:tcW w:w="150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22,500,000.00</w:t>
            </w:r>
          </w:p>
        </w:tc>
        <w:tc>
          <w:tcPr>
            <w:tcW w:w="260" w:type="dxa"/>
            <w:vAlign w:val="bottom"/>
            <w:shd w:val="clear" w:color="auto" w:fill="CCEEFF"/>
          </w:tcPr>
          <w:p>
            <w:pPr>
              <w:spacing w:after="0"/>
              <w:rPr>
                <w:sz w:val="16"/>
                <w:szCs w:val="16"/>
                <w:color w:val="auto"/>
              </w:rPr>
            </w:pPr>
          </w:p>
        </w:tc>
        <w:tc>
          <w:tcPr>
            <w:tcW w:w="144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48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vMerge w:val="restart"/>
            <w:shd w:val="clear" w:color="auto" w:fill="CCEEFF"/>
          </w:tcPr>
          <w:p>
            <w:pPr>
              <w:ind w:left="140"/>
              <w:spacing w:after="0"/>
              <w:rPr>
                <w:sz w:val="20"/>
                <w:szCs w:val="20"/>
                <w:color w:val="auto"/>
              </w:rPr>
            </w:pPr>
            <w:r>
              <w:rPr>
                <w:rFonts w:ascii="Arial" w:cs="Arial" w:eastAsia="Arial" w:hAnsi="Arial"/>
                <w:sz w:val="18"/>
                <w:szCs w:val="18"/>
                <w:color w:val="auto"/>
              </w:rPr>
              <w:t>Corporation, Canada Branch</w:t>
            </w:r>
          </w:p>
        </w:tc>
        <w:tc>
          <w:tcPr>
            <w:tcW w:w="240" w:type="dxa"/>
            <w:vAlign w:val="bottom"/>
            <w:shd w:val="clear" w:color="auto" w:fill="CCEEFF"/>
          </w:tcPr>
          <w:p>
            <w:pPr>
              <w:spacing w:after="0"/>
              <w:rPr>
                <w:sz w:val="10"/>
                <w:szCs w:val="10"/>
                <w:color w:val="auto"/>
              </w:rPr>
            </w:pPr>
          </w:p>
        </w:tc>
        <w:tc>
          <w:tcPr>
            <w:tcW w:w="1500" w:type="dxa"/>
            <w:vAlign w:val="bottom"/>
            <w:tcBorders>
              <w:right w:val="single" w:sz="8" w:color="auto"/>
            </w:tcBorders>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1440" w:type="dxa"/>
            <w:vAlign w:val="bottom"/>
            <w:tcBorders>
              <w:right w:val="single" w:sz="8" w:color="auto"/>
            </w:tcBorders>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40" w:type="dxa"/>
            <w:vAlign w:val="bottom"/>
            <w:tcBorders>
              <w:right w:val="single" w:sz="8" w:color="auto"/>
            </w:tcBorders>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tcBorders>
              <w:right w:val="single" w:sz="8" w:color="auto"/>
            </w:tcBorders>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48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right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440" w:type="dxa"/>
            <w:vAlign w:val="bottom"/>
            <w:tcBorders>
              <w:bottom w:val="single" w:sz="8" w:color="auto"/>
              <w:right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440" w:type="dxa"/>
            <w:vAlign w:val="bottom"/>
            <w:tcBorders>
              <w:bottom w:val="single" w:sz="8" w:color="auto"/>
              <w:right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480" w:type="dxa"/>
            <w:vAlign w:val="bottom"/>
            <w:tcBorders>
              <w:bottom w:val="single" w:sz="8" w:color="auto"/>
              <w:right w:val="single" w:sz="8" w:color="auto"/>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48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Canadian Western Bank</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24,899,896.00</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24,899,896.00</w:t>
            </w:r>
          </w:p>
        </w:tc>
        <w:tc>
          <w:tcPr>
            <w:tcW w:w="0" w:type="dxa"/>
            <w:vAlign w:val="bottom"/>
          </w:tcPr>
          <w:p>
            <w:pPr>
              <w:spacing w:after="0"/>
              <w:rPr>
                <w:sz w:val="1"/>
                <w:szCs w:val="1"/>
                <w:color w:val="auto"/>
              </w:rPr>
            </w:pPr>
          </w:p>
        </w:tc>
      </w:tr>
      <w:tr>
        <w:trPr>
          <w:trHeight w:val="208"/>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20,000,000.00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159,500,000.00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60,000,000.00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368,123,437.50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524,867,005.81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-2865755</wp:posOffset>
            </wp:positionV>
            <wp:extent cx="7229475"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-2574290</wp:posOffset>
            </wp:positionV>
            <wp:extent cx="7229475"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-2007870</wp:posOffset>
            </wp:positionV>
            <wp:extent cx="7229475"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-1716405</wp:posOffset>
            </wp:positionV>
            <wp:extent cx="7229475"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-1424940</wp:posOffset>
            </wp:positionV>
            <wp:extent cx="7229475" cy="283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-859155</wp:posOffset>
            </wp:positionV>
            <wp:extent cx="7229475" cy="283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7229475" cy="146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02" w:name="page303"/>
    <w:bookmarkEnd w:id="302"/>
    <w:tbl>
      <w:tblPr>
        <w:tblLayout w:type="fixed"/>
        <w:tblInd w:w="1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380" w:type="dxa"/>
            <w:vAlign w:val="bottom"/>
            <w:gridSpan w:val="7"/>
          </w:tcPr>
          <w:p>
            <w:pPr>
              <w:jc w:val="center"/>
              <w:ind w:right="5040"/>
              <w:spacing w:after="0"/>
              <w:rPr>
                <w:sz w:val="20"/>
                <w:szCs w:val="20"/>
                <w:color w:val="auto"/>
              </w:rPr>
            </w:pPr>
            <w:r>
              <w:rPr>
                <w:rFonts w:ascii="Arial" w:cs="Arial" w:eastAsia="Arial" w:hAnsi="Arial"/>
                <w:sz w:val="18"/>
                <w:szCs w:val="18"/>
                <w:b w:val="1"/>
                <w:bCs w:val="1"/>
                <w:color w:val="auto"/>
                <w:w w:val="96"/>
              </w:rPr>
              <w:t>SCHEDULE 2.04</w:t>
            </w:r>
          </w:p>
        </w:tc>
      </w:tr>
      <w:tr>
        <w:trPr>
          <w:trHeight w:val="196"/>
        </w:trPr>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jc w:val="center"/>
              <w:ind w:right="160"/>
              <w:spacing w:after="0" w:line="196" w:lineRule="exact"/>
              <w:rPr>
                <w:sz w:val="20"/>
                <w:szCs w:val="20"/>
                <w:color w:val="auto"/>
              </w:rPr>
            </w:pPr>
            <w:r>
              <w:rPr>
                <w:rFonts w:ascii="Arial" w:cs="Arial" w:eastAsia="Arial" w:hAnsi="Arial"/>
                <w:sz w:val="18"/>
                <w:szCs w:val="18"/>
                <w:b w:val="1"/>
                <w:bCs w:val="1"/>
                <w:color w:val="auto"/>
                <w:w w:val="92"/>
              </w:rPr>
              <w:t>Amortization</w:t>
            </w:r>
          </w:p>
        </w:tc>
        <w:tc>
          <w:tcPr>
            <w:tcW w:w="5040" w:type="dxa"/>
            <w:vAlign w:val="bottom"/>
            <w:gridSpan w:val="3"/>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53"/>
        </w:trPr>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160" w:type="dxa"/>
            <w:vAlign w:val="bottom"/>
            <w:gridSpan w:val="8"/>
          </w:tcPr>
          <w:p>
            <w:pPr>
              <w:jc w:val="center"/>
              <w:ind w:right="4240"/>
              <w:spacing w:after="0"/>
              <w:rPr>
                <w:sz w:val="20"/>
                <w:szCs w:val="20"/>
                <w:color w:val="auto"/>
              </w:rPr>
            </w:pPr>
            <w:r>
              <w:rPr>
                <w:rFonts w:ascii="Arial" w:cs="Arial" w:eastAsia="Arial" w:hAnsi="Arial"/>
                <w:sz w:val="18"/>
                <w:szCs w:val="18"/>
                <w:i w:val="1"/>
                <w:iCs w:val="1"/>
                <w:color w:val="auto"/>
                <w:w w:val="89"/>
              </w:rPr>
              <w:t>Canadian Term Loans</w:t>
            </w:r>
          </w:p>
        </w:tc>
      </w:tr>
      <w:tr>
        <w:trPr>
          <w:trHeight w:val="213"/>
        </w:trPr>
        <w:tc>
          <w:tcPr>
            <w:tcW w:w="2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r>
      <w:tr>
        <w:trPr>
          <w:trHeight w:val="172"/>
        </w:trPr>
        <w:tc>
          <w:tcPr>
            <w:tcW w:w="4260" w:type="dxa"/>
            <w:vAlign w:val="bottom"/>
            <w:tcBorders>
              <w:left w:val="single" w:sz="8" w:color="auto"/>
            </w:tcBorders>
            <w:gridSpan w:val="3"/>
          </w:tcPr>
          <w:p>
            <w:pPr>
              <w:jc w:val="center"/>
              <w:ind w:left="1430"/>
              <w:spacing w:after="0" w:line="172" w:lineRule="exact"/>
              <w:rPr>
                <w:sz w:val="20"/>
                <w:szCs w:val="20"/>
                <w:color w:val="auto"/>
              </w:rPr>
            </w:pPr>
            <w:r>
              <w:rPr>
                <w:rFonts w:ascii="Arial" w:cs="Arial" w:eastAsia="Arial" w:hAnsi="Arial"/>
                <w:sz w:val="18"/>
                <w:szCs w:val="18"/>
                <w:color w:val="auto"/>
                <w:w w:val="89"/>
              </w:rPr>
              <w:t>Date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20" w:type="dxa"/>
            <w:vAlign w:val="bottom"/>
            <w:tcBorders>
              <w:right w:val="single" w:sz="8" w:color="auto"/>
            </w:tcBorders>
            <w:gridSpan w:val="2"/>
          </w:tcPr>
          <w:p>
            <w:pPr>
              <w:jc w:val="center"/>
              <w:ind w:right="2520"/>
              <w:spacing w:after="0" w:line="172" w:lineRule="exact"/>
              <w:rPr>
                <w:sz w:val="20"/>
                <w:szCs w:val="20"/>
                <w:color w:val="auto"/>
              </w:rPr>
            </w:pPr>
            <w:r>
              <w:rPr>
                <w:rFonts w:ascii="Arial" w:cs="Arial" w:eastAsia="Arial" w:hAnsi="Arial"/>
                <w:sz w:val="18"/>
                <w:szCs w:val="18"/>
                <w:color w:val="auto"/>
                <w:w w:val="96"/>
              </w:rPr>
              <w:t>Amount</w:t>
            </w:r>
          </w:p>
        </w:tc>
      </w:tr>
      <w:tr>
        <w:trPr>
          <w:trHeight w:val="21"/>
        </w:trPr>
        <w:tc>
          <w:tcPr>
            <w:tcW w:w="2720" w:type="dxa"/>
            <w:vAlign w:val="bottom"/>
            <w:tcBorders>
              <w:left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7"/>
              </w:rPr>
              <w:t>June 30, 2018</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8"/>
              </w:rPr>
              <w:t>September 30, 2018</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8"/>
              </w:rPr>
              <w:t>December 31, 2018</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92"/>
              </w:rPr>
              <w:t>March 31, 2019</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7"/>
              </w:rPr>
              <w:t>June 30, 2019</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8"/>
              </w:rPr>
              <w:t>September 30, 2019</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8"/>
              </w:rPr>
              <w:t>December 31, 2019</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92"/>
              </w:rPr>
              <w:t>March 31, 2020</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7"/>
              </w:rPr>
              <w:t>June 30, 2020</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10"/>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88"/>
              </w:rPr>
              <w:t>September 30, 2020</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r>
        <w:trPr>
          <w:trHeight w:val="206"/>
        </w:trPr>
        <w:tc>
          <w:tcPr>
            <w:tcW w:w="4260" w:type="dxa"/>
            <w:vAlign w:val="bottom"/>
            <w:tcBorders>
              <w:left w:val="single" w:sz="8" w:color="auto"/>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93"/>
              </w:rPr>
              <w:t>Maturity Date</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0"/>
              </w:rPr>
              <w:t>C$9,203,085.94</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2.04</w:t>
      </w: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7F5DD9"/>
    <w:multiLevelType w:val="hybridMultilevel"/>
    <w:lvl w:ilvl="0">
      <w:lvlJc w:val="left"/>
      <w:lvlText w:val="☐"/>
      <w:numFmt w:val="bullet"/>
      <w:start w:val="1"/>
    </w:lvl>
  </w:abstractNum>
  <w:abstractNum w:abstractNumId="1">
    <w:nsid w:val="2AE05A34"/>
    <w:multiLevelType w:val="hybridMultilevel"/>
    <w:lvl w:ilvl="0">
      <w:lvlJc w:val="left"/>
      <w:lvlText w:val="●"/>
      <w:numFmt w:val="bullet"/>
      <w:start w:val="1"/>
    </w:lvl>
  </w:abstractNum>
  <w:abstractNum w:abstractNumId="2">
    <w:nsid w:val="32794FF7"/>
    <w:multiLevelType w:val="hybridMultilevel"/>
    <w:lvl w:ilvl="0">
      <w:lvlJc w:val="left"/>
      <w:lvlText w:val="&amp;"/>
      <w:numFmt w:val="bullet"/>
      <w:start w:val="1"/>
    </w:lvl>
  </w:abstractNum>
  <w:abstractNum w:abstractNumId="3">
    <w:nsid w:val="5454945E"/>
    <w:multiLevelType w:val="hybridMultilevel"/>
    <w:lvl w:ilvl="0">
      <w:lvlJc w:val="left"/>
      <w:lvlText w:val="(%1)"/>
      <w:numFmt w:val="lowerLetter"/>
      <w:start w:val="1"/>
    </w:lvl>
  </w:abstractNum>
  <w:abstractNum w:abstractNumId="4">
    <w:nsid w:val="4DEFDFA0"/>
    <w:multiLevelType w:val="hybridMultilevel"/>
    <w:lvl w:ilvl="0">
      <w:lvlJc w:val="left"/>
      <w:lvlText w:val="(%1)"/>
      <w:numFmt w:val="lowerLetter"/>
      <w:start w:val="1"/>
    </w:lvl>
  </w:abstractNum>
  <w:abstractNum w:abstractNumId="5">
    <w:nsid w:val="2123D5F2"/>
    <w:multiLevelType w:val="hybridMultilevel"/>
    <w:lvl w:ilvl="0">
      <w:lvlJc w:val="left"/>
      <w:lvlText w:val="(%1)"/>
      <w:numFmt w:val="lowerLetter"/>
      <w:start w:val="1"/>
    </w:lvl>
    <w:lvl w:ilvl="1">
      <w:lvlJc w:val="left"/>
      <w:lvlText w:val="(%2)"/>
      <w:numFmt w:val="lowerRoman"/>
      <w:start w:val="1"/>
    </w:lvl>
  </w:abstractNum>
  <w:abstractNum w:abstractNumId="6">
    <w:nsid w:val="135B8110"/>
    <w:multiLevelType w:val="hybridMultilevel"/>
    <w:lvl w:ilvl="0">
      <w:lvlJc w:val="left"/>
      <w:lvlText w:val="(%1)"/>
      <w:numFmt w:val="lowerLetter"/>
      <w:start w:val="1"/>
    </w:lvl>
  </w:abstractNum>
  <w:abstractNum w:abstractNumId="7">
    <w:nsid w:val="94927A8"/>
    <w:multiLevelType w:val="hybridMultilevel"/>
    <w:lvl w:ilvl="0">
      <w:lvlJc w:val="left"/>
      <w:lvlText w:val="(%1)"/>
      <w:numFmt w:val="lowerLetter"/>
      <w:start w:val="1"/>
    </w:lvl>
  </w:abstractNum>
  <w:abstractNum w:abstractNumId="8">
    <w:nsid w:val="DCDF8F6"/>
    <w:multiLevelType w:val="hybridMultilevel"/>
    <w:lvl w:ilvl="0">
      <w:lvlJc w:val="left"/>
      <w:lvlText w:val="(%1)"/>
      <w:numFmt w:val="lowerLetter"/>
      <w:start w:val="1"/>
    </w:lvl>
  </w:abstractNum>
  <w:abstractNum w:abstractNumId="9">
    <w:nsid w:val="52D7B105"/>
    <w:multiLevelType w:val="hybridMultilevel"/>
    <w:lvl w:ilvl="0">
      <w:lvlJc w:val="left"/>
      <w:lvlText w:val="(%1)"/>
      <w:numFmt w:val="lowerLetter"/>
      <w:start w:val="1"/>
    </w:lvl>
  </w:abstractNum>
  <w:abstractNum w:abstractNumId="10">
    <w:nsid w:val="2E8A6394"/>
    <w:multiLevelType w:val="hybridMultilevel"/>
    <w:lvl w:ilvl="0">
      <w:lvlJc w:val="left"/>
      <w:lvlText w:val="(%1)"/>
      <w:numFmt w:val="lowerLetter"/>
      <w:start w:val="1"/>
    </w:lvl>
  </w:abstractNum>
  <w:abstractNum w:abstractNumId="11">
    <w:nsid w:val="24E60401"/>
    <w:multiLevelType w:val="hybridMultilevel"/>
    <w:lvl w:ilvl="0">
      <w:lvlJc w:val="left"/>
      <w:lvlText w:val="(%1)"/>
      <w:numFmt w:val="lowerLetter"/>
      <w:start w:val="1"/>
    </w:lvl>
    <w:lvl w:ilvl="1">
      <w:lvlJc w:val="left"/>
      <w:lvlText w:val="(%2)"/>
      <w:numFmt w:val="lowerRoman"/>
      <w:start w:val="1"/>
    </w:lvl>
  </w:abstractNum>
  <w:abstractNum w:abstractNumId="12">
    <w:nsid w:val="2A6AD9BE"/>
    <w:multiLevelType w:val="hybridMultilevel"/>
    <w:lvl w:ilvl="0">
      <w:lvlJc w:val="left"/>
      <w:lvlText w:val="(%1)"/>
      <w:numFmt w:val="lowerLetter"/>
      <w:start w:val="1"/>
    </w:lvl>
  </w:abstractNum>
  <w:abstractNum w:abstractNumId="13">
    <w:nsid w:val="BAAC1B4"/>
    <w:multiLevelType w:val="hybridMultilevel"/>
    <w:lvl w:ilvl="0">
      <w:lvlJc w:val="left"/>
      <w:lvlText w:val="(%1)"/>
      <w:numFmt w:val="lowerLetter"/>
      <w:start w:val="1"/>
    </w:lvl>
  </w:abstractNum>
  <w:abstractNum w:abstractNumId="14">
    <w:nsid w:val="36B2ACBC"/>
    <w:multiLevelType w:val="hybridMultilevel"/>
    <w:lvl w:ilvl="0">
      <w:lvlJc w:val="left"/>
      <w:lvlText w:val="(%1)"/>
      <w:numFmt w:val="lowerLetter"/>
      <w:start w:val="2"/>
    </w:lvl>
  </w:abstractNum>
  <w:abstractNum w:abstractNumId="15">
    <w:nsid w:val="779D85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
    <w:nsid w:val="4AB26E78"/>
    <w:multiLevelType w:val="hybridMultilevel"/>
    <w:lvl w:ilvl="0">
      <w:lvlJc w:val="left"/>
      <w:lvlText w:val="(%1)"/>
      <w:numFmt w:val="lowerLetter"/>
      <w:start w:val="1"/>
    </w:lvl>
  </w:abstractNum>
  <w:abstractNum w:abstractNumId="17">
    <w:nsid w:val="21FAA2FA"/>
    <w:multiLevelType w:val="hybridMultilevel"/>
    <w:lvl w:ilvl="0">
      <w:lvlJc w:val="left"/>
      <w:lvlText w:val="(%1)"/>
      <w:numFmt w:val="lowerLetter"/>
      <w:start w:val="1"/>
    </w:lvl>
  </w:abstractNum>
  <w:abstractNum w:abstractNumId="18">
    <w:nsid w:val="5451CF49"/>
    <w:multiLevelType w:val="hybridMultilevel"/>
    <w:lvl w:ilvl="0">
      <w:lvlJc w:val="left"/>
      <w:lvlText w:val="(%1)"/>
      <w:numFmt w:val="lowerLetter"/>
      <w:start w:val="1"/>
    </w:lvl>
  </w:abstractNum>
  <w:abstractNum w:abstractNumId="19">
    <w:nsid w:val="6181EF69"/>
    <w:multiLevelType w:val="hybridMultilevel"/>
    <w:lvl w:ilvl="0">
      <w:lvlJc w:val="left"/>
      <w:lvlText w:val="(%1)"/>
      <w:numFmt w:val="lowerLetter"/>
      <w:start w:val="1"/>
    </w:lvl>
  </w:abstractNum>
  <w:abstractNum w:abstractNumId="20">
    <w:nsid w:val="3E6400E6"/>
    <w:multiLevelType w:val="hybridMultilevel"/>
    <w:lvl w:ilvl="0">
      <w:lvlJc w:val="left"/>
      <w:lvlText w:val="(%1)"/>
      <w:numFmt w:val="lowerLetter"/>
      <w:start w:val="1"/>
    </w:lvl>
    <w:lvl w:ilvl="1">
      <w:lvlJc w:val="left"/>
      <w:lvlText w:val="(%2)"/>
      <w:numFmt w:val="lowerRoman"/>
      <w:start w:val="1"/>
    </w:lvl>
  </w:abstractNum>
  <w:abstractNum w:abstractNumId="21">
    <w:nsid w:val="14217E23"/>
    <w:multiLevelType w:val="hybridMultilevel"/>
    <w:lvl w:ilvl="0">
      <w:lvlJc w:val="left"/>
      <w:lvlText w:val="(%1)"/>
      <w:numFmt w:val="lowerRoman"/>
      <w:start w:val="2"/>
    </w:lvl>
    <w:lvl w:ilvl="1">
      <w:lvlJc w:val="left"/>
      <w:lvlText w:val="(%2)"/>
      <w:numFmt w:val="upperLetter"/>
      <w:start w:val="1"/>
    </w:lvl>
  </w:abstractNum>
  <w:abstractNum w:abstractNumId="22">
    <w:nsid w:val="710757D0"/>
    <w:multiLevelType w:val="hybridMultilevel"/>
    <w:lvl w:ilvl="0">
      <w:lvlJc w:val="left"/>
      <w:lvlText w:val="(%1)"/>
      <w:numFmt w:val="upperLetter"/>
      <w:start w:val="3"/>
    </w:lvl>
    <w:lvl w:ilvl="1">
      <w:lvlJc w:val="left"/>
      <w:lvlText w:val="(%2)"/>
      <w:numFmt w:val="lowerRoman"/>
      <w:start w:val="7"/>
    </w:lvl>
  </w:abstractNum>
  <w:abstractNum w:abstractNumId="23">
    <w:nsid w:val="5015CD1A"/>
    <w:multiLevelType w:val="hybridMultilevel"/>
    <w:lvl w:ilvl="0">
      <w:lvlJc w:val="left"/>
      <w:lvlText w:val="%1"/>
      <w:numFmt w:val="lowerLetter"/>
      <w:start w:val="1"/>
    </w:lvl>
    <w:lvl w:ilvl="1">
      <w:lvlJc w:val="left"/>
      <w:lvlText w:val="(%2)"/>
      <w:numFmt w:val="lowerRoman"/>
      <w:start w:val="4"/>
    </w:lvl>
  </w:abstractNum>
  <w:abstractNum w:abstractNumId="24">
    <w:nsid w:val="424479DA"/>
    <w:multiLevelType w:val="hybridMultilevel"/>
    <w:lvl w:ilvl="0">
      <w:lvlJc w:val="left"/>
      <w:lvlText w:val="(%1)"/>
      <w:numFmt w:val="lowerLetter"/>
      <w:start w:val="2"/>
    </w:lvl>
    <w:lvl w:ilvl="1">
      <w:lvlJc w:val="left"/>
      <w:lvlText w:val="(%2)"/>
      <w:numFmt w:val="lowerRoman"/>
      <w:start w:val="1"/>
    </w:lvl>
  </w:abstractNum>
  <w:abstractNum w:abstractNumId="25">
    <w:nsid w:val="1A9A9E69"/>
    <w:multiLevelType w:val="hybridMultilevel"/>
    <w:lvl w:ilvl="0">
      <w:lvlJc w:val="left"/>
      <w:lvlText w:val="(%1)"/>
      <w:numFmt w:val="lowerLetter"/>
      <w:start w:val="3"/>
    </w:lvl>
    <w:lvl w:ilvl="1">
      <w:lvlJc w:val="left"/>
      <w:lvlText w:val="(%2)"/>
      <w:numFmt w:val="lowerRoman"/>
      <w:start w:val="1"/>
    </w:lvl>
  </w:abstractNum>
  <w:abstractNum w:abstractNumId="26">
    <w:nsid w:val="475E256A"/>
    <w:multiLevelType w:val="hybridMultilevel"/>
    <w:lvl w:ilvl="0">
      <w:lvlJc w:val="left"/>
      <w:lvlText w:val="(%1)"/>
      <w:numFmt w:val="lowerLetter"/>
      <w:start w:val="1"/>
    </w:lvl>
    <w:lvl w:ilvl="1">
      <w:lvlJc w:val="left"/>
      <w:lvlText w:val="(%2)"/>
      <w:numFmt w:val="lowerRoman"/>
      <w:start w:val="1"/>
    </w:lvl>
  </w:abstractNum>
  <w:abstractNum w:abstractNumId="27">
    <w:nsid w:val="368DB37E"/>
    <w:multiLevelType w:val="hybridMultilevel"/>
    <w:lvl w:ilvl="0">
      <w:lvlJc w:val="left"/>
      <w:lvlText w:val="(%1)"/>
      <w:numFmt w:val="lowerRoman"/>
      <w:start w:val="6"/>
    </w:lvl>
  </w:abstractNum>
  <w:abstractNum w:abstractNumId="28">
    <w:nsid w:val="6A3B714C"/>
    <w:multiLevelType w:val="hybridMultilevel"/>
    <w:lvl w:ilvl="0">
      <w:lvlJc w:val="left"/>
      <w:lvlText w:val="(%1)"/>
      <w:numFmt w:val="lowerLetter"/>
      <w:start w:val="1"/>
    </w:lvl>
  </w:abstractNum>
  <w:abstractNum w:abstractNumId="29">
    <w:nsid w:val="327B517E"/>
    <w:multiLevelType w:val="hybridMultilevel"/>
    <w:lvl w:ilvl="0">
      <w:lvlJc w:val="left"/>
      <w:lvlText w:val="(%1)"/>
      <w:numFmt w:val="lowerLetter"/>
      <w:start w:val="1"/>
    </w:lvl>
  </w:abstractNum>
  <w:abstractNum w:abstractNumId="30">
    <w:nsid w:val="1F461B51"/>
    <w:multiLevelType w:val="hybridMultilevel"/>
    <w:lvl w:ilvl="0">
      <w:lvlJc w:val="left"/>
      <w:lvlText w:val="(%1)"/>
      <w:numFmt w:val="lowerLetter"/>
      <w:start w:val="1"/>
    </w:lvl>
  </w:abstractNum>
  <w:abstractNum w:abstractNumId="31">
    <w:nsid w:val="29BACF25"/>
    <w:multiLevelType w:val="hybridMultilevel"/>
    <w:lvl w:ilvl="0">
      <w:lvlJc w:val="left"/>
      <w:lvlText w:val="(%1)"/>
      <w:numFmt w:val="lowerLetter"/>
      <w:start w:val="1"/>
    </w:lvl>
  </w:abstractNum>
  <w:abstractNum w:abstractNumId="32">
    <w:nsid w:val="5D5BABB3"/>
    <w:multiLevelType w:val="hybridMultilevel"/>
    <w:lvl w:ilvl="0">
      <w:lvlJc w:val="left"/>
      <w:lvlText w:val="(%1)"/>
      <w:numFmt w:val="lowerLetter"/>
      <w:start w:val="1"/>
    </w:lvl>
  </w:abstractNum>
  <w:abstractNum w:abstractNumId="33">
    <w:nsid w:val="51BF6B48"/>
    <w:multiLevelType w:val="hybridMultilevel"/>
    <w:lvl w:ilvl="0">
      <w:lvlJc w:val="left"/>
      <w:lvlText w:val="(%1)"/>
      <w:numFmt w:val="lowerRoman"/>
      <w:start w:val="1"/>
    </w:lvl>
  </w:abstractNum>
  <w:abstractNum w:abstractNumId="34">
    <w:nsid w:val="7E0F6384"/>
    <w:multiLevelType w:val="hybridMultilevel"/>
    <w:lvl w:ilvl="0">
      <w:lvlJc w:val="left"/>
      <w:lvlText w:val="%1"/>
      <w:numFmt w:val="lowerLetter"/>
      <w:start w:val="1"/>
    </w:lvl>
    <w:lvl w:ilvl="1">
      <w:lvlJc w:val="left"/>
      <w:lvlText w:val="(%2)"/>
      <w:numFmt w:val="lowerLetter"/>
      <w:start w:val="35"/>
    </w:lvl>
  </w:abstractNum>
  <w:abstractNum w:abstractNumId="35">
    <w:nsid w:val="2B4B8B53"/>
    <w:multiLevelType w:val="hybridMultilevel"/>
    <w:lvl w:ilvl="0">
      <w:lvlJc w:val="left"/>
      <w:lvlText w:val="(%1)"/>
      <w:numFmt w:val="lowerLetter"/>
      <w:start w:val="2"/>
    </w:lvl>
    <w:lvl w:ilvl="1">
      <w:lvlJc w:val="left"/>
      <w:lvlText w:val="(%2)"/>
      <w:numFmt w:val="lowerLetter"/>
      <w:start w:val="9"/>
    </w:lvl>
  </w:abstractNum>
  <w:abstractNum w:abstractNumId="36">
    <w:nsid w:val="72E3413A"/>
    <w:multiLevelType w:val="hybridMultilevel"/>
    <w:lvl w:ilvl="0">
      <w:lvlJc w:val="left"/>
      <w:lvlText w:val="(%1)"/>
      <w:numFmt w:val="lowerRoman"/>
      <w:start w:val="2"/>
    </w:lvl>
  </w:abstractNum>
  <w:abstractNum w:abstractNumId="37">
    <w:nsid w:val="116AE494"/>
    <w:multiLevelType w:val="hybridMultilevel"/>
    <w:lvl w:ilvl="0">
      <w:lvlJc w:val="left"/>
      <w:lvlText w:val="(%1)"/>
      <w:numFmt w:val="lowerLetter"/>
      <w:start w:val="1"/>
    </w:lvl>
  </w:abstractNum>
  <w:abstractNum w:abstractNumId="38">
    <w:nsid w:val="3494B2FB"/>
    <w:multiLevelType w:val="hybridMultilevel"/>
    <w:lvl w:ilvl="0">
      <w:lvlJc w:val="left"/>
      <w:lvlText w:val="(%1)"/>
      <w:numFmt w:val="lowerLetter"/>
      <w:start w:val="1"/>
    </w:lvl>
  </w:abstractNum>
  <w:abstractNum w:abstractNumId="39">
    <w:nsid w:val="B13A31"/>
    <w:multiLevelType w:val="hybridMultilevel"/>
    <w:lvl w:ilvl="0">
      <w:lvlJc w:val="left"/>
      <w:lvlText w:val="(%1)"/>
      <w:numFmt w:val="lowerLetter"/>
      <w:start w:val="2"/>
    </w:lvl>
  </w:abstractNum>
  <w:abstractNum w:abstractNumId="40">
    <w:nsid w:val="64429599"/>
    <w:multiLevelType w:val="hybridMultilevel"/>
    <w:lvl w:ilvl="0">
      <w:lvlJc w:val="left"/>
      <w:lvlText w:val="(%1)"/>
      <w:numFmt w:val="lowerLetter"/>
      <w:start w:val="1"/>
    </w:lvl>
  </w:abstractNum>
  <w:abstractNum w:abstractNumId="41">
    <w:nsid w:val="631F1690"/>
    <w:multiLevelType w:val="hybridMultilevel"/>
    <w:lvl w:ilvl="0">
      <w:lvlJc w:val="left"/>
      <w:lvlText w:val="(%1)"/>
      <w:numFmt w:val="lowerLetter"/>
      <w:start w:val="1"/>
    </w:lvl>
  </w:abstractNum>
  <w:abstractNum w:abstractNumId="42">
    <w:nsid w:val="25973E32"/>
    <w:multiLevelType w:val="hybridMultilevel"/>
    <w:lvl w:ilvl="0">
      <w:lvlJc w:val="left"/>
      <w:lvlText w:val="(%1)"/>
      <w:numFmt w:val="lowerLetter"/>
      <w:start w:val="1"/>
    </w:lvl>
  </w:abstractNum>
  <w:abstractNum w:abstractNumId="43">
    <w:nsid w:val="EAD6F57"/>
    <w:multiLevelType w:val="hybridMultilevel"/>
    <w:lvl w:ilvl="0">
      <w:lvlJc w:val="left"/>
      <w:lvlText w:val="(%1)"/>
      <w:numFmt w:val="lowerLetter"/>
      <w:start w:val="2"/>
    </w:lvl>
  </w:abstractNum>
  <w:abstractNum w:abstractNumId="44">
    <w:nsid w:val="6EC9D844"/>
    <w:multiLevelType w:val="hybridMultilevel"/>
    <w:lvl w:ilvl="0">
      <w:lvlJc w:val="left"/>
      <w:lvlText w:val="(%1)"/>
      <w:numFmt w:val="lowerLetter"/>
      <w:start w:val="1"/>
    </w:lvl>
    <w:lvl w:ilvl="1">
      <w:lvlJc w:val="left"/>
      <w:lvlText w:val="(%2)"/>
      <w:numFmt w:val="lowerRoman"/>
      <w:start w:val="1"/>
    </w:lvl>
  </w:abstractNum>
  <w:abstractNum w:abstractNumId="45">
    <w:nsid w:val="5C49EAEE"/>
    <w:multiLevelType w:val="hybridMultilevel"/>
    <w:lvl w:ilvl="0">
      <w:lvlJc w:val="left"/>
      <w:lvlText w:val="(%1)"/>
      <w:numFmt w:val="lowerLetter"/>
      <w:start w:val="1"/>
    </w:lvl>
  </w:abstractNum>
  <w:abstractNum w:abstractNumId="46">
    <w:nsid w:val="64AF49B"/>
    <w:multiLevelType w:val="hybridMultilevel"/>
    <w:lvl w:ilvl="0">
      <w:lvlJc w:val="left"/>
      <w:lvlText w:val="(%1)"/>
      <w:numFmt w:val="lowerLetter"/>
      <w:start w:val="1"/>
    </w:lvl>
  </w:abstractNum>
  <w:abstractNum w:abstractNumId="47">
    <w:nsid w:val="397C46BC"/>
    <w:multiLevelType w:val="hybridMultilevel"/>
    <w:lvl w:ilvl="0">
      <w:lvlJc w:val="left"/>
      <w:lvlText w:val="(%1)"/>
      <w:numFmt w:val="lowerRoman"/>
      <w:start w:val="1"/>
    </w:lvl>
  </w:abstractNum>
  <w:abstractNum w:abstractNumId="48">
    <w:nsid w:val="7E448DE9"/>
    <w:multiLevelType w:val="hybridMultilevel"/>
    <w:lvl w:ilvl="0">
      <w:lvlJc w:val="left"/>
      <w:lvlText w:val="(%1)"/>
      <w:numFmt w:val="lowerLetter"/>
      <w:start w:val="1"/>
    </w:lvl>
  </w:abstractNum>
  <w:abstractNum w:abstractNumId="49">
    <w:nsid w:val="5A9CC3E5"/>
    <w:multiLevelType w:val="hybridMultilevel"/>
    <w:lvl w:ilvl="0">
      <w:lvlJc w:val="left"/>
      <w:lvlText w:val="(%1)"/>
      <w:numFmt w:val="lowerLetter"/>
      <w:start w:val="1"/>
    </w:lvl>
  </w:abstractNum>
  <w:abstractNum w:abstractNumId="50">
    <w:nsid w:val="1AFE3625"/>
    <w:multiLevelType w:val="hybridMultilevel"/>
    <w:lvl w:ilvl="0">
      <w:lvlJc w:val="left"/>
      <w:lvlText w:val="(%1)"/>
      <w:numFmt w:val="lowerLetter"/>
      <w:start w:val="1"/>
    </w:lvl>
  </w:abstractNum>
  <w:abstractNum w:abstractNumId="51">
    <w:nsid w:val="3CA88ECF"/>
    <w:multiLevelType w:val="hybridMultilevel"/>
    <w:lvl w:ilvl="0">
      <w:lvlJc w:val="left"/>
      <w:lvlText w:val="(%1)"/>
      <w:numFmt w:val="lowerLetter"/>
      <w:start w:val="1"/>
    </w:lvl>
  </w:abstractNum>
  <w:abstractNum w:abstractNumId="52">
    <w:nsid w:val="6EBE4208"/>
    <w:multiLevelType w:val="hybridMultilevel"/>
    <w:lvl w:ilvl="0">
      <w:lvlJc w:val="left"/>
      <w:lvlText w:val="(%1)"/>
      <w:numFmt w:val="lowerLetter"/>
      <w:start w:val="1"/>
    </w:lvl>
    <w:lvl w:ilvl="1">
      <w:lvlJc w:val="left"/>
      <w:lvlText w:val="(%2)"/>
      <w:numFmt w:val="lowerRoman"/>
      <w:start w:val="1"/>
    </w:lvl>
  </w:abstractNum>
  <w:abstractNum w:abstractNumId="53">
    <w:nsid w:val="C058DF5"/>
    <w:multiLevelType w:val="hybridMultilevel"/>
    <w:lvl w:ilvl="0">
      <w:lvlJc w:val="left"/>
      <w:lvlText w:val="(%1)"/>
      <w:numFmt w:val="lowerLetter"/>
      <w:start w:val="1"/>
    </w:lvl>
  </w:abstractNum>
  <w:abstractNum w:abstractNumId="54">
    <w:nsid w:val="CBE5BE9"/>
    <w:multiLevelType w:val="hybridMultilevel"/>
    <w:lvl w:ilvl="0">
      <w:lvlJc w:val="left"/>
      <w:lvlText w:val="(%1)"/>
      <w:numFmt w:val="lowerLetter"/>
      <w:start w:val="1"/>
    </w:lvl>
  </w:abstractNum>
  <w:abstractNum w:abstractNumId="55">
    <w:nsid w:val="3102BBE2"/>
    <w:multiLevelType w:val="hybridMultilevel"/>
    <w:lvl w:ilvl="0">
      <w:lvlJc w:val="left"/>
      <w:lvlText w:val="(%1)"/>
      <w:numFmt w:val="lowerLetter"/>
      <w:start w:val="1"/>
    </w:lvl>
  </w:abstractNum>
  <w:abstractNum w:abstractNumId="56">
    <w:nsid w:val="26A02C5E"/>
    <w:multiLevelType w:val="hybridMultilevel"/>
    <w:lvl w:ilvl="0">
      <w:lvlJc w:val="left"/>
      <w:lvlText w:val="(%1)"/>
      <w:numFmt w:val="lowerLetter"/>
      <w:start w:val="1"/>
    </w:lvl>
  </w:abstractNum>
  <w:abstractNum w:abstractNumId="57">
    <w:nsid w:val="541C8153"/>
    <w:multiLevelType w:val="hybridMultilevel"/>
    <w:lvl w:ilvl="0">
      <w:lvlJc w:val="left"/>
      <w:lvlText w:val="(%1)"/>
      <w:numFmt w:val="lowerLetter"/>
      <w:start w:val="1"/>
    </w:lvl>
  </w:abstractNum>
  <w:abstractNum w:abstractNumId="58">
    <w:nsid w:val="67906F60"/>
    <w:multiLevelType w:val="hybridMultilevel"/>
    <w:lvl w:ilvl="0">
      <w:lvlJc w:val="left"/>
      <w:lvlText w:val="(%1)"/>
      <w:numFmt w:val="lowerLetter"/>
      <w:start w:val="1"/>
    </w:lvl>
  </w:abstractNum>
  <w:abstractNum w:abstractNumId="59">
    <w:nsid w:val="10DB9DAA"/>
    <w:multiLevelType w:val="hybridMultilevel"/>
    <w:lvl w:ilvl="0">
      <w:lvlJc w:val="left"/>
      <w:lvlText w:val="(%1)"/>
      <w:numFmt w:val="lowerLetter"/>
      <w:start w:val="1"/>
    </w:lvl>
    <w:lvl w:ilvl="1">
      <w:lvlJc w:val="left"/>
      <w:lvlText w:val="(%2)"/>
      <w:numFmt w:val="lowerRoman"/>
      <w:start w:val="1"/>
    </w:lvl>
  </w:abstractNum>
  <w:abstractNum w:abstractNumId="60">
    <w:nsid w:val="697D2D2"/>
    <w:multiLevelType w:val="hybridMultilevel"/>
    <w:lvl w:ilvl="0">
      <w:lvlJc w:val="left"/>
      <w:lvlText w:val="%1"/>
      <w:numFmt w:val="lowerLetter"/>
      <w:start w:val="1"/>
    </w:lvl>
    <w:lvl w:ilvl="1">
      <w:lvlJc w:val="left"/>
      <w:lvlText w:val="(%2)"/>
      <w:numFmt w:val="lowerRoman"/>
      <w:start w:val="2"/>
    </w:lvl>
  </w:abstractNum>
  <w:abstractNum w:abstractNumId="61">
    <w:nsid w:val="6D68AB2"/>
    <w:multiLevelType w:val="hybridMultilevel"/>
    <w:lvl w:ilvl="0">
      <w:lvlJc w:val="left"/>
      <w:lvlText w:val="(%1)"/>
      <w:numFmt w:val="lowerLetter"/>
      <w:start w:val="3"/>
    </w:lvl>
    <w:lvl w:ilvl="1">
      <w:lvlJc w:val="left"/>
      <w:lvlText w:val="%2"/>
      <w:numFmt w:val="lowerRoman"/>
      <w:start w:val="1"/>
    </w:lvl>
  </w:abstractNum>
  <w:abstractNum w:abstractNumId="62">
    <w:nsid w:val="3A966CD0"/>
    <w:multiLevelType w:val="hybridMultilevel"/>
    <w:lvl w:ilvl="0">
      <w:lvlJc w:val="left"/>
      <w:lvlText w:val="(%1)"/>
      <w:numFmt w:val="lowerLetter"/>
      <w:start w:val="1"/>
    </w:lvl>
    <w:lvl w:ilvl="1">
      <w:lvlJc w:val="left"/>
      <w:lvlText w:val="(%2)"/>
      <w:numFmt w:val="lowerRoman"/>
      <w:start w:val="1"/>
    </w:lvl>
  </w:abstractNum>
  <w:abstractNum w:abstractNumId="63">
    <w:nsid w:val="63F37E85"/>
    <w:multiLevelType w:val="hybridMultilevel"/>
    <w:lvl w:ilvl="0">
      <w:lvlJc w:val="left"/>
      <w:lvlText w:val="(%1)"/>
      <w:numFmt w:val="lowerLetter"/>
      <w:start w:val="1"/>
    </w:lvl>
  </w:abstractNum>
  <w:abstractNum w:abstractNumId="64">
    <w:nsid w:val="5895F5FA"/>
    <w:multiLevelType w:val="hybridMultilevel"/>
    <w:lvl w:ilvl="0">
      <w:lvlJc w:val="left"/>
      <w:lvlText w:val="(%1)"/>
      <w:numFmt w:val="lowerLetter"/>
      <w:start w:val="1"/>
    </w:lvl>
  </w:abstractNum>
  <w:abstractNum w:abstractNumId="65">
    <w:nsid w:val="38A5D054"/>
    <w:multiLevelType w:val="hybridMultilevel"/>
    <w:lvl w:ilvl="0">
      <w:lvlJc w:val="left"/>
      <w:lvlText w:val="(%1)"/>
      <w:numFmt w:val="lowerRoman"/>
      <w:start w:val="1"/>
    </w:lvl>
  </w:abstractNum>
  <w:abstractNum w:abstractNumId="66">
    <w:nsid w:val="F3F09D8"/>
    <w:multiLevelType w:val="hybridMultilevel"/>
    <w:lvl w:ilvl="0">
      <w:lvlJc w:val="left"/>
      <w:lvlText w:val="(%1)"/>
      <w:numFmt w:val="lowerRoman"/>
      <w:start w:val="2"/>
    </w:lvl>
    <w:lvl w:ilvl="1">
      <w:lvlJc w:val="left"/>
      <w:lvlText w:val="(%2)"/>
      <w:numFmt w:val="upperLetter"/>
      <w:start w:val="5"/>
    </w:lvl>
    <w:lvl w:ilvl="2">
      <w:lvlJc w:val="left"/>
      <w:lvlText w:val="(%3)"/>
      <w:numFmt w:val="upperLetter"/>
      <w:start w:val="1"/>
    </w:lvl>
  </w:abstractNum>
  <w:abstractNum w:abstractNumId="67">
    <w:nsid w:val="4B793735"/>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7"/>
    </w:lvl>
  </w:abstractNum>
  <w:abstractNum w:abstractNumId="68">
    <w:nsid w:val="4A10B4E8"/>
    <w:multiLevelType w:val="hybridMultilevel"/>
    <w:lvl w:ilvl="0">
      <w:lvlJc w:val="left"/>
      <w:lvlText w:val="(%1)"/>
      <w:numFmt w:val="lowerLetter"/>
      <w:start w:val="2"/>
    </w:lvl>
  </w:abstractNum>
  <w:abstractNum w:abstractNumId="69">
    <w:nsid w:val="43D3BCD4"/>
    <w:multiLevelType w:val="hybridMultilevel"/>
    <w:lvl w:ilvl="0">
      <w:lvlJc w:val="left"/>
      <w:lvlText w:val="(%1)"/>
      <w:numFmt w:val="lowerLetter"/>
      <w:start w:val="3"/>
    </w:lvl>
  </w:abstractNum>
  <w:abstractNum w:abstractNumId="70">
    <w:nsid w:val="4C2A7166"/>
    <w:multiLevelType w:val="hybridMultilevel"/>
    <w:lvl w:ilvl="0">
      <w:lvlJc w:val="left"/>
      <w:lvlText w:val="(%1)"/>
      <w:numFmt w:val="lowerLetter"/>
      <w:start w:val="1"/>
    </w:lvl>
    <w:lvl w:ilvl="1">
      <w:lvlJc w:val="left"/>
      <w:lvlText w:val="(%2)"/>
      <w:numFmt w:val="lowerRoman"/>
      <w:start w:val="1"/>
    </w:lvl>
  </w:abstractNum>
  <w:abstractNum w:abstractNumId="71">
    <w:nsid w:val="2E534A82"/>
    <w:multiLevelType w:val="hybridMultilevel"/>
    <w:lvl w:ilvl="0">
      <w:lvlJc w:val="left"/>
      <w:lvlText w:val="(%1)"/>
      <w:numFmt w:val="lowerRoman"/>
      <w:start w:val="4"/>
    </w:lvl>
    <w:lvl w:ilvl="1">
      <w:lvlJc w:val="left"/>
      <w:lvlText w:val="(%2)"/>
      <w:numFmt w:val="upperLetter"/>
      <w:start w:val="5"/>
    </w:lvl>
    <w:lvl w:ilvl="2">
      <w:lvlJc w:val="left"/>
      <w:lvlText w:val="(%3)"/>
      <w:numFmt w:val="upperLetter"/>
      <w:start w:val="1"/>
    </w:lvl>
  </w:abstractNum>
  <w:abstractNum w:abstractNumId="72">
    <w:nsid w:val="26F2D364"/>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7"/>
    </w:lvl>
  </w:abstractNum>
  <w:abstractNum w:abstractNumId="73">
    <w:nsid w:val="71C1AF98"/>
    <w:multiLevelType w:val="hybridMultilevel"/>
    <w:lvl w:ilvl="0">
      <w:lvlJc w:val="left"/>
      <w:lvlText w:val="(%1)"/>
      <w:numFmt w:val="lowerLetter"/>
      <w:start w:val="2"/>
    </w:lvl>
  </w:abstractNum>
  <w:abstractNum w:abstractNumId="74">
    <w:nsid w:val="3D00B9D9"/>
    <w:multiLevelType w:val="hybridMultilevel"/>
    <w:lvl w:ilvl="0">
      <w:lvlJc w:val="left"/>
      <w:lvlText w:val="(%1)"/>
      <w:numFmt w:val="lowerLetter"/>
      <w:start w:val="1"/>
    </w:lvl>
  </w:abstractNum>
  <w:abstractNum w:abstractNumId="75">
    <w:nsid w:val="15BCABA8"/>
    <w:multiLevelType w:val="hybridMultilevel"/>
    <w:lvl w:ilvl="0">
      <w:lvlJc w:val="left"/>
      <w:lvlText w:val="(%1)"/>
      <w:numFmt w:val="lowerLetter"/>
      <w:start w:val="11"/>
    </w:lvl>
    <w:lvl w:ilvl="1">
      <w:lvlJc w:val="left"/>
      <w:lvlText w:val="(%2)"/>
      <w:numFmt w:val="lowerRoman"/>
      <w:start w:val="1"/>
    </w:lvl>
  </w:abstractNum>
  <w:abstractNum w:abstractNumId="76">
    <w:nsid w:val="4E0B9A87"/>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77">
    <w:nsid w:val="434BAE75"/>
    <w:multiLevelType w:val="hybridMultilevel"/>
    <w:lvl w:ilvl="0">
      <w:lvlJc w:val="left"/>
      <w:lvlText w:val="(%1)"/>
      <w:numFmt w:val="lowerLetter"/>
      <w:start w:val="17"/>
    </w:lvl>
    <w:lvl w:ilvl="1">
      <w:lvlJc w:val="left"/>
      <w:lvlText w:val="%2"/>
      <w:numFmt w:val="lowerLetter"/>
      <w:start w:val="1"/>
    </w:lvl>
    <w:lvl w:ilvl="2">
      <w:lvlJc w:val="left"/>
      <w:lvlText w:val="-"/>
      <w:numFmt w:val="bullet"/>
      <w:start w:val="1"/>
    </w:lvl>
  </w:abstractNum>
  <w:abstractNum w:abstractNumId="78">
    <w:nsid w:val="4F38F265"/>
    <w:multiLevelType w:val="hybridMultilevel"/>
    <w:lvl w:ilvl="0">
      <w:lvlJc w:val="left"/>
      <w:lvlText w:val="(%1)"/>
      <w:numFmt w:val="lowerLetter"/>
      <w:start w:val="20"/>
    </w:lvl>
  </w:abstractNum>
  <w:abstractNum w:abstractNumId="79">
    <w:nsid w:val="4C502870"/>
    <w:multiLevelType w:val="hybridMultilevel"/>
    <w:lvl w:ilvl="0">
      <w:lvlJc w:val="left"/>
      <w:lvlText w:val="(%1)"/>
      <w:numFmt w:val="lowerLetter"/>
      <w:start w:val="27"/>
    </w:lvl>
    <w:lvl w:ilvl="1">
      <w:lvlJc w:val="left"/>
      <w:lvlText w:val="-"/>
      <w:numFmt w:val="bullet"/>
      <w:start w:val="1"/>
    </w:lvl>
  </w:abstractNum>
  <w:abstractNum w:abstractNumId="80">
    <w:nsid w:val="1DE8725A"/>
    <w:multiLevelType w:val="hybridMultilevel"/>
    <w:lvl w:ilvl="0">
      <w:lvlJc w:val="left"/>
      <w:lvlText w:val="(%1)"/>
      <w:numFmt w:val="lowerLetter"/>
      <w:start w:val="39"/>
    </w:lvl>
  </w:abstractNum>
  <w:abstractNum w:abstractNumId="81">
    <w:nsid w:val="6A37288A"/>
    <w:multiLevelType w:val="hybridMultilevel"/>
    <w:lvl w:ilvl="0">
      <w:lvlJc w:val="left"/>
      <w:lvlText w:val="(%1)"/>
      <w:numFmt w:val="lowerLetter"/>
      <w:start w:val="1"/>
    </w:lvl>
  </w:abstractNum>
  <w:abstractNum w:abstractNumId="82">
    <w:nsid w:val="8F8B73F"/>
    <w:multiLevelType w:val="hybridMultilevel"/>
    <w:lvl w:ilvl="0">
      <w:lvlJc w:val="left"/>
      <w:lvlText w:val="(%1)"/>
      <w:numFmt w:val="lowerLetter"/>
      <w:start w:val="1"/>
    </w:lvl>
    <w:lvl w:ilvl="1">
      <w:lvlJc w:val="left"/>
      <w:lvlText w:val="-"/>
      <w:numFmt w:val="bullet"/>
      <w:start w:val="1"/>
    </w:lvl>
  </w:abstractNum>
  <w:abstractNum w:abstractNumId="83">
    <w:nsid w:val="CA6B462"/>
    <w:multiLevelType w:val="hybridMultilevel"/>
    <w:lvl w:ilvl="0">
      <w:lvlJc w:val="left"/>
      <w:lvlText w:val="(%1)"/>
      <w:numFmt w:val="lowerLetter"/>
      <w:start w:val="2"/>
    </w:lvl>
  </w:abstractNum>
  <w:abstractNum w:abstractNumId="84">
    <w:nsid w:val="763CB680"/>
    <w:multiLevelType w:val="hybridMultilevel"/>
    <w:lvl w:ilvl="0">
      <w:lvlJc w:val="left"/>
      <w:lvlText w:val="(%1)"/>
      <w:numFmt w:val="lowerLetter"/>
      <w:start w:val="1"/>
    </w:lvl>
    <w:lvl w:ilvl="1">
      <w:lvlJc w:val="left"/>
      <w:lvlText w:val="-"/>
      <w:numFmt w:val="bullet"/>
      <w:start w:val="1"/>
    </w:lvl>
  </w:abstractNum>
  <w:abstractNum w:abstractNumId="85">
    <w:nsid w:val="15B71329"/>
    <w:multiLevelType w:val="hybridMultilevel"/>
    <w:lvl w:ilvl="0">
      <w:lvlJc w:val="left"/>
      <w:lvlText w:val="(%1)"/>
      <w:numFmt w:val="lowerLetter"/>
      <w:start w:val="1"/>
    </w:lvl>
  </w:abstractNum>
  <w:abstractNum w:abstractNumId="86">
    <w:nsid w:val="3DA9704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7">
    <w:nsid w:val="1CDCE2D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8">
    <w:nsid w:val="69D394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2539DFA5"/>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90">
    <w:nsid w:val="2DB8808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91">
    <w:nsid w:val="706B674E"/>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2">
    <w:nsid w:val="2C106A57"/>
    <w:multiLevelType w:val="hybridMultilevel"/>
    <w:lvl w:ilvl="0">
      <w:lvlJc w:val="left"/>
      <w:lvlText w:val="(%1)"/>
      <w:numFmt w:val="lowerLetter"/>
      <w:start w:val="1"/>
    </w:lvl>
    <w:lvl w:ilvl="1">
      <w:lvlJc w:val="left"/>
      <w:lvlText w:val="(%2)"/>
      <w:numFmt w:val="lowerRoman"/>
      <w:start w:val="1"/>
    </w:lvl>
  </w:abstractNum>
  <w:abstractNum w:abstractNumId="93">
    <w:nsid w:val="684EED59"/>
    <w:multiLevelType w:val="hybridMultilevel"/>
    <w:lvl w:ilvl="0">
      <w:lvlJc w:val="left"/>
      <w:lvlText w:val="(%1)"/>
      <w:numFmt w:val="lowerLetter"/>
      <w:start w:val="1"/>
    </w:lvl>
    <w:lvl w:ilvl="1">
      <w:lvlJc w:val="left"/>
      <w:lvlText w:val="-"/>
      <w:numFmt w:val="bullet"/>
      <w:start w:val="1"/>
    </w:lvl>
  </w:abstractNum>
  <w:abstractNum w:abstractNumId="94">
    <w:nsid w:val="545EE5D3"/>
    <w:multiLevelType w:val="hybridMultilevel"/>
    <w:lvl w:ilvl="0">
      <w:lvlJc w:val="left"/>
      <w:lvlText w:val="(%1)"/>
      <w:numFmt w:val="lowerLetter"/>
      <w:start w:val="2"/>
    </w:lvl>
  </w:abstractNum>
  <w:abstractNum w:abstractNumId="95">
    <w:nsid w:val="4A6605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96">
    <w:nsid w:val="20F4BDA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97">
    <w:nsid w:val="639DEFA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
      <w:numFmt w:val="bullet"/>
      <w:start w:val="1"/>
    </w:lvl>
  </w:abstractNum>
  <w:abstractNum w:abstractNumId="98">
    <w:nsid w:val="501F9786"/>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lvl w:ilvl="3">
      <w:lvlJc w:val="left"/>
      <w:lvlText w:val="-"/>
      <w:numFmt w:val="bullet"/>
      <w:start w:val="1"/>
    </w:lvl>
  </w:abstractNum>
  <w:abstractNum w:abstractNumId="99">
    <w:nsid w:val="6B05729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00">
    <w:nsid w:val="2771AC8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1">
    <w:nsid w:val="1C4A08EC"/>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02">
    <w:nsid w:val="1958BD17"/>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03">
    <w:nsid w:val="4E647FE4"/>
    <w:multiLevelType w:val="hybridMultilevel"/>
    <w:lvl w:ilvl="0">
      <w:lvlJc w:val="left"/>
      <w:lvlText w:val="(%1)"/>
      <w:numFmt w:val="lowerRoman"/>
      <w:start w:val="4"/>
    </w:lvl>
    <w:lvl w:ilvl="1">
      <w:lvlJc w:val="left"/>
      <w:lvlText w:val="(%2)"/>
      <w:numFmt w:val="lowerLetter"/>
      <w:start w:val="25"/>
    </w:lvl>
    <w:lvl w:ilvl="2">
      <w:lvlJc w:val="left"/>
      <w:lvlText w:val="-"/>
      <w:numFmt w:val="bullet"/>
      <w:start w:val="1"/>
    </w:lvl>
  </w:abstractNum>
  <w:abstractNum w:abstractNumId="104">
    <w:nsid w:val="E0BB885"/>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lvl w:ilvl="3">
      <w:lvlJc w:val="left"/>
      <w:lvlText w:val="(%4)"/>
      <w:numFmt w:val="upperLetter"/>
      <w:start w:val="9"/>
    </w:lvl>
  </w:abstractNum>
  <w:abstractNum w:abstractNumId="105">
    <w:nsid w:val="565976F1"/>
    <w:multiLevelType w:val="hybridMultilevel"/>
    <w:lvl w:ilvl="0">
      <w:lvlJc w:val="left"/>
      <w:lvlText w:val="(%1)"/>
      <w:numFmt w:val="upperLetter"/>
      <w:start w:val="35"/>
    </w:lvl>
    <w:lvl w:ilvl="1">
      <w:lvlJc w:val="left"/>
      <w:lvlText w:val="-"/>
      <w:numFmt w:val="bullet"/>
      <w:start w:val="1"/>
    </w:lvl>
  </w:abstractNum>
  <w:abstractNum w:abstractNumId="106">
    <w:nsid w:val="64212B8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107">
    <w:nsid w:val="5C17530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lvl w:ilvl="3">
      <w:lvlJc w:val="left"/>
      <w:lvlText w:val="(%4)"/>
      <w:numFmt w:val="decimal"/>
      <w:start w:val="1"/>
    </w:lvl>
    <w:lvl w:ilvl="4">
      <w:lvlJc w:val="left"/>
      <w:lvlText w:val="-"/>
      <w:numFmt w:val="bullet"/>
      <w:start w:val="1"/>
    </w:lvl>
  </w:abstractNum>
  <w:abstractNum w:abstractNumId="108">
    <w:nsid w:val="19A5256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109">
    <w:nsid w:val="335A1DF1"/>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110">
    <w:nsid w:val="28677B7C"/>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11">
    <w:nsid w:val="378D97C0"/>
    <w:multiLevelType w:val="hybridMultilevel"/>
    <w:lvl w:ilvl="0">
      <w:lvlJc w:val="left"/>
      <w:lvlText w:val="%1"/>
      <w:numFmt w:val="lowerLetter"/>
      <w:start w:val="1"/>
    </w:lvl>
    <w:lvl w:ilvl="1">
      <w:lvlJc w:val="left"/>
      <w:lvlText w:val="(%2)"/>
      <w:numFmt w:val="upperLetter"/>
      <w:start w:val="1"/>
    </w:lvl>
  </w:abstractNum>
  <w:abstractNum w:abstractNumId="112">
    <w:nsid w:val="1D91467C"/>
    <w:multiLevelType w:val="hybridMultilevel"/>
    <w:lvl w:ilvl="0">
      <w:lvlJc w:val="left"/>
      <w:lvlText w:val="(%1)"/>
      <w:numFmt w:val="lowerLetter"/>
      <w:start w:val="11"/>
    </w:lvl>
    <w:lvl w:ilvl="1">
      <w:lvlJc w:val="left"/>
      <w:lvlText w:val="%2"/>
      <w:numFmt w:val="upperLetter"/>
      <w:start w:val="1"/>
    </w:lvl>
  </w:abstractNum>
  <w:abstractNum w:abstractNumId="113">
    <w:nsid w:val="316032B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4">
    <w:nsid w:val="44344C22"/>
    <w:multiLevelType w:val="hybridMultilevel"/>
    <w:lvl w:ilvl="0">
      <w:lvlJc w:val="left"/>
      <w:lvlText w:val="(%1)"/>
      <w:numFmt w:val="lowerLetter"/>
      <w:start w:val="2"/>
    </w:lvl>
  </w:abstractNum>
  <w:abstractNum w:abstractNumId="115">
    <w:nsid w:val="13CDFCFC"/>
    <w:multiLevelType w:val="hybridMultilevel"/>
    <w:lvl w:ilvl="0">
      <w:lvlJc w:val="left"/>
      <w:lvlText w:val="(%1)"/>
      <w:numFmt w:val="lowerLetter"/>
      <w:start w:val="1"/>
    </w:lvl>
    <w:lvl w:ilvl="1">
      <w:lvlJc w:val="left"/>
      <w:lvlText w:val="-"/>
      <w:numFmt w:val="bullet"/>
      <w:start w:val="1"/>
    </w:lvl>
  </w:abstractNum>
  <w:abstractNum w:abstractNumId="116">
    <w:nsid w:val="471745E4"/>
    <w:multiLevelType w:val="hybridMultilevel"/>
    <w:lvl w:ilvl="0">
      <w:lvlJc w:val="left"/>
      <w:lvlText w:val="*"/>
      <w:numFmt w:val="bullet"/>
      <w:start w:val="1"/>
    </w:lvl>
  </w:abstractNum>
  <w:abstractNum w:abstractNumId="117">
    <w:nsid w:val="1DDBC66"/>
    <w:multiLevelType w:val="hybridMultilevel"/>
    <w:lvl w:ilvl="0">
      <w:lvlJc w:val="left"/>
      <w:lvlText w:val="**"/>
      <w:numFmt w:val="bullet"/>
      <w:start w:val="1"/>
    </w:lvl>
    <w:lvl w:ilvl="1">
      <w:lvlJc w:val="left"/>
      <w:lvlText w:val="-"/>
      <w:numFmt w:val="bullet"/>
      <w:start w:val="1"/>
    </w:lvl>
  </w:abstractNum>
  <w:abstractNum w:abstractNumId="118">
    <w:nsid w:val="30AADFDA"/>
    <w:multiLevelType w:val="hybridMultilevel"/>
    <w:lvl w:ilvl="0">
      <w:lvlJc w:val="left"/>
      <w:lvlText w:val="(%1)"/>
      <w:numFmt w:val="lowerRoman"/>
      <w:start w:val="2"/>
    </w:lvl>
  </w:abstractNum>
  <w:abstractNum w:abstractNumId="119">
    <w:nsid w:val="30EADA61"/>
    <w:multiLevelType w:val="hybridMultilevel"/>
    <w:lvl w:ilvl="0">
      <w:lvlJc w:val="left"/>
      <w:lvlText w:val="(%1)"/>
      <w:numFmt w:val="lowerLetter"/>
      <w:start w:val="1"/>
    </w:lvl>
  </w:abstractNum>
  <w:abstractNum w:abstractNumId="120">
    <w:nsid w:val="27179C0B"/>
    <w:multiLevelType w:val="hybridMultilevel"/>
    <w:lvl w:ilvl="0">
      <w:lvlJc w:val="left"/>
      <w:lvlText w:val="%1"/>
      <w:numFmt w:val="lowerLetter"/>
      <w:start w:val="1"/>
    </w:lvl>
    <w:lvl w:ilvl="1">
      <w:lvlJc w:val="left"/>
      <w:lvlText w:val="(%2)"/>
      <w:numFmt w:val="lowerLetter"/>
      <w:start w:val="2"/>
    </w:lvl>
  </w:abstractNum>
  <w:abstractNum w:abstractNumId="121">
    <w:nsid w:val="5E636063"/>
    <w:multiLevelType w:val="hybridMultilevel"/>
    <w:lvl w:ilvl="0">
      <w:lvlJc w:val="left"/>
      <w:lvlText w:val="(%1)"/>
      <w:numFmt w:val="lowerLetter"/>
      <w:start w:val="35"/>
    </w:lvl>
    <w:lvl w:ilvl="1">
      <w:lvlJc w:val="left"/>
      <w:lvlText w:val="%2"/>
      <w:numFmt w:val="lowerLetter"/>
      <w:start w:val="1"/>
    </w:lvl>
  </w:abstractNum>
  <w:abstractNum w:abstractNumId="122">
    <w:nsid w:val="215641AF"/>
    <w:multiLevelType w:val="hybridMultilevel"/>
    <w:lvl w:ilvl="0">
      <w:lvlJc w:val="left"/>
      <w:lvlText w:val="(%1)"/>
      <w:numFmt w:val="lowerLetter"/>
      <w:start w:val="6"/>
    </w:lvl>
  </w:abstractNum>
  <w:abstractNum w:abstractNumId="123">
    <w:nsid w:val="53280662"/>
    <w:multiLevelType w:val="hybridMultilevel"/>
    <w:lvl w:ilvl="0">
      <w:lvlJc w:val="left"/>
      <w:lvlText w:val="(%1)"/>
      <w:numFmt w:val="lowerLetter"/>
      <w:start w:val="1"/>
    </w:lvl>
  </w:abstractNum>
  <w:abstractNum w:abstractNumId="124">
    <w:nsid w:val="46B24DBC"/>
    <w:multiLevelType w:val="hybridMultilevel"/>
    <w:lvl w:ilvl="0">
      <w:lvlJc w:val="left"/>
      <w:lvlText w:val="(%1)"/>
      <w:numFmt w:val="lowerLetter"/>
      <w:start w:val="2"/>
    </w:lvl>
  </w:abstractNum>
  <w:abstractNum w:abstractNumId="125">
    <w:nsid w:val="75B52783"/>
    <w:multiLevelType w:val="hybridMultilevel"/>
    <w:lvl w:ilvl="0">
      <w:lvlJc w:val="left"/>
      <w:lvlText w:val="(%1)"/>
      <w:numFmt w:val="lowerRoman"/>
      <w:start w:val="1"/>
    </w:lvl>
  </w:abstractNum>
  <w:abstractNum w:abstractNumId="126">
    <w:nsid w:val="57CE66B4"/>
    <w:multiLevelType w:val="hybridMultilevel"/>
    <w:lvl w:ilvl="0">
      <w:lvlJc w:val="left"/>
      <w:lvlText w:val="(%1)"/>
      <w:numFmt w:val="lowerRoman"/>
      <w:start w:val="3"/>
    </w:lvl>
  </w:abstractNum>
  <w:abstractNum w:abstractNumId="127">
    <w:nsid w:val="67A70B69"/>
    <w:multiLevelType w:val="hybridMultilevel"/>
    <w:lvl w:ilvl="0">
      <w:lvlJc w:val="left"/>
      <w:lvlText w:val="(%1)"/>
      <w:numFmt w:val="lowerLetter"/>
      <w:start w:val="3"/>
    </w:lvl>
  </w:abstractNum>
  <w:abstractNum w:abstractNumId="128">
    <w:nsid w:val="5953172F"/>
    <w:multiLevelType w:val="hybridMultilevel"/>
    <w:lvl w:ilvl="0">
      <w:lvlJc w:val="left"/>
      <w:lvlText w:val="(%1)"/>
      <w:numFmt w:val="lowerLetter"/>
      <w:start w:val="4"/>
    </w:lvl>
  </w:abstractNum>
  <w:abstractNum w:abstractNumId="129">
    <w:nsid w:val="27EDFE3A"/>
    <w:multiLevelType w:val="hybridMultilevel"/>
    <w:lvl w:ilvl="0">
      <w:lvlJc w:val="left"/>
      <w:lvlText w:val="(%1)"/>
      <w:numFmt w:val="lowerRoman"/>
      <w:start w:val="1"/>
    </w:lvl>
  </w:abstractNum>
  <w:abstractNum w:abstractNumId="130">
    <w:nsid w:val="52AC7DFF"/>
    <w:multiLevelType w:val="hybridMultilevel"/>
    <w:lvl w:ilvl="0">
      <w:lvlJc w:val="left"/>
      <w:lvlText w:val="(%1)"/>
      <w:numFmt w:val="lowerRoman"/>
      <w:start w:val="2"/>
    </w:lvl>
  </w:abstractNum>
  <w:abstractNum w:abstractNumId="131">
    <w:nsid w:val="C4C3AF"/>
    <w:multiLevelType w:val="hybridMultilevel"/>
    <w:lvl w:ilvl="0">
      <w:lvlJc w:val="left"/>
      <w:lvlText w:val="%1"/>
      <w:numFmt w:val="lowerRoman"/>
      <w:start w:val="1"/>
    </w:lvl>
    <w:lvl w:ilvl="1">
      <w:lvlJc w:val="left"/>
      <w:lvlText w:val="(%2)"/>
      <w:numFmt w:val="lowerRoman"/>
      <w:start w:val="4"/>
    </w:lvl>
  </w:abstractNum>
  <w:abstractNum w:abstractNumId="132">
    <w:nsid w:val="44380727"/>
    <w:multiLevelType w:val="hybridMultilevel"/>
    <w:lvl w:ilvl="0">
      <w:lvlJc w:val="left"/>
      <w:lvlText w:val="(%1)"/>
      <w:numFmt w:val="lowerRoman"/>
      <w:start w:val="2"/>
    </w:lvl>
    <w:lvl w:ilvl="1">
      <w:lvlJc w:val="left"/>
      <w:lvlText w:val="%2"/>
      <w:numFmt w:val="lowerRoman"/>
      <w:start w:val="1"/>
    </w:lvl>
  </w:abstractNum>
  <w:abstractNum w:abstractNumId="133">
    <w:nsid w:val="6C053B16"/>
    <w:multiLevelType w:val="hybridMultilevel"/>
    <w:lvl w:ilvl="0">
      <w:lvlJc w:val="left"/>
      <w:lvlText w:val="(%1)"/>
      <w:numFmt w:val="lowerLetter"/>
      <w:start w:val="6"/>
    </w:lvl>
  </w:abstractNum>
  <w:abstractNum w:abstractNumId="134">
    <w:nsid w:val="4F294393"/>
    <w:multiLevelType w:val="hybridMultilevel"/>
    <w:lvl w:ilvl="0">
      <w:lvlJc w:val="left"/>
      <w:lvlText w:val="%1"/>
      <w:numFmt w:val="lowerLetter"/>
      <w:start w:val="1"/>
    </w:lvl>
    <w:lvl w:ilvl="1">
      <w:lvlJc w:val="left"/>
      <w:lvlText w:val="(%2)"/>
      <w:numFmt w:val="lowerLetter"/>
      <w:start w:val="9"/>
    </w:lvl>
  </w:abstractNum>
  <w:abstractNum w:abstractNumId="135">
    <w:nsid w:val="5243BFAC"/>
    <w:multiLevelType w:val="hybridMultilevel"/>
    <w:lvl w:ilvl="0">
      <w:lvlJc w:val="left"/>
      <w:lvlText w:val="(%1)"/>
      <w:numFmt w:val="lowerLetter"/>
      <w:start w:val="25"/>
    </w:lvl>
    <w:lvl w:ilvl="1">
      <w:lvlJc w:val="left"/>
      <w:lvlText w:val="(%2)"/>
      <w:numFmt w:val="lowerLetter"/>
      <w:start w:val="35"/>
    </w:lvl>
  </w:abstractNum>
  <w:abstractNum w:abstractNumId="136">
    <w:nsid w:val="425EB207"/>
    <w:multiLevelType w:val="hybridMultilevel"/>
    <w:lvl w:ilvl="0">
      <w:lvlJc w:val="left"/>
      <w:lvlText w:val="(%1)"/>
      <w:numFmt w:val="lowerRoman"/>
      <w:start w:val="3"/>
    </w:lvl>
  </w:abstractNum>
  <w:abstractNum w:abstractNumId="137">
    <w:nsid w:val="334A6F1F"/>
    <w:multiLevelType w:val="hybridMultilevel"/>
    <w:lvl w:ilvl="0">
      <w:lvlJc w:val="left"/>
      <w:lvlText w:val="(%1)"/>
      <w:numFmt w:val="lowerRoman"/>
      <w:start w:val="4"/>
    </w:lvl>
  </w:abstractNum>
  <w:abstractNum w:abstractNumId="138">
    <w:nsid w:val="2E5B12B8"/>
    <w:multiLevelType w:val="hybridMultilevel"/>
    <w:lvl w:ilvl="0">
      <w:lvlJc w:val="left"/>
      <w:lvlText w:val="(%1)"/>
      <w:numFmt w:val="lowerRoman"/>
      <w:start w:val="9"/>
    </w:lvl>
  </w:abstractNum>
  <w:abstractNum w:abstractNumId="139">
    <w:nsid w:val="5C03D76D"/>
    <w:multiLevelType w:val="hybridMultilevel"/>
    <w:lvl w:ilvl="0">
      <w:lvlJc w:val="left"/>
      <w:lvlText w:val="(%1)"/>
      <w:numFmt w:val="lowerLetter"/>
      <w:start w:val="7"/>
    </w:lvl>
  </w:abstractNum>
  <w:abstractNum w:abstractNumId="140">
    <w:nsid w:val="66A48D11"/>
    <w:multiLevelType w:val="hybridMultilevel"/>
    <w:lvl w:ilvl="0">
      <w:lvlJc w:val="left"/>
      <w:lvlText w:val="%1"/>
      <w:numFmt w:val="lowerLetter"/>
      <w:start w:val="1"/>
    </w:lvl>
    <w:lvl w:ilvl="1">
      <w:lvlJc w:val="left"/>
      <w:lvlText w:val="(%2)"/>
      <w:numFmt w:val="lowerLetter"/>
      <w:start w:val="11"/>
    </w:lvl>
  </w:abstractNum>
  <w:abstractNum w:abstractNumId="141">
    <w:nsid w:val="56C28E34"/>
    <w:multiLevelType w:val="hybridMultilevel"/>
    <w:lvl w:ilvl="0">
      <w:lvlJc w:val="left"/>
      <w:lvlText w:val="(%1)"/>
      <w:numFmt w:val="lowerLetter"/>
      <w:start w:val="9"/>
    </w:lvl>
    <w:lvl w:ilvl="1">
      <w:lvlJc w:val="left"/>
      <w:lvlText w:val="(%2)"/>
      <w:numFmt w:val="lowerLetter"/>
      <w:start w:val="12"/>
    </w:lvl>
  </w:abstractNum>
  <w:abstractNum w:abstractNumId="142">
    <w:nsid w:val="13916F2D"/>
    <w:multiLevelType w:val="hybridMultilevel"/>
    <w:lvl w:ilvl="0">
      <w:lvlJc w:val="left"/>
      <w:lvlText w:val="(%1)"/>
      <w:numFmt w:val="lowerLetter"/>
      <w:start w:val="1"/>
    </w:lvl>
  </w:abstractNum>
  <w:abstractNum w:abstractNumId="143">
    <w:nsid w:val="435D38D"/>
    <w:multiLevelType w:val="hybridMultilevel"/>
    <w:lvl w:ilvl="0">
      <w:lvlJc w:val="left"/>
      <w:lvlText w:val="(%1)"/>
      <w:numFmt w:val="lowerLetter"/>
      <w:start w:val="3"/>
    </w:lvl>
  </w:abstractNum>
  <w:abstractNum w:abstractNumId="144">
    <w:nsid w:val="822C0EF"/>
    <w:multiLevelType w:val="hybridMultilevel"/>
    <w:lvl w:ilvl="0">
      <w:lvlJc w:val="left"/>
      <w:lvlText w:val="(%1)"/>
      <w:numFmt w:val="lowerLetter"/>
      <w:start w:val="5"/>
    </w:lvl>
  </w:abstractNum>
  <w:abstractNum w:abstractNumId="145">
    <w:nsid w:val="57C5BB4F"/>
    <w:multiLevelType w:val="hybridMultilevel"/>
    <w:lvl w:ilvl="0">
      <w:lvlJc w:val="left"/>
      <w:lvlText w:val="(%1)"/>
      <w:numFmt w:val="lowerLetter"/>
      <w:start w:val="1"/>
    </w:lvl>
  </w:abstractNum>
  <w:abstractNum w:abstractNumId="146">
    <w:nsid w:val="1803D089"/>
    <w:multiLevelType w:val="hybridMultilevel"/>
    <w:lvl w:ilvl="0">
      <w:lvlJc w:val="left"/>
      <w:lvlText w:val="%1"/>
      <w:numFmt w:val="upperLetter"/>
      <w:start w:val="1"/>
    </w:lvl>
    <w:lvl w:ilvl="1">
      <w:lvlJc w:val="left"/>
      <w:lvlText w:val="(%2)"/>
      <w:numFmt w:val="lowerRoman"/>
      <w:start w:val="2"/>
    </w:lvl>
  </w:abstractNum>
  <w:abstractNum w:abstractNumId="147">
    <w:nsid w:val="4F3A06D4"/>
    <w:multiLevelType w:val="hybridMultilevel"/>
    <w:lvl w:ilvl="0">
      <w:lvlJc w:val="left"/>
      <w:lvlText w:val="(%1)"/>
      <w:numFmt w:val="upperLetter"/>
      <w:start w:val="2"/>
    </w:lvl>
    <w:lvl w:ilvl="1">
      <w:lvlJc w:val="left"/>
      <w:lvlText w:val="%2"/>
      <w:numFmt w:val="lowerRoman"/>
      <w:start w:val="1"/>
    </w:lvl>
  </w:abstractNum>
  <w:abstractNum w:abstractNumId="148">
    <w:nsid w:val="59A377B6"/>
    <w:multiLevelType w:val="hybridMultilevel"/>
    <w:lvl w:ilvl="0">
      <w:lvlJc w:val="left"/>
      <w:lvlText w:val="(%1)"/>
      <w:numFmt w:val="lowerLetter"/>
      <w:start w:val="2"/>
    </w:lvl>
  </w:abstractNum>
  <w:abstractNum w:abstractNumId="149">
    <w:nsid w:val="48AEB063"/>
    <w:multiLevelType w:val="hybridMultilevel"/>
    <w:lvl w:ilvl="0">
      <w:lvlJc w:val="left"/>
      <w:lvlText w:val="(%1)"/>
      <w:numFmt w:val="upperLetter"/>
      <w:start w:val="1"/>
    </w:lvl>
  </w:abstractNum>
  <w:abstractNum w:abstractNumId="150">
    <w:nsid w:val="24E135"/>
    <w:multiLevelType w:val="hybridMultilevel"/>
    <w:lvl w:ilvl="0">
      <w:lvlJc w:val="left"/>
      <w:lvlText w:val="(%1)"/>
      <w:numFmt w:val="upperLetter"/>
      <w:start w:val="4"/>
    </w:lvl>
  </w:abstractNum>
  <w:abstractNum w:abstractNumId="151">
    <w:nsid w:val="BB13C1"/>
    <w:multiLevelType w:val="hybridMultilevel"/>
    <w:lvl w:ilvl="0">
      <w:lvlJc w:val="left"/>
      <w:lvlText w:val="(%1)"/>
      <w:numFmt w:val="lowerRoman"/>
      <w:start w:val="2"/>
    </w:lvl>
  </w:abstractNum>
  <w:abstractNum w:abstractNumId="152">
    <w:nsid w:val="271210C7"/>
    <w:multiLevelType w:val="hybridMultilevel"/>
    <w:lvl w:ilvl="0">
      <w:lvlJc w:val="left"/>
      <w:lvlText w:val="(%1)"/>
      <w:numFmt w:val="lowerLetter"/>
      <w:start w:val="3"/>
    </w:lvl>
  </w:abstractNum>
  <w:abstractNum w:abstractNumId="153">
    <w:nsid w:val="217B22E4"/>
    <w:multiLevelType w:val="hybridMultilevel"/>
    <w:lvl w:ilvl="0">
      <w:lvlJc w:val="left"/>
      <w:lvlText w:val="(%1)"/>
      <w:numFmt w:val="lowerRoman"/>
      <w:start w:val="1"/>
    </w:lvl>
  </w:abstractNum>
  <w:abstractNum w:abstractNumId="154">
    <w:nsid w:val="53E31A24"/>
    <w:multiLevelType w:val="hybridMultilevel"/>
    <w:lvl w:ilvl="0">
      <w:lvlJc w:val="left"/>
      <w:lvlText w:val="(%1)"/>
      <w:numFmt w:val="lowerRoman"/>
      <w:start w:val="2"/>
    </w:lvl>
  </w:abstractNum>
  <w:abstractNum w:abstractNumId="155">
    <w:nsid w:val="6DC45E83"/>
    <w:multiLevelType w:val="hybridMultilevel"/>
    <w:lvl w:ilvl="0">
      <w:lvlJc w:val="left"/>
      <w:lvlText w:val="(%1)"/>
      <w:numFmt w:val="lowerLetter"/>
      <w:start w:val="4"/>
    </w:lvl>
  </w:abstractNum>
  <w:abstractNum w:abstractNumId="156">
    <w:nsid w:val="17304A67"/>
    <w:multiLevelType w:val="hybridMultilevel"/>
    <w:lvl w:ilvl="0">
      <w:lvlJc w:val="left"/>
      <w:lvlText w:val="(%1)"/>
      <w:numFmt w:val="lowerLetter"/>
      <w:start w:val="1"/>
    </w:lvl>
  </w:abstractNum>
  <w:abstractNum w:abstractNumId="157">
    <w:nsid w:val="2BB180D8"/>
    <w:multiLevelType w:val="hybridMultilevel"/>
    <w:lvl w:ilvl="0">
      <w:lvlJc w:val="left"/>
      <w:lvlText w:val="(%1)"/>
      <w:numFmt w:val="lowerRoman"/>
      <w:start w:val="1"/>
    </w:lvl>
  </w:abstractNum>
  <w:abstractNum w:abstractNumId="158">
    <w:nsid w:val="556B69ED"/>
    <w:multiLevelType w:val="hybridMultilevel"/>
    <w:lvl w:ilvl="0">
      <w:lvlJc w:val="left"/>
      <w:lvlText w:val="(%1)"/>
      <w:numFmt w:val="lowerLetter"/>
      <w:start w:val="2"/>
    </w:lvl>
  </w:abstractNum>
  <w:abstractNum w:abstractNumId="159">
    <w:nsid w:val="70836196"/>
    <w:multiLevelType w:val="hybridMultilevel"/>
    <w:lvl w:ilvl="0">
      <w:lvlJc w:val="left"/>
      <w:lvlText w:val="%1"/>
      <w:numFmt w:val="lowerLetter"/>
      <w:start w:val="1"/>
    </w:lvl>
    <w:lvl w:ilvl="1">
      <w:lvlJc w:val="left"/>
      <w:lvlText w:val="(%2)"/>
      <w:numFmt w:val="lowerLetter"/>
      <w:start w:val="3"/>
    </w:lvl>
  </w:abstractNum>
  <w:abstractNum w:abstractNumId="160">
    <w:nsid w:val="539F7F12"/>
    <w:multiLevelType w:val="hybridMultilevel"/>
    <w:lvl w:ilvl="0">
      <w:lvlJc w:val="left"/>
      <w:lvlText w:val="(%1)"/>
      <w:numFmt w:val="lowerLetter"/>
      <w:start w:val="35"/>
    </w:lvl>
    <w:lvl w:ilvl="1">
      <w:lvlJc w:val="left"/>
      <w:lvlText w:val="(%2)"/>
      <w:numFmt w:val="lowerLetter"/>
      <w:start w:val="5"/>
    </w:lvl>
  </w:abstractNum>
  <w:abstractNum w:abstractNumId="161">
    <w:nsid w:val="2817E7EC"/>
    <w:multiLevelType w:val="hybridMultilevel"/>
    <w:lvl w:ilvl="0">
      <w:lvlJc w:val="left"/>
      <w:lvlText w:val="(%1)"/>
      <w:numFmt w:val="lowerLetter"/>
      <w:start w:val="35"/>
    </w:lvl>
    <w:lvl w:ilvl="1">
      <w:lvlJc w:val="left"/>
      <w:lvlText w:val="%2"/>
      <w:numFmt w:val="lowerLetter"/>
      <w:start w:val="1"/>
    </w:lvl>
  </w:abstractNum>
  <w:abstractNum w:abstractNumId="162">
    <w:nsid w:val="71482545"/>
    <w:multiLevelType w:val="hybridMultilevel"/>
    <w:lvl w:ilvl="0">
      <w:lvlJc w:val="left"/>
      <w:lvlText w:val="(%1)"/>
      <w:numFmt w:val="lowerLetter"/>
      <w:start w:val="6"/>
    </w:lvl>
  </w:abstractNum>
  <w:abstractNum w:abstractNumId="163">
    <w:nsid w:val="17D78639"/>
    <w:multiLevelType w:val="hybridMultilevel"/>
    <w:lvl w:ilvl="0">
      <w:lvlJc w:val="left"/>
      <w:lvlText w:val="(%1)"/>
      <w:numFmt w:val="lowerRoman"/>
      <w:start w:val="1"/>
    </w:lvl>
  </w:abstractNum>
  <w:abstractNum w:abstractNumId="164">
    <w:nsid w:val="141D2302"/>
    <w:multiLevelType w:val="hybridMultilevel"/>
    <w:lvl w:ilvl="0">
      <w:lvlJc w:val="left"/>
      <w:lvlText w:val="(%1)"/>
      <w:numFmt w:val="lowerLetter"/>
      <w:start w:val="7"/>
    </w:lvl>
  </w:abstractNum>
  <w:abstractNum w:abstractNumId="165">
    <w:nsid w:val="407168D8"/>
    <w:multiLevelType w:val="hybridMultilevel"/>
    <w:lvl w:ilvl="0">
      <w:lvlJc w:val="left"/>
      <w:lvlText w:val="(%1)"/>
      <w:numFmt w:val="lowerLetter"/>
      <w:start w:val="10"/>
    </w:lvl>
  </w:abstractNum>
  <w:abstractNum w:abstractNumId="166">
    <w:nsid w:val="6A1B45E5"/>
    <w:multiLevelType w:val="hybridMultilevel"/>
    <w:lvl w:ilvl="0">
      <w:lvlJc w:val="left"/>
      <w:lvlText w:val="1"/>
      <w:numFmt w:val="bullet"/>
      <w:start w:val="1"/>
    </w:lvl>
  </w:abstractNum>
  <w:abstractNum w:abstractNumId="167">
    <w:nsid w:val="567BD50A"/>
    <w:multiLevelType w:val="hybridMultilevel"/>
    <w:lvl w:ilvl="0">
      <w:lvlJc w:val="left"/>
      <w:lvlText w:val="(%1)"/>
      <w:numFmt w:val="lowerLetter"/>
      <w:start w:val="1"/>
    </w:lvl>
  </w:abstractNum>
  <w:abstractNum w:abstractNumId="168">
    <w:nsid w:val="73BBD7F8"/>
    <w:multiLevelType w:val="hybridMultilevel"/>
    <w:lvl w:ilvl="0">
      <w:lvlJc w:val="left"/>
      <w:lvlText w:val="(%1)"/>
      <w:numFmt w:val="lowerRoman"/>
      <w:start w:val="2"/>
    </w:lvl>
  </w:abstractNum>
  <w:abstractNum w:abstractNumId="169">
    <w:nsid w:val="1876589D"/>
    <w:multiLevelType w:val="hybridMultilevel"/>
    <w:lvl w:ilvl="0">
      <w:lvlJc w:val="left"/>
      <w:lvlText w:val="(%1)"/>
      <w:numFmt w:val="lowerLetter"/>
      <w:start w:val="3"/>
    </w:lvl>
  </w:abstractNum>
  <w:abstractNum w:abstractNumId="170">
    <w:nsid w:val="327FAC77"/>
    <w:multiLevelType w:val="hybridMultilevel"/>
    <w:lvl w:ilvl="0">
      <w:lvlJc w:val="left"/>
      <w:lvlText w:val="(%1)"/>
      <w:numFmt w:val="lowerLetter"/>
      <w:start w:val="1"/>
    </w:lvl>
  </w:abstractNum>
  <w:abstractNum w:abstractNumId="171">
    <w:nsid w:val="5A606509"/>
    <w:multiLevelType w:val="hybridMultilevel"/>
    <w:lvl w:ilvl="0">
      <w:lvlJc w:val="left"/>
      <w:lvlText w:val="(%1)"/>
      <w:numFmt w:val="lowerLetter"/>
      <w:start w:val="4"/>
    </w:lvl>
  </w:abstractNum>
  <w:abstractNum w:abstractNumId="172">
    <w:nsid w:val="6F38E6D1"/>
    <w:multiLevelType w:val="hybridMultilevel"/>
    <w:lvl w:ilvl="0">
      <w:lvlJc w:val="left"/>
      <w:lvlText w:val="(%1)"/>
      <w:numFmt w:val="lowerLetter"/>
      <w:start w:val="1"/>
    </w:lvl>
  </w:abstractNum>
  <w:abstractNum w:abstractNumId="173">
    <w:nsid w:val="46111BA5"/>
    <w:multiLevelType w:val="hybridMultilevel"/>
    <w:lvl w:ilvl="0">
      <w:lvlJc w:val="left"/>
      <w:lvlText w:val="(%1)"/>
      <w:numFmt w:val="lowerLetter"/>
      <w:start w:val="1"/>
    </w:lvl>
  </w:abstractNum>
  <w:abstractNum w:abstractNumId="174">
    <w:nsid w:val="5E963896"/>
    <w:multiLevelType w:val="hybridMultilevel"/>
    <w:lvl w:ilvl="0">
      <w:lvlJc w:val="left"/>
      <w:lvlText w:val="(%1)"/>
      <w:numFmt w:val="lowerLetter"/>
      <w:start w:val="4"/>
    </w:lvl>
  </w:abstractNum>
  <w:abstractNum w:abstractNumId="175">
    <w:nsid w:val="775BA7C1"/>
    <w:multiLevelType w:val="hybridMultilevel"/>
    <w:lvl w:ilvl="0">
      <w:lvlJc w:val="left"/>
      <w:lvlText w:val="(%1)"/>
      <w:numFmt w:val="lowerLetter"/>
      <w:start w:val="2"/>
    </w:lvl>
  </w:abstractNum>
  <w:abstractNum w:abstractNumId="176">
    <w:nsid w:val="1DD6D6F4"/>
    <w:multiLevelType w:val="hybridMultilevel"/>
    <w:lvl w:ilvl="0">
      <w:lvlJc w:val="left"/>
      <w:lvlText w:val="(%1)"/>
      <w:numFmt w:val="lowerLetter"/>
      <w:start w:val="2"/>
    </w:lvl>
  </w:abstractNum>
  <w:abstractNum w:abstractNumId="177">
    <w:nsid w:val="769A091F"/>
    <w:multiLevelType w:val="hybridMultilevel"/>
    <w:lvl w:ilvl="0">
      <w:lvlJc w:val="left"/>
      <w:lvlText w:val="(%1)"/>
      <w:numFmt w:val="lowerLetter"/>
      <w:start w:val="1"/>
    </w:lvl>
    <w:lvl w:ilvl="1">
      <w:lvlJc w:val="left"/>
      <w:lvlText w:val="(%2)"/>
      <w:numFmt w:val="lowerRoman"/>
      <w:start w:val="1"/>
    </w:lvl>
  </w:abstractNum>
  <w:abstractNum w:abstractNumId="178">
    <w:nsid w:val="4695AE95"/>
    <w:multiLevelType w:val="hybridMultilevel"/>
    <w:lvl w:ilvl="0">
      <w:lvlJc w:val="left"/>
      <w:lvlText w:val="%1"/>
      <w:numFmt w:val="lowerLetter"/>
      <w:start w:val="1"/>
    </w:lvl>
    <w:lvl w:ilvl="1">
      <w:lvlJc w:val="left"/>
      <w:lvlText w:val="(%2)"/>
      <w:numFmt w:val="lowerRoman"/>
      <w:start w:val="6"/>
    </w:lvl>
  </w:abstractNum>
  <w:abstractNum w:abstractNumId="179">
    <w:nsid w:val="777A4EAA"/>
    <w:multiLevelType w:val="hybridMultilevel"/>
    <w:lvl w:ilvl="0">
      <w:lvlJc w:val="left"/>
      <w:lvlText w:val="(%1)"/>
      <w:numFmt w:val="lowerLetter"/>
      <w:start w:val="2"/>
    </w:lvl>
    <w:lvl w:ilvl="1">
      <w:lvlJc w:val="left"/>
      <w:lvlText w:val="%2"/>
      <w:numFmt w:val="lowerRoman"/>
      <w:start w:val="1"/>
    </w:lvl>
  </w:abstractNum>
  <w:abstractNum w:abstractNumId="180">
    <w:nsid w:val="3F48B982"/>
    <w:multiLevelType w:val="hybridMultilevel"/>
    <w:lvl w:ilvl="0">
      <w:lvlJc w:val="left"/>
      <w:lvlText w:val="(%1)"/>
      <w:numFmt w:val="lowerLetter"/>
      <w:start w:val="22"/>
    </w:lvl>
    <w:lvl w:ilvl="1">
      <w:lvlJc w:val="left"/>
      <w:lvlText w:val="(%2)"/>
      <w:numFmt w:val="lowerLetter"/>
      <w:start w:val="2"/>
    </w:lvl>
  </w:abstractNum>
  <w:abstractNum w:abstractNumId="181">
    <w:nsid w:val="46BA8FCA"/>
    <w:multiLevelType w:val="hybridMultilevel"/>
    <w:lvl w:ilvl="0">
      <w:lvlJc w:val="left"/>
      <w:lvlText w:val="(%1)"/>
      <w:numFmt w:val="lowerLetter"/>
      <w:start w:val="3"/>
    </w:lvl>
  </w:abstractNum>
  <w:abstractNum w:abstractNumId="182">
    <w:nsid w:val="7835626C"/>
    <w:multiLevelType w:val="hybridMultilevel"/>
    <w:lvl w:ilvl="0">
      <w:lvlJc w:val="left"/>
      <w:lvlText w:val="(%1)"/>
      <w:numFmt w:val="lowerLetter"/>
      <w:start w:val="5"/>
    </w:lvl>
  </w:abstractNum>
  <w:abstractNum w:abstractNumId="183">
    <w:nsid w:val="665ACA49"/>
    <w:multiLevelType w:val="hybridMultilevel"/>
    <w:lvl w:ilvl="0">
      <w:lvlJc w:val="left"/>
      <w:lvlText w:val="(%1)"/>
      <w:numFmt w:val="lowerLetter"/>
      <w:start w:val="2"/>
    </w:lvl>
  </w:abstractNum>
  <w:abstractNum w:abstractNumId="184">
    <w:nsid w:val="6835B2AE"/>
    <w:multiLevelType w:val="hybridMultilevel"/>
    <w:lvl w:ilvl="0">
      <w:lvlJc w:val="left"/>
      <w:lvlText w:val="(%1)"/>
      <w:numFmt w:val="lowerLetter"/>
      <w:start w:val="3"/>
    </w:lvl>
  </w:abstractNum>
  <w:abstractNum w:abstractNumId="185">
    <w:nsid w:val="4C187C90"/>
    <w:multiLevelType w:val="hybridMultilevel"/>
    <w:lvl w:ilvl="0">
      <w:lvlJc w:val="left"/>
      <w:lvlText w:val="(%1)"/>
      <w:numFmt w:val="lowerLetter"/>
      <w:start w:val="1"/>
    </w:lvl>
  </w:abstractNum>
  <w:abstractNum w:abstractNumId="186">
    <w:nsid w:val="541F28CD"/>
    <w:multiLevelType w:val="hybridMultilevel"/>
    <w:lvl w:ilvl="0">
      <w:lvlJc w:val="left"/>
      <w:lvlText w:val="(%1)"/>
      <w:numFmt w:val="lowerLetter"/>
      <w:start w:val="3"/>
    </w:lvl>
  </w:abstractNum>
  <w:abstractNum w:abstractNumId="187">
    <w:nsid w:val="7F65FD16"/>
    <w:multiLevelType w:val="hybridMultilevel"/>
    <w:lvl w:ilvl="0">
      <w:lvlJc w:val="left"/>
      <w:lvlText w:val="(%1)"/>
      <w:numFmt w:val="lowerRoman"/>
      <w:start w:val="2"/>
    </w:lvl>
  </w:abstractNum>
  <w:abstractNum w:abstractNumId="188">
    <w:nsid w:val="77C9FD68"/>
    <w:multiLevelType w:val="hybridMultilevel"/>
    <w:lvl w:ilvl="0">
      <w:lvlJc w:val="left"/>
      <w:lvlText w:val="%1"/>
      <w:numFmt w:val="lowerLetter"/>
      <w:start w:val="1"/>
    </w:lvl>
    <w:lvl w:ilvl="1">
      <w:lvlJc w:val="left"/>
      <w:lvlText w:val="(%2)"/>
      <w:numFmt w:val="lowerRoman"/>
      <w:start w:val="3"/>
    </w:lvl>
  </w:abstractNum>
  <w:abstractNum w:abstractNumId="189">
    <w:nsid w:val="298A92BA"/>
    <w:multiLevelType w:val="hybridMultilevel"/>
    <w:lvl w:ilvl="0">
      <w:lvlJc w:val="left"/>
      <w:lvlText w:val="(%1)"/>
      <w:numFmt w:val="lowerLetter"/>
      <w:start w:val="2"/>
    </w:lvl>
    <w:lvl w:ilvl="1">
      <w:lvlJc w:val="left"/>
      <w:lvlText w:val="%2"/>
      <w:numFmt w:val="lowerRoman"/>
      <w:start w:val="1"/>
    </w:lvl>
  </w:abstractNum>
  <w:abstractNum w:abstractNumId="190">
    <w:nsid w:val="6FE95EAC"/>
    <w:multiLevelType w:val="hybridMultilevel"/>
    <w:lvl w:ilvl="0">
      <w:lvlJc w:val="left"/>
      <w:lvlText w:val="(%1)"/>
      <w:numFmt w:val="lowerLetter"/>
      <w:start w:val="4"/>
    </w:lvl>
  </w:abstractNum>
  <w:abstractNum w:abstractNumId="191">
    <w:nsid w:val="4B697C7A"/>
    <w:multiLevelType w:val="hybridMultilevel"/>
    <w:lvl w:ilvl="0">
      <w:lvlJc w:val="left"/>
      <w:lvlText w:val="(%1)"/>
      <w:numFmt w:val="lowerLetter"/>
      <w:start w:val="2"/>
    </w:lvl>
  </w:abstractNum>
  <w:abstractNum w:abstractNumId="192">
    <w:nsid w:val="51A27AA6"/>
    <w:multiLevelType w:val="hybridMultilevel"/>
    <w:lvl w:ilvl="0">
      <w:lvlJc w:val="left"/>
      <w:lvlText w:val="(%1)"/>
      <w:numFmt w:val="lowerLetter"/>
      <w:start w:val="9"/>
    </w:lvl>
  </w:abstractNum>
  <w:abstractNum w:abstractNumId="193">
    <w:nsid w:val="613183F2"/>
    <w:multiLevelType w:val="hybridMultilevel"/>
    <w:lvl w:ilvl="0">
      <w:lvlJc w:val="left"/>
      <w:lvlText w:val="%1"/>
      <w:numFmt w:val="lowerLetter"/>
      <w:start w:val="1"/>
    </w:lvl>
    <w:lvl w:ilvl="1">
      <w:lvlJc w:val="left"/>
      <w:lvlText w:val="(%2)"/>
      <w:numFmt w:val="lowerLetter"/>
      <w:start w:val="2"/>
    </w:lvl>
  </w:abstractNum>
  <w:abstractNum w:abstractNumId="194">
    <w:nsid w:val="634102B4"/>
    <w:multiLevelType w:val="hybridMultilevel"/>
    <w:lvl w:ilvl="0">
      <w:lvlJc w:val="left"/>
      <w:lvlText w:val="(%1)"/>
      <w:numFmt w:val="lowerLetter"/>
      <w:start w:val="61"/>
    </w:lvl>
    <w:lvl w:ilvl="1">
      <w:lvlJc w:val="left"/>
      <w:lvlText w:val="%2"/>
      <w:numFmt w:val="lowerLetter"/>
      <w:start w:val="1"/>
    </w:lvl>
  </w:abstractNum>
  <w:abstractNum w:abstractNumId="195">
    <w:nsid w:val="65BF9DA8"/>
    <w:multiLevelType w:val="hybridMultilevel"/>
    <w:lvl w:ilvl="0">
      <w:lvlJc w:val="left"/>
      <w:lvlText w:val="(%1)"/>
      <w:numFmt w:val="lowerLetter"/>
      <w:start w:val="2"/>
    </w:lvl>
  </w:abstractNum>
  <w:abstractNum w:abstractNumId="196">
    <w:nsid w:val="21A2ECCA"/>
    <w:multiLevelType w:val="hybridMultilevel"/>
    <w:lvl w:ilvl="0">
      <w:lvlJc w:val="left"/>
      <w:lvlText w:val="(%1)"/>
      <w:numFmt w:val="lowerLetter"/>
      <w:start w:val="2"/>
    </w:lvl>
  </w:abstractNum>
  <w:abstractNum w:abstractNumId="197">
    <w:nsid w:val="4D5C4899"/>
    <w:multiLevelType w:val="hybridMultilevel"/>
    <w:lvl w:ilvl="0">
      <w:lvlJc w:val="left"/>
      <w:lvlText w:val="(%1)"/>
      <w:numFmt w:val="lowerLetter"/>
      <w:start w:val="4"/>
    </w:lvl>
  </w:abstractNum>
  <w:abstractNum w:abstractNumId="198">
    <w:nsid w:val="3C3B72B2"/>
    <w:multiLevelType w:val="hybridMultilevel"/>
    <w:lvl w:ilvl="0">
      <w:lvlJc w:val="left"/>
      <w:lvlText w:val="(%1)"/>
      <w:numFmt w:val="lowerRoman"/>
      <w:start w:val="1"/>
    </w:lvl>
  </w:abstractNum>
  <w:abstractNum w:abstractNumId="199">
    <w:nsid w:val="155EC4C2"/>
    <w:multiLevelType w:val="hybridMultilevel"/>
    <w:lvl w:ilvl="0">
      <w:lvlJc w:val="left"/>
      <w:lvlText w:val="(%1)"/>
      <w:numFmt w:val="lowerLetter"/>
      <w:start w:val="2"/>
    </w:lvl>
  </w:abstractNum>
  <w:abstractNum w:abstractNumId="200">
    <w:nsid w:val="65D2A137"/>
    <w:multiLevelType w:val="hybridMultilevel"/>
    <w:lvl w:ilvl="0">
      <w:lvlJc w:val="left"/>
      <w:lvlText w:val="(%1)"/>
      <w:numFmt w:val="lowerLetter"/>
      <w:start w:val="2"/>
    </w:lvl>
  </w:abstractNum>
  <w:abstractNum w:abstractNumId="201">
    <w:nsid w:val="6EBB1F2A"/>
    <w:multiLevelType w:val="hybridMultilevel"/>
    <w:lvl w:ilvl="0">
      <w:lvlJc w:val="left"/>
      <w:lvlText w:val="(%1)"/>
      <w:numFmt w:val="lowerLetter"/>
      <w:start w:val="9"/>
    </w:lvl>
    <w:lvl w:ilvl="1">
      <w:lvlJc w:val="left"/>
      <w:lvlText w:val="(%2)"/>
      <w:numFmt w:val="lowerLetter"/>
      <w:start w:val="2"/>
    </w:lvl>
  </w:abstractNum>
  <w:abstractNum w:abstractNumId="202">
    <w:nsid w:val="6FBF29CB"/>
    <w:multiLevelType w:val="hybridMultilevel"/>
    <w:lvl w:ilvl="0">
      <w:lvlJc w:val="left"/>
      <w:lvlText w:val="(%1)"/>
      <w:numFmt w:val="lowerLetter"/>
      <w:start w:val="3"/>
    </w:lvl>
  </w:abstractNum>
  <w:abstractNum w:abstractNumId="203">
    <w:nsid w:val="550B8808"/>
    <w:multiLevelType w:val="hybridMultilevel"/>
    <w:lvl w:ilvl="0">
      <w:lvlJc w:val="left"/>
      <w:lvlText w:val="(%1)"/>
      <w:numFmt w:val="lowerRoman"/>
      <w:start w:val="1"/>
    </w:lvl>
  </w:abstractNum>
  <w:abstractNum w:abstractNumId="204">
    <w:nsid w:val="34CC3ACF"/>
    <w:multiLevelType w:val="hybridMultilevel"/>
    <w:lvl w:ilvl="0">
      <w:lvlJc w:val="left"/>
      <w:lvlText w:val="(%1)"/>
      <w:numFmt w:val="lowerLetter"/>
      <w:start w:val="2"/>
    </w:lvl>
  </w:abstractNum>
  <w:abstractNum w:abstractNumId="205">
    <w:nsid w:val="4E556261"/>
    <w:multiLevelType w:val="hybridMultilevel"/>
    <w:lvl w:ilvl="0">
      <w:lvlJc w:val="left"/>
      <w:lvlText w:val="(%1)"/>
      <w:numFmt w:val="lowerLetter"/>
      <w:start w:val="2"/>
    </w:lvl>
  </w:abstractNum>
  <w:abstractNum w:abstractNumId="206">
    <w:nsid w:val="4C672FC9"/>
    <w:multiLevelType w:val="hybridMultilevel"/>
    <w:lvl w:ilvl="0">
      <w:lvlJc w:val="left"/>
      <w:lvlText w:val="(%1)"/>
      <w:numFmt w:val="lowerLetter"/>
      <w:start w:val="3"/>
    </w:lvl>
  </w:abstractNum>
  <w:abstractNum w:abstractNumId="207">
    <w:nsid w:val="52A311C3"/>
    <w:multiLevelType w:val="hybridMultilevel"/>
    <w:lvl w:ilvl="0">
      <w:lvlJc w:val="left"/>
      <w:lvlText w:val="(%1)"/>
      <w:numFmt w:val="lowerLetter"/>
      <w:start w:val="2"/>
    </w:lvl>
  </w:abstractNum>
  <w:abstractNum w:abstractNumId="208">
    <w:nsid w:val="44EF6B80"/>
    <w:multiLevelType w:val="hybridMultilevel"/>
    <w:lvl w:ilvl="0">
      <w:lvlJc w:val="left"/>
      <w:lvlText w:val="(%1)"/>
      <w:numFmt w:val="lowerLetter"/>
      <w:start w:val="1"/>
    </w:lvl>
  </w:abstractNum>
  <w:abstractNum w:abstractNumId="209">
    <w:nsid w:val="12FCDE5E"/>
    <w:multiLevelType w:val="hybridMultilevel"/>
    <w:lvl w:ilvl="0">
      <w:lvlJc w:val="left"/>
      <w:lvlText w:val="(%1)"/>
      <w:numFmt w:val="lowerLetter"/>
      <w:start w:val="3"/>
    </w:lvl>
  </w:abstractNum>
  <w:abstractNum w:abstractNumId="210">
    <w:nsid w:val="4A1D606E"/>
    <w:multiLevelType w:val="hybridMultilevel"/>
    <w:lvl w:ilvl="0">
      <w:lvlJc w:val="left"/>
      <w:lvlText w:val="(%1)"/>
      <w:numFmt w:val="lowerRoman"/>
      <w:start w:val="2"/>
    </w:lvl>
  </w:abstractNum>
  <w:abstractNum w:abstractNumId="211">
    <w:nsid w:val="4382503"/>
    <w:multiLevelType w:val="hybridMultilevel"/>
    <w:lvl w:ilvl="0">
      <w:lvlJc w:val="left"/>
      <w:lvlText w:val="(%1)"/>
      <w:numFmt w:val="upperLetter"/>
      <w:start w:val="1"/>
    </w:lvl>
    <w:lvl w:ilvl="1">
      <w:lvlJc w:val="left"/>
      <w:lvlText w:val="(%2)"/>
      <w:numFmt w:val="decimal"/>
      <w:start w:val="1"/>
    </w:lvl>
  </w:abstractNum>
  <w:abstractNum w:abstractNumId="212">
    <w:nsid w:val="59B76E28"/>
    <w:multiLevelType w:val="hybridMultilevel"/>
    <w:lvl w:ilvl="0">
      <w:lvlJc w:val="left"/>
      <w:lvlText w:val="%1"/>
      <w:numFmt w:val="upperLetter"/>
      <w:start w:val="1"/>
    </w:lvl>
    <w:lvl w:ilvl="1">
      <w:lvlJc w:val="left"/>
      <w:lvlText w:val="(%2)"/>
      <w:numFmt w:val="decimal"/>
      <w:start w:val="4"/>
    </w:lvl>
  </w:abstractNum>
  <w:abstractNum w:abstractNumId="213">
    <w:nsid w:val="4252C2DA"/>
    <w:multiLevelType w:val="hybridMultilevel"/>
    <w:lvl w:ilvl="0">
      <w:lvlJc w:val="left"/>
      <w:lvlText w:val="(%1)"/>
      <w:numFmt w:val="upperLetter"/>
      <w:start w:val="3"/>
    </w:lvl>
    <w:lvl w:ilvl="1">
      <w:lvlJc w:val="left"/>
      <w:lvlText w:val="%2"/>
      <w:numFmt w:val="decimal"/>
      <w:start w:val="1"/>
    </w:lvl>
  </w:abstractNum>
  <w:abstractNum w:abstractNumId="214">
    <w:nsid w:val="6A92EF4C"/>
    <w:multiLevelType w:val="hybridMultilevel"/>
    <w:lvl w:ilvl="0">
      <w:lvlJc w:val="left"/>
      <w:lvlText w:val="(%1)"/>
      <w:numFmt w:val="upperLetter"/>
      <w:start w:val="5"/>
    </w:lvl>
  </w:abstractNum>
  <w:abstractNum w:abstractNumId="215">
    <w:nsid w:val="41ED20D7"/>
    <w:multiLevelType w:val="hybridMultilevel"/>
    <w:lvl w:ilvl="0">
      <w:lvlJc w:val="left"/>
      <w:lvlText w:val="(%1)"/>
      <w:numFmt w:val="lowerLetter"/>
      <w:start w:val="8"/>
    </w:lvl>
  </w:abstractNum>
  <w:abstractNum w:abstractNumId="216">
    <w:nsid w:val="E6B3F6A"/>
    <w:multiLevelType w:val="hybridMultilevel"/>
    <w:lvl w:ilvl="0">
      <w:lvlJc w:val="left"/>
      <w:lvlText w:val="(%1)"/>
      <w:numFmt w:val="lowerLetter"/>
      <w:start w:val="10"/>
    </w:lvl>
    <w:lvl w:ilvl="1">
      <w:lvlJc w:val="left"/>
      <w:lvlText w:val="(%2)"/>
      <w:numFmt w:val="lowerLetter"/>
      <w:start w:val="35"/>
    </w:lvl>
  </w:abstractNum>
  <w:abstractNum w:abstractNumId="217">
    <w:nsid w:val="3EB21819"/>
    <w:multiLevelType w:val="hybridMultilevel"/>
    <w:lvl w:ilvl="0">
      <w:lvlJc w:val="left"/>
      <w:lvlText w:val="(%1)"/>
      <w:numFmt w:val="upperLetter"/>
      <w:start w:val="1"/>
    </w:lvl>
  </w:abstractNum>
  <w:abstractNum w:abstractNumId="218">
    <w:nsid w:val="41531DED"/>
    <w:multiLevelType w:val="hybridMultilevel"/>
    <w:lvl w:ilvl="0">
      <w:lvlJc w:val="left"/>
      <w:lvlText w:val="(%1)"/>
      <w:numFmt w:val="lowerRoman"/>
      <w:start w:val="3"/>
    </w:lvl>
  </w:abstractNum>
  <w:abstractNum w:abstractNumId="219">
    <w:nsid w:val="6353CD2"/>
    <w:multiLevelType w:val="hybridMultilevel"/>
    <w:lvl w:ilvl="0">
      <w:lvlJc w:val="left"/>
      <w:lvlText w:val="(%1)"/>
      <w:numFmt w:val="lowerRoman"/>
      <w:start w:val="4"/>
    </w:lvl>
  </w:abstractNum>
  <w:abstractNum w:abstractNumId="220">
    <w:nsid w:val="683CAAD3"/>
    <w:multiLevelType w:val="hybridMultilevel"/>
    <w:lvl w:ilvl="0">
      <w:lvlJc w:val="left"/>
      <w:lvlText w:val="(%1)"/>
      <w:numFmt w:val="lowerLetter"/>
      <w:start w:val="2"/>
    </w:lvl>
  </w:abstractNum>
  <w:abstractNum w:abstractNumId="221">
    <w:nsid w:val="313C7C99"/>
    <w:multiLevelType w:val="hybridMultilevel"/>
    <w:lvl w:ilvl="0">
      <w:lvlJc w:val="left"/>
      <w:lvlText w:val="%1"/>
      <w:numFmt w:val="lowerLetter"/>
      <w:start w:val="1"/>
    </w:lvl>
    <w:lvl w:ilvl="1">
      <w:lvlJc w:val="left"/>
      <w:lvlText w:val="(%2)"/>
      <w:numFmt w:val="lowerLetter"/>
      <w:start w:val="1"/>
    </w:lvl>
  </w:abstractNum>
  <w:abstractNum w:abstractNumId="222">
    <w:nsid w:val="519EB94C"/>
    <w:multiLevelType w:val="hybridMultilevel"/>
    <w:lvl w:ilvl="0">
      <w:lvlJc w:val="left"/>
      <w:lvlText w:val="(%1)"/>
      <w:numFmt w:val="lowerLetter"/>
      <w:start w:val="61"/>
    </w:lvl>
    <w:lvl w:ilvl="1">
      <w:lvlJc w:val="left"/>
      <w:lvlText w:val="(%2)"/>
      <w:numFmt w:val="lowerLetter"/>
      <w:start w:val="3"/>
    </w:lvl>
  </w:abstractNum>
  <w:abstractNum w:abstractNumId="223">
    <w:nsid w:val="39DF2579"/>
    <w:multiLevelType w:val="hybridMultilevel"/>
    <w:lvl w:ilvl="0">
      <w:lvlJc w:val="left"/>
      <w:lvlText w:val="(%1)"/>
      <w:numFmt w:val="lowerLetter"/>
      <w:start w:val="4"/>
    </w:lvl>
    <w:lvl w:ilvl="1">
      <w:lvlJc w:val="left"/>
      <w:lvlText w:val="(%2)"/>
      <w:numFmt w:val="lowerRoman"/>
      <w:start w:val="1"/>
    </w:lvl>
  </w:abstractNum>
  <w:abstractNum w:abstractNumId="224">
    <w:nsid w:val="126E008B"/>
    <w:multiLevelType w:val="hybridMultilevel"/>
    <w:lvl w:ilvl="0">
      <w:lvlJc w:val="left"/>
      <w:lvlText w:val="(%1)"/>
      <w:numFmt w:val="lowerRoman"/>
      <w:start w:val="4"/>
    </w:lvl>
  </w:abstractNum>
  <w:abstractNum w:abstractNumId="225">
    <w:nsid w:val="34DFBC00"/>
    <w:multiLevelType w:val="hybridMultilevel"/>
    <w:lvl w:ilvl="0">
      <w:lvlJc w:val="left"/>
      <w:lvlText w:val="(%1)"/>
      <w:numFmt w:val="lowerLetter"/>
      <w:start w:val="7"/>
    </w:lvl>
    <w:lvl w:ilvl="1">
      <w:lvlJc w:val="left"/>
      <w:lvlText w:val="(%2)"/>
      <w:numFmt w:val="lowerRoman"/>
      <w:start w:val="1"/>
    </w:lvl>
  </w:abstractNum>
  <w:abstractNum w:abstractNumId="226">
    <w:nsid w:val="1F9EC322"/>
    <w:multiLevelType w:val="hybridMultilevel"/>
    <w:lvl w:ilvl="0">
      <w:lvlJc w:val="left"/>
      <w:lvlText w:val="(%1)"/>
      <w:numFmt w:val="lowerRoman"/>
      <w:start w:val="3"/>
    </w:lvl>
  </w:abstractNum>
  <w:abstractNum w:abstractNumId="227">
    <w:nsid w:val="3410ED56"/>
    <w:multiLevelType w:val="hybridMultilevel"/>
    <w:lvl w:ilvl="0">
      <w:lvlJc w:val="left"/>
      <w:lvlText w:val="(%1)"/>
      <w:numFmt w:val="lowerLetter"/>
      <w:start w:val="8"/>
    </w:lvl>
  </w:abstractNum>
  <w:abstractNum w:abstractNumId="228">
    <w:nsid w:val="23C049A"/>
    <w:multiLevelType w:val="hybridMultilevel"/>
    <w:lvl w:ilvl="0">
      <w:lvlJc w:val="left"/>
      <w:lvlText w:val="(%1)"/>
      <w:numFmt w:val="lowerLetter"/>
      <w:start w:val="10"/>
    </w:lvl>
  </w:abstractNum>
  <w:abstractNum w:abstractNumId="229">
    <w:nsid w:val="5BDA35D4"/>
    <w:multiLevelType w:val="hybridMultilevel"/>
    <w:lvl w:ilvl="0">
      <w:lvlJc w:val="left"/>
      <w:lvlText w:val="(%1)"/>
      <w:numFmt w:val="lowerLetter"/>
      <w:start w:val="12"/>
    </w:lvl>
  </w:abstractNum>
  <w:abstractNum w:abstractNumId="230">
    <w:nsid w:val="496FB218"/>
    <w:multiLevelType w:val="hybridMultilevel"/>
    <w:lvl w:ilvl="0">
      <w:lvlJc w:val="left"/>
      <w:lvlText w:val="(%1)"/>
      <w:numFmt w:val="lowerLetter"/>
      <w:start w:val="2"/>
    </w:lvl>
  </w:abstractNum>
  <w:abstractNum w:abstractNumId="231">
    <w:nsid w:val="680EA5D1"/>
    <w:multiLevelType w:val="hybridMultilevel"/>
    <w:lvl w:ilvl="0">
      <w:lvlJc w:val="left"/>
      <w:lvlText w:val="(%1)"/>
      <w:numFmt w:val="lowerLetter"/>
      <w:start w:val="4"/>
    </w:lvl>
  </w:abstractNum>
  <w:abstractNum w:abstractNumId="232">
    <w:nsid w:val="4A9554FE"/>
    <w:multiLevelType w:val="hybridMultilevel"/>
    <w:lvl w:ilvl="0">
      <w:lvlJc w:val="left"/>
      <w:lvlText w:val="(%1)"/>
      <w:numFmt w:val="lowerLetter"/>
      <w:start w:val="8"/>
    </w:lvl>
  </w:abstractNum>
  <w:abstractNum w:abstractNumId="233">
    <w:nsid w:val="392EDBE4"/>
    <w:multiLevelType w:val="hybridMultilevel"/>
    <w:lvl w:ilvl="0">
      <w:lvlJc w:val="left"/>
      <w:lvlText w:val="(%1)"/>
      <w:numFmt w:val="lowerLetter"/>
      <w:start w:val="1"/>
    </w:lvl>
    <w:lvl w:ilvl="1">
      <w:lvlJc w:val="left"/>
      <w:lvlText w:val="(%2)"/>
      <w:numFmt w:val="lowerRoman"/>
      <w:start w:val="1"/>
    </w:lvl>
  </w:abstractNum>
  <w:abstractNum w:abstractNumId="234">
    <w:nsid w:val="3D1A2DD9"/>
    <w:multiLevelType w:val="hybridMultilevel"/>
    <w:lvl w:ilvl="0">
      <w:lvlJc w:val="left"/>
      <w:lvlText w:val="(%1)"/>
      <w:numFmt w:val="lowerLetter"/>
      <w:start w:val="2"/>
    </w:lvl>
  </w:abstractNum>
  <w:abstractNum w:abstractNumId="235">
    <w:nsid w:val="7F618FCD"/>
    <w:multiLevelType w:val="hybridMultilevel"/>
    <w:lvl w:ilvl="0">
      <w:lvlJc w:val="left"/>
      <w:lvlText w:val="%1"/>
      <w:numFmt w:val="lowerLetter"/>
      <w:start w:val="1"/>
    </w:lvl>
    <w:lvl w:ilvl="1">
      <w:lvlJc w:val="left"/>
      <w:lvlText w:val="(%2)"/>
      <w:numFmt w:val="lowerRoman"/>
      <w:start w:val="2"/>
    </w:lvl>
  </w:abstractNum>
  <w:abstractNum w:abstractNumId="236">
    <w:nsid w:val="7843E45"/>
    <w:multiLevelType w:val="hybridMultilevel"/>
    <w:lvl w:ilvl="0">
      <w:lvlJc w:val="left"/>
      <w:lvlText w:val="(%1)"/>
      <w:numFmt w:val="lowerLetter"/>
      <w:start w:val="4"/>
    </w:lvl>
    <w:lvl w:ilvl="1">
      <w:lvlJc w:val="left"/>
      <w:lvlText w:val="%2"/>
      <w:numFmt w:val="lowerRoman"/>
      <w:start w:val="1"/>
    </w:lvl>
  </w:abstractNum>
  <w:abstractNum w:abstractNumId="237">
    <w:nsid w:val="9815DA3"/>
    <w:multiLevelType w:val="hybridMultilevel"/>
    <w:lvl w:ilvl="0">
      <w:lvlJc w:val="left"/>
      <w:lvlText w:val="%1"/>
      <w:numFmt w:val="lowerLetter"/>
      <w:start w:val="1"/>
    </w:lvl>
    <w:lvl w:ilvl="1">
      <w:lvlJc w:val="left"/>
      <w:lvlText w:val="(%2)"/>
      <w:numFmt w:val="lowerLetter"/>
      <w:start w:val="35"/>
    </w:lvl>
  </w:abstractNum>
  <w:abstractNum w:abstractNumId="238">
    <w:nsid w:val="5204A191"/>
    <w:multiLevelType w:val="hybridMultilevel"/>
    <w:lvl w:ilvl="0">
      <w:lvlJc w:val="left"/>
      <w:lvlText w:val="(%1)"/>
      <w:numFmt w:val="lowerLetter"/>
      <w:start w:val="5"/>
    </w:lvl>
    <w:lvl w:ilvl="1">
      <w:lvlJc w:val="left"/>
      <w:lvlText w:val="%2"/>
      <w:numFmt w:val="lowerLetter"/>
      <w:start w:val="1"/>
    </w:lvl>
  </w:abstractNum>
  <w:abstractNum w:abstractNumId="239">
    <w:nsid w:val="4C73A9C6"/>
    <w:multiLevelType w:val="hybridMultilevel"/>
    <w:lvl w:ilvl="0">
      <w:lvlJc w:val="left"/>
      <w:lvlText w:val="(%1)"/>
      <w:numFmt w:val="lowerLetter"/>
      <w:start w:val="1"/>
    </w:lvl>
    <w:lvl w:ilvl="1">
      <w:lvlJc w:val="left"/>
      <w:lvlText w:val="(%2)"/>
      <w:numFmt w:val="lowerRoman"/>
      <w:start w:val="1"/>
    </w:lvl>
  </w:abstractNum>
  <w:abstractNum w:abstractNumId="240">
    <w:nsid w:val="1C7E3C01"/>
    <w:multiLevelType w:val="hybridMultilevel"/>
    <w:lvl w:ilvl="0">
      <w:lvlJc w:val="left"/>
      <w:lvlText w:val="(%1)"/>
      <w:numFmt w:val="upperLetter"/>
      <w:start w:val="1"/>
    </w:lvl>
  </w:abstractNum>
  <w:abstractNum w:abstractNumId="241">
    <w:nsid w:val="1C2201FF"/>
    <w:multiLevelType w:val="hybridMultilevel"/>
    <w:lvl w:ilvl="0">
      <w:lvlJc w:val="left"/>
      <w:lvlText w:val="(%1)"/>
      <w:numFmt w:val="upperLetter"/>
      <w:start w:val="2"/>
    </w:lvl>
  </w:abstractNum>
  <w:abstractNum w:abstractNumId="242">
    <w:nsid w:val="50ABCEC9"/>
    <w:multiLevelType w:val="hybridMultilevel"/>
    <w:lvl w:ilvl="0">
      <w:lvlJc w:val="left"/>
      <w:lvlText w:val="(%1)"/>
      <w:numFmt w:val="lowerLetter"/>
      <w:start w:val="2"/>
    </w:lvl>
    <w:lvl w:ilvl="1">
      <w:lvlJc w:val="left"/>
      <w:lvlText w:val="(%2)"/>
      <w:numFmt w:val="lowerRoman"/>
      <w:start w:val="2"/>
    </w:lvl>
  </w:abstractNum>
  <w:abstractNum w:abstractNumId="243">
    <w:nsid w:val="7635AA2A"/>
    <w:multiLevelType w:val="hybridMultilevel"/>
    <w:lvl w:ilvl="0">
      <w:lvlJc w:val="left"/>
      <w:lvlText w:val="(%1)"/>
      <w:numFmt w:val="lowerLetter"/>
      <w:start w:val="4"/>
    </w:lvl>
  </w:abstractNum>
  <w:abstractNum w:abstractNumId="244">
    <w:nsid w:val="5E74C4D9"/>
    <w:multiLevelType w:val="hybridMultilevel"/>
    <w:lvl w:ilvl="0">
      <w:lvlJc w:val="left"/>
      <w:lvlText w:val="(%1)"/>
      <w:numFmt w:val="lowerLetter"/>
      <w:start w:val="1"/>
    </w:lvl>
    <w:lvl w:ilvl="1">
      <w:lvlJc w:val="left"/>
      <w:lvlText w:val="(%2)"/>
      <w:numFmt w:val="upperLetter"/>
      <w:start w:val="1"/>
    </w:lvl>
  </w:abstractNum>
  <w:abstractNum w:abstractNumId="245">
    <w:nsid w:val="3B3EBE15"/>
    <w:multiLevelType w:val="hybridMultilevel"/>
    <w:lvl w:ilvl="0">
      <w:lvlJc w:val="left"/>
      <w:lvlText w:val="(%1)"/>
      <w:numFmt w:val="upperLetter"/>
      <w:start w:val="5"/>
    </w:lvl>
    <w:lvl w:ilvl="1">
      <w:lvlJc w:val="left"/>
      <w:lvlText w:val="(%2)"/>
      <w:numFmt w:val="decimal"/>
      <w:start w:val="1"/>
    </w:lvl>
  </w:abstractNum>
  <w:abstractNum w:abstractNumId="246">
    <w:nsid w:val="3822CB01"/>
    <w:multiLevelType w:val="hybridMultilevel"/>
    <w:lvl w:ilvl="0">
      <w:lvlJc w:val="left"/>
      <w:lvlText w:val="%1"/>
      <w:numFmt w:val="lowerLetter"/>
      <w:start w:val="1"/>
    </w:lvl>
    <w:lvl w:ilvl="1">
      <w:lvlJc w:val="left"/>
      <w:lvlText w:val="(%2)"/>
      <w:numFmt w:val="upperLetter"/>
      <w:start w:val="8"/>
    </w:lvl>
  </w:abstractNum>
  <w:abstractNum w:abstractNumId="247">
    <w:nsid w:val="6CE00443"/>
    <w:multiLevelType w:val="hybridMultilevel"/>
    <w:lvl w:ilvl="0">
      <w:lvlJc w:val="left"/>
      <w:lvlText w:val="(%1)"/>
      <w:numFmt w:val="lowerLetter"/>
      <w:start w:val="2"/>
    </w:lvl>
    <w:lvl w:ilvl="1">
      <w:lvlJc w:val="left"/>
      <w:lvlText w:val="%2"/>
      <w:numFmt w:val="upperLetter"/>
      <w:start w:val="1"/>
    </w:lvl>
  </w:abstractNum>
  <w:abstractNum w:abstractNumId="248">
    <w:nsid w:val="79F0D62F"/>
    <w:multiLevelType w:val="hybridMultilevel"/>
    <w:lvl w:ilvl="0">
      <w:lvlJc w:val="left"/>
      <w:lvlText w:val="(%1)"/>
      <w:numFmt w:val="lowerLetter"/>
      <w:start w:val="2"/>
    </w:lvl>
  </w:abstractNum>
  <w:abstractNum w:abstractNumId="249">
    <w:nsid w:val="7975E8EE"/>
    <w:multiLevelType w:val="hybridMultilevel"/>
    <w:lvl w:ilvl="0">
      <w:lvlJc w:val="left"/>
      <w:lvlText w:val="(%1)"/>
      <w:numFmt w:val="lowerLetter"/>
      <w:start w:val="2"/>
    </w:lvl>
  </w:abstractNum>
  <w:abstractNum w:abstractNumId="250">
    <w:nsid w:val="73154115"/>
    <w:multiLevelType w:val="hybridMultilevel"/>
    <w:lvl w:ilvl="0">
      <w:lvlJc w:val="left"/>
      <w:lvlText w:val="(%1)"/>
      <w:numFmt w:val="lowerLetter"/>
      <w:start w:val="3"/>
    </w:lvl>
  </w:abstractNum>
  <w:abstractNum w:abstractNumId="251">
    <w:nsid w:val="622D8102"/>
    <w:multiLevelType w:val="hybridMultilevel"/>
    <w:lvl w:ilvl="0">
      <w:lvlJc w:val="left"/>
      <w:lvlText w:val="(%1)"/>
      <w:numFmt w:val="lowerLetter"/>
      <w:start w:val="2"/>
    </w:lvl>
  </w:abstractNum>
  <w:abstractNum w:abstractNumId="252">
    <w:nsid w:val="2AB26587"/>
    <w:multiLevelType w:val="hybridMultilevel"/>
    <w:lvl w:ilvl="0">
      <w:lvlJc w:val="left"/>
      <w:lvlText w:val="(%1)"/>
      <w:numFmt w:val="lowerLetter"/>
      <w:start w:val="2"/>
    </w:lvl>
  </w:abstractNum>
  <w:abstractNum w:abstractNumId="253">
    <w:nsid w:val="44B3FA61"/>
    <w:multiLevelType w:val="hybridMultilevel"/>
    <w:lvl w:ilvl="0">
      <w:lvlJc w:val="left"/>
      <w:lvlText w:val="(%1)"/>
      <w:numFmt w:val="lowerRoman"/>
      <w:start w:val="1"/>
    </w:lvl>
  </w:abstractNum>
  <w:abstractNum w:abstractNumId="254">
    <w:nsid w:val="1C0CA67C"/>
    <w:multiLevelType w:val="hybridMultilevel"/>
    <w:lvl w:ilvl="0">
      <w:lvlJc w:val="left"/>
      <w:lvlText w:val="(%1)"/>
      <w:numFmt w:val="lowerLetter"/>
      <w:start w:val="2"/>
    </w:lvl>
  </w:abstractNum>
  <w:abstractNum w:abstractNumId="255">
    <w:nsid w:val="3D206613"/>
    <w:multiLevelType w:val="hybridMultilevel"/>
    <w:lvl w:ilvl="0">
      <w:lvlJc w:val="left"/>
      <w:lvlText w:val="(%1)"/>
      <w:numFmt w:val="lowerLetter"/>
      <w:start w:val="2"/>
    </w:lvl>
  </w:abstractNum>
  <w:abstractNum w:abstractNumId="256">
    <w:nsid w:val="7993B662"/>
    <w:multiLevelType w:val="hybridMultilevel"/>
    <w:lvl w:ilvl="0">
      <w:lvlJc w:val="left"/>
      <w:lvlText w:val="(%1)"/>
      <w:numFmt w:val="lowerLetter"/>
      <w:start w:val="1"/>
    </w:lvl>
  </w:abstractNum>
  <w:abstractNum w:abstractNumId="257">
    <w:nsid w:val="3BAB699E"/>
    <w:multiLevelType w:val="hybridMultilevel"/>
    <w:lvl w:ilvl="0">
      <w:lvlJc w:val="left"/>
      <w:lvlText w:val="(%1)"/>
      <w:numFmt w:val="lowerLetter"/>
      <w:start w:val="3"/>
    </w:lvl>
  </w:abstractNum>
  <w:abstractNum w:abstractNumId="258">
    <w:nsid w:val="713153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7BCFBAF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6"/>
    </w:lvl>
  </w:abstractNum>
  <w:abstractNum w:abstractNumId="260">
    <w:nsid w:val="17859F72"/>
    <w:multiLevelType w:val="hybridMultilevel"/>
    <w:lvl w:ilvl="0">
      <w:lvlJc w:val="left"/>
      <w:lvlText w:val="%1"/>
      <w:numFmt w:val="upperLetter"/>
      <w:start w:val="1"/>
    </w:lvl>
    <w:lvl w:ilvl="1">
      <w:lvlJc w:val="left"/>
      <w:lvlText w:val="(%2)"/>
      <w:numFmt w:val="lowerLetter"/>
      <w:start w:val="2"/>
    </w:lvl>
  </w:abstractNum>
  <w:abstractNum w:abstractNumId="261">
    <w:nsid w:val="3AA10581"/>
    <w:multiLevelType w:val="hybridMultilevel"/>
    <w:lvl w:ilvl="0">
      <w:lvlJc w:val="left"/>
      <w:lvlText w:val="(%1)"/>
      <w:numFmt w:val="upperLetter"/>
      <w:start w:val="2"/>
    </w:lvl>
    <w:lvl w:ilvl="1">
      <w:lvlJc w:val="left"/>
      <w:lvlText w:val="%2"/>
      <w:numFmt w:val="lowerLetter"/>
      <w:start w:val="1"/>
    </w:lvl>
  </w:abstractNum>
  <w:abstractNum w:abstractNumId="262">
    <w:nsid w:val="63DE60CD"/>
    <w:multiLevelType w:val="hybridMultilevel"/>
    <w:lvl w:ilvl="0">
      <w:lvlJc w:val="left"/>
      <w:lvlText w:val="(%1)"/>
      <w:numFmt w:val="lowerLetter"/>
      <w:start w:val="2"/>
    </w:lvl>
  </w:abstractNum>
  <w:abstractNum w:abstractNumId="263">
    <w:nsid w:val="621AF471"/>
    <w:multiLevelType w:val="hybridMultilevel"/>
    <w:lvl w:ilvl="0">
      <w:lvlJc w:val="left"/>
      <w:lvlText w:val="(%1)"/>
      <w:numFmt w:val="lowerLetter"/>
      <w:start w:val="2"/>
    </w:lvl>
  </w:abstractNum>
  <w:abstractNum w:abstractNumId="264">
    <w:nsid w:val="73CFE165"/>
    <w:multiLevelType w:val="hybridMultilevel"/>
    <w:lvl w:ilvl="0">
      <w:lvlJc w:val="left"/>
      <w:lvlText w:val="(%1)"/>
      <w:numFmt w:val="lowerLetter"/>
      <w:start w:val="3"/>
    </w:lvl>
  </w:abstractNum>
  <w:abstractNum w:abstractNumId="265">
    <w:nsid w:val="20F88EA6"/>
    <w:multiLevelType w:val="hybridMultilevel"/>
    <w:lvl w:ilvl="0">
      <w:lvlJc w:val="left"/>
      <w:lvlText w:val="(%1)"/>
      <w:numFmt w:val="lowerLetter"/>
      <w:start w:val="1"/>
    </w:lvl>
  </w:abstractNum>
  <w:abstractNum w:abstractNumId="266">
    <w:nsid w:val="617C843E"/>
    <w:multiLevelType w:val="hybridMultilevel"/>
    <w:lvl w:ilvl="0">
      <w:lvlJc w:val="left"/>
      <w:lvlText w:val="(%1)"/>
      <w:numFmt w:val="lowerLetter"/>
      <w:start w:val="2"/>
    </w:lvl>
  </w:abstractNum>
  <w:abstractNum w:abstractNumId="267">
    <w:nsid w:val="7B541FAB"/>
    <w:multiLevelType w:val="hybridMultilevel"/>
    <w:lvl w:ilvl="0">
      <w:lvlJc w:val="left"/>
      <w:lvlText w:val="(%1)"/>
      <w:numFmt w:val="lowerLetter"/>
      <w:start w:val="1"/>
    </w:lvl>
  </w:abstractNum>
  <w:abstractNum w:abstractNumId="268">
    <w:nsid w:val="2A79EC49"/>
    <w:multiLevelType w:val="hybridMultilevel"/>
    <w:lvl w:ilvl="0">
      <w:lvlJc w:val="left"/>
      <w:lvlText w:val="%1"/>
      <w:numFmt w:val="lowerRoman"/>
      <w:start w:val="1"/>
    </w:lvl>
    <w:lvl w:ilvl="1">
      <w:lvlJc w:val="left"/>
      <w:lvlText w:val="(%2)"/>
      <w:numFmt w:val="lowerLetter"/>
      <w:start w:val="4"/>
    </w:lvl>
  </w:abstractNum>
  <w:abstractNum w:abstractNumId="269">
    <w:nsid w:val="338125CF"/>
    <w:multiLevelType w:val="hybridMultilevel"/>
    <w:lvl w:ilvl="0">
      <w:lvlJc w:val="left"/>
      <w:lvlText w:val="(%1)"/>
      <w:numFmt w:val="lowerRoman"/>
      <w:start w:val="4"/>
    </w:lvl>
    <w:lvl w:ilvl="1">
      <w:lvlJc w:val="left"/>
      <w:lvlText w:val="(%2)"/>
      <w:numFmt w:val="lowerLetter"/>
      <w:start w:val="5"/>
    </w:lvl>
  </w:abstractNum>
  <w:abstractNum w:abstractNumId="270">
    <w:nsid w:val="47C7C971"/>
    <w:multiLevelType w:val="hybridMultilevel"/>
    <w:lvl w:ilvl="0">
      <w:lvlJc w:val="left"/>
      <w:lvlText w:val="(%1)"/>
      <w:numFmt w:val="lowerLetter"/>
      <w:start w:val="1"/>
    </w:lvl>
  </w:abstractNum>
  <w:abstractNum w:abstractNumId="271">
    <w:nsid w:val="46F8284B"/>
    <w:multiLevelType w:val="hybridMultilevel"/>
    <w:lvl w:ilvl="0">
      <w:lvlJc w:val="left"/>
      <w:lvlText w:val="(%1)"/>
      <w:numFmt w:val="lowerLetter"/>
      <w:start w:val="2"/>
    </w:lvl>
  </w:abstractNum>
  <w:abstractNum w:abstractNumId="272">
    <w:nsid w:val="4FA327CE"/>
    <w:multiLevelType w:val="hybridMultilevel"/>
    <w:lvl w:ilvl="0">
      <w:lvlJc w:val="left"/>
      <w:lvlText w:val="(%1)"/>
      <w:numFmt w:val="lowerLetter"/>
      <w:start w:val="6"/>
    </w:lvl>
  </w:abstractNum>
  <w:abstractNum w:abstractNumId="273">
    <w:nsid w:val="1873983A"/>
    <w:multiLevelType w:val="hybridMultilevel"/>
    <w:lvl w:ilvl="0">
      <w:lvlJc w:val="left"/>
      <w:lvlText w:val="(%1)"/>
      <w:numFmt w:val="lowerLetter"/>
      <w:start w:val="1"/>
    </w:lvl>
  </w:abstractNum>
  <w:abstractNum w:abstractNumId="274">
    <w:nsid w:val="3D2DD275"/>
    <w:multiLevelType w:val="hybridMultilevel"/>
    <w:lvl w:ilvl="0">
      <w:lvlJc w:val="left"/>
      <w:lvlText w:val="(%1)"/>
      <w:numFmt w:val="lowerLetter"/>
      <w:start w:val="9"/>
    </w:lvl>
    <w:lvl w:ilvl="1">
      <w:lvlJc w:val="left"/>
      <w:lvlText w:val="(%2)"/>
      <w:numFmt w:val="lowerLetter"/>
      <w:start w:val="3"/>
    </w:lvl>
  </w:abstractNum>
  <w:abstractNum w:abstractNumId="275">
    <w:nsid w:val="2E17ECA7"/>
    <w:multiLevelType w:val="hybridMultilevel"/>
    <w:lvl w:ilvl="0">
      <w:lvlJc w:val="left"/>
      <w:lvlText w:val="(%1)"/>
      <w:numFmt w:val="lowerLetter"/>
      <w:start w:val="5"/>
    </w:lvl>
  </w:abstractNum>
  <w:abstractNum w:abstractNumId="276">
    <w:nsid w:val="53B2564F"/>
    <w:multiLevelType w:val="hybridMultilevel"/>
    <w:lvl w:ilvl="0">
      <w:lvlJc w:val="left"/>
      <w:lvlText w:val="(%1)"/>
      <w:numFmt w:val="lowerLetter"/>
      <w:start w:val="1"/>
    </w:lvl>
  </w:abstractNum>
  <w:abstractNum w:abstractNumId="277">
    <w:nsid w:val="75509D76"/>
    <w:multiLevelType w:val="hybridMultilevel"/>
    <w:lvl w:ilvl="0">
      <w:lvlJc w:val="left"/>
      <w:lvlText w:val="(%1)"/>
      <w:numFmt w:val="lowerLetter"/>
      <w:start w:val="1"/>
    </w:lvl>
  </w:abstractNum>
  <w:abstractNum w:abstractNumId="278">
    <w:nsid w:val="1AF7F0EA"/>
    <w:multiLevelType w:val="hybridMultilevel"/>
    <w:lvl w:ilvl="0">
      <w:lvlJc w:val="left"/>
      <w:lvlText w:val="(%1)"/>
      <w:numFmt w:val="lowerLetter"/>
      <w:start w:val="3"/>
    </w:lvl>
  </w:abstractNum>
  <w:abstractNum w:abstractNumId="279">
    <w:nsid w:val="4DA32C7E"/>
    <w:multiLevelType w:val="hybridMultilevel"/>
    <w:lvl w:ilvl="0">
      <w:lvlJc w:val="left"/>
      <w:lvlText w:val="(%1)"/>
      <w:numFmt w:val="lowerLetter"/>
      <w:start w:val="13"/>
    </w:lvl>
  </w:abstractNum>
  <w:abstractNum w:abstractNumId="280">
    <w:nsid w:val="6EC68664"/>
    <w:multiLevelType w:val="hybridMultilevel"/>
    <w:lvl w:ilvl="0">
      <w:lvlJc w:val="left"/>
      <w:lvlText w:val="(%1)"/>
      <w:numFmt w:val="lowerLetter"/>
      <w:start w:val="1"/>
    </w:lvl>
  </w:abstractNum>
  <w:abstractNum w:abstractNumId="281">
    <w:nsid w:val="E0D31FF"/>
    <w:multiLevelType w:val="hybridMultilevel"/>
    <w:lvl w:ilvl="0">
      <w:lvlJc w:val="left"/>
      <w:lvlText w:val="(%1)"/>
      <w:numFmt w:val="lowerLetter"/>
      <w:start w:val="4"/>
    </w:lvl>
    <w:lvl w:ilvl="1">
      <w:lvlJc w:val="left"/>
      <w:lvlText w:val="(%2)"/>
      <w:numFmt w:val="lowerRoman"/>
      <w:start w:val="1"/>
    </w:lvl>
  </w:abstractNum>
  <w:abstractNum w:abstractNumId="282">
    <w:nsid w:val="2FD0AD81"/>
    <w:multiLevelType w:val="hybridMultilevel"/>
    <w:lvl w:ilvl="0">
      <w:lvlJc w:val="left"/>
      <w:lvlText w:val="(%1)"/>
      <w:numFmt w:val="lowerRoman"/>
      <w:start w:val="6"/>
    </w:lvl>
  </w:abstractNum>
  <w:abstractNum w:abstractNumId="283">
    <w:nsid w:val="1978EBEB"/>
    <w:multiLevelType w:val="hybridMultilevel"/>
    <w:lvl w:ilvl="0">
      <w:lvlJc w:val="left"/>
      <w:lvlText w:val="(%1)"/>
      <w:numFmt w:val="lowerLetter"/>
      <w:start w:val="10"/>
    </w:lvl>
    <w:lvl w:ilvl="1">
      <w:lvlJc w:val="left"/>
      <w:lvlText w:val="(%2)"/>
      <w:numFmt w:val="lowerRoman"/>
      <w:start w:val="1"/>
    </w:lvl>
  </w:abstractNum>
  <w:abstractNum w:abstractNumId="284">
    <w:nsid w:val="52C12C61"/>
    <w:multiLevelType w:val="hybridMultilevel"/>
    <w:lvl w:ilvl="0">
      <w:lvlJc w:val="left"/>
      <w:lvlText w:val="(%1)"/>
      <w:numFmt w:val="lowerLetter"/>
      <w:start w:val="1"/>
    </w:lvl>
  </w:abstractNum>
  <w:abstractNum w:abstractNumId="285">
    <w:nsid w:val="4BDD53FD"/>
    <w:multiLevelType w:val="hybridMultilevel"/>
    <w:lvl w:ilvl="0">
      <w:lvlJc w:val="left"/>
      <w:lvlText w:val="%1"/>
      <w:numFmt w:val="upperLetter"/>
      <w:start w:val="1"/>
    </w:lvl>
    <w:lvl w:ilvl="1">
      <w:lvlJc w:val="left"/>
      <w:lvlText w:val="(%2)"/>
      <w:numFmt w:val="lowerLetter"/>
      <w:start w:val="2"/>
    </w:lvl>
  </w:abstractNum>
  <w:abstractNum w:abstractNumId="286">
    <w:nsid w:val="569951FE"/>
    <w:multiLevelType w:val="hybridMultilevel"/>
    <w:lvl w:ilvl="0">
      <w:lvlJc w:val="left"/>
      <w:lvlText w:val="(%1)"/>
      <w:numFmt w:val="upperLetter"/>
      <w:start w:val="3"/>
    </w:lvl>
    <w:lvl w:ilvl="1">
      <w:lvlJc w:val="left"/>
      <w:lvlText w:val="%2"/>
      <w:numFmt w:val="lowerLetter"/>
      <w:start w:val="1"/>
    </w:lvl>
  </w:abstractNum>
  <w:abstractNum w:abstractNumId="287">
    <w:nsid w:val="4C54E2C3"/>
    <w:multiLevelType w:val="hybridMultilevel"/>
    <w:lvl w:ilvl="0">
      <w:lvlJc w:val="left"/>
      <w:lvlText w:val="(%1)"/>
      <w:numFmt w:val="lowerLetter"/>
      <w:start w:val="2"/>
    </w:lvl>
  </w:abstractNum>
  <w:abstractNum w:abstractNumId="288">
    <w:nsid w:val="788BD9B"/>
    <w:multiLevelType w:val="hybridMultilevel"/>
    <w:lvl w:ilvl="0">
      <w:lvlJc w:val="left"/>
      <w:lvlText w:val="(%1)"/>
      <w:numFmt w:val="lowerLetter"/>
      <w:start w:val="1"/>
    </w:lvl>
  </w:abstractNum>
  <w:abstractNum w:abstractNumId="289">
    <w:nsid w:val="47CAA567"/>
    <w:multiLevelType w:val="hybridMultilevel"/>
    <w:lvl w:ilvl="0">
      <w:lvlJc w:val="left"/>
      <w:lvlText w:val="(%1)"/>
      <w:numFmt w:val="lowerLetter"/>
      <w:start w:val="2"/>
    </w:lvl>
  </w:abstractNum>
  <w:abstractNum w:abstractNumId="290">
    <w:nsid w:val="48249DBF"/>
    <w:multiLevelType w:val="hybridMultilevel"/>
    <w:lvl w:ilvl="0">
      <w:lvlJc w:val="left"/>
      <w:lvlText w:val="(%1)"/>
      <w:numFmt w:val="lowerLetter"/>
      <w:start w:val="2"/>
    </w:lvl>
  </w:abstractNum>
  <w:abstractNum w:abstractNumId="291">
    <w:nsid w:val="1F0E5D0D"/>
    <w:multiLevelType w:val="hybridMultilevel"/>
    <w:lvl w:ilvl="0">
      <w:lvlJc w:val="left"/>
      <w:lvlText w:val="(%1)"/>
      <w:numFmt w:val="lowerLetter"/>
      <w:start w:val="1"/>
    </w:lvl>
  </w:abstractNum>
  <w:abstractNum w:abstractNumId="292">
    <w:nsid w:val="26BAAE9"/>
    <w:multiLevelType w:val="hybridMultilevel"/>
    <w:lvl w:ilvl="0">
      <w:lvlJc w:val="left"/>
      <w:lvlText w:val="%1"/>
      <w:numFmt w:val="lowerLetter"/>
      <w:start w:val="1"/>
    </w:lvl>
    <w:lvl w:ilvl="1">
      <w:lvlJc w:val="left"/>
      <w:lvlText w:val="(%2)"/>
      <w:numFmt w:val="lowerLetter"/>
      <w:start w:val="7"/>
    </w:lvl>
  </w:abstractNum>
  <w:abstractNum w:abstractNumId="293">
    <w:nsid w:val="2C02FE8C"/>
    <w:multiLevelType w:val="hybridMultilevel"/>
    <w:lvl w:ilvl="0">
      <w:lvlJc w:val="left"/>
      <w:lvlText w:val="(%1)"/>
      <w:numFmt w:val="lowerLetter"/>
      <w:start w:val="9"/>
    </w:lvl>
    <w:lvl w:ilvl="1">
      <w:lvlJc w:val="left"/>
      <w:lvlText w:val="(%2)"/>
      <w:numFmt w:val="lowerLetter"/>
      <w:start w:val="8"/>
    </w:lvl>
  </w:abstractNum>
  <w:abstractNum w:abstractNumId="294">
    <w:nsid w:val="129517E"/>
    <w:multiLevelType w:val="hybridMultilevel"/>
    <w:lvl w:ilvl="0">
      <w:lvlJc w:val="left"/>
      <w:lvlText w:val="(%1)"/>
      <w:numFmt w:val="lowerLetter"/>
      <w:start w:val="11"/>
    </w:lvl>
  </w:abstractNum>
  <w:abstractNum w:abstractNumId="295">
    <w:nsid w:val="763B8C4E"/>
    <w:multiLevelType w:val="hybridMultilevel"/>
    <w:lvl w:ilvl="0">
      <w:lvlJc w:val="left"/>
      <w:lvlText w:val="(%1)"/>
      <w:numFmt w:val="lowerLetter"/>
      <w:start w:val="1"/>
    </w:lvl>
  </w:abstractNum>
  <w:abstractNum w:abstractNumId="296">
    <w:nsid w:val="4CFB8D32"/>
    <w:multiLevelType w:val="hybridMultilevel"/>
    <w:lvl w:ilvl="0">
      <w:lvlJc w:val="left"/>
      <w:lvlText w:val="(%1)"/>
      <w:numFmt w:val="lowerLetter"/>
      <w:start w:val="1"/>
    </w:lvl>
  </w:abstractNum>
  <w:abstractNum w:abstractNumId="297">
    <w:nsid w:val="62A5D5BD"/>
    <w:multiLevelType w:val="hybridMultilevel"/>
    <w:lvl w:ilvl="0">
      <w:lvlJc w:val="left"/>
      <w:lvlText w:val="(%1)"/>
      <w:numFmt w:val="lowerLetter"/>
      <w:start w:val="2"/>
    </w:lvl>
  </w:abstractNum>
  <w:abstractNum w:abstractNumId="298">
    <w:nsid w:val="718FABF9"/>
    <w:multiLevelType w:val="hybridMultilevel"/>
    <w:lvl w:ilvl="0">
      <w:lvlJc w:val="left"/>
      <w:lvlText w:val="(%1)"/>
      <w:numFmt w:val="lowerLetter"/>
      <w:start w:val="1"/>
    </w:lvl>
  </w:abstractNum>
  <w:abstractNum w:abstractNumId="299">
    <w:nsid w:val="7775797C"/>
    <w:multiLevelType w:val="hybridMultilevel"/>
    <w:lvl w:ilvl="0">
      <w:lvlJc w:val="left"/>
      <w:lvlText w:val="(%1)"/>
      <w:numFmt w:val="lowerLetter"/>
      <w:start w:val="1"/>
    </w:lvl>
  </w:abstractNum>
  <w:abstractNum w:abstractNumId="300">
    <w:nsid w:val="1626FB8C"/>
    <w:multiLevelType w:val="hybridMultilevel"/>
    <w:lvl w:ilvl="0">
      <w:lvlJc w:val="left"/>
      <w:lvlText w:val="(%1)"/>
      <w:numFmt w:val="lowerLetter"/>
      <w:start w:val="3"/>
    </w:lvl>
  </w:abstractNum>
  <w:abstractNum w:abstractNumId="301">
    <w:nsid w:val="3957756A"/>
    <w:multiLevelType w:val="hybridMultilevel"/>
    <w:lvl w:ilvl="0">
      <w:lvlJc w:val="left"/>
      <w:lvlText w:val="(%1)"/>
      <w:numFmt w:val="lowerLetter"/>
      <w:start w:val="1"/>
    </w:lvl>
  </w:abstractNum>
  <w:abstractNum w:abstractNumId="302">
    <w:nsid w:val="3E6DA1C7"/>
    <w:multiLevelType w:val="hybridMultilevel"/>
    <w:lvl w:ilvl="0">
      <w:lvlJc w:val="left"/>
      <w:lvlText w:val="(%1)"/>
      <w:numFmt w:val="lowerLetter"/>
      <w:start w:val="1"/>
    </w:lvl>
  </w:abstractNum>
  <w:abstractNum w:abstractNumId="303">
    <w:nsid w:val="65CA235B"/>
    <w:multiLevelType w:val="hybridMultilevel"/>
    <w:lvl w:ilvl="0">
      <w:lvlJc w:val="left"/>
      <w:lvlText w:val="%1"/>
      <w:numFmt w:val="lowerLetter"/>
      <w:start w:val="1"/>
    </w:lvl>
    <w:lvl w:ilvl="1">
      <w:lvlJc w:val="left"/>
      <w:lvlText w:val="(%2)"/>
      <w:numFmt w:val="lowerRoman"/>
      <w:start w:val="1"/>
    </w:lvl>
  </w:abstractNum>
  <w:abstractNum w:abstractNumId="304">
    <w:nsid w:val="51CB0DA4"/>
    <w:multiLevelType w:val="hybridMultilevel"/>
    <w:lvl w:ilvl="0">
      <w:lvlJc w:val="left"/>
      <w:lvlText w:val="(%1)"/>
      <w:numFmt w:val="lowerLetter"/>
      <w:start w:val="3"/>
    </w:lvl>
    <w:lvl w:ilvl="1">
      <w:lvlJc w:val="left"/>
      <w:lvlText w:val="%2"/>
      <w:numFmt w:val="lowerRoman"/>
      <w:start w:val="1"/>
    </w:lvl>
  </w:abstractNum>
  <w:abstractNum w:abstractNumId="305">
    <w:nsid w:val="7B9B743C"/>
    <w:multiLevelType w:val="hybridMultilevel"/>
    <w:lvl w:ilvl="0">
      <w:lvlJc w:val="left"/>
      <w:lvlText w:val="(%1)"/>
      <w:numFmt w:val="lowerLetter"/>
      <w:start w:val="6"/>
    </w:lvl>
  </w:abstractNum>
  <w:abstractNum w:abstractNumId="306">
    <w:nsid w:val="13E21002"/>
    <w:multiLevelType w:val="hybridMultilevel"/>
    <w:lvl w:ilvl="0">
      <w:lvlJc w:val="left"/>
      <w:lvlText w:val="(%1)"/>
      <w:numFmt w:val="lowerLetter"/>
      <w:start w:val="1"/>
    </w:lvl>
  </w:abstractNum>
  <w:abstractNum w:abstractNumId="307">
    <w:nsid w:val="257D63F4"/>
    <w:multiLevelType w:val="hybridMultilevel"/>
    <w:lvl w:ilvl="0">
      <w:lvlJc w:val="left"/>
      <w:lvlText w:val="(%1)"/>
      <w:numFmt w:val="lowerLetter"/>
      <w:start w:val="1"/>
    </w:lvl>
    <w:lvl w:ilvl="1">
      <w:lvlJc w:val="left"/>
      <w:lvlText w:val="(%2)"/>
      <w:numFmt w:val="lowerRoman"/>
      <w:start w:val="1"/>
    </w:lvl>
  </w:abstractNum>
  <w:abstractNum w:abstractNumId="308">
    <w:nsid w:val="70EC11B2"/>
    <w:multiLevelType w:val="hybridMultilevel"/>
    <w:lvl w:ilvl="0">
      <w:lvlJc w:val="left"/>
      <w:lvlText w:val="(%1)"/>
      <w:numFmt w:val="lowerLetter"/>
      <w:start w:val="2"/>
    </w:lvl>
  </w:abstractNum>
  <w:abstractNum w:abstractNumId="309">
    <w:nsid w:val="2EDA00ED"/>
    <w:multiLevelType w:val="hybridMultilevel"/>
    <w:lvl w:ilvl="0">
      <w:lvlJc w:val="left"/>
      <w:lvlText w:val="(%1)"/>
      <w:numFmt w:val="lowerLetter"/>
      <w:start w:val="3"/>
    </w:lvl>
  </w:abstractNum>
  <w:abstractNum w:abstractNumId="310">
    <w:nsid w:val="73209072"/>
    <w:multiLevelType w:val="hybridMultilevel"/>
    <w:lvl w:ilvl="0">
      <w:lvlJc w:val="left"/>
      <w:lvlText w:val="(%1)"/>
      <w:numFmt w:val="lowerLetter"/>
      <w:start w:val="5"/>
    </w:lvl>
  </w:abstractNum>
  <w:abstractNum w:abstractNumId="311">
    <w:nsid w:val="5FB298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2">
    <w:nsid w:val="3CE732EC"/>
    <w:multiLevelType w:val="hybridMultilevel"/>
    <w:lvl w:ilvl="0">
      <w:lvlJc w:val="left"/>
      <w:lvlText w:val="(%1)"/>
      <w:numFmt w:val="lowerRoman"/>
      <w:start w:val="2"/>
    </w:lvl>
    <w:lvl w:ilvl="1">
      <w:lvlJc w:val="left"/>
      <w:lvlText w:val="(%2)"/>
      <w:numFmt w:val="upperLetter"/>
      <w:start w:val="1"/>
    </w:lvl>
  </w:abstractNum>
  <w:abstractNum w:abstractNumId="313">
    <w:nsid w:val="22F13DF3"/>
    <w:multiLevelType w:val="hybridMultilevel"/>
    <w:lvl w:ilvl="0">
      <w:lvlJc w:val="left"/>
      <w:lvlText w:val="(%1)"/>
      <w:numFmt w:val="lowerRoman"/>
      <w:start w:val="4"/>
    </w:lvl>
  </w:abstractNum>
  <w:abstractNum w:abstractNumId="314">
    <w:nsid w:val="792B8401"/>
    <w:multiLevelType w:val="hybridMultilevel"/>
    <w:lvl w:ilvl="0">
      <w:lvlJc w:val="left"/>
      <w:lvlText w:val="(%1)"/>
      <w:numFmt w:val="lowerLetter"/>
      <w:start w:val="3"/>
    </w:lvl>
  </w:abstractNum>
  <w:abstractNum w:abstractNumId="315">
    <w:nsid w:val="FA85F4D"/>
    <w:multiLevelType w:val="hybridMultilevel"/>
    <w:lvl w:ilvl="0">
      <w:lvlJc w:val="left"/>
      <w:lvlText w:val="%1"/>
      <w:numFmt w:val="lowerLetter"/>
      <w:start w:val="1"/>
    </w:lvl>
    <w:lvl w:ilvl="1">
      <w:lvlJc w:val="left"/>
      <w:lvlText w:val="(%2)"/>
      <w:numFmt w:val="lowerLetter"/>
      <w:start w:val="5"/>
    </w:lvl>
  </w:abstractNum>
  <w:abstractNum w:abstractNumId="316">
    <w:nsid w:val="6ECE91F0"/>
    <w:multiLevelType w:val="hybridMultilevel"/>
    <w:lvl w:ilvl="0">
      <w:lvlJc w:val="left"/>
      <w:lvlText w:val="(%1)"/>
      <w:numFmt w:val="lowerLetter"/>
      <w:start w:val="9"/>
    </w:lvl>
    <w:lvl w:ilvl="1">
      <w:lvlJc w:val="left"/>
      <w:lvlText w:val="%2"/>
      <w:numFmt w:val="lowerLetter"/>
      <w:start w:val="1"/>
    </w:lvl>
  </w:abstractNum>
  <w:abstractNum w:abstractNumId="317">
    <w:nsid w:val="4FC4D600"/>
    <w:multiLevelType w:val="hybridMultilevel"/>
    <w:lvl w:ilvl="0">
      <w:lvlJc w:val="left"/>
      <w:lvlText w:val="(%1)"/>
      <w:numFmt w:val="lowerLetter"/>
      <w:start w:val="8"/>
    </w:lvl>
  </w:abstractNum>
  <w:abstractNum w:abstractNumId="318">
    <w:nsid w:val="5BFD4210"/>
    <w:multiLevelType w:val="hybridMultilevel"/>
    <w:lvl w:ilvl="0">
      <w:lvlJc w:val="left"/>
      <w:lvlText w:val="(%1)"/>
      <w:numFmt w:val="lowerLetter"/>
      <w:start w:val="1"/>
    </w:lvl>
  </w:abstractNum>
  <w:abstractNum w:abstractNumId="319">
    <w:nsid w:val="76574F8B"/>
    <w:multiLevelType w:val="hybridMultilevel"/>
    <w:lvl w:ilvl="0">
      <w:lvlJc w:val="left"/>
      <w:lvlText w:val="%1"/>
      <w:numFmt w:val="lowerLetter"/>
      <w:start w:val="1"/>
    </w:lvl>
    <w:lvl w:ilvl="1">
      <w:lvlJc w:val="left"/>
      <w:lvlText w:val="(%2)"/>
      <w:numFmt w:val="lowerLetter"/>
      <w:start w:val="2"/>
    </w:lvl>
  </w:abstractNum>
  <w:abstractNum w:abstractNumId="320">
    <w:nsid w:val="178F7B67"/>
    <w:multiLevelType w:val="hybridMultilevel"/>
    <w:lvl w:ilvl="0">
      <w:lvlJc w:val="left"/>
      <w:lvlText w:val="(%1)"/>
      <w:numFmt w:val="lowerLetter"/>
      <w:start w:val="35"/>
    </w:lvl>
    <w:lvl w:ilvl="1">
      <w:lvlJc w:val="left"/>
      <w:lvlText w:val="%2"/>
      <w:numFmt w:val="lowerLetter"/>
      <w:start w:val="1"/>
    </w:lvl>
  </w:abstractNum>
  <w:abstractNum w:abstractNumId="321">
    <w:nsid w:val="2421DFCF"/>
    <w:multiLevelType w:val="hybridMultilevel"/>
    <w:lvl w:ilvl="0">
      <w:lvlJc w:val="left"/>
      <w:lvlText w:val="(%1)"/>
      <w:numFmt w:val="lowerLetter"/>
      <w:start w:val="3"/>
    </w:lvl>
  </w:abstractNum>
  <w:abstractNum w:abstractNumId="322">
    <w:nsid w:val="1565AC99"/>
    <w:multiLevelType w:val="hybridMultilevel"/>
    <w:lvl w:ilvl="0">
      <w:lvlJc w:val="left"/>
      <w:lvlText w:val="(%1)"/>
      <w:numFmt w:val="lowerLetter"/>
      <w:start w:val="2"/>
    </w:lvl>
    <w:lvl w:ilvl="1">
      <w:lvlJc w:val="left"/>
      <w:lvlText w:val="(%2)"/>
      <w:numFmt w:val="lowerRoman"/>
      <w:start w:val="1"/>
    </w:lvl>
  </w:abstractNum>
  <w:abstractNum w:abstractNumId="323">
    <w:nsid w:val="19FB2650"/>
    <w:multiLevelType w:val="hybridMultilevel"/>
    <w:lvl w:ilvl="0">
      <w:lvlJc w:val="left"/>
      <w:lvlText w:val="(%1)"/>
      <w:numFmt w:val="lowerRoman"/>
      <w:start w:val="4"/>
    </w:lvl>
  </w:abstractNum>
  <w:abstractNum w:abstractNumId="324">
    <w:nsid w:val="5024DE5B"/>
    <w:multiLevelType w:val="hybridMultilevel"/>
    <w:lvl w:ilvl="0">
      <w:lvlJc w:val="left"/>
      <w:lvlText w:val="(%1)"/>
      <w:numFmt w:val="lowerRoman"/>
      <w:start w:val="9"/>
    </w:lvl>
  </w:abstractNum>
  <w:abstractNum w:abstractNumId="325">
    <w:nsid w:val="168EFE17"/>
    <w:multiLevelType w:val="hybridMultilevel"/>
    <w:lvl w:ilvl="0">
      <w:lvlJc w:val="left"/>
      <w:lvlText w:val="(%1)"/>
      <w:numFmt w:val="lowerLetter"/>
      <w:start w:val="2"/>
    </w:lvl>
  </w:abstractNum>
  <w:abstractNum w:abstractNumId="326">
    <w:nsid w:val="1036B29F"/>
    <w:multiLevelType w:val="hybridMultilevel"/>
    <w:lvl w:ilvl="0">
      <w:lvlJc w:val="left"/>
      <w:lvlText w:val="(%1)"/>
      <w:numFmt w:val="lowerLetter"/>
      <w:start w:val="3"/>
    </w:lvl>
  </w:abstractNum>
  <w:abstractNum w:abstractNumId="327">
    <w:nsid w:val="1D206B8E"/>
    <w:multiLevelType w:val="hybridMultilevel"/>
    <w:lvl w:ilvl="0">
      <w:lvlJc w:val="left"/>
      <w:lvlText w:val="(%1)"/>
      <w:numFmt w:val="lowerLetter"/>
      <w:start w:val="2"/>
    </w:lvl>
  </w:abstractNum>
  <w:abstractNum w:abstractNumId="328">
    <w:nsid w:val="7934D3D4"/>
    <w:multiLevelType w:val="hybridMultilevel"/>
    <w:lvl w:ilvl="0">
      <w:lvlJc w:val="left"/>
      <w:lvlText w:val="(%1)"/>
      <w:numFmt w:val="lowerLetter"/>
      <w:start w:val="1"/>
    </w:lvl>
  </w:abstractNum>
  <w:abstractNum w:abstractNumId="329">
    <w:nsid w:val="1C65E98"/>
    <w:multiLevelType w:val="hybridMultilevel"/>
    <w:lvl w:ilvl="0">
      <w:lvlJc w:val="left"/>
      <w:lvlText w:val="(%1)"/>
      <w:numFmt w:val="lowerLetter"/>
      <w:start w:val="1"/>
    </w:lvl>
    <w:lvl w:ilvl="1">
      <w:lvlJc w:val="left"/>
      <w:lvlText w:val="(%2)"/>
      <w:numFmt w:val="lowerRoman"/>
      <w:start w:val="1"/>
    </w:lvl>
  </w:abstractNum>
  <w:abstractNum w:abstractNumId="330">
    <w:nsid w:val="1495E50A"/>
    <w:multiLevelType w:val="hybridMultilevel"/>
    <w:lvl w:ilvl="0">
      <w:lvlJc w:val="left"/>
      <w:lvlText w:val="(%1)"/>
      <w:numFmt w:val="lowerLetter"/>
      <w:start w:val="5"/>
    </w:lvl>
  </w:abstractNum>
  <w:abstractNum w:abstractNumId="331">
    <w:nsid w:val="F5BCF61"/>
    <w:multiLevelType w:val="hybridMultilevel"/>
    <w:lvl w:ilvl="0">
      <w:lvlJc w:val="left"/>
      <w:lvlText w:val="(%1)"/>
      <w:numFmt w:val="lowerLetter"/>
      <w:start w:val="1"/>
    </w:lvl>
    <w:lvl w:ilvl="1">
      <w:lvlJc w:val="left"/>
      <w:lvlText w:val="(%2)"/>
      <w:numFmt w:val="lowerRoman"/>
      <w:start w:val="1"/>
    </w:lvl>
  </w:abstractNum>
  <w:abstractNum w:abstractNumId="332">
    <w:nsid w:val="3B1DD403"/>
    <w:multiLevelType w:val="hybridMultilevel"/>
    <w:lvl w:ilvl="0">
      <w:lvlJc w:val="left"/>
      <w:lvlText w:val="(%1)"/>
      <w:numFmt w:val="lowerRoman"/>
      <w:start w:val="3"/>
    </w:lvl>
  </w:abstractNum>
  <w:abstractNum w:abstractNumId="333">
    <w:nsid w:val="530386D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18" Type="http://schemas.openxmlformats.org/officeDocument/2006/relationships/hyperlink" Target="http://www.sec.gov/Archives/edgar/data/1590584/000143774917019804/ex_101078.htm" TargetMode="External"/><Relationship Id="rId19" Type="http://schemas.openxmlformats.org/officeDocument/2006/relationships/hyperlink" Target="http://www.sec.gov/Archives/edgar/data/1590584/000143774918004861/ex_108119.htm" TargetMode="External"/><Relationship Id="rId20" Type="http://schemas.openxmlformats.org/officeDocument/2006/relationships/hyperlink" Target="http://www.sec.gov/Archives/edgar/data/1590584/00014377491501371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2019-12-28T23:20:48Z</dcterms:created>
  <dcterms:modified xsi:type="dcterms:W3CDTF">2019-12-28T23:20:48Z</dcterms:modified>
</cp:coreProperties>
</file>