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UNITED STATES</w:t>
      </w:r>
    </w:p>
    <w:p>
      <w:pPr>
        <w:ind w:left="6"/>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___)*</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Civeo Corporation</w:t>
      </w:r>
    </w:p>
    <w:p>
      <w:pPr>
        <w:ind w:left="6"/>
        <w:spacing w:after="0" w:line="238" w:lineRule="auto"/>
        <w:rPr>
          <w:sz w:val="20"/>
          <w:szCs w:val="20"/>
          <w:color w:val="auto"/>
        </w:rPr>
      </w:pPr>
      <w:r>
        <w:rPr>
          <w:rFonts w:ascii="Courier New" w:cs="Courier New" w:eastAsia="Courier New" w:hAnsi="Courier New"/>
          <w:sz w:val="19"/>
          <w:szCs w:val="19"/>
          <w:color w:val="auto"/>
        </w:rPr>
        <w:t>(Name of Issuer)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(Title of Class of Securities)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17878Y108</w:t>
      </w:r>
    </w:p>
    <w:p>
      <w:pPr>
        <w:ind w:left="6"/>
        <w:spacing w:after="0" w:line="238" w:lineRule="auto"/>
        <w:rPr>
          <w:sz w:val="20"/>
          <w:szCs w:val="20"/>
          <w:color w:val="auto"/>
        </w:rPr>
      </w:pPr>
      <w:r>
        <w:rPr>
          <w:rFonts w:ascii="Courier New" w:cs="Courier New" w:eastAsia="Courier New" w:hAnsi="Courier New"/>
          <w:sz w:val="19"/>
          <w:szCs w:val="19"/>
          <w:color w:val="auto"/>
        </w:rPr>
        <w:t>(CUSIP Number)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20"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is filed:</w:t>
      </w:r>
    </w:p>
    <w:p>
      <w:pPr>
        <w:spacing w:after="0" w:line="219" w:lineRule="exact"/>
        <w:rPr>
          <w:sz w:val="24"/>
          <w:szCs w:val="24"/>
          <w:color w:val="auto"/>
        </w:rPr>
      </w:pPr>
    </w:p>
    <w:p>
      <w:pPr>
        <w:jc w:val="both"/>
        <w:ind w:left="886" w:right="7800" w:firstLine="4"/>
        <w:spacing w:after="0" w:line="503" w:lineRule="auto"/>
        <w:tabs>
          <w:tab w:leader="none" w:pos="144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1" w:lineRule="exact"/>
        <w:rPr>
          <w:sz w:val="24"/>
          <w:szCs w:val="24"/>
          <w:color w:val="auto"/>
        </w:rPr>
      </w:pPr>
    </w:p>
    <w:p>
      <w:pPr>
        <w:jc w:val="both"/>
        <w:ind w:left="6" w:right="2900"/>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4"/>
          <w:szCs w:val="24"/>
          <w:color w:val="auto"/>
        </w:rPr>
      </w:pPr>
    </w:p>
    <w:p>
      <w:pPr>
        <w:ind w:left="6" w:right="2900"/>
        <w:spacing w:after="0" w:line="237" w:lineRule="auto"/>
        <w:rPr>
          <w:sz w:val="20"/>
          <w:szCs w:val="20"/>
          <w:color w:val="auto"/>
        </w:rPr>
      </w:pPr>
      <w:r>
        <w:rPr>
          <w:rFonts w:ascii="Courier New" w:cs="Courier New" w:eastAsia="Courier New" w:hAnsi="Courier New"/>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4"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No. 17878Y108</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 Names of Reporting Persons</w:t>
      </w:r>
    </w:p>
    <w:p>
      <w:pPr>
        <w:ind w:left="6"/>
        <w:spacing w:after="0" w:line="238" w:lineRule="auto"/>
        <w:rPr>
          <w:sz w:val="20"/>
          <w:szCs w:val="20"/>
          <w:color w:val="auto"/>
        </w:rPr>
      </w:pPr>
      <w:r>
        <w:rPr>
          <w:rFonts w:ascii="Courier New" w:cs="Courier New" w:eastAsia="Courier New" w:hAnsi="Courier New"/>
          <w:sz w:val="19"/>
          <w:szCs w:val="19"/>
          <w:color w:val="auto"/>
        </w:rPr>
        <w:t>Horizon Kinetics LLC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2 Check the appropriate box if a member of a Group (see instructions)</w:t>
      </w:r>
    </w:p>
    <w:p>
      <w:pPr>
        <w:spacing w:after="0" w:line="213" w:lineRule="exact"/>
        <w:rPr>
          <w:sz w:val="24"/>
          <w:szCs w:val="24"/>
          <w:color w:val="auto"/>
        </w:rPr>
      </w:pPr>
    </w:p>
    <w:p>
      <w:pPr>
        <w:ind w:left="566" w:hanging="566"/>
        <w:spacing w:after="0"/>
        <w:tabs>
          <w:tab w:leader="none" w:pos="56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566" w:hanging="566"/>
        <w:spacing w:after="0" w:line="238" w:lineRule="auto"/>
        <w:tabs>
          <w:tab w:leader="none" w:pos="56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3 Sec Use Only</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4 Citizenship or Place of Organization</w:t>
      </w:r>
    </w:p>
    <w:p>
      <w:pPr>
        <w:ind w:left="6"/>
        <w:spacing w:after="0" w:line="238" w:lineRule="auto"/>
        <w:rPr>
          <w:sz w:val="20"/>
          <w:szCs w:val="20"/>
          <w:color w:val="auto"/>
        </w:rPr>
      </w:pPr>
      <w:r>
        <w:rPr>
          <w:rFonts w:ascii="Courier New" w:cs="Courier New" w:eastAsia="Courier New" w:hAnsi="Courier New"/>
          <w:sz w:val="19"/>
          <w:szCs w:val="19"/>
          <w:color w:val="auto"/>
        </w:rPr>
        <w:t>Delaware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Number of Shares Beneficially</w:t>
      </w:r>
    </w:p>
    <w:p>
      <w:pPr>
        <w:ind w:left="6"/>
        <w:spacing w:after="0" w:line="238" w:lineRule="auto"/>
        <w:rPr>
          <w:sz w:val="20"/>
          <w:szCs w:val="20"/>
          <w:color w:val="auto"/>
        </w:rPr>
      </w:pPr>
      <w:r>
        <w:rPr>
          <w:rFonts w:ascii="Courier New" w:cs="Courier New" w:eastAsia="Courier New" w:hAnsi="Courier New"/>
          <w:sz w:val="19"/>
          <w:szCs w:val="19"/>
          <w:color w:val="auto"/>
        </w:rPr>
        <w:t>Owned by Each Reporting Person With:</w:t>
      </w:r>
    </w:p>
    <w:p>
      <w:pPr>
        <w:spacing w:after="0" w:line="213" w:lineRule="exact"/>
        <w:rPr>
          <w:sz w:val="24"/>
          <w:szCs w:val="24"/>
          <w:color w:val="auto"/>
        </w:rPr>
      </w:pPr>
    </w:p>
    <w:p>
      <w:pPr>
        <w:ind w:left="886"/>
        <w:spacing w:after="0"/>
        <w:tabs>
          <w:tab w:leader="none" w:pos="3426" w:val="left"/>
        </w:tabs>
        <w:rPr>
          <w:sz w:val="20"/>
          <w:szCs w:val="20"/>
          <w:color w:val="auto"/>
        </w:rPr>
      </w:pPr>
      <w:r>
        <w:rPr>
          <w:rFonts w:ascii="Courier New" w:cs="Courier New" w:eastAsia="Courier New" w:hAnsi="Courier New"/>
          <w:sz w:val="19"/>
          <w:szCs w:val="19"/>
          <w:color w:val="auto"/>
        </w:rPr>
        <w:t>5 Sole Voting Power:</w:t>
      </w:r>
      <w:r>
        <w:rPr>
          <w:sz w:val="20"/>
          <w:szCs w:val="20"/>
          <w:color w:val="auto"/>
        </w:rPr>
        <w:tab/>
      </w:r>
      <w:r>
        <w:rPr>
          <w:rFonts w:ascii="Courier New" w:cs="Courier New" w:eastAsia="Courier New" w:hAnsi="Courier New"/>
          <w:sz w:val="18"/>
          <w:szCs w:val="18"/>
          <w:color w:val="auto"/>
        </w:rPr>
        <w:t>36,947,116</w:t>
      </w:r>
    </w:p>
    <w:p>
      <w:pPr>
        <w:spacing w:after="0" w:line="213" w:lineRule="exact"/>
        <w:rPr>
          <w:sz w:val="24"/>
          <w:szCs w:val="24"/>
          <w:color w:val="auto"/>
        </w:rPr>
      </w:pPr>
    </w:p>
    <w:p>
      <w:pPr>
        <w:ind w:left="886"/>
        <w:spacing w:after="0"/>
        <w:rPr>
          <w:sz w:val="20"/>
          <w:szCs w:val="20"/>
          <w:color w:val="auto"/>
        </w:rPr>
      </w:pPr>
      <w:r>
        <w:rPr>
          <w:rFonts w:ascii="Courier New" w:cs="Courier New" w:eastAsia="Courier New" w:hAnsi="Courier New"/>
          <w:sz w:val="19"/>
          <w:szCs w:val="19"/>
          <w:color w:val="auto"/>
        </w:rPr>
        <w:t>6 Shared Voting Power: 0</w:t>
      </w:r>
    </w:p>
    <w:p>
      <w:pPr>
        <w:spacing w:after="0" w:line="213" w:lineRule="exact"/>
        <w:rPr>
          <w:sz w:val="24"/>
          <w:szCs w:val="24"/>
          <w:color w:val="auto"/>
        </w:rPr>
      </w:pPr>
    </w:p>
    <w:p>
      <w:pPr>
        <w:ind w:left="886"/>
        <w:spacing w:after="0"/>
        <w:tabs>
          <w:tab w:leader="none" w:pos="3986" w:val="left"/>
        </w:tabs>
        <w:rPr>
          <w:sz w:val="20"/>
          <w:szCs w:val="20"/>
          <w:color w:val="auto"/>
        </w:rPr>
      </w:pPr>
      <w:r>
        <w:rPr>
          <w:rFonts w:ascii="Courier New" w:cs="Courier New" w:eastAsia="Courier New" w:hAnsi="Courier New"/>
          <w:sz w:val="19"/>
          <w:szCs w:val="19"/>
          <w:color w:val="auto"/>
        </w:rPr>
        <w:t>7 Sole Dispositive Power:</w:t>
      </w:r>
      <w:r>
        <w:rPr>
          <w:sz w:val="20"/>
          <w:szCs w:val="20"/>
          <w:color w:val="auto"/>
        </w:rPr>
        <w:tab/>
      </w:r>
      <w:r>
        <w:rPr>
          <w:rFonts w:ascii="Courier New" w:cs="Courier New" w:eastAsia="Courier New" w:hAnsi="Courier New"/>
          <w:sz w:val="18"/>
          <w:szCs w:val="18"/>
          <w:color w:val="auto"/>
        </w:rPr>
        <w:t>36,947,116</w:t>
      </w:r>
    </w:p>
    <w:p>
      <w:pPr>
        <w:spacing w:after="0" w:line="213" w:lineRule="exact"/>
        <w:rPr>
          <w:sz w:val="24"/>
          <w:szCs w:val="24"/>
          <w:color w:val="auto"/>
        </w:rPr>
      </w:pPr>
    </w:p>
    <w:p>
      <w:pPr>
        <w:ind w:left="886"/>
        <w:spacing w:after="0"/>
        <w:rPr>
          <w:sz w:val="20"/>
          <w:szCs w:val="20"/>
          <w:color w:val="auto"/>
        </w:rPr>
      </w:pPr>
      <w:r>
        <w:rPr>
          <w:rFonts w:ascii="Courier New" w:cs="Courier New" w:eastAsia="Courier New" w:hAnsi="Courier New"/>
          <w:sz w:val="19"/>
          <w:szCs w:val="19"/>
          <w:color w:val="auto"/>
        </w:rPr>
        <w:t>8 Shared Dispositive Power: 0</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9 Aggregate Amount Beneficially Owned by Each Reporting Person:</w:t>
      </w:r>
    </w:p>
    <w:p>
      <w:pPr>
        <w:ind w:left="226"/>
        <w:spacing w:after="0" w:line="238" w:lineRule="auto"/>
        <w:rPr>
          <w:sz w:val="20"/>
          <w:szCs w:val="20"/>
          <w:color w:val="auto"/>
        </w:rPr>
      </w:pPr>
      <w:r>
        <w:rPr>
          <w:rFonts w:ascii="Courier New" w:cs="Courier New" w:eastAsia="Courier New" w:hAnsi="Courier New"/>
          <w:sz w:val="19"/>
          <w:szCs w:val="19"/>
          <w:color w:val="auto"/>
        </w:rPr>
        <w:t>36,947,116</w:t>
      </w:r>
    </w:p>
    <w:p>
      <w:pPr>
        <w:spacing w:after="0" w:line="220" w:lineRule="exact"/>
        <w:rPr>
          <w:sz w:val="24"/>
          <w:szCs w:val="24"/>
          <w:color w:val="auto"/>
        </w:rPr>
      </w:pPr>
    </w:p>
    <w:p>
      <w:pPr>
        <w:ind w:left="6" w:right="2780"/>
        <w:spacing w:after="0" w:line="235" w:lineRule="auto"/>
        <w:rPr>
          <w:sz w:val="20"/>
          <w:szCs w:val="20"/>
          <w:color w:val="auto"/>
        </w:rPr>
      </w:pPr>
      <w:r>
        <w:rPr>
          <w:rFonts w:ascii="Courier New" w:cs="Courier New" w:eastAsia="Courier New" w:hAnsi="Courier New"/>
          <w:sz w:val="19"/>
          <w:szCs w:val="19"/>
          <w:color w:val="auto"/>
        </w:rPr>
        <w:t>10 Check box if the aggregate amount in row (9) excludes certain shares (See Instructions)[ ]</w:t>
      </w:r>
    </w:p>
    <w:p>
      <w:pPr>
        <w:sectPr>
          <w:pgSz w:w="12240" w:h="15926" w:orient="portrait"/>
          <w:cols w:equalWidth="0" w:num="1">
            <w:col w:w="10686"/>
          </w:cols>
          <w:pgMar w:left="114" w:top="109" w:right="1440" w:bottom="0" w:gutter="0" w:footer="0" w:header="0"/>
        </w:sectPr>
      </w:pPr>
    </w:p>
    <w:bookmarkStart w:id="1" w:name="page2"/>
    <w:bookmarkEnd w:id="1"/>
    <w:p>
      <w:pPr>
        <w:ind w:left="6"/>
        <w:spacing w:after="0"/>
        <w:rPr>
          <w:sz w:val="20"/>
          <w:szCs w:val="20"/>
          <w:color w:val="auto"/>
        </w:rPr>
      </w:pPr>
      <w:r>
        <w:rPr>
          <w:rFonts w:ascii="Courier New" w:cs="Courier New" w:eastAsia="Courier New" w:hAnsi="Courier New"/>
          <w:sz w:val="19"/>
          <w:szCs w:val="19"/>
          <w:color w:val="auto"/>
        </w:rPr>
        <w:t>11 Percent of class represented by amount in row (9): 22.0%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12 Type of Reporting Person (See Instructions): HC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1 Names of Reporting Persons</w:t>
      </w:r>
    </w:p>
    <w:p>
      <w:pPr>
        <w:ind w:left="6"/>
        <w:spacing w:after="0" w:line="238" w:lineRule="auto"/>
        <w:rPr>
          <w:sz w:val="20"/>
          <w:szCs w:val="20"/>
          <w:color w:val="auto"/>
        </w:rPr>
      </w:pPr>
      <w:r>
        <w:rPr>
          <w:rFonts w:ascii="Courier New" w:cs="Courier New" w:eastAsia="Courier New" w:hAnsi="Courier New"/>
          <w:sz w:val="19"/>
          <w:szCs w:val="19"/>
          <w:color w:val="auto"/>
        </w:rPr>
        <w:t>Horizon Asset Management LLC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 Check the appropriate box if a member of a Group (see instructions)</w:t>
      </w:r>
    </w:p>
    <w:p>
      <w:pPr>
        <w:spacing w:after="0" w:line="213" w:lineRule="exact"/>
        <w:rPr>
          <w:sz w:val="20"/>
          <w:szCs w:val="20"/>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566" w:hanging="566"/>
        <w:spacing w:after="0" w:line="238" w:lineRule="auto"/>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3 Sec Use Only</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4 Citizenship or Place of Organization</w:t>
      </w:r>
    </w:p>
    <w:p>
      <w:pPr>
        <w:ind w:left="6"/>
        <w:spacing w:after="0" w:line="238" w:lineRule="auto"/>
        <w:rPr>
          <w:sz w:val="20"/>
          <w:szCs w:val="20"/>
          <w:color w:val="auto"/>
        </w:rPr>
      </w:pPr>
      <w:r>
        <w:rPr>
          <w:rFonts w:ascii="Courier New" w:cs="Courier New" w:eastAsia="Courier New" w:hAnsi="Courier New"/>
          <w:sz w:val="19"/>
          <w:szCs w:val="19"/>
          <w:color w:val="auto"/>
        </w:rPr>
        <w:t>Delaware</w:t>
      </w: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1060" w:type="dxa"/>
            <w:vAlign w:val="bottom"/>
          </w:tcPr>
          <w:p>
            <w:pPr>
              <w:jc w:val="right"/>
              <w:spacing w:after="0"/>
              <w:rPr>
                <w:sz w:val="20"/>
                <w:szCs w:val="20"/>
                <w:color w:val="auto"/>
              </w:rPr>
            </w:pPr>
            <w:r>
              <w:rPr>
                <w:rFonts w:ascii="Courier New" w:cs="Courier New" w:eastAsia="Courier New" w:hAnsi="Courier New"/>
                <w:sz w:val="19"/>
                <w:szCs w:val="19"/>
                <w:color w:val="auto"/>
                <w:w w:val="95"/>
              </w:rPr>
              <w:t>Number of</w:t>
            </w:r>
          </w:p>
        </w:tc>
        <w:tc>
          <w:tcPr>
            <w:tcW w:w="2660" w:type="dxa"/>
            <w:vAlign w:val="bottom"/>
          </w:tcPr>
          <w:p>
            <w:pPr>
              <w:ind w:left="40"/>
              <w:spacing w:after="0"/>
              <w:rPr>
                <w:sz w:val="20"/>
                <w:szCs w:val="20"/>
                <w:color w:val="auto"/>
              </w:rPr>
            </w:pPr>
            <w:r>
              <w:rPr>
                <w:rFonts w:ascii="Courier New" w:cs="Courier New" w:eastAsia="Courier New" w:hAnsi="Courier New"/>
                <w:sz w:val="19"/>
                <w:szCs w:val="19"/>
                <w:color w:val="auto"/>
              </w:rPr>
              <w:t>Shares Beneficially</w:t>
            </w:r>
          </w:p>
        </w:tc>
        <w:tc>
          <w:tcPr>
            <w:tcW w:w="1720" w:type="dxa"/>
            <w:vAlign w:val="bottom"/>
          </w:tcPr>
          <w:p>
            <w:pPr>
              <w:spacing w:after="0"/>
              <w:rPr>
                <w:sz w:val="18"/>
                <w:szCs w:val="18"/>
                <w:color w:val="auto"/>
              </w:rPr>
            </w:pPr>
          </w:p>
        </w:tc>
      </w:tr>
      <w:tr>
        <w:trPr>
          <w:trHeight w:val="214"/>
        </w:trPr>
        <w:tc>
          <w:tcPr>
            <w:tcW w:w="5440" w:type="dxa"/>
            <w:vAlign w:val="bottom"/>
            <w:gridSpan w:val="3"/>
          </w:tcPr>
          <w:p>
            <w:pPr>
              <w:jc w:val="right"/>
              <w:ind w:right="1347"/>
              <w:spacing w:after="0" w:line="214" w:lineRule="exact"/>
              <w:rPr>
                <w:sz w:val="20"/>
                <w:szCs w:val="20"/>
                <w:color w:val="auto"/>
              </w:rPr>
            </w:pPr>
            <w:r>
              <w:rPr>
                <w:rFonts w:ascii="Courier New" w:cs="Courier New" w:eastAsia="Courier New" w:hAnsi="Courier New"/>
                <w:sz w:val="19"/>
                <w:szCs w:val="19"/>
                <w:color w:val="auto"/>
                <w:w w:val="96"/>
              </w:rPr>
              <w:t>Owned by Each Reporting Person With:</w:t>
            </w:r>
          </w:p>
        </w:tc>
      </w:tr>
      <w:tr>
        <w:trPr>
          <w:trHeight w:val="428"/>
        </w:trPr>
        <w:tc>
          <w:tcPr>
            <w:tcW w:w="1060" w:type="dxa"/>
            <w:vAlign w:val="bottom"/>
          </w:tcPr>
          <w:p>
            <w:pPr>
              <w:jc w:val="right"/>
              <w:spacing w:after="0"/>
              <w:rPr>
                <w:sz w:val="20"/>
                <w:szCs w:val="20"/>
                <w:color w:val="auto"/>
              </w:rPr>
            </w:pPr>
            <w:r>
              <w:rPr>
                <w:rFonts w:ascii="Courier New" w:cs="Courier New" w:eastAsia="Courier New" w:hAnsi="Courier New"/>
                <w:sz w:val="19"/>
                <w:szCs w:val="19"/>
                <w:color w:val="auto"/>
              </w:rPr>
              <w:t>5</w:t>
            </w:r>
          </w:p>
        </w:tc>
        <w:tc>
          <w:tcPr>
            <w:tcW w:w="2660" w:type="dxa"/>
            <w:vAlign w:val="bottom"/>
          </w:tcPr>
          <w:p>
            <w:pPr>
              <w:ind w:left="40"/>
              <w:spacing w:after="0"/>
              <w:rPr>
                <w:sz w:val="20"/>
                <w:szCs w:val="20"/>
                <w:color w:val="auto"/>
              </w:rPr>
            </w:pPr>
            <w:r>
              <w:rPr>
                <w:rFonts w:ascii="Courier New" w:cs="Courier New" w:eastAsia="Courier New" w:hAnsi="Courier New"/>
                <w:sz w:val="19"/>
                <w:szCs w:val="19"/>
                <w:color w:val="auto"/>
              </w:rPr>
              <w:t>Sole Voting Power:</w:t>
            </w:r>
          </w:p>
        </w:tc>
        <w:tc>
          <w:tcPr>
            <w:tcW w:w="1720" w:type="dxa"/>
            <w:vAlign w:val="bottom"/>
          </w:tcPr>
          <w:p>
            <w:pPr>
              <w:jc w:val="right"/>
              <w:ind w:right="467"/>
              <w:spacing w:after="0"/>
              <w:rPr>
                <w:sz w:val="20"/>
                <w:szCs w:val="20"/>
                <w:color w:val="auto"/>
              </w:rPr>
            </w:pPr>
            <w:r>
              <w:rPr>
                <w:rFonts w:ascii="Courier New" w:cs="Courier New" w:eastAsia="Courier New" w:hAnsi="Courier New"/>
                <w:sz w:val="19"/>
                <w:szCs w:val="19"/>
                <w:color w:val="auto"/>
                <w:w w:val="99"/>
              </w:rPr>
              <w:t>28,939,215</w:t>
            </w:r>
          </w:p>
        </w:tc>
      </w:tr>
      <w:tr>
        <w:trPr>
          <w:trHeight w:val="428"/>
        </w:trPr>
        <w:tc>
          <w:tcPr>
            <w:tcW w:w="1060" w:type="dxa"/>
            <w:vAlign w:val="bottom"/>
          </w:tcPr>
          <w:p>
            <w:pPr>
              <w:jc w:val="right"/>
              <w:spacing w:after="0"/>
              <w:rPr>
                <w:sz w:val="20"/>
                <w:szCs w:val="20"/>
                <w:color w:val="auto"/>
              </w:rPr>
            </w:pPr>
            <w:r>
              <w:rPr>
                <w:rFonts w:ascii="Courier New" w:cs="Courier New" w:eastAsia="Courier New" w:hAnsi="Courier New"/>
                <w:sz w:val="19"/>
                <w:szCs w:val="19"/>
                <w:color w:val="auto"/>
              </w:rPr>
              <w:t>6</w:t>
            </w:r>
          </w:p>
        </w:tc>
        <w:tc>
          <w:tcPr>
            <w:tcW w:w="2660" w:type="dxa"/>
            <w:vAlign w:val="bottom"/>
          </w:tcPr>
          <w:p>
            <w:pPr>
              <w:ind w:left="40"/>
              <w:spacing w:after="0"/>
              <w:rPr>
                <w:sz w:val="20"/>
                <w:szCs w:val="20"/>
                <w:color w:val="auto"/>
              </w:rPr>
            </w:pPr>
            <w:r>
              <w:rPr>
                <w:rFonts w:ascii="Courier New" w:cs="Courier New" w:eastAsia="Courier New" w:hAnsi="Courier New"/>
                <w:sz w:val="19"/>
                <w:szCs w:val="19"/>
                <w:color w:val="auto"/>
              </w:rPr>
              <w:t>Shared Voting Power: 0</w:t>
            </w:r>
          </w:p>
        </w:tc>
        <w:tc>
          <w:tcPr>
            <w:tcW w:w="1720" w:type="dxa"/>
            <w:vAlign w:val="bottom"/>
          </w:tcPr>
          <w:p>
            <w:pPr>
              <w:spacing w:after="0"/>
              <w:rPr>
                <w:sz w:val="24"/>
                <w:szCs w:val="24"/>
                <w:color w:val="auto"/>
              </w:rPr>
            </w:pPr>
          </w:p>
        </w:tc>
      </w:tr>
      <w:tr>
        <w:trPr>
          <w:trHeight w:val="428"/>
        </w:trPr>
        <w:tc>
          <w:tcPr>
            <w:tcW w:w="1060" w:type="dxa"/>
            <w:vAlign w:val="bottom"/>
          </w:tcPr>
          <w:p>
            <w:pPr>
              <w:jc w:val="right"/>
              <w:spacing w:after="0"/>
              <w:rPr>
                <w:sz w:val="20"/>
                <w:szCs w:val="20"/>
                <w:color w:val="auto"/>
              </w:rPr>
            </w:pPr>
            <w:r>
              <w:rPr>
                <w:rFonts w:ascii="Courier New" w:cs="Courier New" w:eastAsia="Courier New" w:hAnsi="Courier New"/>
                <w:sz w:val="19"/>
                <w:szCs w:val="19"/>
                <w:color w:val="auto"/>
              </w:rPr>
              <w:t>7</w:t>
            </w:r>
          </w:p>
        </w:tc>
        <w:tc>
          <w:tcPr>
            <w:tcW w:w="2660" w:type="dxa"/>
            <w:vAlign w:val="bottom"/>
          </w:tcPr>
          <w:p>
            <w:pPr>
              <w:ind w:left="40"/>
              <w:spacing w:after="0"/>
              <w:rPr>
                <w:sz w:val="20"/>
                <w:szCs w:val="20"/>
                <w:color w:val="auto"/>
              </w:rPr>
            </w:pPr>
            <w:r>
              <w:rPr>
                <w:rFonts w:ascii="Courier New" w:cs="Courier New" w:eastAsia="Courier New" w:hAnsi="Courier New"/>
                <w:sz w:val="19"/>
                <w:szCs w:val="19"/>
                <w:color w:val="auto"/>
                <w:w w:val="99"/>
              </w:rPr>
              <w:t>Sole Dispositive Power:</w:t>
            </w:r>
          </w:p>
        </w:tc>
        <w:tc>
          <w:tcPr>
            <w:tcW w:w="1720" w:type="dxa"/>
            <w:vAlign w:val="bottom"/>
          </w:tcPr>
          <w:p>
            <w:pPr>
              <w:jc w:val="right"/>
              <w:spacing w:after="0"/>
              <w:rPr>
                <w:sz w:val="20"/>
                <w:szCs w:val="20"/>
                <w:color w:val="auto"/>
              </w:rPr>
            </w:pPr>
            <w:r>
              <w:rPr>
                <w:rFonts w:ascii="Courier New" w:cs="Courier New" w:eastAsia="Courier New" w:hAnsi="Courier New"/>
                <w:sz w:val="19"/>
                <w:szCs w:val="19"/>
                <w:color w:val="auto"/>
              </w:rPr>
              <w:t>28,939,215</w:t>
            </w:r>
          </w:p>
        </w:tc>
      </w:tr>
      <w:tr>
        <w:trPr>
          <w:trHeight w:val="428"/>
        </w:trPr>
        <w:tc>
          <w:tcPr>
            <w:tcW w:w="1060" w:type="dxa"/>
            <w:vAlign w:val="bottom"/>
          </w:tcPr>
          <w:p>
            <w:pPr>
              <w:jc w:val="right"/>
              <w:spacing w:after="0"/>
              <w:rPr>
                <w:sz w:val="20"/>
                <w:szCs w:val="20"/>
                <w:color w:val="auto"/>
              </w:rPr>
            </w:pPr>
            <w:r>
              <w:rPr>
                <w:rFonts w:ascii="Courier New" w:cs="Courier New" w:eastAsia="Courier New" w:hAnsi="Courier New"/>
                <w:sz w:val="19"/>
                <w:szCs w:val="19"/>
                <w:color w:val="auto"/>
              </w:rPr>
              <w:t>8</w:t>
            </w:r>
          </w:p>
        </w:tc>
        <w:tc>
          <w:tcPr>
            <w:tcW w:w="4380" w:type="dxa"/>
            <w:vAlign w:val="bottom"/>
            <w:gridSpan w:val="2"/>
          </w:tcPr>
          <w:p>
            <w:pPr>
              <w:ind w:left="40"/>
              <w:spacing w:after="0"/>
              <w:rPr>
                <w:sz w:val="20"/>
                <w:szCs w:val="20"/>
                <w:color w:val="auto"/>
              </w:rPr>
            </w:pPr>
            <w:r>
              <w:rPr>
                <w:rFonts w:ascii="Courier New" w:cs="Courier New" w:eastAsia="Courier New" w:hAnsi="Courier New"/>
                <w:sz w:val="19"/>
                <w:szCs w:val="19"/>
                <w:color w:val="auto"/>
              </w:rPr>
              <w:t>Shared Dispositive Power: 0</w:t>
            </w:r>
          </w:p>
        </w:tc>
      </w:tr>
    </w:tbl>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9 Aggregate Amount Beneficially Owned by Each Reporting Person:</w:t>
      </w:r>
    </w:p>
    <w:p>
      <w:pPr>
        <w:ind w:left="226"/>
        <w:spacing w:after="0" w:line="238" w:lineRule="auto"/>
        <w:rPr>
          <w:sz w:val="20"/>
          <w:szCs w:val="20"/>
          <w:color w:val="auto"/>
        </w:rPr>
      </w:pPr>
      <w:r>
        <w:rPr>
          <w:rFonts w:ascii="Courier New" w:cs="Courier New" w:eastAsia="Courier New" w:hAnsi="Courier New"/>
          <w:sz w:val="19"/>
          <w:szCs w:val="19"/>
          <w:color w:val="auto"/>
        </w:rPr>
        <w:t>28,939,215</w:t>
      </w:r>
    </w:p>
    <w:p>
      <w:pPr>
        <w:spacing w:after="0" w:line="220" w:lineRule="exact"/>
        <w:rPr>
          <w:sz w:val="20"/>
          <w:szCs w:val="20"/>
          <w:color w:val="auto"/>
        </w:rPr>
      </w:pPr>
    </w:p>
    <w:p>
      <w:pPr>
        <w:ind w:left="6" w:right="2780"/>
        <w:spacing w:after="0" w:line="235" w:lineRule="auto"/>
        <w:rPr>
          <w:sz w:val="20"/>
          <w:szCs w:val="20"/>
          <w:color w:val="auto"/>
        </w:rPr>
      </w:pPr>
      <w:r>
        <w:rPr>
          <w:rFonts w:ascii="Courier New" w:cs="Courier New" w:eastAsia="Courier New" w:hAnsi="Courier New"/>
          <w:sz w:val="19"/>
          <w:szCs w:val="19"/>
          <w:color w:val="auto"/>
        </w:rPr>
        <w:t>10 Check box if the aggregate amount in row (9) excludes certain shares (See Instructions)[ ]</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11 Percent of class represented by amount in row (9): 17.2%</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12 Type of Reporting Person (See Instructions): IA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ind w:left="886" w:hanging="886"/>
        <w:spacing w:after="0" w:line="238" w:lineRule="auto"/>
        <w:tabs>
          <w:tab w:leader="none" w:pos="88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 of Issuer:</w:t>
      </w:r>
    </w:p>
    <w:p>
      <w:pPr>
        <w:ind w:left="88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CIVEO CORPORATION</w:t>
      </w:r>
    </w:p>
    <w:p>
      <w:pPr>
        <w:spacing w:after="0" w:line="213" w:lineRule="exact"/>
        <w:rPr>
          <w:rFonts w:ascii="Courier New" w:cs="Courier New" w:eastAsia="Courier New" w:hAnsi="Courier New"/>
          <w:sz w:val="19"/>
          <w:szCs w:val="19"/>
          <w:color w:val="auto"/>
        </w:rPr>
      </w:pPr>
    </w:p>
    <w:p>
      <w:pPr>
        <w:ind w:left="886" w:hanging="886"/>
        <w:spacing w:after="0"/>
        <w:tabs>
          <w:tab w:leader="none" w:pos="88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Address of Issuer's Principal Executive Offices:</w:t>
      </w:r>
    </w:p>
    <w:p>
      <w:pPr>
        <w:spacing w:after="0" w:line="5" w:lineRule="exact"/>
        <w:rPr>
          <w:rFonts w:ascii="Courier New" w:cs="Courier New" w:eastAsia="Courier New" w:hAnsi="Courier New"/>
          <w:sz w:val="19"/>
          <w:szCs w:val="19"/>
          <w:color w:val="auto"/>
        </w:rPr>
      </w:pPr>
    </w:p>
    <w:p>
      <w:pPr>
        <w:ind w:left="886"/>
        <w:spacing w:after="0"/>
        <w:rPr>
          <w:rFonts w:ascii="Courier New" w:cs="Courier New" w:eastAsia="Courier New" w:hAnsi="Courier New"/>
          <w:sz w:val="19"/>
          <w:szCs w:val="19"/>
          <w:color w:val="auto"/>
        </w:rPr>
      </w:pPr>
      <w:r>
        <w:rPr>
          <w:rFonts w:ascii="Courier New" w:cs="Courier New" w:eastAsia="Courier New" w:hAnsi="Courier New"/>
          <w:sz w:val="18"/>
          <w:szCs w:val="18"/>
          <w:color w:val="auto"/>
        </w:rPr>
        <w:t>THREE ALLEN CENTER, 333 CLAY STREET, SUITE 4980, HOUSTON TEXAS 77002</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5" w:lineRule="exact"/>
        <w:rPr>
          <w:sz w:val="20"/>
          <w:szCs w:val="20"/>
          <w:color w:val="auto"/>
        </w:rPr>
      </w:pPr>
    </w:p>
    <w:p>
      <w:pPr>
        <w:ind w:left="886" w:right="6680" w:hanging="886"/>
        <w:spacing w:after="0" w:line="254" w:lineRule="auto"/>
        <w:tabs>
          <w:tab w:leader="none" w:pos="8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 Horizon Kinetics LLC Horizon Asset Management LLC</w:t>
      </w:r>
    </w:p>
    <w:p>
      <w:pPr>
        <w:spacing w:after="0" w:line="208" w:lineRule="exact"/>
        <w:rPr>
          <w:rFonts w:ascii="Courier New" w:cs="Courier New" w:eastAsia="Courier New" w:hAnsi="Courier New"/>
          <w:sz w:val="18"/>
          <w:szCs w:val="18"/>
          <w:color w:val="auto"/>
        </w:rPr>
      </w:pPr>
    </w:p>
    <w:p>
      <w:pPr>
        <w:ind w:left="886" w:right="3120" w:hanging="886"/>
        <w:spacing w:after="0" w:line="257" w:lineRule="auto"/>
        <w:tabs>
          <w:tab w:leader="none" w:pos="8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470 Park Avenue South, 4th Floor South, NY, NY, 10016</w:t>
      </w:r>
    </w:p>
    <w:p>
      <w:pPr>
        <w:spacing w:after="0" w:line="205" w:lineRule="exact"/>
        <w:rPr>
          <w:rFonts w:ascii="Courier New" w:cs="Courier New" w:eastAsia="Courier New" w:hAnsi="Courier New"/>
          <w:sz w:val="18"/>
          <w:szCs w:val="18"/>
          <w:color w:val="auto"/>
        </w:rPr>
      </w:pPr>
    </w:p>
    <w:p>
      <w:pPr>
        <w:ind w:left="886" w:right="8460" w:hanging="886"/>
        <w:spacing w:after="0" w:line="257" w:lineRule="auto"/>
        <w:tabs>
          <w:tab w:leader="none" w:pos="8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5" w:lineRule="exact"/>
        <w:rPr>
          <w:rFonts w:ascii="Courier New" w:cs="Courier New" w:eastAsia="Courier New" w:hAnsi="Courier New"/>
          <w:sz w:val="18"/>
          <w:szCs w:val="18"/>
          <w:color w:val="auto"/>
        </w:rPr>
      </w:pPr>
    </w:p>
    <w:p>
      <w:pPr>
        <w:ind w:left="886" w:right="6460" w:hanging="886"/>
        <w:spacing w:after="0" w:line="235" w:lineRule="auto"/>
        <w:tabs>
          <w:tab w:leader="none" w:pos="88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Title and Class of Securities: common Stock</w:t>
      </w:r>
    </w:p>
    <w:p>
      <w:pPr>
        <w:spacing w:after="0" w:line="213" w:lineRule="exact"/>
        <w:rPr>
          <w:rFonts w:ascii="Courier New" w:cs="Courier New" w:eastAsia="Courier New" w:hAnsi="Courier New"/>
          <w:sz w:val="19"/>
          <w:szCs w:val="19"/>
          <w:color w:val="auto"/>
        </w:rPr>
      </w:pPr>
    </w:p>
    <w:p>
      <w:pPr>
        <w:ind w:left="886" w:hanging="886"/>
        <w:spacing w:after="0"/>
        <w:tabs>
          <w:tab w:leader="none" w:pos="88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CUSIP No.:17878Y108</w:t>
      </w:r>
    </w:p>
    <w:p>
      <w:pPr>
        <w:spacing w:after="0" w:line="213" w:lineRule="exact"/>
        <w:rPr>
          <w:sz w:val="20"/>
          <w:szCs w:val="20"/>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Item 3.</w:t>
      </w:r>
      <w:r>
        <w:rPr>
          <w:sz w:val="20"/>
          <w:szCs w:val="20"/>
          <w:color w:val="auto"/>
        </w:rPr>
        <w:tab/>
      </w:r>
      <w:r>
        <w:rPr>
          <w:rFonts w:ascii="Courier New" w:cs="Courier New" w:eastAsia="Courier New" w:hAnsi="Courier New"/>
          <w:sz w:val="18"/>
          <w:szCs w:val="18"/>
          <w:color w:val="auto"/>
        </w:rPr>
        <w:t>If this statement is filed pursuant to sections 240.13d-1(b)</w:t>
      </w:r>
    </w:p>
    <w:p>
      <w:pPr>
        <w:ind w:left="6"/>
        <w:spacing w:after="0" w:line="238" w:lineRule="auto"/>
        <w:rPr>
          <w:sz w:val="20"/>
          <w:szCs w:val="20"/>
          <w:color w:val="auto"/>
        </w:rPr>
      </w:pPr>
      <w:r>
        <w:rPr>
          <w:rFonts w:ascii="Courier New" w:cs="Courier New" w:eastAsia="Courier New" w:hAnsi="Courier New"/>
          <w:sz w:val="19"/>
          <w:szCs w:val="19"/>
          <w:color w:val="auto"/>
        </w:rPr>
        <w:t>or 240.13d-2(b) or (c), check whether the person filing is a:</w:t>
      </w:r>
    </w:p>
    <w:p>
      <w:pPr>
        <w:spacing w:after="0" w:line="200" w:lineRule="exact"/>
        <w:rPr>
          <w:sz w:val="20"/>
          <w:szCs w:val="20"/>
          <w:color w:val="auto"/>
        </w:rPr>
      </w:pPr>
    </w:p>
    <w:p>
      <w:pPr>
        <w:spacing w:after="0" w:line="234" w:lineRule="exact"/>
        <w:rPr>
          <w:sz w:val="20"/>
          <w:szCs w:val="20"/>
          <w:color w:val="auto"/>
        </w:rPr>
      </w:pPr>
    </w:p>
    <w:p>
      <w:pPr>
        <w:ind w:left="6" w:right="3020" w:firstLine="884"/>
        <w:spacing w:after="0" w:line="235" w:lineRule="auto"/>
        <w:tabs>
          <w:tab w:leader="none" w:pos="178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[X] An investment adviser in accordance with Rule 13d-1(b)(1)(ii)(E).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ind w:left="886" w:hanging="886"/>
        <w:spacing w:after="0" w:line="238" w:lineRule="auto"/>
        <w:tabs>
          <w:tab w:leader="none" w:pos="886"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  36,947,116</w:t>
      </w:r>
    </w:p>
    <w:p>
      <w:pPr>
        <w:ind w:left="886" w:hanging="886"/>
        <w:spacing w:after="0" w:line="238" w:lineRule="auto"/>
        <w:tabs>
          <w:tab w:leader="none" w:pos="886"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22.0%</w:t>
      </w:r>
    </w:p>
    <w:p>
      <w:pPr>
        <w:ind w:left="886" w:hanging="886"/>
        <w:spacing w:after="0" w:line="238" w:lineRule="auto"/>
        <w:tabs>
          <w:tab w:leader="none" w:pos="886"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such person has:</w:t>
      </w:r>
    </w:p>
    <w:p>
      <w:pPr>
        <w:sectPr>
          <w:pgSz w:w="12240" w:h="15840" w:orient="portrait"/>
          <w:cols w:equalWidth="0" w:num="1">
            <w:col w:w="10686"/>
          </w:cols>
          <w:pgMar w:left="114" w:top="209" w:right="1440" w:bottom="0" w:gutter="0" w:footer="0" w:header="0"/>
        </w:sectPr>
      </w:pPr>
    </w:p>
    <w:bookmarkStart w:id="2" w:name="page3"/>
    <w:bookmarkEnd w:id="2"/>
    <w:p>
      <w:pPr>
        <w:ind w:left="1780" w:hanging="896"/>
        <w:spacing w:after="0" w:line="235" w:lineRule="auto"/>
        <w:tabs>
          <w:tab w:leader="none" w:pos="1780"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  36,947,116</w:t>
      </w:r>
    </w:p>
    <w:p>
      <w:pPr>
        <w:ind w:left="1780" w:hanging="896"/>
        <w:spacing w:after="0" w:line="238" w:lineRule="auto"/>
        <w:tabs>
          <w:tab w:leader="none" w:pos="1780"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 0</w:t>
      </w:r>
    </w:p>
    <w:p>
      <w:pPr>
        <w:spacing w:after="0" w:line="5" w:lineRule="exact"/>
        <w:rPr>
          <w:rFonts w:ascii="Courier New" w:cs="Courier New" w:eastAsia="Courier New" w:hAnsi="Courier New"/>
          <w:sz w:val="19"/>
          <w:szCs w:val="19"/>
          <w:color w:val="auto"/>
        </w:rPr>
      </w:pPr>
    </w:p>
    <w:p>
      <w:pPr>
        <w:ind w:left="1780" w:hanging="896"/>
        <w:spacing w:after="0"/>
        <w:tabs>
          <w:tab w:leader="none" w:pos="17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36,947,116</w:t>
      </w:r>
    </w:p>
    <w:p>
      <w:pPr>
        <w:spacing w:after="0" w:line="4" w:lineRule="exact"/>
        <w:rPr>
          <w:rFonts w:ascii="Courier New" w:cs="Courier New" w:eastAsia="Courier New" w:hAnsi="Courier New"/>
          <w:sz w:val="18"/>
          <w:szCs w:val="18"/>
          <w:color w:val="auto"/>
        </w:rPr>
      </w:pPr>
    </w:p>
    <w:p>
      <w:pPr>
        <w:ind w:left="1780" w:hanging="896"/>
        <w:spacing w:after="0" w:line="238" w:lineRule="auto"/>
        <w:tabs>
          <w:tab w:leader="none" w:pos="1780"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 0</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5. Ownership of Five Percent or Less of a Class.</w:t>
      </w:r>
    </w:p>
    <w:p>
      <w:pPr>
        <w:spacing w:after="0" w:line="5" w:lineRule="exact"/>
        <w:rPr>
          <w:sz w:val="20"/>
          <w:szCs w:val="20"/>
          <w:color w:val="auto"/>
        </w:rPr>
      </w:pPr>
    </w:p>
    <w:p>
      <w:pPr>
        <w:ind w:right="3780"/>
        <w:spacing w:after="0" w:line="236" w:lineRule="auto"/>
        <w:rPr>
          <w:sz w:val="20"/>
          <w:szCs w:val="20"/>
          <w:color w:val="auto"/>
        </w:rPr>
      </w:pPr>
      <w:r>
        <w:rPr>
          <w:rFonts w:ascii="Courier New" w:cs="Courier New" w:eastAsia="Courier New" w:hAnsi="Courier New"/>
          <w:sz w:val="19"/>
          <w:szCs w:val="19"/>
          <w:color w:val="auto"/>
        </w:rPr>
        <w:t>If this statement is being filed to report the fact that as of the date hereof the reporting person has ceased to be the beneficial owner of more than five percent of the class of</w:t>
      </w:r>
    </w:p>
    <w:p>
      <w:pPr>
        <w:spacing w:after="0"/>
        <w:tabs>
          <w:tab w:leader="none" w:pos="4080" w:val="left"/>
        </w:tabs>
        <w:rPr>
          <w:sz w:val="20"/>
          <w:szCs w:val="20"/>
          <w:color w:val="auto"/>
        </w:rPr>
      </w:pPr>
      <w:r>
        <w:rPr>
          <w:rFonts w:ascii="Courier New" w:cs="Courier New" w:eastAsia="Courier New" w:hAnsi="Courier New"/>
          <w:sz w:val="19"/>
          <w:szCs w:val="19"/>
          <w:color w:val="auto"/>
        </w:rPr>
        <w:t>securities, check the following [</w:t>
      </w:r>
      <w:r>
        <w:rPr>
          <w:sz w:val="20"/>
          <w:szCs w:val="20"/>
          <w:color w:val="auto"/>
        </w:rPr>
        <w:tab/>
      </w:r>
      <w:r>
        <w:rPr>
          <w:rFonts w:ascii="Courier New" w:cs="Courier New" w:eastAsia="Courier New" w:hAnsi="Courier New"/>
          <w:sz w:val="19"/>
          <w:szCs w:val="19"/>
          <w:color w:val="auto"/>
        </w:rPr>
        <w:t>].</w:t>
      </w:r>
    </w:p>
    <w:p>
      <w:pPr>
        <w:spacing w:after="0" w:line="219" w:lineRule="exact"/>
        <w:rPr>
          <w:sz w:val="20"/>
          <w:szCs w:val="20"/>
          <w:color w:val="auto"/>
        </w:rPr>
      </w:pPr>
    </w:p>
    <w:p>
      <w:pPr>
        <w:ind w:right="3560"/>
        <w:spacing w:after="0" w:line="235" w:lineRule="auto"/>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rPr>
          <w:sz w:val="20"/>
          <w:szCs w:val="20"/>
          <w:color w:val="auto"/>
        </w:rPr>
      </w:pPr>
      <w:r>
        <w:rPr>
          <w:rFonts w:ascii="Courier New" w:cs="Courier New" w:eastAsia="Courier New" w:hAnsi="Courier New"/>
          <w:sz w:val="19"/>
          <w:szCs w:val="19"/>
          <w:color w:val="auto"/>
        </w:rPr>
        <w:t>Not applicable.</w:t>
      </w:r>
    </w:p>
    <w:p>
      <w:pPr>
        <w:spacing w:after="0" w:line="219"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attached Exhibit 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38" w:lineRule="auto"/>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9"/>
          <w:szCs w:val="19"/>
          <w:color w:val="auto"/>
        </w:rPr>
        <w:t>Item 10.</w:t>
      </w:r>
      <w:r>
        <w:rPr>
          <w:sz w:val="20"/>
          <w:szCs w:val="20"/>
          <w:color w:val="auto"/>
        </w:rPr>
        <w:tab/>
      </w:r>
      <w:r>
        <w:rPr>
          <w:rFonts w:ascii="Courier New" w:cs="Courier New" w:eastAsia="Courier New" w:hAnsi="Courier New"/>
          <w:sz w:val="18"/>
          <w:szCs w:val="18"/>
          <w:color w:val="auto"/>
        </w:rPr>
        <w:t>Certifications.</w:t>
      </w:r>
    </w:p>
    <w:p>
      <w:pPr>
        <w:spacing w:after="0" w:line="219"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290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9"/>
          <w:szCs w:val="19"/>
          <w:color w:val="auto"/>
        </w:rPr>
        <w:t>Dated:</w:t>
      </w:r>
      <w:r>
        <w:rPr>
          <w:sz w:val="20"/>
          <w:szCs w:val="20"/>
          <w:color w:val="auto"/>
        </w:rPr>
        <w:tab/>
      </w: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9"/>
          <w:szCs w:val="19"/>
          <w:color w:val="auto"/>
        </w:rPr>
        <w:t>Signature: Jay Kesslen</w:t>
      </w:r>
    </w:p>
    <w:p>
      <w:pPr>
        <w:spacing w:after="0"/>
        <w:rPr>
          <w:sz w:val="20"/>
          <w:szCs w:val="20"/>
          <w:color w:val="auto"/>
        </w:rPr>
      </w:pPr>
      <w:r>
        <w:rPr>
          <w:rFonts w:ascii="Courier New" w:cs="Courier New" w:eastAsia="Courier New" w:hAnsi="Courier New"/>
          <w:sz w:val="19"/>
          <w:szCs w:val="19"/>
          <w:color w:val="auto"/>
        </w:rPr>
        <w:t>Jay Kesslen</w:t>
      </w:r>
    </w:p>
    <w:p>
      <w:pPr>
        <w:spacing w:after="0" w:line="237" w:lineRule="auto"/>
        <w:rPr>
          <w:sz w:val="20"/>
          <w:szCs w:val="20"/>
          <w:color w:val="auto"/>
        </w:rPr>
      </w:pPr>
      <w:r>
        <w:rPr>
          <w:rFonts w:ascii="Courier New" w:cs="Courier New" w:eastAsia="Courier New" w:hAnsi="Courier New"/>
          <w:sz w:val="19"/>
          <w:szCs w:val="19"/>
          <w:color w:val="auto"/>
        </w:rPr>
        <w:t>General Counsel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Pursuant to the instructions in Item 7 of Schedule 13G,</w:t>
      </w:r>
    </w:p>
    <w:p>
      <w:pPr>
        <w:spacing w:after="0" w:line="5" w:lineRule="exact"/>
        <w:rPr>
          <w:sz w:val="20"/>
          <w:szCs w:val="20"/>
          <w:color w:val="auto"/>
        </w:rPr>
      </w:pPr>
    </w:p>
    <w:p>
      <w:pPr>
        <w:jc w:val="both"/>
        <w:ind w:right="3120"/>
        <w:spacing w:after="0" w:line="236" w:lineRule="auto"/>
        <w:rPr>
          <w:sz w:val="20"/>
          <w:szCs w:val="20"/>
          <w:color w:val="auto"/>
        </w:rPr>
      </w:pPr>
      <w:r>
        <w:rPr>
          <w:rFonts w:ascii="Courier New" w:cs="Courier New" w:eastAsia="Courier New" w:hAnsi="Courier New"/>
          <w:sz w:val="19"/>
          <w:szCs w:val="19"/>
          <w:color w:val="auto"/>
        </w:rPr>
        <w:t>the following table lists the identity and Item 3 classification, if applicable, of each relevant entity that beneficially owns shares of the security class being reported on this Schedule 13G.</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 Item 3 Classification:</w:t>
      </w:r>
    </w:p>
    <w:p>
      <w:pPr>
        <w:spacing w:after="0" w:line="238" w:lineRule="auto"/>
        <w:rPr>
          <w:sz w:val="20"/>
          <w:szCs w:val="20"/>
          <w:color w:val="auto"/>
        </w:rPr>
      </w:pPr>
      <w:r>
        <w:rPr>
          <w:rFonts w:ascii="Courier New" w:cs="Courier New" w:eastAsia="Courier New" w:hAnsi="Courier New"/>
          <w:sz w:val="19"/>
          <w:szCs w:val="19"/>
          <w:color w:val="auto"/>
        </w:rPr>
        <w:t>Horizon Asset Management LLC*, IA</w:t>
      </w:r>
    </w:p>
    <w:p>
      <w:pPr>
        <w:spacing w:after="0"/>
        <w:rPr>
          <w:sz w:val="20"/>
          <w:szCs w:val="20"/>
          <w:color w:val="auto"/>
        </w:rPr>
      </w:pPr>
      <w:r>
        <w:rPr>
          <w:rFonts w:ascii="Courier New" w:cs="Courier New" w:eastAsia="Courier New" w:hAnsi="Courier New"/>
          <w:sz w:val="19"/>
          <w:szCs w:val="19"/>
          <w:color w:val="auto"/>
        </w:rPr>
        <w:t>Kinetics Asset Management LLC, IA</w:t>
      </w:r>
    </w:p>
    <w:p>
      <w:pPr>
        <w:spacing w:after="0" w:line="237" w:lineRule="auto"/>
        <w:rPr>
          <w:sz w:val="20"/>
          <w:szCs w:val="20"/>
          <w:color w:val="auto"/>
        </w:rPr>
      </w:pPr>
      <w:r>
        <w:rPr>
          <w:rFonts w:ascii="Courier New" w:cs="Courier New" w:eastAsia="Courier New" w:hAnsi="Courier New"/>
          <w:sz w:val="19"/>
          <w:szCs w:val="19"/>
          <w:color w:val="auto"/>
        </w:rPr>
        <w:t>Kinetics Advisers, LLC, IA</w:t>
      </w:r>
    </w:p>
    <w:p>
      <w:pPr>
        <w:spacing w:after="0" w:line="220" w:lineRule="exact"/>
        <w:rPr>
          <w:sz w:val="20"/>
          <w:szCs w:val="20"/>
          <w:color w:val="auto"/>
        </w:rPr>
      </w:pPr>
    </w:p>
    <w:p>
      <w:pPr>
        <w:ind w:right="4240"/>
        <w:spacing w:after="0" w:line="236" w:lineRule="auto"/>
        <w:rPr>
          <w:sz w:val="20"/>
          <w:szCs w:val="20"/>
          <w:color w:val="auto"/>
        </w:rPr>
      </w:pPr>
      <w:r>
        <w:rPr>
          <w:rFonts w:ascii="Courier New" w:cs="Courier New" w:eastAsia="Courier New" w:hAnsi="Courier New"/>
          <w:sz w:val="19"/>
          <w:szCs w:val="19"/>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Joint Filing Agreement</w:t>
      </w:r>
    </w:p>
    <w:p>
      <w:pPr>
        <w:spacing w:after="0" w:line="219" w:lineRule="exact"/>
        <w:rPr>
          <w:sz w:val="20"/>
          <w:szCs w:val="20"/>
          <w:color w:val="auto"/>
        </w:rPr>
      </w:pPr>
    </w:p>
    <w:p>
      <w:pPr>
        <w:ind w:right="3900"/>
        <w:spacing w:after="0" w:line="237" w:lineRule="auto"/>
        <w:rPr>
          <w:sz w:val="20"/>
          <w:szCs w:val="20"/>
          <w:color w:val="auto"/>
        </w:rPr>
      </w:pPr>
      <w:r>
        <w:rPr>
          <w:rFonts w:ascii="Courier New" w:cs="Courier New" w:eastAsia="Courier New" w:hAnsi="Courier New"/>
          <w:sz w:val="19"/>
          <w:szCs w:val="19"/>
          <w:color w:val="auto"/>
        </w:rPr>
        <w:t>This joint filing agreement dated February 13, 2019 is by and among Horizon Kinetics LLC, Horizon Asset Management, LLC, Kinetics Asset Management, LLC and Kinetics Advisers, LLC ("the Filing Persons").</w:t>
      </w:r>
    </w:p>
    <w:p>
      <w:pPr>
        <w:sectPr>
          <w:pgSz w:w="12240" w:h="15840" w:orient="portrait"/>
          <w:cols w:equalWidth="0" w:num="1">
            <w:col w:w="10680"/>
          </w:cols>
          <w:pgMar w:left="120" w:top="0" w:right="1440" w:bottom="0" w:gutter="0" w:footer="0" w:header="0"/>
        </w:sectPr>
      </w:pPr>
    </w:p>
    <w:bookmarkStart w:id="3" w:name="page4"/>
    <w:bookmarkEnd w:id="3"/>
    <w:p>
      <w:pPr>
        <w:ind w:right="3560"/>
        <w:spacing w:after="0" w:line="237" w:lineRule="auto"/>
        <w:rPr>
          <w:sz w:val="20"/>
          <w:szCs w:val="20"/>
          <w:color w:val="auto"/>
        </w:rPr>
      </w:pPr>
      <w:r>
        <w:rPr>
          <w:rFonts w:ascii="Courier New" w:cs="Courier New" w:eastAsia="Courier New" w:hAnsi="Courier New"/>
          <w:sz w:val="19"/>
          <w:szCs w:val="19"/>
          <w:color w:val="auto"/>
        </w:rPr>
        <w:t>Each of the filing persons may be required to file with the United States Securities and Exchange Commission a statement on Schedule 13G with respect to the common stock beneficially owned by them from time to time.</w:t>
      </w:r>
    </w:p>
    <w:p>
      <w:pPr>
        <w:spacing w:after="0" w:line="219" w:lineRule="exact"/>
        <w:rPr>
          <w:sz w:val="20"/>
          <w:szCs w:val="20"/>
          <w:color w:val="auto"/>
        </w:rPr>
      </w:pPr>
    </w:p>
    <w:p>
      <w:pPr>
        <w:ind w:right="3460"/>
        <w:spacing w:after="0" w:line="251" w:lineRule="auto"/>
        <w:rPr>
          <w:sz w:val="20"/>
          <w:szCs w:val="20"/>
          <w:color w:val="auto"/>
        </w:rPr>
      </w:pPr>
      <w:r>
        <w:rPr>
          <w:rFonts w:ascii="Courier New" w:cs="Courier New" w:eastAsia="Courier New" w:hAnsi="Courier New"/>
          <w:sz w:val="18"/>
          <w:szCs w:val="18"/>
          <w:color w:val="auto"/>
        </w:rPr>
        <w:t>Pursuant to and in accordance with Rule 13d-1(k) promulgated under the Securities Exchange Act of 1934, as amended, the Filing Persons hereby agree to file a single statement on Schedule 13G</w:t>
      </w:r>
    </w:p>
    <w:p>
      <w:pPr>
        <w:spacing w:after="0" w:line="2" w:lineRule="exact"/>
        <w:rPr>
          <w:sz w:val="20"/>
          <w:szCs w:val="20"/>
          <w:color w:val="auto"/>
        </w:rPr>
      </w:pPr>
    </w:p>
    <w:p>
      <w:pPr>
        <w:ind w:right="3020"/>
        <w:spacing w:after="0" w:line="236" w:lineRule="auto"/>
        <w:rPr>
          <w:sz w:val="20"/>
          <w:szCs w:val="20"/>
          <w:color w:val="auto"/>
        </w:rPr>
      </w:pPr>
      <w:r>
        <w:rPr>
          <w:rFonts w:ascii="Courier New" w:cs="Courier New" w:eastAsia="Courier New" w:hAnsi="Courier New"/>
          <w:sz w:val="19"/>
          <w:szCs w:val="19"/>
          <w:color w:val="auto"/>
        </w:rPr>
        <w:t>and any amendments thereto on behalf of each such parties, and hereby further agree to file this Joint Filing Agreement as an exhibit to such statement, as required by such rule.</w:t>
      </w:r>
    </w:p>
    <w:p>
      <w:pPr>
        <w:spacing w:after="0" w:line="221" w:lineRule="exact"/>
        <w:rPr>
          <w:sz w:val="20"/>
          <w:szCs w:val="20"/>
          <w:color w:val="auto"/>
        </w:rPr>
      </w:pPr>
    </w:p>
    <w:p>
      <w:pPr>
        <w:ind w:right="3240"/>
        <w:spacing w:after="0" w:line="236" w:lineRule="auto"/>
        <w:rPr>
          <w:sz w:val="20"/>
          <w:szCs w:val="20"/>
          <w:color w:val="auto"/>
        </w:rPr>
      </w:pPr>
      <w:r>
        <w:rPr>
          <w:rFonts w:ascii="Courier New" w:cs="Courier New" w:eastAsia="Courier New" w:hAnsi="Courier New"/>
          <w:sz w:val="19"/>
          <w:szCs w:val="19"/>
          <w:color w:val="auto"/>
        </w:rPr>
        <w:t>This joint filing agreement may be terminated by any of filers upon one week's written notice or such lesser period of notice as the Filing Persons many mutually agree.</w:t>
      </w:r>
    </w:p>
    <w:p>
      <w:pPr>
        <w:spacing w:after="0" w:line="221" w:lineRule="exact"/>
        <w:rPr>
          <w:sz w:val="20"/>
          <w:szCs w:val="20"/>
          <w:color w:val="auto"/>
        </w:rPr>
      </w:pPr>
    </w:p>
    <w:p>
      <w:pPr>
        <w:ind w:right="3340"/>
        <w:spacing w:after="0" w:line="235" w:lineRule="auto"/>
        <w:rPr>
          <w:sz w:val="20"/>
          <w:szCs w:val="20"/>
          <w:color w:val="auto"/>
        </w:rPr>
      </w:pPr>
      <w:r>
        <w:rPr>
          <w:rFonts w:ascii="Courier New" w:cs="Courier New" w:eastAsia="Courier New" w:hAnsi="Courier New"/>
          <w:sz w:val="19"/>
          <w:szCs w:val="19"/>
          <w:color w:val="auto"/>
        </w:rPr>
        <w:t>Horizon Kinetics LLC, Horizon Asset Management,LLC, Kinetics Asset Management, LLC and Kinetics Advisers,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Jay Kesslen</w:t>
      </w:r>
    </w:p>
    <w:p>
      <w:pPr>
        <w:spacing w:after="0" w:line="238" w:lineRule="auto"/>
        <w:rPr>
          <w:sz w:val="20"/>
          <w:szCs w:val="20"/>
          <w:color w:val="auto"/>
        </w:rPr>
      </w:pPr>
      <w:r>
        <w:rPr>
          <w:rFonts w:ascii="Courier New" w:cs="Courier New" w:eastAsia="Courier New" w:hAnsi="Courier New"/>
          <w:sz w:val="19"/>
          <w:szCs w:val="19"/>
          <w:color w:val="auto"/>
        </w:rPr>
        <w:t>General Counsel of each.</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2019-12-15T17:23:14Z</dcterms:created>
  <dcterms:modified xsi:type="dcterms:W3CDTF">2019-12-15T17:23:14Z</dcterms:modified>
</cp:coreProperties>
</file>