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ind w:left="4980"/>
        <w:spacing w:after="0"/>
        <w:rPr>
          <w:sz w:val="20"/>
          <w:szCs w:val="20"/>
          <w:color w:val="auto"/>
        </w:rPr>
      </w:pPr>
      <w:r>
        <w:rPr>
          <w:rFonts w:ascii="Arial" w:cs="Arial" w:eastAsia="Arial" w:hAnsi="Arial"/>
          <w:sz w:val="17"/>
          <w:szCs w:val="17"/>
          <w:color w:val="auto"/>
        </w:rPr>
        <w:t>UNITED STATES</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Washington, D.C. 20549</w:t>
      </w:r>
    </w:p>
    <w:p>
      <w:pPr>
        <w:spacing w:after="0" w:line="15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45"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11"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quarterly period ended June 30, 2021</w:t>
      </w:r>
    </w:p>
    <w:p>
      <w:pPr>
        <w:spacing w:after="0" w:line="66" w:lineRule="exact"/>
        <w:rPr>
          <w:sz w:val="24"/>
          <w:szCs w:val="24"/>
          <w:color w:val="auto"/>
        </w:rPr>
      </w:pPr>
    </w:p>
    <w:p>
      <w:pPr>
        <w:jc w:val="center"/>
        <w:ind w:left="460"/>
        <w:spacing w:after="0"/>
        <w:rPr>
          <w:sz w:val="20"/>
          <w:szCs w:val="20"/>
          <w:color w:val="auto"/>
        </w:rPr>
      </w:pPr>
      <w:r>
        <w:rPr>
          <w:rFonts w:ascii="Arial" w:cs="Arial" w:eastAsia="Arial" w:hAnsi="Arial"/>
          <w:sz w:val="17"/>
          <w:szCs w:val="17"/>
          <w:color w:val="auto"/>
        </w:rPr>
        <w:t>OR</w:t>
      </w:r>
    </w:p>
    <w:p>
      <w:pPr>
        <w:spacing w:after="0" w:line="106" w:lineRule="exact"/>
        <w:rPr>
          <w:sz w:val="24"/>
          <w:szCs w:val="24"/>
          <w:color w:val="auto"/>
        </w:rPr>
      </w:pPr>
    </w:p>
    <w:p>
      <w:pPr>
        <w:ind w:left="1760" w:hanging="795"/>
        <w:spacing w:after="0"/>
        <w:tabs>
          <w:tab w:leader="none" w:pos="1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61"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For the transition period from _________________________ to _________________________</w:t>
      </w:r>
    </w:p>
    <w:p>
      <w:pPr>
        <w:spacing w:after="0" w:line="119"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001-36246</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2939415</wp:posOffset>
            </wp:positionH>
            <wp:positionV relativeFrom="paragraph">
              <wp:posOffset>30480</wp:posOffset>
            </wp:positionV>
            <wp:extent cx="1363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6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4"/>
              </w:rPr>
              <w:t>British Columbia, Canada</w:t>
            </w:r>
          </w:p>
        </w:tc>
        <w:tc>
          <w:tcPr>
            <w:tcW w:w="1100" w:type="dxa"/>
            <w:vAlign w:val="bottom"/>
          </w:tcPr>
          <w:p>
            <w:pPr>
              <w:spacing w:after="0"/>
              <w:rPr>
                <w:sz w:val="16"/>
                <w:szCs w:val="16"/>
                <w:color w:val="auto"/>
              </w:rPr>
            </w:pPr>
          </w:p>
        </w:tc>
        <w:tc>
          <w:tcPr>
            <w:tcW w:w="4240" w:type="dxa"/>
            <w:vAlign w:val="bottom"/>
            <w:gridSpan w:val="5"/>
          </w:tcPr>
          <w:p>
            <w:pPr>
              <w:jc w:val="right"/>
              <w:ind w:right="240"/>
              <w:spacing w:after="0"/>
              <w:rPr>
                <w:sz w:val="20"/>
                <w:szCs w:val="20"/>
                <w:color w:val="auto"/>
              </w:rPr>
            </w:pPr>
            <w:r>
              <w:rPr>
                <w:rFonts w:ascii="Arial" w:cs="Arial" w:eastAsia="Arial" w:hAnsi="Arial"/>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2"/>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5"/>
              </w:rPr>
              <w:t>(State or other jurisdiction of</w:t>
            </w:r>
          </w:p>
        </w:tc>
        <w:tc>
          <w:tcPr>
            <w:tcW w:w="4240" w:type="dxa"/>
            <w:vAlign w:val="bottom"/>
            <w:gridSpan w:val="5"/>
          </w:tcPr>
          <w:p>
            <w:pPr>
              <w:jc w:val="center"/>
              <w:ind w:left="2833"/>
              <w:spacing w:after="0"/>
              <w:rPr>
                <w:sz w:val="20"/>
                <w:szCs w:val="20"/>
                <w:color w:val="auto"/>
              </w:rPr>
            </w:pPr>
            <w:r>
              <w:rPr>
                <w:rFonts w:ascii="Arial" w:cs="Arial" w:eastAsia="Arial" w:hAnsi="Arial"/>
                <w:sz w:val="17"/>
                <w:szCs w:val="17"/>
                <w:color w:val="auto"/>
                <w:w w:val="96"/>
              </w:rPr>
              <w:t>(I.R.S. Employer</w:t>
            </w:r>
          </w:p>
        </w:tc>
      </w:tr>
      <w:tr>
        <w:trPr>
          <w:trHeight w:val="223"/>
        </w:trPr>
        <w:tc>
          <w:tcPr>
            <w:tcW w:w="3720" w:type="dxa"/>
            <w:vAlign w:val="bottom"/>
            <w:gridSpan w:val="3"/>
          </w:tcPr>
          <w:p>
            <w:pPr>
              <w:jc w:val="center"/>
              <w:ind w:right="300"/>
              <w:spacing w:after="0"/>
              <w:rPr>
                <w:sz w:val="20"/>
                <w:szCs w:val="20"/>
                <w:color w:val="auto"/>
              </w:rPr>
            </w:pPr>
            <w:r>
              <w:rPr>
                <w:rFonts w:ascii="Arial" w:cs="Arial" w:eastAsia="Arial" w:hAnsi="Arial"/>
                <w:sz w:val="17"/>
                <w:szCs w:val="17"/>
                <w:color w:val="auto"/>
                <w:w w:val="94"/>
              </w:rPr>
              <w:t>incorporation or organization)</w:t>
            </w:r>
          </w:p>
        </w:tc>
        <w:tc>
          <w:tcPr>
            <w:tcW w:w="4240" w:type="dxa"/>
            <w:vAlign w:val="bottom"/>
            <w:gridSpan w:val="5"/>
          </w:tcPr>
          <w:p>
            <w:pPr>
              <w:jc w:val="center"/>
              <w:ind w:left="2853"/>
              <w:spacing w:after="0"/>
              <w:rPr>
                <w:sz w:val="20"/>
                <w:szCs w:val="20"/>
                <w:color w:val="auto"/>
              </w:rPr>
            </w:pPr>
            <w:r>
              <w:rPr>
                <w:rFonts w:ascii="Arial" w:cs="Arial" w:eastAsia="Arial" w:hAnsi="Arial"/>
                <w:sz w:val="17"/>
                <w:szCs w:val="17"/>
                <w:color w:val="auto"/>
                <w:w w:val="98"/>
              </w:rPr>
              <w:t>Identification No.)</w:t>
            </w:r>
          </w:p>
        </w:tc>
      </w:tr>
      <w:tr>
        <w:trPr>
          <w:trHeight w:val="406"/>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2"/>
        </w:trPr>
        <w:tc>
          <w:tcPr>
            <w:tcW w:w="800" w:type="dxa"/>
            <w:vAlign w:val="bottom"/>
          </w:tcPr>
          <w:p>
            <w:pPr>
              <w:spacing w:after="0"/>
              <w:rPr>
                <w:sz w:val="21"/>
                <w:szCs w:val="21"/>
                <w:color w:val="auto"/>
              </w:rPr>
            </w:pPr>
          </w:p>
        </w:tc>
        <w:tc>
          <w:tcPr>
            <w:tcW w:w="2920" w:type="dxa"/>
            <w:vAlign w:val="bottom"/>
            <w:gridSpan w:val="2"/>
          </w:tcPr>
          <w:p>
            <w:pPr>
              <w:jc w:val="center"/>
              <w:ind w:right="1120"/>
              <w:spacing w:after="0"/>
              <w:rPr>
                <w:sz w:val="20"/>
                <w:szCs w:val="20"/>
                <w:color w:val="auto"/>
              </w:rPr>
            </w:pPr>
            <w:r>
              <w:rPr>
                <w:rFonts w:ascii="Arial" w:cs="Arial" w:eastAsia="Arial" w:hAnsi="Arial"/>
                <w:sz w:val="17"/>
                <w:szCs w:val="17"/>
                <w:color w:val="auto"/>
                <w:w w:val="90"/>
              </w:rPr>
              <w:t>Houston, Texas</w:t>
            </w:r>
          </w:p>
        </w:tc>
        <w:tc>
          <w:tcPr>
            <w:tcW w:w="3160" w:type="dxa"/>
            <w:vAlign w:val="bottom"/>
          </w:tcPr>
          <w:p>
            <w:pPr>
              <w:spacing w:after="0"/>
              <w:rPr>
                <w:sz w:val="21"/>
                <w:szCs w:val="21"/>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7"/>
                <w:szCs w:val="17"/>
                <w:color w:val="auto"/>
                <w:w w:val="94"/>
              </w:rPr>
              <w:t>(Zip Code)</w:t>
            </w:r>
          </w:p>
        </w:tc>
      </w:tr>
      <w:tr>
        <w:trPr>
          <w:trHeight w:val="223"/>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88"/>
        </w:trPr>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Arial" w:cs="Arial" w:eastAsia="Arial" w:hAnsi="Arial"/>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93"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(Registrant’s telephone number, including area code)</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1" w:lineRule="exact"/>
        <w:rPr>
          <w:sz w:val="24"/>
          <w:szCs w:val="24"/>
          <w:color w:val="auto"/>
        </w:rPr>
      </w:pPr>
    </w:p>
    <w:p>
      <w:pPr>
        <w:jc w:val="center"/>
        <w:ind w:left="820"/>
        <w:spacing w:after="0"/>
        <w:rPr>
          <w:sz w:val="20"/>
          <w:szCs w:val="20"/>
          <w:color w:val="auto"/>
        </w:rPr>
      </w:pPr>
      <w:r>
        <w:rPr>
          <w:rFonts w:ascii="Arial" w:cs="Arial" w:eastAsia="Arial" w:hAnsi="Arial"/>
          <w:sz w:val="16"/>
          <w:szCs w:val="16"/>
          <w:color w:val="auto"/>
        </w:rPr>
        <w:t>Title of Each Class</w:t>
      </w:r>
    </w:p>
    <w:p>
      <w:pPr>
        <w:spacing w:after="0" w:line="26" w:lineRule="exact"/>
        <w:rPr>
          <w:sz w:val="24"/>
          <w:szCs w:val="24"/>
          <w:color w:val="auto"/>
        </w:rPr>
      </w:pPr>
    </w:p>
    <w:p>
      <w:pPr>
        <w:jc w:val="center"/>
        <w:ind w:left="820"/>
        <w:spacing w:after="0"/>
        <w:rPr>
          <w:sz w:val="20"/>
          <w:szCs w:val="20"/>
          <w:color w:val="auto"/>
        </w:rPr>
      </w:pPr>
      <w:r>
        <w:rPr>
          <w:rFonts w:ascii="Arial" w:cs="Arial" w:eastAsia="Arial" w:hAnsi="Arial"/>
          <w:sz w:val="13"/>
          <w:szCs w:val="13"/>
          <w:color w:val="auto"/>
        </w:rPr>
        <w:t>Common Shares, no par value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740"/>
        <w:spacing w:after="0"/>
        <w:rPr>
          <w:sz w:val="20"/>
          <w:szCs w:val="20"/>
          <w:color w:val="auto"/>
        </w:rPr>
      </w:pPr>
      <w:r>
        <w:rPr>
          <w:rFonts w:ascii="Arial" w:cs="Arial" w:eastAsia="Arial" w:hAnsi="Arial"/>
          <w:sz w:val="13"/>
          <w:szCs w:val="13"/>
          <w:color w:val="auto"/>
        </w:rPr>
        <w:t>Trading Symbol</w:t>
      </w:r>
    </w:p>
    <w:p>
      <w:pPr>
        <w:spacing w:after="0" w:line="60"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CVEO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Name of Each Exchange on Which Registered</w:t>
      </w:r>
    </w:p>
    <w:p>
      <w:pPr>
        <w:spacing w:after="0" w:line="60"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New York Stock Exchange</w:t>
      </w:r>
    </w:p>
    <w:p>
      <w:pPr>
        <w:spacing w:after="0" w:line="109" w:lineRule="exact"/>
        <w:rPr>
          <w:sz w:val="24"/>
          <w:szCs w:val="24"/>
          <w:color w:val="auto"/>
        </w:rPr>
      </w:pPr>
    </w:p>
    <w:p>
      <w:pPr>
        <w:sectPr>
          <w:pgSz w:w="11900" w:h="16838" w:orient="portrait"/>
          <w:cols w:equalWidth="0" w:num="3">
            <w:col w:w="3560" w:space="720"/>
            <w:col w:w="1760" w:space="720"/>
            <w:col w:w="4480"/>
          </w:cols>
          <w:pgMar w:left="320" w:top="1440" w:right="339" w:bottom="1440" w:gutter="0" w:footer="0" w:header="0"/>
          <w:type w:val="continuous"/>
        </w:sectPr>
      </w:pPr>
    </w:p>
    <w:p>
      <w:pPr>
        <w:ind w:right="260"/>
        <w:spacing w:after="0" w:line="25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85"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4"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9"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6">
            <w:col w:w="1340" w:space="560"/>
            <w:col w:w="160" w:space="420"/>
            <w:col w:w="1540" w:space="720"/>
            <w:col w:w="140" w:space="460"/>
            <w:col w:w="2240" w:space="720"/>
            <w:col w:w="2940"/>
          </w:cols>
          <w:pgMar w:left="320" w:top="1440" w:right="339" w:bottom="1440" w:gutter="0" w:footer="0" w:header="0"/>
          <w:type w:val="continuous"/>
        </w:sectPr>
      </w:pPr>
    </w:p>
    <w:p>
      <w:pPr>
        <w:spacing w:after="0" w:line="6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75"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8" w:lineRule="exact"/>
        <w:rPr>
          <w:sz w:val="24"/>
          <w:szCs w:val="24"/>
          <w:color w:val="auto"/>
        </w:rPr>
      </w:pPr>
    </w:p>
    <w:p>
      <w:pPr>
        <w:ind w:right="3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3" w:lineRule="exact"/>
        <w:rPr>
          <w:sz w:val="20"/>
          <w:szCs w:val="20"/>
          <w:color w:val="auto"/>
        </w:rPr>
      </w:pPr>
    </w:p>
    <w:p>
      <w:pPr>
        <w:jc w:val="both"/>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14,316,274 common shares outstanding as of July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7"/>
          <w:szCs w:val="17"/>
          <w:color w:val="auto"/>
        </w:rPr>
        <w:t>CIVEO CORPORATION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INDEX</w:t>
      </w:r>
    </w:p>
    <w:p>
      <w:pPr>
        <w:spacing w:after="0" w:line="148" w:lineRule="exact"/>
        <w:rPr>
          <w:sz w:val="20"/>
          <w:szCs w:val="20"/>
          <w:color w:val="auto"/>
        </w:rPr>
      </w:pPr>
    </w:p>
    <w:p>
      <w:pPr>
        <w:ind w:left="10460"/>
        <w:spacing w:after="0"/>
        <w:rPr>
          <w:sz w:val="20"/>
          <w:szCs w:val="20"/>
          <w:color w:val="auto"/>
        </w:rPr>
      </w:pPr>
      <w:r>
        <w:rPr>
          <w:rFonts w:ascii="Arial" w:cs="Arial" w:eastAsia="Arial" w:hAnsi="Arial"/>
          <w:sz w:val="14"/>
          <w:szCs w:val="14"/>
          <w:b w:val="1"/>
          <w:bCs w:val="1"/>
          <w:u w:val="single" w:color="auto"/>
          <w:color w:val="auto"/>
        </w:rPr>
        <w:t>Page No.</w:t>
      </w:r>
    </w:p>
    <w:p>
      <w:pPr>
        <w:spacing w:after="0" w:line="2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19620" cy="11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9620" cy="11620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19620" cy="11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9620" cy="11620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shd w:val="clear" w:color="auto" w:fill="CCEEFF"/>
          </w:tcPr>
          <w:p>
            <w:pPr>
              <w:spacing w:after="0"/>
              <w:rPr>
                <w:sz w:val="15"/>
                <w:szCs w:val="15"/>
                <w:color w:val="auto"/>
              </w:rPr>
            </w:pPr>
          </w:p>
        </w:tc>
        <w:tc>
          <w:tcPr>
            <w:tcW w:w="10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 Financial Statements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Unaudited Consolidated Statements of Operations for the Three and Six Months Ended June 30, 2021 and 2020</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4</w:t>
              </w:r>
            </w:hyperlink>
          </w:p>
        </w:tc>
        <w:tc>
          <w:tcPr>
            <w:tcW w:w="20" w:type="dxa"/>
            <w:vAlign w:val="bottom"/>
          </w:tcPr>
          <w:p>
            <w:pPr>
              <w:spacing w:after="0"/>
              <w:rPr>
                <w:sz w:val="13"/>
                <w:szCs w:val="13"/>
                <w:color w:val="auto"/>
              </w:rPr>
            </w:pPr>
          </w:p>
        </w:tc>
      </w:tr>
      <w:tr>
        <w:trPr>
          <w:trHeight w:val="173"/>
        </w:trPr>
        <w:tc>
          <w:tcPr>
            <w:tcW w:w="4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Unaudited Consolidated Statements of Comprehensive Income (Loss) for the Three and Six Months Ended June 30, 2021 and 2020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line="154"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5</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Consolidated Balance Sheets – as of June 30, 2021 (unaudited) and December 31, 2020</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5">
              <w:r>
                <w:rPr>
                  <w:rFonts w:ascii="Arial" w:cs="Arial" w:eastAsia="Arial" w:hAnsi="Arial"/>
                  <w:sz w:val="14"/>
                  <w:szCs w:val="14"/>
                  <w:color w:val="0000FF"/>
                  <w:w w:val="76"/>
                </w:rPr>
                <w:t>6</w:t>
              </w:r>
            </w:hyperlink>
          </w:p>
        </w:tc>
        <w:tc>
          <w:tcPr>
            <w:tcW w:w="20" w:type="dxa"/>
            <w:vAlign w:val="bottom"/>
          </w:tcPr>
          <w:p>
            <w:pPr>
              <w:spacing w:after="0"/>
              <w:rPr>
                <w:sz w:val="13"/>
                <w:szCs w:val="13"/>
                <w:color w:val="auto"/>
              </w:rPr>
            </w:pPr>
          </w:p>
        </w:tc>
      </w:tr>
      <w:tr>
        <w:trPr>
          <w:trHeight w:val="173"/>
        </w:trPr>
        <w:tc>
          <w:tcPr>
            <w:tcW w:w="4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Unaudited Consolidated Statements of Changes in Shareholders’ Equity for the Three and Six Months Ended June 30, 2021 and 2020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line="154" w:lineRule="exact"/>
              <w:rPr>
                <w:rFonts w:ascii="Arial" w:cs="Arial" w:eastAsia="Arial" w:hAnsi="Arial"/>
                <w:sz w:val="14"/>
                <w:szCs w:val="14"/>
                <w:color w:val="0000FF"/>
                <w:w w:val="76"/>
              </w:rPr>
            </w:pPr>
            <w:hyperlink w:anchor="page6">
              <w:r>
                <w:rPr>
                  <w:rFonts w:ascii="Arial" w:cs="Arial" w:eastAsia="Arial" w:hAnsi="Arial"/>
                  <w:sz w:val="14"/>
                  <w:szCs w:val="14"/>
                  <w:color w:val="0000FF"/>
                  <w:w w:val="76"/>
                </w:rPr>
                <w:t>7</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Unaudited Consolidated Statements of Cash Flows for the Six Months Ended June 30, 2021 and 2020</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7">
              <w:r>
                <w:rPr>
                  <w:rFonts w:ascii="Arial" w:cs="Arial" w:eastAsia="Arial" w:hAnsi="Arial"/>
                  <w:sz w:val="14"/>
                  <w:szCs w:val="14"/>
                  <w:color w:val="0000FF"/>
                  <w:w w:val="76"/>
                </w:rPr>
                <w:t>8</w:t>
              </w:r>
            </w:hyperlink>
          </w:p>
        </w:tc>
        <w:tc>
          <w:tcPr>
            <w:tcW w:w="20" w:type="dxa"/>
            <w:vAlign w:val="bottom"/>
          </w:tcPr>
          <w:p>
            <w:pPr>
              <w:spacing w:after="0"/>
              <w:rPr>
                <w:sz w:val="13"/>
                <w:szCs w:val="13"/>
                <w:color w:val="auto"/>
              </w:rPr>
            </w:pPr>
          </w:p>
        </w:tc>
      </w:tr>
      <w:tr>
        <w:trPr>
          <w:trHeight w:val="173"/>
        </w:trPr>
        <w:tc>
          <w:tcPr>
            <w:tcW w:w="460" w:type="dxa"/>
            <w:vAlign w:val="bottom"/>
            <w:shd w:val="clear" w:color="auto" w:fill="CCEEFF"/>
          </w:tcPr>
          <w:p>
            <w:pPr>
              <w:spacing w:after="0"/>
              <w:rPr>
                <w:sz w:val="15"/>
                <w:szCs w:val="15"/>
                <w:color w:val="auto"/>
              </w:rPr>
            </w:pPr>
          </w:p>
        </w:tc>
        <w:tc>
          <w:tcPr>
            <w:tcW w:w="10600" w:type="dxa"/>
            <w:vAlign w:val="bottom"/>
            <w:shd w:val="clear" w:color="auto" w:fill="CCEEFF"/>
          </w:tcPr>
          <w:p>
            <w:pPr>
              <w:ind w:left="200"/>
              <w:spacing w:after="0" w:line="154" w:lineRule="exact"/>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line="154" w:lineRule="exact"/>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20" w:type="dxa"/>
            <w:vAlign w:val="bottom"/>
            <w:shd w:val="clear" w:color="auto" w:fill="CCEEFF"/>
          </w:tcPr>
          <w:p>
            <w:pPr>
              <w:spacing w:after="0"/>
              <w:rPr>
                <w:sz w:val="15"/>
                <w:szCs w:val="15"/>
                <w:color w:val="auto"/>
              </w:rPr>
            </w:pPr>
          </w:p>
        </w:tc>
      </w:tr>
      <w:tr>
        <w:trPr>
          <w:trHeight w:val="210"/>
        </w:trPr>
        <w:tc>
          <w:tcPr>
            <w:tcW w:w="1106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18">
              <w:r>
                <w:rPr>
                  <w:rFonts w:ascii="Arial" w:cs="Arial" w:eastAsia="Arial" w:hAnsi="Arial"/>
                  <w:sz w:val="14"/>
                  <w:szCs w:val="14"/>
                  <w:color w:val="0000FF"/>
                  <w:w w:val="76"/>
                </w:rPr>
                <w:t>19</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1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19">
              <w:r>
                <w:rPr>
                  <w:rFonts w:ascii="Arial" w:cs="Arial" w:eastAsia="Arial" w:hAnsi="Arial"/>
                  <w:sz w:val="14"/>
                  <w:szCs w:val="14"/>
                  <w:color w:val="0000FF"/>
                  <w:w w:val="76"/>
                </w:rPr>
                <w:t>19</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46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w w:val="98"/>
              </w:rPr>
              <w:t>Item 3.</w:t>
            </w:r>
          </w:p>
        </w:tc>
        <w:tc>
          <w:tcPr>
            <w:tcW w:w="10600" w:type="dxa"/>
            <w:vAlign w:val="bottom"/>
            <w:tcBorders>
              <w:bottom w:val="single" w:sz="8" w:color="CCEEFF"/>
            </w:tcBorders>
            <w:shd w:val="clear" w:color="auto" w:fill="CCEEFF"/>
          </w:tcPr>
          <w:p>
            <w:pPr>
              <w:ind w:left="60"/>
              <w:spacing w:after="0" w:line="144" w:lineRule="exact"/>
              <w:rPr>
                <w:sz w:val="20"/>
                <w:szCs w:val="20"/>
                <w:color w:val="auto"/>
              </w:rPr>
            </w:pPr>
            <w:r>
              <w:rPr>
                <w:rFonts w:ascii="Arial" w:cs="Arial" w:eastAsia="Arial" w:hAnsi="Arial"/>
                <w:sz w:val="14"/>
                <w:szCs w:val="14"/>
                <w:color w:val="auto"/>
              </w:rPr>
              <w:t>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35">
              <w:r>
                <w:rPr>
                  <w:rFonts w:ascii="Arial" w:cs="Arial" w:eastAsia="Arial" w:hAnsi="Arial"/>
                  <w:sz w:val="14"/>
                  <w:szCs w:val="14"/>
                  <w:color w:val="0000FF"/>
                  <w:w w:val="76"/>
                </w:rPr>
                <w:t>36</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46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w w:val="98"/>
              </w:rPr>
              <w:t>Item 4.</w:t>
            </w:r>
          </w:p>
        </w:tc>
        <w:tc>
          <w:tcPr>
            <w:tcW w:w="10600" w:type="dxa"/>
            <w:vAlign w:val="bottom"/>
            <w:tcBorders>
              <w:bottom w:val="single" w:sz="8" w:color="CCEEFF"/>
            </w:tcBorders>
            <w:shd w:val="clear" w:color="auto" w:fill="CCEEFF"/>
          </w:tcPr>
          <w:p>
            <w:pPr>
              <w:ind w:left="60"/>
              <w:spacing w:after="0" w:line="144" w:lineRule="exact"/>
              <w:rPr>
                <w:sz w:val="20"/>
                <w:szCs w:val="20"/>
                <w:color w:val="auto"/>
              </w:rPr>
            </w:pPr>
            <w:r>
              <w:rPr>
                <w:rFonts w:ascii="Arial" w:cs="Arial" w:eastAsia="Arial" w:hAnsi="Arial"/>
                <w:sz w:val="14"/>
                <w:szCs w:val="14"/>
                <w:color w:val="auto"/>
              </w:rPr>
              <w:t>Controls and Procedures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36">
              <w:r>
                <w:rPr>
                  <w:rFonts w:ascii="Arial" w:cs="Arial" w:eastAsia="Arial" w:hAnsi="Arial"/>
                  <w:sz w:val="14"/>
                  <w:szCs w:val="14"/>
                  <w:color w:val="0000FF"/>
                  <w:w w:val="76"/>
                </w:rPr>
                <w:t>36</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1"/>
        </w:trPr>
        <w:tc>
          <w:tcPr>
            <w:tcW w:w="460" w:type="dxa"/>
            <w:vAlign w:val="bottom"/>
          </w:tcPr>
          <w:p>
            <w:pPr>
              <w:spacing w:after="0"/>
              <w:rPr>
                <w:sz w:val="15"/>
                <w:szCs w:val="15"/>
                <w:color w:val="auto"/>
              </w:rPr>
            </w:pPr>
          </w:p>
        </w:tc>
        <w:tc>
          <w:tcPr>
            <w:tcW w:w="10600" w:type="dxa"/>
            <w:vAlign w:val="bottom"/>
          </w:tcPr>
          <w:p>
            <w:pPr>
              <w:ind w:left="940"/>
              <w:spacing w:after="0"/>
              <w:rPr>
                <w:sz w:val="20"/>
                <w:szCs w:val="20"/>
                <w:color w:val="auto"/>
              </w:rPr>
            </w:pPr>
            <w:r>
              <w:rPr>
                <w:rFonts w:ascii="Arial" w:cs="Arial" w:eastAsia="Arial" w:hAnsi="Arial"/>
                <w:sz w:val="14"/>
                <w:szCs w:val="14"/>
                <w:color w:val="auto"/>
              </w:rPr>
              <w:t>Part II -- OTHER INFORMATION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1.</w:t>
            </w:r>
          </w:p>
        </w:tc>
        <w:tc>
          <w:tcPr>
            <w:tcW w:w="10600" w:type="dxa"/>
            <w:vAlign w:val="bottom"/>
          </w:tcPr>
          <w:p>
            <w:pPr>
              <w:ind w:left="140"/>
              <w:spacing w:after="0" w:line="144" w:lineRule="exact"/>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37</w:t>
              </w:r>
            </w:hyperlink>
          </w:p>
        </w:tc>
        <w:tc>
          <w:tcPr>
            <w:tcW w:w="20" w:type="dxa"/>
            <w:vAlign w:val="bottom"/>
          </w:tcPr>
          <w:p>
            <w:pPr>
              <w:spacing w:after="0"/>
              <w:rPr>
                <w:sz w:val="13"/>
                <w:szCs w:val="13"/>
                <w:color w:val="auto"/>
              </w:rPr>
            </w:pPr>
          </w:p>
        </w:tc>
      </w:tr>
      <w:tr>
        <w:trPr>
          <w:trHeight w:val="219"/>
        </w:trPr>
        <w:tc>
          <w:tcPr>
            <w:tcW w:w="1106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110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37</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6.</w:t>
            </w:r>
          </w:p>
        </w:tc>
        <w:tc>
          <w:tcPr>
            <w:tcW w:w="10600" w:type="dxa"/>
            <w:vAlign w:val="bottom"/>
          </w:tcPr>
          <w:p>
            <w:pPr>
              <w:ind w:left="140"/>
              <w:spacing w:after="0" w:line="144" w:lineRule="exact"/>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38</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7">
              <w:r>
                <w:rPr>
                  <w:rFonts w:ascii="Arial" w:cs="Arial" w:eastAsia="Arial" w:hAnsi="Arial"/>
                  <w:sz w:val="14"/>
                  <w:szCs w:val="14"/>
                  <w:color w:val="0000FF"/>
                  <w:w w:val="76"/>
                </w:rPr>
                <w:t>38</w:t>
              </w:r>
            </w:hyperlink>
          </w:p>
        </w:tc>
        <w:tc>
          <w:tcPr>
            <w:tcW w:w="20" w:type="dxa"/>
            <w:vAlign w:val="bottom"/>
          </w:tcPr>
          <w:p>
            <w:pPr>
              <w:spacing w:after="0"/>
              <w:rPr>
                <w:sz w:val="13"/>
                <w:szCs w:val="13"/>
                <w:color w:val="auto"/>
              </w:rPr>
            </w:pPr>
          </w:p>
        </w:tc>
      </w:tr>
      <w:tr>
        <w:trPr>
          <w:trHeight w:val="219"/>
        </w:trPr>
        <w:tc>
          <w:tcPr>
            <w:tcW w:w="1106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4"/>
        </w:trPr>
        <w:tc>
          <w:tcPr>
            <w:tcW w:w="110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8">
              <w:r>
                <w:rPr>
                  <w:rFonts w:ascii="Arial" w:cs="Arial" w:eastAsia="Arial" w:hAnsi="Arial"/>
                  <w:sz w:val="14"/>
                  <w:szCs w:val="14"/>
                  <w:color w:val="0000FF"/>
                  <w:w w:val="76"/>
                </w:rPr>
                <w:t>39</w:t>
              </w:r>
            </w:hyperlink>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3" w:name="page4"/>
    <w:bookmarkEnd w:id="3"/>
    <w:p>
      <w:pPr>
        <w:jc w:val="center"/>
        <w:ind w:right="-154"/>
        <w:spacing w:after="0"/>
        <w:rPr>
          <w:sz w:val="20"/>
          <w:szCs w:val="20"/>
          <w:color w:val="auto"/>
        </w:rPr>
      </w:pPr>
      <w:r>
        <w:rPr>
          <w:rFonts w:ascii="Arial" w:cs="Arial" w:eastAsia="Arial" w:hAnsi="Arial"/>
          <w:sz w:val="17"/>
          <w:szCs w:val="17"/>
          <w:b w:val="1"/>
          <w:bCs w:val="1"/>
          <w:color w:val="auto"/>
        </w:rPr>
        <w:t>PART I -- FINANCIAL INFORMATION</w:t>
      </w:r>
    </w:p>
    <w:p>
      <w:pPr>
        <w:spacing w:after="0" w:line="32" w:lineRule="exact"/>
        <w:rPr>
          <w:sz w:val="20"/>
          <w:szCs w:val="20"/>
          <w:color w:val="auto"/>
        </w:rPr>
      </w:pPr>
    </w:p>
    <w:p>
      <w:pPr>
        <w:ind w:left="155"/>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32" w:lineRule="exact"/>
        <w:rPr>
          <w:sz w:val="20"/>
          <w:szCs w:val="20"/>
          <w:color w:val="auto"/>
        </w:rPr>
      </w:pPr>
    </w:p>
    <w:p>
      <w:pPr>
        <w:jc w:val="center"/>
        <w:ind w:right="-14"/>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4"/>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32" w:lineRule="exact"/>
        <w:rPr>
          <w:sz w:val="20"/>
          <w:szCs w:val="20"/>
          <w:color w:val="auto"/>
        </w:rPr>
      </w:pPr>
    </w:p>
    <w:p>
      <w:pPr>
        <w:jc w:val="center"/>
        <w:ind w:right="-154"/>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12" w:lineRule="exact"/>
        <w:rPr>
          <w:sz w:val="20"/>
          <w:szCs w:val="20"/>
          <w:color w:val="auto"/>
        </w:rPr>
      </w:pPr>
    </w:p>
    <w:tbl>
      <w:tblPr>
        <w:tblLayout w:type="fixed"/>
        <w:tblInd w:w="175"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6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76"/>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r>
      <w:tr>
        <w:trPr>
          <w:trHeight w:val="177"/>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147,784</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110,006</w:t>
            </w:r>
          </w:p>
        </w:tc>
        <w:tc>
          <w:tcPr>
            <w:tcW w:w="10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269,780</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239,405</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10,044</w:t>
            </w:r>
          </w:p>
        </w:tc>
      </w:tr>
      <w:tr>
        <w:trPr>
          <w:trHeight w:val="181"/>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4,045</w:t>
            </w:r>
          </w:p>
        </w:tc>
      </w:tr>
      <w:tr>
        <w:trPr>
          <w:trHeight w:val="179"/>
        </w:trPr>
        <w:tc>
          <w:tcPr>
            <w:tcW w:w="60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154,176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114,702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279,606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253,494</w:t>
            </w:r>
          </w:p>
        </w:tc>
      </w:tr>
      <w:tr>
        <w:trPr>
          <w:trHeight w:val="161"/>
        </w:trPr>
        <w:tc>
          <w:tcPr>
            <w:tcW w:w="6020" w:type="dxa"/>
            <w:vAlign w:val="bottom"/>
          </w:tcPr>
          <w:p>
            <w:pPr>
              <w:ind w:left="20"/>
              <w:spacing w:after="0" w:line="159" w:lineRule="exact"/>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199,911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174,904</w:t>
            </w: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8,428</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w:t>
            </w: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28,884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25,427</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47,707</w:t>
            </w:r>
          </w:p>
        </w:tc>
      </w:tr>
      <w:tr>
        <w:trPr>
          <w:trHeight w:val="181"/>
        </w:trPr>
        <w:tc>
          <w:tcPr>
            <w:tcW w:w="602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144,120</w:t>
            </w:r>
          </w:p>
        </w:tc>
      </w:tr>
      <w:tr>
        <w:trPr>
          <w:trHeight w:val="183"/>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r>
      <w:tr>
        <w:trPr>
          <w:trHeight w:val="176"/>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152,047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287,378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404,404</w:t>
            </w:r>
          </w:p>
        </w:tc>
      </w:tr>
      <w:tr>
        <w:trPr>
          <w:trHeight w:val="17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(150,910)</w:t>
            </w: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(9,449)</w:t>
            </w: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12,667</w:t>
            </w:r>
          </w:p>
        </w:tc>
      </w:tr>
      <w:tr>
        <w:trPr>
          <w:trHeight w:val="174"/>
        </w:trPr>
        <w:tc>
          <w:tcPr>
            <w:tcW w:w="6020" w:type="dxa"/>
            <w:vAlign w:val="bottom"/>
          </w:tcPr>
          <w:p>
            <w:pPr>
              <w:ind w:left="140"/>
              <w:spacing w:after="0"/>
              <w:rPr>
                <w:sz w:val="20"/>
                <w:szCs w:val="20"/>
                <w:color w:val="auto"/>
              </w:rPr>
            </w:pPr>
            <w:r>
              <w:rPr>
                <w:rFonts w:ascii="Arial" w:cs="Arial" w:eastAsia="Arial" w:hAnsi="Arial"/>
                <w:sz w:val="14"/>
                <w:szCs w:val="14"/>
                <w:color w:val="auto"/>
              </w:rPr>
              <w:t>(Loss) income before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(147,672)</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8,689</w:t>
            </w:r>
          </w:p>
        </w:tc>
      </w:tr>
      <w:tr>
        <w:trPr>
          <w:trHeight w:val="174"/>
        </w:trPr>
        <w:tc>
          <w:tcPr>
            <w:tcW w:w="60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(138,983)</w:t>
            </w: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174"/>
        </w:trPr>
        <w:tc>
          <w:tcPr>
            <w:tcW w:w="6020" w:type="dxa"/>
            <w:vAlign w:val="bottom"/>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(9,471)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(139,463)</w:t>
            </w:r>
          </w:p>
        </w:tc>
      </w:tr>
      <w:tr>
        <w:trPr>
          <w:trHeight w:val="183"/>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r>
      <w:tr>
        <w:trPr>
          <w:trHeight w:val="179"/>
        </w:trPr>
        <w:tc>
          <w:tcPr>
            <w:tcW w:w="6020" w:type="dxa"/>
            <w:vAlign w:val="bottom"/>
          </w:tcPr>
          <w:p>
            <w:pPr>
              <w:ind w:left="20"/>
              <w:spacing w:after="0"/>
              <w:rPr>
                <w:sz w:val="20"/>
                <w:szCs w:val="20"/>
                <w:color w:val="auto"/>
              </w:rPr>
            </w:pPr>
            <w:r>
              <w:rPr>
                <w:rFonts w:ascii="Arial" w:cs="Arial" w:eastAsia="Arial" w:hAnsi="Arial"/>
                <w:sz w:val="14"/>
                <w:szCs w:val="14"/>
                <w:color w:val="auto"/>
              </w:rPr>
              <w:t>Net (loss) income attributable to Civeo common shareholders</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(140,402)</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6"/>
        </w:trPr>
        <w:tc>
          <w:tcPr>
            <w:tcW w:w="6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0"/>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3"/>
        </w:trPr>
        <w:tc>
          <w:tcPr>
            <w:tcW w:w="6020" w:type="dxa"/>
            <w:vAlign w:val="bottom"/>
            <w:shd w:val="clear" w:color="auto" w:fill="CCEEFF"/>
          </w:tcPr>
          <w:p>
            <w:pPr>
              <w:ind w:left="20"/>
              <w:spacing w:after="0" w:line="183" w:lineRule="exact"/>
              <w:rPr>
                <w:sz w:val="20"/>
                <w:szCs w:val="20"/>
                <w:color w:val="auto"/>
              </w:rPr>
            </w:pPr>
            <w:r>
              <w:rPr>
                <w:rFonts w:ascii="Arial" w:cs="Arial" w:eastAsia="Arial" w:hAnsi="Arial"/>
                <w:sz w:val="14"/>
                <w:szCs w:val="14"/>
                <w:b w:val="1"/>
                <w:bCs w:val="1"/>
                <w:color w:val="auto"/>
              </w:rPr>
              <w:t xml:space="preserve">Per Share Data (see Note 7) </w:t>
            </w:r>
            <w:r>
              <w:rPr>
                <w:rFonts w:ascii="Arial" w:cs="Arial" w:eastAsia="Arial" w:hAnsi="Arial"/>
                <w:sz w:val="18"/>
                <w:szCs w:val="18"/>
                <w:b w:val="1"/>
                <w:bCs w:val="1"/>
                <w:color w:val="auto"/>
                <w:vertAlign w:val="superscript"/>
              </w:rPr>
              <w:t>(1)</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color w:val="auto"/>
              </w:rPr>
              <w:t>Basic net (loss) income per share attributable to Civeo Corporation common shareholders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(9.96)</w:t>
            </w:r>
          </w:p>
        </w:tc>
      </w:tr>
      <w:tr>
        <w:trPr>
          <w:trHeight w:val="212"/>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color w:val="auto"/>
              </w:rPr>
              <w:t>Diluted net (loss) income per share attributable to Civeo Corporation common shareholders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5"/>
                <w:szCs w:val="15"/>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(0.73)</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(9.96)</w:t>
            </w:r>
          </w:p>
        </w:tc>
      </w:tr>
      <w:tr>
        <w:trPr>
          <w:trHeight w:val="212"/>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1"/>
        </w:trPr>
        <w:tc>
          <w:tcPr>
            <w:tcW w:w="602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14,097</w:t>
            </w:r>
          </w:p>
        </w:tc>
      </w:tr>
      <w:tr>
        <w:trPr>
          <w:trHeight w:val="178"/>
        </w:trPr>
        <w:tc>
          <w:tcPr>
            <w:tcW w:w="6020" w:type="dxa"/>
            <w:vAlign w:val="bottom"/>
          </w:tcPr>
          <w:p>
            <w:pPr>
              <w:ind w:left="14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14,244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14,097</w:t>
            </w:r>
          </w:p>
        </w:tc>
      </w:tr>
    </w:tbl>
    <w:p>
      <w:pPr>
        <w:spacing w:after="0" w:line="144" w:lineRule="exact"/>
        <w:rPr>
          <w:sz w:val="20"/>
          <w:szCs w:val="20"/>
          <w:color w:val="auto"/>
        </w:rPr>
      </w:pPr>
    </w:p>
    <w:p>
      <w:pPr>
        <w:ind w:left="395" w:hanging="395"/>
        <w:spacing w:after="0" w:line="260" w:lineRule="auto"/>
        <w:tabs>
          <w:tab w:leader="none" w:pos="394" w:val="left"/>
        </w:tabs>
        <w:numPr>
          <w:ilvl w:val="0"/>
          <w:numId w:val="3"/>
        </w:numPr>
        <w:rPr>
          <w:rFonts w:ascii="Arial" w:cs="Arial" w:eastAsia="Arial" w:hAnsi="Arial"/>
          <w:sz w:val="12"/>
          <w:szCs w:val="12"/>
          <w:color w:val="auto"/>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29" w:lineRule="exact"/>
        <w:rPr>
          <w:sz w:val="20"/>
          <w:szCs w:val="20"/>
          <w:color w:val="auto"/>
        </w:rPr>
      </w:pPr>
    </w:p>
    <w:p>
      <w:pPr>
        <w:jc w:val="center"/>
        <w:ind w:right="-154"/>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35"/>
          </w:cols>
          <w:pgMar w:left="325" w:top="1379" w:right="3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UNAUDITED CONSOLIDATED STATEMENTS OF COMPREHENSIVE INCOME (LOSS)</w:t>
      </w:r>
    </w:p>
    <w:p>
      <w:pPr>
        <w:spacing w:after="0" w:line="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r>
      <w:tr>
        <w:trPr>
          <w:trHeight w:val="176"/>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2020</w:t>
            </w:r>
          </w:p>
        </w:tc>
      </w:tr>
      <w:tr>
        <w:trPr>
          <w:trHeight w:val="229"/>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81"/>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(138,983)</w:t>
            </w:r>
          </w:p>
        </w:tc>
      </w:tr>
      <w:tr>
        <w:trPr>
          <w:trHeight w:val="127"/>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(loss), net of taxes: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1"/>
        </w:trPr>
        <w:tc>
          <w:tcPr>
            <w:tcW w:w="59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Foreign currency translation adjustment, net of zero taxes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(19,156)</w:t>
            </w:r>
          </w:p>
        </w:tc>
      </w:tr>
      <w:tr>
        <w:trPr>
          <w:trHeight w:val="176"/>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Total other comprehensive income (loss), net of taxes</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(19,156)</w:t>
            </w:r>
          </w:p>
        </w:tc>
      </w:tr>
      <w:tr>
        <w:trPr>
          <w:trHeight w:val="127"/>
        </w:trPr>
        <w:tc>
          <w:tcPr>
            <w:tcW w:w="5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83"/>
        </w:trPr>
        <w:tc>
          <w:tcPr>
            <w:tcW w:w="596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(158,139)</w:t>
            </w:r>
          </w:p>
        </w:tc>
      </w:tr>
      <w:tr>
        <w:trPr>
          <w:trHeight w:val="181"/>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Comprehensive (loss) income attributable to noncontrolling interest</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r>
      <w:tr>
        <w:trPr>
          <w:trHeight w:val="2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 income attributable to Civeo Corporation</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(158,605)</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53975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540" w:top="1379" w:right="5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(In Thousands, Excluding Share Amounts)</w:t>
      </w:r>
    </w:p>
    <w:p>
      <w:pPr>
        <w:sectPr>
          <w:pgSz w:w="11900" w:h="16838" w:orient="portrait"/>
          <w:cols w:equalWidth="0" w:num="1">
            <w:col w:w="11340"/>
          </w:cols>
          <w:pgMar w:left="320" w:top="13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assets: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Cash and cash equivalents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Accounts receivable, net</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Inventories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Prepaid expenses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Other current assets</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Assets held for sale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 current assets</w:t>
      </w:r>
    </w:p>
    <w:p>
      <w:pPr>
        <w:spacing w:after="0" w:line="180"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Property, plant and equipment, net Goodwill</w:t>
      </w:r>
    </w:p>
    <w:p>
      <w:pPr>
        <w:ind w:left="340"/>
        <w:spacing w:after="0"/>
        <w:rPr>
          <w:sz w:val="20"/>
          <w:szCs w:val="20"/>
          <w:color w:val="auto"/>
        </w:rPr>
      </w:pPr>
      <w:r>
        <w:rPr>
          <w:rFonts w:ascii="Arial" w:cs="Arial" w:eastAsia="Arial" w:hAnsi="Arial"/>
          <w:sz w:val="14"/>
          <w:szCs w:val="14"/>
          <w:color w:val="auto"/>
        </w:rPr>
        <w:t>Other intangible assets, net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Operating lease right-of-use assets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noncurrent assets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1440" w:type="dxa"/>
            <w:vAlign w:val="bottom"/>
          </w:tcPr>
          <w:p>
            <w:pPr>
              <w:jc w:val="right"/>
              <w:ind w:right="150"/>
              <w:spacing w:after="0"/>
              <w:rPr>
                <w:sz w:val="20"/>
                <w:szCs w:val="20"/>
                <w:color w:val="auto"/>
              </w:rPr>
            </w:pPr>
            <w:r>
              <w:rPr>
                <w:rFonts w:ascii="Arial" w:cs="Arial" w:eastAsia="Arial" w:hAnsi="Arial"/>
                <w:sz w:val="14"/>
                <w:szCs w:val="14"/>
                <w:b w:val="1"/>
                <w:bCs w:val="1"/>
                <w:color w:val="auto"/>
                <w:w w:val="95"/>
              </w:rPr>
              <w:t>December 31, 2020</w:t>
            </w:r>
          </w:p>
        </w:tc>
      </w:tr>
      <w:tr>
        <w:trPr>
          <w:trHeight w:val="176"/>
        </w:trPr>
        <w:tc>
          <w:tcPr>
            <w:tcW w:w="39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78"/>
        </w:trPr>
        <w:tc>
          <w:tcPr>
            <w:tcW w:w="4360" w:type="dxa"/>
            <w:vAlign w:val="bottom"/>
            <w:gridSpan w:val="2"/>
          </w:tcPr>
          <w:p>
            <w:pPr>
              <w:jc w:val="right"/>
              <w:ind w:right="3770"/>
              <w:spacing w:after="0"/>
              <w:rPr>
                <w:sz w:val="20"/>
                <w:szCs w:val="20"/>
                <w:color w:val="auto"/>
              </w:rPr>
            </w:pPr>
            <w:r>
              <w:rPr>
                <w:rFonts w:ascii="Arial" w:cs="Arial" w:eastAsia="Arial" w:hAnsi="Arial"/>
                <w:sz w:val="14"/>
                <w:szCs w:val="14"/>
                <w:color w:val="auto"/>
                <w:w w:val="90"/>
              </w:rPr>
              <w:t>ASSETS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436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4,414</w:t>
            </w:r>
          </w:p>
        </w:tc>
        <w:tc>
          <w:tcPr>
            <w:tcW w:w="10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6,155</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114,187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89,782</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6,958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6,181</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7,020</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6,165</w:t>
            </w:r>
          </w:p>
        </w:tc>
      </w:tr>
      <w:tr>
        <w:trPr>
          <w:trHeight w:val="189"/>
        </w:trPr>
        <w:tc>
          <w:tcPr>
            <w:tcW w:w="3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3,910</w:t>
            </w:r>
          </w:p>
        </w:tc>
      </w:tr>
      <w:tr>
        <w:trPr>
          <w:trHeight w:val="177"/>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119,213</w:t>
            </w:r>
          </w:p>
        </w:tc>
      </w:tr>
      <w:tr>
        <w:trPr>
          <w:trHeight w:val="335"/>
        </w:trPr>
        <w:tc>
          <w:tcPr>
            <w:tcW w:w="3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442,819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486,930</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8,729</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98,967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99,749</w:t>
            </w:r>
          </w:p>
        </w:tc>
      </w:tr>
      <w:tr>
        <w:trPr>
          <w:trHeight w:val="183"/>
        </w:trPr>
        <w:tc>
          <w:tcPr>
            <w:tcW w:w="3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21,445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22,606</w:t>
            </w:r>
          </w:p>
        </w:tc>
      </w:tr>
      <w:tr>
        <w:trPr>
          <w:trHeight w:val="189"/>
        </w:trPr>
        <w:tc>
          <w:tcPr>
            <w:tcW w:w="3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w:t>
            </w:r>
          </w:p>
        </w:tc>
      </w:tr>
      <w:tr>
        <w:trPr>
          <w:trHeight w:val="179"/>
        </w:trPr>
        <w:tc>
          <w:tcPr>
            <w:tcW w:w="3960" w:type="dxa"/>
            <w:vAlign w:val="bottom"/>
          </w:tcPr>
          <w:p>
            <w:pPr>
              <w:spacing w:after="0"/>
              <w:rPr>
                <w:sz w:val="15"/>
                <w:szCs w:val="15"/>
                <w:color w:val="auto"/>
              </w:rPr>
            </w:pP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717,687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740,853</w:t>
            </w:r>
          </w:p>
        </w:tc>
      </w:tr>
      <w:tr>
        <w:trPr>
          <w:trHeight w:val="22"/>
        </w:trPr>
        <w:tc>
          <w:tcPr>
            <w:tcW w:w="3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-1995805</wp:posOffset>
            </wp:positionV>
            <wp:extent cx="7098030" cy="116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-1779270</wp:posOffset>
            </wp:positionV>
            <wp:extent cx="7098030" cy="116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-1546225</wp:posOffset>
            </wp:positionV>
            <wp:extent cx="7098030" cy="116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-1313815</wp:posOffset>
            </wp:positionV>
            <wp:extent cx="7098030" cy="116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-1080770</wp:posOffset>
            </wp:positionV>
            <wp:extent cx="7098030" cy="116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-839470</wp:posOffset>
            </wp:positionV>
            <wp:extent cx="7098030"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969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-622935</wp:posOffset>
            </wp:positionV>
            <wp:extent cx="7098030" cy="11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-390525</wp:posOffset>
            </wp:positionV>
            <wp:extent cx="7098030" cy="116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-157480</wp:posOffset>
            </wp:positionV>
            <wp:extent cx="7098030" cy="141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160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-98425</wp:posOffset>
            </wp:positionV>
            <wp:extent cx="7098030" cy="116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1620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260" w:space="320"/>
            <w:col w:w="8760"/>
          </w:cols>
          <w:pgMar w:left="320" w:top="1379" w:right="239" w:bottom="1440" w:gutter="0" w:footer="0" w:header="0"/>
          <w:type w:val="continuous"/>
        </w:sectPr>
      </w:pPr>
    </w:p>
    <w:tbl>
      <w:tblPr>
        <w:tblLayout w:type="fixed"/>
        <w:tblInd w:w="160" w:type="dxa"/>
        <w:tblCellMar>
          <w:top w:w="0" w:type="dxa"/>
          <w:left w:w="0" w:type="dxa"/>
          <w:bottom w:w="0" w:type="dxa"/>
          <w:right w:w="0" w:type="dxa"/>
        </w:tblCellMar>
      </w:tblP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68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43,956</w:t>
            </w:r>
          </w:p>
        </w:tc>
        <w:tc>
          <w:tcPr>
            <w:tcW w:w="100" w:type="dxa"/>
            <w:vAlign w:val="bottom"/>
          </w:tcPr>
          <w:p>
            <w:pPr>
              <w:spacing w:after="0"/>
              <w:rPr>
                <w:sz w:val="15"/>
                <w:szCs w:val="15"/>
                <w:color w:val="auto"/>
              </w:rPr>
            </w:pPr>
          </w:p>
        </w:tc>
        <w:tc>
          <w:tcPr>
            <w:tcW w:w="70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42,056</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liabilities</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27,349</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Income taxes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portion of long-term debt</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34,585</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21,486</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current liabilities</w:t>
            </w: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5,997</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5,760</w:t>
            </w:r>
          </w:p>
        </w:tc>
        <w:tc>
          <w:tcPr>
            <w:tcW w:w="0" w:type="dxa"/>
            <w:vAlign w:val="bottom"/>
          </w:tcPr>
          <w:p>
            <w:pPr>
              <w:spacing w:after="0"/>
              <w:rPr>
                <w:sz w:val="1"/>
                <w:szCs w:val="1"/>
                <w:color w:val="auto"/>
              </w:rPr>
            </w:pPr>
          </w:p>
        </w:tc>
      </w:tr>
      <w:tr>
        <w:trPr>
          <w:trHeight w:val="174"/>
        </w:trPr>
        <w:tc>
          <w:tcPr>
            <w:tcW w:w="75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131,240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116,765</w:t>
            </w: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180"/>
              <w:spacing w:after="0"/>
              <w:rPr>
                <w:sz w:val="20"/>
                <w:szCs w:val="20"/>
                <w:color w:val="auto"/>
              </w:rPr>
            </w:pPr>
            <w:r>
              <w:rPr>
                <w:rFonts w:ascii="Arial" w:cs="Arial" w:eastAsia="Arial" w:hAnsi="Arial"/>
                <w:sz w:val="14"/>
                <w:szCs w:val="14"/>
                <w:color w:val="auto"/>
              </w:rPr>
              <w:t>Long-term debt, less current maturities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189,228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214,000</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liabilities</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19,834</w:t>
            </w:r>
          </w:p>
        </w:tc>
        <w:tc>
          <w:tcPr>
            <w:tcW w:w="0" w:type="dxa"/>
            <w:vAlign w:val="bottom"/>
          </w:tcPr>
          <w:p>
            <w:pPr>
              <w:spacing w:after="0"/>
              <w:rPr>
                <w:sz w:val="1"/>
                <w:szCs w:val="1"/>
                <w:color w:val="auto"/>
              </w:rPr>
            </w:pPr>
          </w:p>
        </w:tc>
      </w:tr>
      <w:tr>
        <w:trPr>
          <w:trHeight w:val="181"/>
        </w:trPr>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noncurrent liabilities</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15,817</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14,897</w:t>
            </w:r>
          </w:p>
        </w:tc>
        <w:tc>
          <w:tcPr>
            <w:tcW w:w="0" w:type="dxa"/>
            <w:vAlign w:val="bottom"/>
          </w:tcPr>
          <w:p>
            <w:pPr>
              <w:spacing w:after="0"/>
              <w:rPr>
                <w:sz w:val="1"/>
                <w:szCs w:val="1"/>
                <w:color w:val="auto"/>
              </w:rPr>
            </w:pPr>
          </w:p>
        </w:tc>
      </w:tr>
      <w:tr>
        <w:trPr>
          <w:trHeight w:val="179"/>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liabilities</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354,282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365,496</w:t>
            </w: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Commitments and contingencies (Note 10)</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Shareholders’ Equity:</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560" w:type="dxa"/>
            <w:vAlign w:val="bottom"/>
          </w:tcPr>
          <w:p>
            <w:pPr>
              <w:ind w:left="300"/>
              <w:spacing w:after="0" w:line="131" w:lineRule="exact"/>
              <w:rPr>
                <w:sz w:val="20"/>
                <w:szCs w:val="20"/>
                <w:color w:val="auto"/>
              </w:rPr>
            </w:pPr>
            <w:r>
              <w:rPr>
                <w:rFonts w:ascii="Arial" w:cs="Arial" w:eastAsia="Arial" w:hAnsi="Arial"/>
                <w:sz w:val="14"/>
                <w:szCs w:val="14"/>
                <w:color w:val="auto"/>
                <w:w w:val="88"/>
              </w:rPr>
              <w:t>Preferred shares (Class A Series 1, no par value; 50,000,000 shares authorized, 9,042 shares issued and outstanding, respectively;</w:t>
            </w:r>
          </w:p>
        </w:tc>
        <w:tc>
          <w:tcPr>
            <w:tcW w:w="6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60,974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60,016</w:t>
            </w:r>
          </w:p>
        </w:tc>
        <w:tc>
          <w:tcPr>
            <w:tcW w:w="0" w:type="dxa"/>
            <w:vAlign w:val="bottom"/>
          </w:tcPr>
          <w:p>
            <w:pPr>
              <w:spacing w:after="0"/>
              <w:rPr>
                <w:sz w:val="1"/>
                <w:szCs w:val="1"/>
                <w:color w:val="auto"/>
              </w:rPr>
            </w:pPr>
          </w:p>
        </w:tc>
      </w:tr>
      <w:tr>
        <w:trPr>
          <w:trHeight w:val="181"/>
        </w:trPr>
        <w:tc>
          <w:tcPr>
            <w:tcW w:w="7560" w:type="dxa"/>
            <w:vAlign w:val="bottom"/>
          </w:tcPr>
          <w:p>
            <w:pPr>
              <w:ind w:left="140"/>
              <w:spacing w:after="0"/>
              <w:rPr>
                <w:sz w:val="20"/>
                <w:szCs w:val="20"/>
                <w:color w:val="auto"/>
              </w:rPr>
            </w:pPr>
            <w:r>
              <w:rPr>
                <w:rFonts w:ascii="Arial" w:cs="Arial" w:eastAsia="Arial" w:hAnsi="Arial"/>
                <w:sz w:val="14"/>
                <w:szCs w:val="14"/>
                <w:color w:val="auto"/>
              </w:rPr>
              <w:t>aggregate liquidation preference of $96,471,559 and $95,514,031 as of June 30, 2021 and December 31, 2020)</w:t>
            </w:r>
          </w:p>
        </w:tc>
        <w:tc>
          <w:tcPr>
            <w:tcW w:w="6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560" w:type="dxa"/>
            <w:vAlign w:val="bottom"/>
            <w:shd w:val="clear" w:color="auto" w:fill="CCEEFF"/>
          </w:tcPr>
          <w:p>
            <w:pPr>
              <w:ind w:left="300"/>
              <w:spacing w:after="0" w:line="133" w:lineRule="exact"/>
              <w:rPr>
                <w:sz w:val="20"/>
                <w:szCs w:val="20"/>
                <w:color w:val="auto"/>
              </w:rPr>
            </w:pPr>
            <w:r>
              <w:rPr>
                <w:rFonts w:ascii="Arial" w:cs="Arial" w:eastAsia="Arial" w:hAnsi="Arial"/>
                <w:sz w:val="14"/>
                <w:szCs w:val="14"/>
                <w:color w:val="auto"/>
                <w:w w:val="89"/>
              </w:rPr>
              <w:t>Common shares (no par value; 46,000,000 shares authorized, 14,636,872 shares and 14,478,878 shares issued, respectively, and</w:t>
            </w:r>
          </w:p>
        </w:tc>
        <w:tc>
          <w:tcPr>
            <w:tcW w:w="6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40"/>
              <w:spacing w:after="0" w:line="183" w:lineRule="exact"/>
              <w:rPr>
                <w:sz w:val="20"/>
                <w:szCs w:val="20"/>
                <w:color w:val="auto"/>
              </w:rPr>
            </w:pPr>
            <w:r>
              <w:rPr>
                <w:rFonts w:ascii="Arial" w:cs="Arial" w:eastAsia="Arial" w:hAnsi="Arial"/>
                <w:sz w:val="14"/>
                <w:szCs w:val="14"/>
                <w:color w:val="auto"/>
              </w:rPr>
              <w:t xml:space="preserve">14,316,274 shares and 14,215,169 shares outstanding, respectively) </w:t>
            </w:r>
            <w:r>
              <w:rPr>
                <w:rFonts w:ascii="Arial" w:cs="Arial" w:eastAsia="Arial" w:hAnsi="Arial"/>
                <w:sz w:val="18"/>
                <w:szCs w:val="18"/>
                <w:color w:val="auto"/>
                <w:vertAlign w:val="superscript"/>
              </w:rPr>
              <w:t>(1)</w:t>
            </w:r>
          </w:p>
        </w:tc>
        <w:tc>
          <w:tcPr>
            <w:tcW w:w="6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1,580,213</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1,578,315</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deficit</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(918,156)</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(907,727)</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Common shares held in treasury at cost, 320,598 and 263,709 shares, respectively</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(6,930)</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(352,171)</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(348,989)</w:t>
            </w:r>
          </w:p>
        </w:tc>
        <w:tc>
          <w:tcPr>
            <w:tcW w:w="0" w:type="dxa"/>
            <w:vAlign w:val="bottom"/>
          </w:tcPr>
          <w:p>
            <w:pPr>
              <w:spacing w:after="0"/>
              <w:rPr>
                <w:sz w:val="1"/>
                <w:szCs w:val="1"/>
                <w:color w:val="auto"/>
              </w:rPr>
            </w:pPr>
          </w:p>
        </w:tc>
      </w:tr>
      <w:tr>
        <w:trPr>
          <w:trHeight w:val="174"/>
        </w:trPr>
        <w:tc>
          <w:tcPr>
            <w:tcW w:w="7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Civeo Corporation shareholders’ equity</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362,810</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374,685</w:t>
            </w:r>
          </w:p>
        </w:tc>
        <w:tc>
          <w:tcPr>
            <w:tcW w:w="0" w:type="dxa"/>
            <w:vAlign w:val="bottom"/>
          </w:tcPr>
          <w:p>
            <w:pPr>
              <w:spacing w:after="0"/>
              <w:rPr>
                <w:sz w:val="1"/>
                <w:szCs w:val="1"/>
                <w:color w:val="auto"/>
              </w:rPr>
            </w:pPr>
          </w:p>
        </w:tc>
      </w:tr>
      <w:tr>
        <w:trPr>
          <w:trHeight w:val="179"/>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74"/>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shareholders’ equity</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363,405</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375,357</w:t>
            </w:r>
          </w:p>
        </w:tc>
        <w:tc>
          <w:tcPr>
            <w:tcW w:w="0" w:type="dxa"/>
            <w:vAlign w:val="bottom"/>
          </w:tcPr>
          <w:p>
            <w:pPr>
              <w:spacing w:after="0"/>
              <w:rPr>
                <w:sz w:val="1"/>
                <w:szCs w:val="1"/>
                <w:color w:val="auto"/>
              </w:rPr>
            </w:pPr>
          </w:p>
        </w:tc>
      </w:tr>
      <w:tr>
        <w:trPr>
          <w:trHeight w:val="204"/>
        </w:trPr>
        <w:tc>
          <w:tcPr>
            <w:tcW w:w="7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shareholders’ equity</w:t>
            </w:r>
          </w:p>
        </w:tc>
        <w:tc>
          <w:tcPr>
            <w:tcW w:w="6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717,687</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740,853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00" w:right="420" w:hanging="395"/>
        <w:spacing w:after="0" w:line="218" w:lineRule="auto"/>
        <w:tabs>
          <w:tab w:leader="none" w:pos="38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43"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79" w:right="239" w:bottom="1440" w:gutter="0" w:footer="0" w:header="0"/>
          <w:type w:val="continuous"/>
        </w:sectPr>
      </w:pPr>
    </w:p>
    <w:bookmarkStart w:id="6" w:name="page7"/>
    <w:bookmarkEnd w:id="6"/>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UNAUDITED CONSOLIDATED STATEMENTS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CHANGES IN SHAREHOLDERS’ EQUITY</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 Thousands)</w:t>
      </w:r>
    </w:p>
    <w:p>
      <w:pPr>
        <w:spacing w:after="0" w:line="337" w:lineRule="exact"/>
        <w:rPr>
          <w:sz w:val="20"/>
          <w:szCs w:val="20"/>
          <w:color w:val="auto"/>
        </w:rPr>
      </w:pPr>
    </w:p>
    <w:tbl>
      <w:tblPr>
        <w:tblLayout w:type="fixed"/>
        <w:tblInd w:w="2640" w:type="dxa"/>
        <w:tblCellMar>
          <w:top w:w="0" w:type="dxa"/>
          <w:left w:w="0" w:type="dxa"/>
          <w:bottom w:w="0" w:type="dxa"/>
          <w:right w:w="0" w:type="dxa"/>
        </w:tblCellMar>
      </w:tblPr>
      <w:tr>
        <w:trPr>
          <w:trHeight w:val="168"/>
        </w:trPr>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660"/>
              <w:spacing w:after="0"/>
              <w:rPr>
                <w:sz w:val="20"/>
                <w:szCs w:val="20"/>
                <w:color w:val="auto"/>
              </w:rPr>
            </w:pPr>
            <w:r>
              <w:rPr>
                <w:rFonts w:ascii="Arial" w:cs="Arial" w:eastAsia="Arial" w:hAnsi="Arial"/>
                <w:sz w:val="12"/>
                <w:szCs w:val="12"/>
                <w:b w:val="1"/>
                <w:bCs w:val="1"/>
                <w:color w:val="auto"/>
              </w:rPr>
              <w:t>Attributable to Civeo</w:t>
            </w:r>
          </w:p>
        </w:tc>
        <w:tc>
          <w:tcPr>
            <w:tcW w:w="9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6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w w:val="93"/>
              </w:rPr>
              <w:t>Preferred</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Common</w:t>
            </w: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Additional</w:t>
            </w: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jc w:val="center"/>
              <w:spacing w:after="0" w:line="105" w:lineRule="exact"/>
              <w:rPr>
                <w:sz w:val="20"/>
                <w:szCs w:val="20"/>
                <w:color w:val="auto"/>
              </w:rPr>
            </w:pPr>
            <w:r>
              <w:rPr>
                <w:rFonts w:ascii="Arial" w:cs="Arial" w:eastAsia="Arial" w:hAnsi="Arial"/>
                <w:sz w:val="12"/>
                <w:szCs w:val="12"/>
                <w:b w:val="1"/>
                <w:bCs w:val="1"/>
                <w:color w:val="auto"/>
                <w:w w:val="92"/>
              </w:rPr>
              <w:t>Accumulated</w:t>
            </w:r>
          </w:p>
        </w:tc>
        <w:tc>
          <w:tcPr>
            <w:tcW w:w="1280" w:type="dxa"/>
            <w:vAlign w:val="bottom"/>
          </w:tcPr>
          <w:p>
            <w:pPr>
              <w:spacing w:after="0"/>
              <w:rPr>
                <w:sz w:val="9"/>
                <w:szCs w:val="9"/>
                <w:color w:val="auto"/>
              </w:rPr>
            </w:pPr>
          </w:p>
        </w:tc>
        <w:tc>
          <w:tcPr>
            <w:tcW w:w="960" w:type="dxa"/>
            <w:vAlign w:val="bottom"/>
            <w:vMerge w:val="restart"/>
          </w:tcPr>
          <w:p>
            <w:pPr>
              <w:jc w:val="center"/>
              <w:ind w:left="15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Accumulated</w:t>
            </w: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Treasury</w:t>
            </w: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Other</w:t>
            </w:r>
          </w:p>
        </w:tc>
        <w:tc>
          <w:tcPr>
            <w:tcW w:w="12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1"/>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Amount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Par Value</w:t>
            </w:r>
          </w:p>
        </w:tc>
        <w:tc>
          <w:tcPr>
            <w:tcW w:w="10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4"/>
              </w:rPr>
              <w:t>Paid-in</w:t>
            </w:r>
          </w:p>
        </w:tc>
        <w:tc>
          <w:tcPr>
            <w:tcW w:w="11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59"/>
              <w:spacing w:after="0" w:line="118" w:lineRule="exact"/>
              <w:rPr>
                <w:sz w:val="20"/>
                <w:szCs w:val="20"/>
                <w:color w:val="auto"/>
              </w:rPr>
            </w:pPr>
            <w:r>
              <w:rPr>
                <w:rFonts w:ascii="Arial" w:cs="Arial" w:eastAsia="Arial" w:hAnsi="Arial"/>
                <w:sz w:val="12"/>
                <w:szCs w:val="12"/>
                <w:b w:val="1"/>
                <w:bCs w:val="1"/>
                <w:color w:val="auto"/>
                <w:w w:val="92"/>
              </w:rPr>
              <w:t>Shareholders’</w:t>
            </w:r>
          </w:p>
        </w:tc>
        <w:tc>
          <w:tcPr>
            <w:tcW w:w="0" w:type="dxa"/>
            <w:vAlign w:val="bottom"/>
          </w:tcPr>
          <w:p>
            <w:pPr>
              <w:spacing w:after="0"/>
              <w:rPr>
                <w:sz w:val="1"/>
                <w:szCs w:val="1"/>
                <w:color w:val="auto"/>
              </w:rPr>
            </w:pPr>
          </w:p>
        </w:tc>
      </w:tr>
      <w:tr>
        <w:trPr>
          <w:trHeight w:val="159"/>
        </w:trPr>
        <w:tc>
          <w:tcPr>
            <w:tcW w:w="960" w:type="dxa"/>
            <w:vAlign w:val="bottom"/>
            <w:gridSpan w:val="2"/>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2"/>
              </w:rPr>
              <w:t>Deficit</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0"/>
              </w:rPr>
              <w:t>Income (Loss)</w:t>
            </w:r>
          </w:p>
        </w:tc>
        <w:tc>
          <w:tcPr>
            <w:tcW w:w="1280" w:type="dxa"/>
            <w:vAlign w:val="bottom"/>
          </w:tcPr>
          <w:p>
            <w:pPr>
              <w:jc w:val="center"/>
              <w:ind w:left="19"/>
              <w:spacing w:after="0"/>
              <w:rPr>
                <w:sz w:val="20"/>
                <w:szCs w:val="20"/>
                <w:color w:val="auto"/>
              </w:rPr>
            </w:pPr>
            <w:r>
              <w:rPr>
                <w:rFonts w:ascii="Arial" w:cs="Arial" w:eastAsia="Arial" w:hAnsi="Arial"/>
                <w:sz w:val="12"/>
                <w:szCs w:val="12"/>
                <w:b w:val="1"/>
                <w:bCs w:val="1"/>
                <w:color w:val="auto"/>
                <w:w w:val="92"/>
              </w:rPr>
              <w:t>Interest</w:t>
            </w:r>
          </w:p>
        </w:tc>
        <w:tc>
          <w:tcPr>
            <w:tcW w:w="960" w:type="dxa"/>
            <w:vAlign w:val="bottom"/>
          </w:tcPr>
          <w:p>
            <w:pPr>
              <w:jc w:val="center"/>
              <w:ind w:left="15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078345" cy="124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8345" cy="12446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tbl>
      <w:tblPr>
        <w:tblLayout w:type="fixed"/>
        <w:tblInd w:w="2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March 31, 2020</w:t>
            </w:r>
          </w:p>
        </w:tc>
        <w:tc>
          <w:tcPr>
            <w:tcW w:w="26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58,597</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1,574,457</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59,068</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1,575,788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March 31, 2021</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60,494</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1,579,342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60,974</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1,580,213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58,129</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1,572,249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3,539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59,068</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1,575,788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60,016</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1,578,315</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620" w:type="dxa"/>
            <w:vAlign w:val="bottom"/>
          </w:tcPr>
          <w:p>
            <w:pPr>
              <w:spacing w:after="0" w:line="141"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20"/>
                <w:szCs w:val="20"/>
                <w:color w:val="auto"/>
              </w:rPr>
            </w:pPr>
            <w:r>
              <w:rPr>
                <w:rFonts w:ascii="Arial" w:cs="Arial" w:eastAsia="Arial" w:hAnsi="Arial"/>
                <w:sz w:val="14"/>
                <w:szCs w:val="14"/>
                <w:b w:val="1"/>
                <w:bCs w:val="1"/>
                <w:color w:val="auto"/>
              </w:rPr>
              <w:t>Balance, June 30, 2021</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60,974</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1,580,213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-3675380</wp:posOffset>
            </wp:positionV>
            <wp:extent cx="7078345" cy="116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-3442970</wp:posOffset>
            </wp:positionV>
            <wp:extent cx="7078345" cy="1993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8345"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-2919095</wp:posOffset>
            </wp:positionV>
            <wp:extent cx="7078345" cy="116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-2686050</wp:posOffset>
            </wp:positionV>
            <wp:extent cx="7078345" cy="116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-2453005</wp:posOffset>
            </wp:positionV>
            <wp:extent cx="7078345" cy="199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8345"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-1929130</wp:posOffset>
            </wp:positionV>
            <wp:extent cx="7078345" cy="116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-1696085</wp:posOffset>
            </wp:positionV>
            <wp:extent cx="7078345" cy="1162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-1463040</wp:posOffset>
            </wp:positionV>
            <wp:extent cx="7078345" cy="199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8345"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-939165</wp:posOffset>
            </wp:positionV>
            <wp:extent cx="7078345" cy="116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-706120</wp:posOffset>
            </wp:positionV>
            <wp:extent cx="7078345" cy="116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8345" cy="1162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-473710</wp:posOffset>
            </wp:positionV>
            <wp:extent cx="7078345" cy="199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8345" cy="1993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wp:posOffset>
            </wp:positionV>
            <wp:extent cx="7078345" cy="141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8345"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-1147445</wp:posOffset>
            </wp:positionV>
            <wp:extent cx="7078345" cy="141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8345"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-2136775</wp:posOffset>
            </wp:positionV>
            <wp:extent cx="7078345" cy="141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8345" cy="141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-3126740</wp:posOffset>
            </wp:positionV>
            <wp:extent cx="7078345" cy="141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8345" cy="14160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Preferred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Shares (in</w:t>
            </w:r>
          </w:p>
        </w:tc>
        <w:tc>
          <w:tcPr>
            <w:tcW w:w="0" w:type="dxa"/>
            <w:vAlign w:val="bottom"/>
          </w:tcPr>
          <w:p>
            <w:pPr>
              <w:spacing w:after="0"/>
              <w:rPr>
                <w:sz w:val="1"/>
                <w:szCs w:val="1"/>
                <w:color w:val="auto"/>
              </w:rPr>
            </w:pPr>
          </w:p>
        </w:tc>
      </w:tr>
      <w:tr>
        <w:trPr>
          <w:trHeight w:val="183"/>
        </w:trPr>
        <w:tc>
          <w:tcPr>
            <w:tcW w:w="28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thousands)</w:t>
            </w:r>
            <w:r>
              <w:rPr>
                <w:rFonts w:ascii="Arial" w:cs="Arial" w:eastAsia="Arial" w:hAnsi="Arial"/>
                <w:sz w:val="9"/>
                <w:szCs w:val="9"/>
                <w:b w:val="1"/>
                <w:bCs w:val="1"/>
                <w:color w:val="auto"/>
                <w:w w:val="85"/>
              </w:rPr>
              <w:t>(1)</w:t>
            </w:r>
          </w:p>
        </w:tc>
        <w:tc>
          <w:tcPr>
            <w:tcW w:w="0" w:type="dxa"/>
            <w:vAlign w:val="bottom"/>
          </w:tcPr>
          <w:p>
            <w:pPr>
              <w:spacing w:after="0"/>
              <w:rPr>
                <w:sz w:val="1"/>
                <w:szCs w:val="1"/>
                <w:color w:val="auto"/>
              </w:rPr>
            </w:pPr>
          </w:p>
        </w:tc>
      </w:tr>
      <w:tr>
        <w:trPr>
          <w:trHeight w:val="177"/>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9,042</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14,215</w:t>
            </w: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4"/>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9,042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14,316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(918,128)</w:t>
            </w: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(6,914)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(411,619)</w:t>
            </w:r>
          </w:p>
        </w:tc>
        <w:tc>
          <w:tcPr>
            <w:tcW w:w="120" w:type="dxa"/>
            <w:vAlign w:val="bottom"/>
          </w:tcPr>
          <w:p>
            <w:pPr>
              <w:spacing w:after="0"/>
              <w:rPr>
                <w:sz w:val="15"/>
                <w:szCs w:val="15"/>
                <w:color w:val="auto"/>
              </w:rPr>
            </w:pPr>
          </w:p>
        </w:tc>
        <w:tc>
          <w:tcPr>
            <w:tcW w:w="440" w:type="dxa"/>
            <w:vAlign w:val="bottom"/>
            <w:tcBorders>
              <w:top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552</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296,945</w:t>
            </w:r>
          </w:p>
        </w:tc>
      </w:tr>
      <w:tr>
        <w:trPr>
          <w:trHeight w:val="178"/>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6,607</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6,829</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29,304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29,385</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(471)</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1,315</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(911,992)</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(6,930)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(382,315)</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334,243</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(917,689)</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(8,050)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(350,606)</w:t>
            </w:r>
          </w:p>
        </w:tc>
        <w:tc>
          <w:tcPr>
            <w:tcW w:w="120" w:type="dxa"/>
            <w:vAlign w:val="bottom"/>
          </w:tcPr>
          <w:p>
            <w:pPr>
              <w:spacing w:after="0"/>
              <w:rPr>
                <w:sz w:val="21"/>
                <w:szCs w:val="21"/>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364,139</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(1,573)</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(480)</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871</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(918,156)</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(8,050)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(352,171)</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363,405</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(771,590)</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(5,472)</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(363,173)</w:t>
            </w:r>
          </w:p>
        </w:tc>
        <w:tc>
          <w:tcPr>
            <w:tcW w:w="120" w:type="dxa"/>
            <w:vAlign w:val="bottom"/>
          </w:tcPr>
          <w:p>
            <w:pPr>
              <w:spacing w:after="0"/>
              <w:rPr>
                <w:sz w:val="21"/>
                <w:szCs w:val="21"/>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490,805</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color w:val="auto"/>
                <w:w w:val="86"/>
              </w:rPr>
              <w:t>(139,463)</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(138,983)</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(19,142)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(19,156)</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(939)</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2,081</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(911,992)</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(6,930)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(382,315)</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334,243</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(907,727)</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(6,930)</w:t>
            </w:r>
          </w:p>
        </w:tc>
        <w:tc>
          <w:tcPr>
            <w:tcW w:w="10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(348,989)</w:t>
            </w:r>
          </w:p>
        </w:tc>
        <w:tc>
          <w:tcPr>
            <w:tcW w:w="120" w:type="dxa"/>
            <w:vAlign w:val="bottom"/>
          </w:tcPr>
          <w:p>
            <w:pPr>
              <w:spacing w:after="0"/>
              <w:rPr>
                <w:sz w:val="21"/>
                <w:szCs w:val="21"/>
                <w:color w:val="auto"/>
              </w:rPr>
            </w:pPr>
          </w:p>
        </w:tc>
        <w:tc>
          <w:tcPr>
            <w:tcW w:w="440" w:type="dxa"/>
            <w:vAlign w:val="bottom"/>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Pr>
          <w:p>
            <w:pPr>
              <w:spacing w:after="0"/>
              <w:rPr>
                <w:sz w:val="21"/>
                <w:szCs w:val="21"/>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375,357</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(9,471)</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(9,415)</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(3,200)</w:t>
            </w:r>
          </w:p>
        </w:tc>
      </w:tr>
      <w:tr>
        <w:trPr>
          <w:trHeight w:val="183"/>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314"/>
        </w:trPr>
        <w:tc>
          <w:tcPr>
            <w:tcW w:w="680" w:type="dxa"/>
            <w:vAlign w:val="bottom"/>
          </w:tcPr>
          <w:p>
            <w:pPr>
              <w:jc w:val="right"/>
              <w:ind w:right="70"/>
              <w:spacing w:after="0"/>
              <w:rPr>
                <w:sz w:val="20"/>
                <w:szCs w:val="20"/>
                <w:color w:val="auto"/>
              </w:rPr>
            </w:pPr>
            <w:r>
              <w:rPr>
                <w:rFonts w:ascii="Arial" w:cs="Arial" w:eastAsia="Arial" w:hAnsi="Arial"/>
                <w:sz w:val="14"/>
                <w:szCs w:val="14"/>
                <w:color w:val="auto"/>
              </w:rPr>
              <w:t>(958)</w:t>
            </w:r>
          </w:p>
        </w:tc>
        <w:tc>
          <w:tcPr>
            <w:tcW w:w="22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6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778</w:t>
            </w:r>
          </w:p>
        </w:tc>
      </w:tr>
      <w:tr>
        <w:trPr>
          <w:trHeight w:val="183"/>
        </w:trPr>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w w:val="86"/>
              </w:rPr>
              <w:t>(918,156)</w:t>
            </w: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(8,050)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(352,171)</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363,405</w:t>
            </w:r>
          </w:p>
        </w:tc>
      </w:tr>
      <w:tr>
        <w:trPr>
          <w:trHeight w:val="20"/>
        </w:trPr>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6407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-997585</wp:posOffset>
            </wp:positionV>
            <wp:extent cx="640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-1987550</wp:posOffset>
            </wp:positionV>
            <wp:extent cx="640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-2976880</wp:posOffset>
            </wp:positionV>
            <wp:extent cx="640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378" w:lineRule="exact"/>
        <w:rPr>
          <w:sz w:val="20"/>
          <w:szCs w:val="20"/>
          <w:color w:val="auto"/>
        </w:rPr>
      </w:pPr>
    </w:p>
    <w:p>
      <w:pPr>
        <w:sectPr>
          <w:pgSz w:w="11900" w:h="16838" w:orient="portrait"/>
          <w:cols w:equalWidth="0" w:num="2">
            <w:col w:w="5720" w:space="340"/>
            <w:col w:w="5180"/>
          </w:cols>
          <w:pgMar w:left="320" w:top="1379" w:right="339" w:bottom="1440" w:gutter="0" w:footer="0" w:header="0"/>
          <w:type w:val="continuous"/>
        </w:sectPr>
      </w:pPr>
    </w:p>
    <w:p>
      <w:pPr>
        <w:spacing w:after="0" w:line="384" w:lineRule="exact"/>
        <w:rPr>
          <w:sz w:val="20"/>
          <w:szCs w:val="20"/>
          <w:color w:val="auto"/>
        </w:rPr>
      </w:pPr>
    </w:p>
    <w:p>
      <w:pPr>
        <w:ind w:left="400" w:hanging="395"/>
        <w:spacing w:after="0" w:line="260" w:lineRule="auto"/>
        <w:tabs>
          <w:tab w:leader="none" w:pos="388" w:val="left"/>
        </w:tabs>
        <w:numPr>
          <w:ilvl w:val="0"/>
          <w:numId w:val="5"/>
        </w:numPr>
        <w:rPr>
          <w:rFonts w:ascii="Arial" w:cs="Arial" w:eastAsia="Arial" w:hAnsi="Arial"/>
          <w:sz w:val="9"/>
          <w:szCs w:val="9"/>
          <w:color w:val="auto"/>
        </w:rPr>
      </w:pPr>
      <w:r>
        <w:rPr>
          <w:rFonts w:ascii="Arial" w:cs="Arial" w:eastAsia="Arial" w:hAnsi="Arial"/>
          <w:sz w:val="14"/>
          <w:szCs w:val="14"/>
          <w:color w:val="auto"/>
        </w:rPr>
        <w:t>Reflects our 1-for-12 reverse share split that became effective November 19, 2020. See Note 1 - Description of Business and Basis of Presentation to the notes to the unaudited consolidated financial statements included in Item 1 of this quarterly report for further discussion.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type w:val="continuous"/>
        </w:sectPr>
      </w:pPr>
    </w:p>
    <w:bookmarkStart w:id="7" w:name="page8"/>
    <w:bookmarkEnd w:id="7"/>
    <w:p>
      <w:pPr>
        <w:jc w:val="center"/>
        <w:ind w:right="-43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3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319"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Six Months Ended</w:t>
      </w:r>
    </w:p>
    <w:p>
      <w:pPr>
        <w:jc w:val="center"/>
        <w:ind w:left="7720"/>
        <w:spacing w:after="0"/>
        <w:rPr>
          <w:sz w:val="20"/>
          <w:szCs w:val="20"/>
          <w:color w:val="auto"/>
        </w:rPr>
      </w:pPr>
      <w:r>
        <w:rPr>
          <w:rFonts w:ascii="Arial" w:cs="Arial" w:eastAsia="Arial" w:hAnsi="Arial"/>
          <w:sz w:val="14"/>
          <w:szCs w:val="14"/>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r>
      <w:tr>
        <w:trPr>
          <w:trHeight w:val="177"/>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(9,415)</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(138,983)</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42,646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47,707</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Impairment charges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144,120</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Deferred income tax expense (benefit)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(8,941)</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compensation charge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3,539</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Gains on disposals of assets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(1,819)</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credit losses, net of recoveries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(3,240)</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80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(24,617)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10,231</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181"/>
        </w:trPr>
        <w:tc>
          <w:tcPr>
            <w:tcW w:w="8000" w:type="dxa"/>
            <w:vAlign w:val="bottom"/>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(4,583)</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Taxes payable</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181"/>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r>
      <w:tr>
        <w:trPr>
          <w:trHeight w:val="17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45,318</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(3,847)</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disposition of property, plant and equipment</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8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4,619</w:t>
            </w:r>
          </w:p>
        </w:tc>
      </w:tr>
      <w:tr>
        <w:trPr>
          <w:trHeight w:val="179"/>
        </w:trPr>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flows provided by investing activities</w:t>
            </w:r>
          </w:p>
        </w:tc>
        <w:tc>
          <w:tcPr>
            <w:tcW w:w="8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2,669</w:t>
            </w:r>
          </w:p>
        </w:tc>
      </w:tr>
      <w:tr>
        <w:trPr>
          <w:trHeight w:val="105"/>
        </w:trPr>
        <w:tc>
          <w:tcPr>
            <w:tcW w:w="8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183"/>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Revolving credit borrowings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117,976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122,320</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Revolving credit repayments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(130,080)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(147,950)</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Term loan repayments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(17,874)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(16,551)</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paid on vested shares</w:t>
            </w:r>
          </w:p>
        </w:tc>
        <w:tc>
          <w:tcPr>
            <w:tcW w:w="8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r>
      <w:tr>
        <w:trPr>
          <w:trHeight w:val="174"/>
        </w:trPr>
        <w:tc>
          <w:tcPr>
            <w:tcW w:w="8000" w:type="dxa"/>
            <w:vAlign w:val="bottom"/>
          </w:tcPr>
          <w:p>
            <w:pPr>
              <w:ind w:left="340"/>
              <w:spacing w:after="0"/>
              <w:rPr>
                <w:sz w:val="20"/>
                <w:szCs w:val="20"/>
                <w:color w:val="auto"/>
              </w:rPr>
            </w:pPr>
            <w:r>
              <w:rPr>
                <w:rFonts w:ascii="Arial" w:cs="Arial" w:eastAsia="Arial" w:hAnsi="Arial"/>
                <w:sz w:val="14"/>
                <w:szCs w:val="14"/>
                <w:color w:val="auto"/>
              </w:rPr>
              <w:t>Net cash flows used in financing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(31,098)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(43,639)</w:t>
            </w:r>
          </w:p>
        </w:tc>
      </w:tr>
      <w:tr>
        <w:trPr>
          <w:trHeight w:val="107"/>
        </w:trPr>
        <w:tc>
          <w:tcPr>
            <w:tcW w:w="80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1"/>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r>
      <w:tr>
        <w:trPr>
          <w:trHeight w:val="17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3,980</w:t>
            </w:r>
          </w:p>
        </w:tc>
      </w:tr>
      <w:tr>
        <w:trPr>
          <w:trHeight w:val="181"/>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3,331</w:t>
            </w:r>
          </w:p>
        </w:tc>
      </w:tr>
      <w:tr>
        <w:trPr>
          <w:trHeight w:val="87"/>
        </w:trPr>
        <w:tc>
          <w:tcPr>
            <w:tcW w:w="8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7,311</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0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Non-cash financing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dividends paid-in-kind</w:t>
            </w:r>
          </w:p>
        </w:tc>
        <w:tc>
          <w:tcPr>
            <w:tcW w:w="860" w:type="dxa"/>
            <w:vAlign w:val="bottom"/>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r>
    </w:tbl>
    <w:p>
      <w:pPr>
        <w:spacing w:after="0" w:line="197"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379" w:right="61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224"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Share Split</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November 19, 2020, we effected a reverse share split where each twelve issued and outstanding common shares were</w:t>
      </w:r>
    </w:p>
    <w:p>
      <w:pPr>
        <w:spacing w:after="0" w:line="2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converted into one common share. Our common shares began trading on a reverse share split adjusted basis on November 19, 2020. A total of 14,215,169 common shares were issued and outstanding immediately after the reverse share split. No fractional shares were outstanding following the reverse share split. In lieu of any fractional share, the aggregate number of common shares that a holder was entitled to was, if the fraction was less than half a common share, rounded down to the next closest whole number of common shares, and if the fraction was at least half of a common share, rounded up to one whole common share.</w:t>
      </w:r>
    </w:p>
    <w:p>
      <w:pPr>
        <w:spacing w:after="0" w:line="209"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The reverse share split did not affect the number of authorized or issued and outstanding shares of our preferred shares. As a result of the reverse share split, the conversion price for the Company’s outstanding Class A Series 1 preferred shares (Series A preferred shares) was automatically increased to $39.60 for each Series A preferred share (previously it was $3.30 per Series A preferred share).</w:t>
      </w:r>
    </w:p>
    <w:p>
      <w:pPr>
        <w:spacing w:after="0" w:line="197"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All authorized, issued and outstanding shares and per share amounts contained in the accompanying consolidated financial statements have been adjusted to reflect this reverse share split for all prior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8"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5" w:lineRule="exact"/>
        <w:rPr>
          <w:sz w:val="20"/>
          <w:szCs w:val="20"/>
          <w:color w:val="auto"/>
        </w:rPr>
      </w:pPr>
    </w:p>
    <w:p>
      <w:pPr>
        <w:jc w:val="both"/>
        <w:ind w:firstLine="472"/>
        <w:spacing w:after="0" w:line="314" w:lineRule="auto"/>
        <w:rPr>
          <w:sz w:val="20"/>
          <w:szCs w:val="20"/>
          <w:color w:val="auto"/>
        </w:rPr>
      </w:pPr>
      <w:r>
        <w:rPr>
          <w:rFonts w:ascii="Arial" w:cs="Arial" w:eastAsia="Arial" w:hAnsi="Arial"/>
          <w:sz w:val="15"/>
          <w:szCs w:val="15"/>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w:t>
      </w:r>
    </w:p>
    <w:p>
      <w:pPr>
        <w:spacing w:after="0" w:line="212"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The financial statements included in this report should be read in conjunction with our audited financial statements and accompanying notes included in our Annual Report on Form 10-K for the year ended December 31, 2020.</w:t>
      </w:r>
    </w:p>
    <w:p>
      <w:pPr>
        <w:spacing w:after="0" w:line="178"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97" w:lineRule="exact"/>
        <w:rPr>
          <w:sz w:val="20"/>
          <w:szCs w:val="20"/>
          <w:color w:val="auto"/>
        </w:rPr>
      </w:pPr>
    </w:p>
    <w:p>
      <w:pPr>
        <w:jc w:val="both"/>
        <w:ind w:right="100" w:firstLine="472"/>
        <w:spacing w:after="0" w:line="262" w:lineRule="auto"/>
        <w:rPr>
          <w:sz w:val="20"/>
          <w:szCs w:val="20"/>
          <w:color w:val="auto"/>
        </w:rPr>
      </w:pPr>
      <w:r>
        <w:rPr>
          <w:rFonts w:ascii="Arial" w:cs="Arial" w:eastAsia="Arial" w:hAnsi="Arial"/>
          <w:sz w:val="17"/>
          <w:szCs w:val="17"/>
          <w:color w:val="auto"/>
        </w:rPr>
        <w:t>In December 2019, the FASB issued Accounting Standards Update (ASU) 2019-12, Income Taxes (Topic 740): Simplifying the Accounting for Income Taxes. The amendments in ASU 2019-12 remove certain exceptions to the general principles in Accounting Standards Codification Topic 740. The amendments also clarify and amend existing guidance to improve consistent application. The amendments are effective for financial statements issued for reporting periods beginning after December 15, 2020 and interim periods within the reporting periods. The transition method (retrospective, modified retrospective or prospective basis) related to the amendments depends on the applicable guidance, and all amendments for which there is no transition guidance specified are to be applied on a prospective basis. We adopted ASU 2019-12 on January 1, 2021 and have applied the prospective basis. The adoption of this new standard did not have an impact on our consolidated financial statements.</w:t>
      </w:r>
    </w:p>
    <w:p>
      <w:pPr>
        <w:spacing w:after="0" w:line="203"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30" w:lineRule="exact"/>
        <w:rPr>
          <w:sz w:val="20"/>
          <w:szCs w:val="20"/>
          <w:color w:val="auto"/>
        </w:rPr>
      </w:pPr>
    </w:p>
    <w:p>
      <w:pPr>
        <w:ind w:right="440" w:firstLine="472"/>
        <w:spacing w:after="0" w:line="280" w:lineRule="auto"/>
        <w:rPr>
          <w:sz w:val="20"/>
          <w:szCs w:val="20"/>
          <w:color w:val="auto"/>
        </w:rPr>
      </w:pPr>
      <w:r>
        <w:rPr>
          <w:rFonts w:ascii="Arial" w:cs="Arial" w:eastAsia="Arial" w:hAnsi="Arial"/>
          <w:sz w:val="17"/>
          <w:szCs w:val="17"/>
          <w:color w:val="auto"/>
        </w:rPr>
        <w:t>The following table disaggregates our revenue by our three reportable segments: Canada, Australia and the U.S., and major categories for the periods indicated (in thousands):</w:t>
      </w:r>
    </w:p>
    <w:tbl>
      <w:tblPr>
        <w:tblLayout w:type="fixed"/>
        <w:tblInd w:w="480" w:type="dxa"/>
        <w:tblCellMar>
          <w:top w:w="0" w:type="dxa"/>
          <w:left w:w="0" w:type="dxa"/>
          <w:bottom w:w="0" w:type="dxa"/>
          <w:right w:w="0" w:type="dxa"/>
        </w:tblCellMar>
      </w:tblPr>
      <w:tr>
        <w:trPr>
          <w:trHeight w:val="159"/>
        </w:trPr>
        <w:tc>
          <w:tcPr>
            <w:tcW w:w="3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20" w:type="dxa"/>
            <w:vAlign w:val="bottom"/>
            <w:gridSpan w:val="4"/>
          </w:tcPr>
          <w:p>
            <w:pPr>
              <w:jc w:val="right"/>
              <w:spacing w:after="0" w:line="159" w:lineRule="exact"/>
              <w:rPr>
                <w:sz w:val="20"/>
                <w:szCs w:val="20"/>
                <w:color w:val="auto"/>
              </w:rPr>
            </w:pPr>
            <w:r>
              <w:rPr>
                <w:rFonts w:ascii="Arial" w:cs="Arial" w:eastAsia="Arial" w:hAnsi="Arial"/>
                <w:sz w:val="16"/>
                <w:szCs w:val="16"/>
                <w:b w:val="1"/>
                <w:bCs w:val="1"/>
                <w:color w:val="auto"/>
              </w:rPr>
              <w:t>Three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80" w:type="dxa"/>
            <w:vAlign w:val="bottom"/>
            <w:gridSpan w:val="4"/>
          </w:tcPr>
          <w:p>
            <w:pPr>
              <w:jc w:val="right"/>
              <w:ind w:right="1"/>
              <w:spacing w:after="0" w:line="159" w:lineRule="exact"/>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3"/>
                <w:szCs w:val="13"/>
                <w:color w:val="auto"/>
              </w:rPr>
            </w:pPr>
          </w:p>
        </w:tc>
      </w:tr>
      <w:tr>
        <w:trPr>
          <w:trHeight w:val="207"/>
        </w:trPr>
        <w:tc>
          <w:tcPr>
            <w:tcW w:w="39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3"/>
        </w:trPr>
        <w:tc>
          <w:tcPr>
            <w:tcW w:w="39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2020</w:t>
            </w:r>
          </w:p>
        </w:tc>
      </w:tr>
      <w:tr>
        <w:trPr>
          <w:trHeight w:val="205"/>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Canada</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06"/>
        </w:trPr>
        <w:tc>
          <w:tcPr>
            <w:tcW w:w="3920" w:type="dxa"/>
            <w:vAlign w:val="bottom"/>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69,759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40,204</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116,289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Mobile facility rental revenues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6,710</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06"/>
        </w:trPr>
        <w:tc>
          <w:tcPr>
            <w:tcW w:w="39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Canada revenues</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145,166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105"/>
        </w:trPr>
        <w:tc>
          <w:tcPr>
            <w:tcW w:w="3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210"/>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Australia</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06"/>
        </w:trPr>
        <w:tc>
          <w:tcPr>
            <w:tcW w:w="3920" w:type="dxa"/>
            <w:vAlign w:val="bottom"/>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37,780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34,933</w:t>
            </w:r>
          </w:p>
        </w:tc>
        <w:tc>
          <w:tcPr>
            <w:tcW w:w="100" w:type="dxa"/>
            <w:vAlign w:val="bottom"/>
          </w:tcPr>
          <w:p>
            <w:pPr>
              <w:spacing w:after="0"/>
              <w:rPr>
                <w:sz w:val="17"/>
                <w:szCs w:val="17"/>
                <w:color w:val="auto"/>
              </w:rPr>
            </w:pPr>
          </w:p>
        </w:tc>
        <w:tc>
          <w:tcPr>
            <w:tcW w:w="7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71,455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22,138</w:t>
            </w: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199"/>
        </w:trPr>
        <w:tc>
          <w:tcPr>
            <w:tcW w:w="3920" w:type="dxa"/>
            <w:vAlign w:val="bottom"/>
          </w:tcPr>
          <w:p>
            <w:pPr>
              <w:ind w:left="600"/>
              <w:spacing w:after="0"/>
              <w:rPr>
                <w:sz w:val="20"/>
                <w:szCs w:val="20"/>
                <w:color w:val="auto"/>
              </w:rPr>
            </w:pPr>
            <w:r>
              <w:rPr>
                <w:rFonts w:ascii="Arial" w:cs="Arial" w:eastAsia="Arial" w:hAnsi="Arial"/>
                <w:sz w:val="16"/>
                <w:szCs w:val="16"/>
                <w:color w:val="auto"/>
              </w:rPr>
              <w:t>Total Australia revenues</w:t>
            </w: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64,019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57,071</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123,656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108"/>
        </w:trPr>
        <w:tc>
          <w:tcPr>
            <w:tcW w:w="3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207"/>
        </w:trPr>
        <w:tc>
          <w:tcPr>
            <w:tcW w:w="3920" w:type="dxa"/>
            <w:vAlign w:val="bottom"/>
          </w:tcPr>
          <w:p>
            <w:pPr>
              <w:ind w:left="480"/>
              <w:spacing w:after="0"/>
              <w:rPr>
                <w:sz w:val="20"/>
                <w:szCs w:val="20"/>
                <w:color w:val="auto"/>
              </w:rPr>
            </w:pPr>
            <w:r>
              <w:rPr>
                <w:rFonts w:ascii="Arial" w:cs="Arial" w:eastAsia="Arial" w:hAnsi="Arial"/>
                <w:sz w:val="16"/>
                <w:szCs w:val="16"/>
                <w:b w:val="1"/>
                <w:bCs w:val="1"/>
                <w:color w:val="auto"/>
              </w:rPr>
              <w:t>U.S.</w:t>
            </w: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2"/>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3920" w:type="dxa"/>
            <w:vAlign w:val="bottom"/>
          </w:tcPr>
          <w:p>
            <w:pPr>
              <w:ind w:left="480"/>
              <w:spacing w:after="0"/>
              <w:rPr>
                <w:sz w:val="20"/>
                <w:szCs w:val="20"/>
                <w:color w:val="auto"/>
              </w:rPr>
            </w:pPr>
            <w:r>
              <w:rPr>
                <w:rFonts w:ascii="Arial" w:cs="Arial" w:eastAsia="Arial" w:hAnsi="Arial"/>
                <w:sz w:val="16"/>
                <w:szCs w:val="16"/>
                <w:color w:val="auto"/>
              </w:rPr>
              <w:t>Mobile facility rental revenues</w:t>
            </w: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3,870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6,828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39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Manufacturing revenues</w:t>
            </w: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06"/>
        </w:trPr>
        <w:tc>
          <w:tcPr>
            <w:tcW w:w="39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U.S. revenues</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05"/>
        </w:trPr>
        <w:tc>
          <w:tcPr>
            <w:tcW w:w="392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228"/>
        </w:trPr>
        <w:tc>
          <w:tcPr>
            <w:tcW w:w="3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154,176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114,702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Our payment terms vary by the type and location of our customer and the products or services offered. The term between invoicing and when our performance obligations are satisfied is not significant. Payment terms are generally within 30 days and do not extend beyond 60 days, unless otherwise agreed to. We do not have significant financing components or significant payment terms.</w:t>
      </w:r>
    </w:p>
    <w:p>
      <w:pPr>
        <w:spacing w:after="0" w:line="197"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As of June 30, 2021,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 w:name="page11"/>
    <w:bookmarkEnd w:id="10"/>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right="21"/>
              <w:spacing w:after="0"/>
              <w:rPr>
                <w:sz w:val="20"/>
                <w:szCs w:val="20"/>
                <w:color w:val="auto"/>
              </w:rPr>
            </w:pPr>
            <w:r>
              <w:rPr>
                <w:rFonts w:ascii="Arial" w:cs="Arial" w:eastAsia="Arial" w:hAnsi="Arial"/>
                <w:sz w:val="16"/>
                <w:szCs w:val="16"/>
                <w:b w:val="1"/>
                <w:bCs w:val="1"/>
                <w:color w:val="auto"/>
                <w:w w:val="87"/>
              </w:rPr>
              <w:t>For the years ending December 31,</w:t>
            </w: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740" w:type="dxa"/>
            <w:vAlign w:val="bottom"/>
          </w:tcPr>
          <w:p>
            <w:pPr>
              <w:spacing w:after="0"/>
              <w:rPr>
                <w:sz w:val="17"/>
                <w:szCs w:val="17"/>
                <w:color w:val="auto"/>
              </w:rPr>
            </w:pPr>
          </w:p>
        </w:tc>
        <w:tc>
          <w:tcPr>
            <w:tcW w:w="960" w:type="dxa"/>
            <w:vAlign w:val="bottom"/>
          </w:tcPr>
          <w:p>
            <w:pPr>
              <w:jc w:val="right"/>
              <w:ind w:right="3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3"/>
        </w:trPr>
        <w:tc>
          <w:tcPr>
            <w:tcW w:w="1960" w:type="dxa"/>
            <w:vAlign w:val="bottom"/>
            <w:tcBorders>
              <w:top w:val="single" w:sz="8" w:color="CCEEFF"/>
            </w:tcBorders>
            <w:shd w:val="clear" w:color="auto" w:fill="CCEEFF"/>
          </w:tcPr>
          <w:p>
            <w:pPr>
              <w:jc w:val="right"/>
              <w:ind w:right="81"/>
              <w:spacing w:after="0" w:line="143" w:lineRule="exact"/>
              <w:rPr>
                <w:sz w:val="20"/>
                <w:szCs w:val="20"/>
                <w:color w:val="auto"/>
              </w:rPr>
            </w:pPr>
            <w:r>
              <w:rPr>
                <w:rFonts w:ascii="Arial" w:cs="Arial" w:eastAsia="Arial" w:hAnsi="Arial"/>
                <w:sz w:val="16"/>
                <w:szCs w:val="16"/>
                <w:color w:val="auto"/>
              </w:rPr>
              <w:t>Revenue expected to</w:t>
            </w:r>
          </w:p>
        </w:tc>
        <w:tc>
          <w:tcPr>
            <w:tcW w:w="7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60" w:type="dxa"/>
            <w:vAlign w:val="bottom"/>
            <w:shd w:val="clear" w:color="auto" w:fill="CCEEFF"/>
          </w:tcPr>
          <w:p>
            <w:pPr>
              <w:jc w:val="right"/>
              <w:ind w:right="81"/>
              <w:spacing w:after="0" w:line="158" w:lineRule="exact"/>
              <w:rPr>
                <w:sz w:val="20"/>
                <w:szCs w:val="20"/>
                <w:color w:val="auto"/>
              </w:rPr>
            </w:pPr>
            <w:r>
              <w:rPr>
                <w:rFonts w:ascii="Arial" w:cs="Arial" w:eastAsia="Arial" w:hAnsi="Arial"/>
                <w:sz w:val="16"/>
                <w:szCs w:val="16"/>
                <w:color w:val="auto"/>
                <w:w w:val="86"/>
              </w:rPr>
              <w:t>be recognized as of June 30,</w:t>
            </w: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53,065</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81,244</w:t>
            </w: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14,253</w:t>
            </w:r>
          </w:p>
        </w:tc>
        <w:tc>
          <w:tcPr>
            <w:tcW w:w="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150,570</w:t>
            </w:r>
          </w:p>
        </w:tc>
        <w:tc>
          <w:tcPr>
            <w:tcW w:w="0" w:type="dxa"/>
            <w:vAlign w:val="bottom"/>
          </w:tcPr>
          <w:p>
            <w:pPr>
              <w:spacing w:after="0"/>
              <w:rPr>
                <w:sz w:val="1"/>
                <w:szCs w:val="1"/>
                <w:color w:val="auto"/>
              </w:rPr>
            </w:pPr>
          </w:p>
        </w:tc>
      </w:tr>
      <w:tr>
        <w:trPr>
          <w:trHeight w:val="206"/>
        </w:trPr>
        <w:tc>
          <w:tcPr>
            <w:tcW w:w="1960" w:type="dxa"/>
            <w:vAlign w:val="bottom"/>
            <w:shd w:val="clear" w:color="auto" w:fill="CCEEFF"/>
          </w:tcPr>
          <w:p>
            <w:pPr>
              <w:jc w:val="right"/>
              <w:ind w:right="1541"/>
              <w:spacing w:after="0"/>
              <w:rPr>
                <w:sz w:val="20"/>
                <w:szCs w:val="20"/>
                <w:color w:val="auto"/>
              </w:rPr>
            </w:pPr>
            <w:r>
              <w:rPr>
                <w:rFonts w:ascii="Arial" w:cs="Arial" w:eastAsia="Arial" w:hAnsi="Arial"/>
                <w:sz w:val="16"/>
                <w:szCs w:val="16"/>
                <w:color w:val="auto"/>
                <w:w w:val="89"/>
              </w:rPr>
              <w:t>2021</w:t>
            </w:r>
          </w:p>
        </w:tc>
        <w:tc>
          <w:tcPr>
            <w:tcW w:w="72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8"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5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As of June 30, 2021 and December 31, 2020,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78"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During the first quarter of 2020, we recorded goodwill impairment charges related to one of our reporting units.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cash flows, oil, met coal and natural gas prices, anticipated spending by our customers, the cost of capital, and industry and/or local market conditions. We estimated the fair value when conducting the goodwill impairment test primarily using an income approach. The discount rates used to value our reporting units for the goodwill impairment test ranged between 10.5% and 14.0%.</w:t>
      </w:r>
    </w:p>
    <w:p>
      <w:pPr>
        <w:spacing w:after="0" w:line="192"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During the second quarter of 2021 and the first quarter of 2020, we wrote down certain long-lived assets to fair value. During the first quarter of 2020, we estimated the fair value when conducting the long-lived asset impairment tests primarily using an income approach. We used a variety of unobservable inputs and underlying assumptions consistent with those discussed above for purposes of our goodwill impairment test. The discount rates used to value our Canadian and U.S. segments long-lived asset impairment analysis ranged between 11.0% and 14.0%. During the second quarter of 2021, our estimate of the fair value of undeveloped land positions in Australia that were impaired was based on appraisals from third parties.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Note 6 – Impairment Charges for further information.</w:t>
      </w:r>
    </w:p>
    <w:p>
      <w:pPr>
        <w:spacing w:after="0" w:line="244"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SELECTED BALANCE SHEET ACCOUNTS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Additional information regarding selected balance sheet accounts at June 30, 2021 and December 31, 2020 is presented below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4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2"/>
              </w:rPr>
              <w:t>December 31, 2020</w:t>
            </w:r>
          </w:p>
        </w:tc>
      </w:tr>
      <w:tr>
        <w:trPr>
          <w:trHeight w:val="20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Trade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82,844</w:t>
            </w:r>
          </w:p>
        </w:tc>
        <w:tc>
          <w:tcPr>
            <w:tcW w:w="100" w:type="dxa"/>
            <w:vAlign w:val="bottom"/>
          </w:tcPr>
          <w:p>
            <w:pPr>
              <w:spacing w:after="0"/>
              <w:rPr>
                <w:sz w:val="17"/>
                <w:szCs w:val="17"/>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66,071</w:t>
            </w: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22,565</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r>
      <w:tr>
        <w:trPr>
          <w:trHeight w:val="20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90,057</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31"/>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114,187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89,782</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6"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As of December 31, 2020, Other accounts receivable included $1.1 million related to the Canada Emergency Wage Subsidy (CEWS), a subsidy implemented by the Canadian government in response to the COVID-19 pandemic. For the three months ended June 30, 2021 and 2020, Other income related to the CEWS was $0.7 million and $6.2 million, respectively. For the six months ended June 30, 2021 and 2020, Other income related to the CEWS was $3.5 million and $6.2 million, respectively.</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2020</w:t>
            </w:r>
          </w:p>
        </w:tc>
      </w:tr>
      <w:tr>
        <w:trPr>
          <w:trHeight w:val="206"/>
        </w:trPr>
        <w:tc>
          <w:tcPr>
            <w:tcW w:w="6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Inventories:</w:t>
            </w:r>
          </w:p>
        </w:tc>
        <w:tc>
          <w:tcPr>
            <w:tcW w:w="3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06"/>
        </w:trPr>
        <w:tc>
          <w:tcPr>
            <w:tcW w:w="6980" w:type="dxa"/>
            <w:vAlign w:val="bottom"/>
          </w:tcPr>
          <w:p>
            <w:pPr>
              <w:ind w:left="180"/>
              <w:spacing w:after="0"/>
              <w:rPr>
                <w:sz w:val="20"/>
                <w:szCs w:val="20"/>
                <w:color w:val="auto"/>
              </w:rPr>
            </w:pPr>
            <w:r>
              <w:rPr>
                <w:rFonts w:ascii="Arial" w:cs="Arial" w:eastAsia="Arial" w:hAnsi="Arial"/>
                <w:sz w:val="16"/>
                <w:szCs w:val="16"/>
                <w:color w:val="auto"/>
              </w:rPr>
              <w:t>Finished goods and purchased products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Pr>
          <w:p>
            <w:pPr>
              <w:spacing w:after="0"/>
              <w:rPr>
                <w:sz w:val="17"/>
                <w:szCs w:val="17"/>
                <w:color w:val="auto"/>
              </w:rPr>
            </w:pPr>
          </w:p>
        </w:tc>
        <w:tc>
          <w:tcPr>
            <w:tcW w:w="72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5,047</w:t>
            </w:r>
          </w:p>
        </w:tc>
      </w:tr>
      <w:tr>
        <w:trPr>
          <w:trHeight w:val="213"/>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Work in process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6"/>
        </w:trPr>
        <w:tc>
          <w:tcPr>
            <w:tcW w:w="6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Raw materials</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w:t>
            </w:r>
          </w:p>
        </w:tc>
      </w:tr>
      <w:tr>
        <w:trPr>
          <w:trHeight w:val="231"/>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6"/>
                <w:szCs w:val="16"/>
                <w:b w:val="1"/>
                <w:bCs w:val="1"/>
                <w:color w:val="auto"/>
              </w:rPr>
              <w:t>Estimated</w:t>
            </w: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060" w:type="dxa"/>
            <w:vAlign w:val="bottom"/>
            <w:gridSpan w:val="2"/>
          </w:tcPr>
          <w:p>
            <w:pPr>
              <w:ind w:left="300"/>
              <w:spacing w:after="0" w:line="158" w:lineRule="exact"/>
              <w:rPr>
                <w:sz w:val="20"/>
                <w:szCs w:val="20"/>
                <w:color w:val="auto"/>
              </w:rPr>
            </w:pPr>
            <w:r>
              <w:rPr>
                <w:rFonts w:ascii="Arial" w:cs="Arial" w:eastAsia="Arial" w:hAnsi="Arial"/>
                <w:sz w:val="16"/>
                <w:szCs w:val="16"/>
                <w:b w:val="1"/>
                <w:bCs w:val="1"/>
                <w:color w:val="auto"/>
                <w:w w:val="90"/>
              </w:rPr>
              <w:t>Useful Life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June 30, 2021</w:t>
            </w:r>
          </w:p>
        </w:tc>
        <w:tc>
          <w:tcPr>
            <w:tcW w:w="156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Property, plant and equipment, net:</w:t>
            </w: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Land</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40,723</w:t>
            </w:r>
          </w:p>
        </w:tc>
        <w:tc>
          <w:tcPr>
            <w:tcW w:w="120" w:type="dxa"/>
            <w:vAlign w:val="bottom"/>
          </w:tcPr>
          <w:p>
            <w:pPr>
              <w:spacing w:after="0"/>
              <w:rPr>
                <w:sz w:val="17"/>
                <w:szCs w:val="17"/>
                <w:color w:val="auto"/>
              </w:rPr>
            </w:pPr>
          </w:p>
        </w:tc>
        <w:tc>
          <w:tcPr>
            <w:tcW w:w="5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47,751</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Accommodations assets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1,718,621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1,737,620</w:t>
            </w: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Buildings and leasehold improvements</w:t>
            </w: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28,471</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12,784</w:t>
            </w:r>
          </w:p>
        </w:tc>
        <w:tc>
          <w:tcPr>
            <w:tcW w:w="0" w:type="dxa"/>
            <w:vAlign w:val="bottom"/>
          </w:tcPr>
          <w:p>
            <w:pPr>
              <w:spacing w:after="0"/>
              <w:rPr>
                <w:sz w:val="1"/>
                <w:szCs w:val="1"/>
                <w:color w:val="auto"/>
              </w:rPr>
            </w:pPr>
          </w:p>
        </w:tc>
      </w:tr>
      <w:tr>
        <w:trPr>
          <w:trHeight w:val="206"/>
        </w:trPr>
        <w:tc>
          <w:tcPr>
            <w:tcW w:w="584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63,556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61,850</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Vehicles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15,363</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5,523</w:t>
            </w: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property, plant and equipment</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1,885,822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1,909,722</w:t>
            </w:r>
          </w:p>
        </w:tc>
        <w:tc>
          <w:tcPr>
            <w:tcW w:w="0" w:type="dxa"/>
            <w:vAlign w:val="bottom"/>
          </w:tcPr>
          <w:p>
            <w:pPr>
              <w:spacing w:after="0"/>
              <w:rPr>
                <w:sz w:val="1"/>
                <w:szCs w:val="1"/>
                <w:color w:val="auto"/>
              </w:rPr>
            </w:pPr>
          </w:p>
        </w:tc>
      </w:tr>
      <w:tr>
        <w:trPr>
          <w:trHeight w:val="206"/>
        </w:trPr>
        <w:tc>
          <w:tcPr>
            <w:tcW w:w="5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depreciation</w:t>
            </w: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(1,443,003)</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(1,422,792)</w:t>
            </w:r>
          </w:p>
        </w:tc>
        <w:tc>
          <w:tcPr>
            <w:tcW w:w="0" w:type="dxa"/>
            <w:vAlign w:val="bottom"/>
          </w:tcPr>
          <w:p>
            <w:pPr>
              <w:spacing w:after="0"/>
              <w:rPr>
                <w:sz w:val="1"/>
                <w:szCs w:val="1"/>
                <w:color w:val="auto"/>
              </w:rPr>
            </w:pPr>
          </w:p>
        </w:tc>
      </w:tr>
      <w:tr>
        <w:trPr>
          <w:trHeight w:val="231"/>
        </w:trPr>
        <w:tc>
          <w:tcPr>
            <w:tcW w:w="5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 net</w:t>
            </w:r>
          </w:p>
        </w:tc>
        <w:tc>
          <w:tcPr>
            <w:tcW w:w="3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442,819</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531"/>
        <w:spacing w:after="0" w:line="273" w:lineRule="auto"/>
        <w:rPr>
          <w:sz w:val="20"/>
          <w:szCs w:val="20"/>
          <w:color w:val="auto"/>
        </w:rPr>
      </w:pPr>
      <w:r>
        <w:rPr>
          <w:rFonts w:ascii="Arial" w:cs="Arial" w:eastAsia="Arial" w:hAnsi="Arial"/>
          <w:sz w:val="17"/>
          <w:szCs w:val="17"/>
          <w:color w:val="auto"/>
        </w:rPr>
        <w:t>As of December 31, 2020, assets held for sale included $3.9 million related to our modular construction and manufacturing plant near Edmonton, Alberta, Canada. During the first quarter 2021, the manufacturing facility was sold. As of June 30, 2021, assets held for sale included $2.2 million related to various non-operational land holdings in Australia.</w:t>
      </w:r>
    </w:p>
    <w:p>
      <w:pPr>
        <w:spacing w:after="0" w:line="23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2020</w:t>
            </w:r>
          </w:p>
        </w:tc>
      </w:tr>
      <w:tr>
        <w:trPr>
          <w:trHeight w:val="206"/>
        </w:trPr>
        <w:tc>
          <w:tcPr>
            <w:tcW w:w="63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Accrued liabilities:</w:t>
            </w:r>
          </w:p>
        </w:tc>
        <w:tc>
          <w:tcPr>
            <w:tcW w:w="6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6360" w:type="dxa"/>
            <w:vAlign w:val="bottom"/>
          </w:tcPr>
          <w:p>
            <w:pPr>
              <w:ind w:left="480"/>
              <w:spacing w:after="0"/>
              <w:rPr>
                <w:sz w:val="20"/>
                <w:szCs w:val="20"/>
                <w:color w:val="auto"/>
              </w:rPr>
            </w:pPr>
            <w:r>
              <w:rPr>
                <w:rFonts w:ascii="Arial" w:cs="Arial" w:eastAsia="Arial" w:hAnsi="Arial"/>
                <w:sz w:val="16"/>
                <w:szCs w:val="16"/>
                <w:color w:val="auto"/>
              </w:rPr>
              <w:t>Accrued compensation</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18,898</w:t>
            </w:r>
          </w:p>
        </w:tc>
        <w:tc>
          <w:tcPr>
            <w:tcW w:w="100" w:type="dxa"/>
            <w:vAlign w:val="bottom"/>
          </w:tcPr>
          <w:p>
            <w:pPr>
              <w:spacing w:after="0"/>
              <w:rPr>
                <w:sz w:val="17"/>
                <w:szCs w:val="17"/>
                <w:color w:val="auto"/>
              </w:rPr>
            </w:pPr>
          </w:p>
        </w:tc>
        <w:tc>
          <w:tcPr>
            <w:tcW w:w="9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22,475</w:t>
            </w:r>
          </w:p>
        </w:tc>
      </w:tr>
      <w:tr>
        <w:trPr>
          <w:trHeight w:val="213"/>
        </w:trPr>
        <w:tc>
          <w:tcPr>
            <w:tcW w:w="6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taxes, other than income taxes</w:t>
            </w:r>
          </w:p>
        </w:tc>
        <w:tc>
          <w:tcPr>
            <w:tcW w:w="6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3,534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06"/>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1,551</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w:t>
            </w:r>
          </w:p>
        </w:tc>
      </w:tr>
      <w:tr>
        <w:trPr>
          <w:trHeight w:val="231"/>
        </w:trPr>
        <w:tc>
          <w:tcPr>
            <w:tcW w:w="6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accrued liabilities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23,983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CHARGES</w:t>
      </w:r>
    </w:p>
    <w:p>
      <w:pPr>
        <w:spacing w:after="0" w:line="125"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Quarter ended June 30, 2021</w:t>
      </w:r>
      <w:r>
        <w:rPr>
          <w:rFonts w:ascii="Arial" w:cs="Arial" w:eastAsia="Arial" w:hAnsi="Arial"/>
          <w:sz w:val="17"/>
          <w:szCs w:val="17"/>
          <w:color w:val="auto"/>
        </w:rPr>
        <w:t>. During the second quarter of 2021, we recorded impairment expense of $7.9 million related to various undeveloped land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and related permitting costs in Australia. At June 30, 2021, we identified an impairment trigger related to certain of these properties due to the cancellation of a significant thermal coal project in Australia and our negative expectations related to other possible Australian thermal coal projects becoming viable in the near term. Accordingly, the assets were written down to their estimated fair value of $2.4 million. As of June 30, 2021, we concluded certain of the undeveloped land positions met the criteria to be classified as held for sale.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Quarter ended March 31, 2020</w:t>
      </w:r>
      <w:r>
        <w:rPr>
          <w:rFonts w:ascii="Arial" w:cs="Arial" w:eastAsia="Arial" w:hAnsi="Arial"/>
          <w:sz w:val="17"/>
          <w:szCs w:val="17"/>
          <w:color w:val="auto"/>
        </w:rPr>
        <w:t>. During the first quarter of 2020, we recorded impairment expense related to goodwill and long-lived assets.</w:t>
      </w:r>
    </w:p>
    <w:p>
      <w:pPr>
        <w:spacing w:after="0" w:line="11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60"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certain long-lived assets in our Canadian segment.</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6"/>
          <w:szCs w:val="16"/>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 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We recorded impairment expense of $12.4 million during the first quarter of 2020 related to our U.S. segment.</w:t>
      </w:r>
    </w:p>
    <w:p>
      <w:pPr>
        <w:spacing w:after="0" w:line="188"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30"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As previously disclosed in Note 1 - Description of Business and Basis of Presentation, a 1-for-12 reverse share split became effective on November 19, 2020 for all authorized, issued and outstanding shares of Civeo common shares. Accordingly, all share and per share amounts have been adjusted to reflect this reverse stock split for all prior periods presented.</w:t>
      </w:r>
    </w:p>
    <w:p>
      <w:pPr>
        <w:spacing w:after="0" w:line="197"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52"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7"/>
          <w:szCs w:val="17"/>
          <w:color w:val="auto"/>
        </w:rPr>
        <w:t>The calculation of earnings per share attributable to Civeo common shareholders is presented below for the periods indicated (in thousands, except per share amounts):</w:t>
      </w:r>
    </w:p>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720" w:type="dxa"/>
            <w:vAlign w:val="bottom"/>
          </w:tcPr>
          <w:p>
            <w:pPr>
              <w:spacing w:after="0"/>
              <w:rPr>
                <w:sz w:val="18"/>
                <w:szCs w:val="18"/>
                <w:color w:val="auto"/>
              </w:rPr>
            </w:pPr>
          </w:p>
        </w:tc>
        <w:tc>
          <w:tcPr>
            <w:tcW w:w="2660" w:type="dxa"/>
            <w:vAlign w:val="bottom"/>
            <w:gridSpan w:val="4"/>
          </w:tcPr>
          <w:p>
            <w:pPr>
              <w:jc w:val="right"/>
              <w:ind w:right="46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Numerator:</w:t>
            </w: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w w:val="97"/>
              </w:rPr>
              <w:t>Net (loss) income attributable to Civeo common</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6,136</w:t>
            </w:r>
          </w:p>
        </w:tc>
        <w:tc>
          <w:tcPr>
            <w:tcW w:w="100" w:type="dxa"/>
            <w:vAlign w:val="bottom"/>
          </w:tcPr>
          <w:p>
            <w:pPr>
              <w:spacing w:after="0"/>
              <w:rPr>
                <w:sz w:val="13"/>
                <w:szCs w:val="13"/>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Pr>
          <w:p>
            <w:pPr>
              <w:spacing w:after="0"/>
              <w:rPr>
                <w:sz w:val="13"/>
                <w:szCs w:val="13"/>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(140,402)</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6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5"/>
              </w:rPr>
              <w:t>Less: income allocated to participating securities</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3780" w:type="dxa"/>
            <w:vAlign w:val="bottom"/>
          </w:tcPr>
          <w:p>
            <w:pPr>
              <w:ind w:left="480"/>
              <w:spacing w:after="0" w:line="141" w:lineRule="exact"/>
              <w:rPr>
                <w:sz w:val="20"/>
                <w:szCs w:val="20"/>
                <w:color w:val="auto"/>
              </w:rPr>
            </w:pPr>
            <w:r>
              <w:rPr>
                <w:rFonts w:ascii="Arial" w:cs="Arial" w:eastAsia="Arial" w:hAnsi="Arial"/>
                <w:sz w:val="16"/>
                <w:szCs w:val="16"/>
                <w:color w:val="auto"/>
              </w:rPr>
              <w:t>Basic net income (loss) attributable to Civeo</w:t>
            </w:r>
          </w:p>
        </w:tc>
        <w:tc>
          <w:tcPr>
            <w:tcW w:w="6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2"/>
                <w:szCs w:val="12"/>
                <w:color w:val="auto"/>
              </w:rPr>
            </w:pPr>
          </w:p>
        </w:tc>
        <w:tc>
          <w:tcPr>
            <w:tcW w:w="68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12"/>
                <w:szCs w:val="12"/>
                <w:color w:val="auto"/>
              </w:rPr>
            </w:pPr>
          </w:p>
        </w:tc>
        <w:tc>
          <w:tcPr>
            <w:tcW w:w="720" w:type="dxa"/>
            <w:vAlign w:val="bottom"/>
            <w:tcBorders>
              <w:top w:val="single" w:sz="8" w:color="auto"/>
            </w:tcBorders>
            <w:vMerge w:val="restart"/>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Pr>
          <w:p>
            <w:pPr>
              <w:spacing w:after="0"/>
              <w:rPr>
                <w:sz w:val="12"/>
                <w:szCs w:val="12"/>
                <w:color w:val="auto"/>
              </w:rPr>
            </w:pPr>
          </w:p>
        </w:tc>
        <w:tc>
          <w:tcPr>
            <w:tcW w:w="740" w:type="dxa"/>
            <w:vAlign w:val="bottom"/>
            <w:tcBorders>
              <w:top w:val="single" w:sz="8" w:color="auto"/>
            </w:tcBorders>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(140,402)</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Corporation common shareholders</w:t>
            </w:r>
          </w:p>
        </w:tc>
        <w:tc>
          <w:tcPr>
            <w:tcW w:w="6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480"/>
              <w:spacing w:after="0" w:line="164" w:lineRule="exact"/>
              <w:rPr>
                <w:sz w:val="20"/>
                <w:szCs w:val="20"/>
                <w:color w:val="auto"/>
              </w:rPr>
            </w:pPr>
            <w:r>
              <w:rPr>
                <w:rFonts w:ascii="Arial" w:cs="Arial" w:eastAsia="Arial" w:hAnsi="Arial"/>
                <w:sz w:val="16"/>
                <w:szCs w:val="16"/>
                <w:color w:val="auto"/>
              </w:rPr>
              <w:t>Add: undistributed income attributable to</w:t>
            </w:r>
          </w:p>
        </w:tc>
        <w:tc>
          <w:tcPr>
            <w:tcW w:w="6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participating securities</w:t>
            </w:r>
          </w:p>
        </w:tc>
        <w:tc>
          <w:tcPr>
            <w:tcW w:w="6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rPr>
              <w:t>Less: undistributed income reallocated to</w:t>
            </w:r>
          </w:p>
        </w:tc>
        <w:tc>
          <w:tcPr>
            <w:tcW w:w="6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Arial" w:cs="Arial" w:eastAsia="Arial" w:hAnsi="Arial"/>
                <w:sz w:val="16"/>
                <w:szCs w:val="16"/>
                <w:color w:val="auto"/>
              </w:rPr>
              <w:t>participating securities</w:t>
            </w:r>
          </w:p>
        </w:tc>
        <w:tc>
          <w:tcPr>
            <w:tcW w:w="6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780" w:type="dxa"/>
            <w:vAlign w:val="bottom"/>
            <w:tcBorders>
              <w:top w:val="single" w:sz="8" w:color="CCEEFF"/>
            </w:tcBorders>
            <w:shd w:val="clear" w:color="auto" w:fill="CCEEFF"/>
          </w:tcPr>
          <w:p>
            <w:pPr>
              <w:ind w:left="480"/>
              <w:spacing w:after="0" w:line="144" w:lineRule="exact"/>
              <w:rPr>
                <w:sz w:val="20"/>
                <w:szCs w:val="20"/>
                <w:color w:val="auto"/>
              </w:rPr>
            </w:pPr>
            <w:r>
              <w:rPr>
                <w:rFonts w:ascii="Arial" w:cs="Arial" w:eastAsia="Arial" w:hAnsi="Arial"/>
                <w:sz w:val="16"/>
                <w:szCs w:val="16"/>
                <w:color w:val="auto"/>
              </w:rPr>
              <w:t>Diluted net income (loss) attributable to Civeo</w:t>
            </w:r>
          </w:p>
        </w:tc>
        <w:tc>
          <w:tcPr>
            <w:tcW w:w="64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5,251</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(10,429)</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(140,402)</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Corporation common shareholders</w:t>
            </w: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3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Denominator:</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480"/>
              <w:spacing w:after="0"/>
              <w:rPr>
                <w:sz w:val="20"/>
                <w:szCs w:val="20"/>
                <w:color w:val="auto"/>
              </w:rPr>
            </w:pPr>
            <w:r>
              <w:rPr>
                <w:rFonts w:ascii="Arial" w:cs="Arial" w:eastAsia="Arial" w:hAnsi="Arial"/>
                <w:sz w:val="16"/>
                <w:szCs w:val="16"/>
                <w:color w:val="auto"/>
              </w:rPr>
              <w:t>Weighted average shares outstanding - basic</w:t>
            </w:r>
          </w:p>
        </w:tc>
        <w:tc>
          <w:tcPr>
            <w:tcW w:w="6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14,278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14,151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14,244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14,097</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Dilutive shares - share-based awards</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3780" w:type="dxa"/>
            <w:vAlign w:val="bottom"/>
          </w:tcPr>
          <w:p>
            <w:pPr>
              <w:ind w:left="480"/>
              <w:spacing w:after="0"/>
              <w:rPr>
                <w:sz w:val="20"/>
                <w:szCs w:val="20"/>
                <w:color w:val="auto"/>
              </w:rPr>
            </w:pPr>
            <w:r>
              <w:rPr>
                <w:rFonts w:ascii="Arial" w:cs="Arial" w:eastAsia="Arial" w:hAnsi="Arial"/>
                <w:sz w:val="16"/>
                <w:szCs w:val="16"/>
                <w:color w:val="auto"/>
                <w:w w:val="99"/>
              </w:rPr>
              <w:t>Weighted average shares outstanding - diluted</w:t>
            </w:r>
          </w:p>
        </w:tc>
        <w:tc>
          <w:tcPr>
            <w:tcW w:w="6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14,278</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14,166</w:t>
            </w: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14,244</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14,097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7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rPr>
              <w:t>Basic net loss per share attributable to Civeo</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3"/>
                <w:szCs w:val="13"/>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3"/>
                <w:szCs w:val="13"/>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06"/>
        </w:trPr>
        <w:tc>
          <w:tcPr>
            <w:tcW w:w="378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Corporation common shareholders </w:t>
            </w:r>
            <w:r>
              <w:rPr>
                <w:rFonts w:ascii="Arial" w:cs="Arial" w:eastAsia="Arial" w:hAnsi="Arial"/>
                <w:sz w:val="20"/>
                <w:szCs w:val="20"/>
                <w:color w:val="auto"/>
                <w:vertAlign w:val="superscript"/>
              </w:rPr>
              <w:t>(1)</w:t>
            </w:r>
          </w:p>
        </w:tc>
        <w:tc>
          <w:tcPr>
            <w:tcW w:w="6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37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480"/>
              <w:spacing w:after="0" w:line="161" w:lineRule="exact"/>
              <w:rPr>
                <w:sz w:val="20"/>
                <w:szCs w:val="20"/>
                <w:color w:val="auto"/>
              </w:rPr>
            </w:pPr>
            <w:r>
              <w:rPr>
                <w:rFonts w:ascii="Arial" w:cs="Arial" w:eastAsia="Arial" w:hAnsi="Arial"/>
                <w:sz w:val="16"/>
                <w:szCs w:val="16"/>
                <w:color w:val="auto"/>
                <w:w w:val="99"/>
              </w:rPr>
              <w:t>Diluted net loss per share attributable to Civeo</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3"/>
                <w:szCs w:val="13"/>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13"/>
                <w:szCs w:val="13"/>
                <w:color w:val="auto"/>
              </w:rPr>
            </w:pPr>
          </w:p>
        </w:tc>
        <w:tc>
          <w:tcPr>
            <w:tcW w:w="740" w:type="dxa"/>
            <w:vAlign w:val="bottom"/>
            <w:vMerge w:val="restart"/>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68"/>
        </w:trPr>
        <w:tc>
          <w:tcPr>
            <w:tcW w:w="3780" w:type="dxa"/>
            <w:vAlign w:val="bottom"/>
          </w:tcPr>
          <w:p>
            <w:pPr>
              <w:ind w:left="20"/>
              <w:spacing w:after="0"/>
              <w:rPr>
                <w:sz w:val="20"/>
                <w:szCs w:val="20"/>
                <w:color w:val="auto"/>
              </w:rPr>
            </w:pPr>
            <w:r>
              <w:rPr>
                <w:rFonts w:ascii="Arial" w:cs="Arial" w:eastAsia="Arial" w:hAnsi="Arial"/>
                <w:sz w:val="16"/>
                <w:szCs w:val="16"/>
                <w:color w:val="auto"/>
              </w:rPr>
              <w:t xml:space="preserve">Corporation common shareholders </w:t>
            </w:r>
            <w:r>
              <w:rPr>
                <w:rFonts w:ascii="Arial" w:cs="Arial" w:eastAsia="Arial" w:hAnsi="Arial"/>
                <w:sz w:val="20"/>
                <w:szCs w:val="20"/>
                <w:color w:val="auto"/>
                <w:vertAlign w:val="superscript"/>
              </w:rPr>
              <w:t>(1)</w:t>
            </w:r>
          </w:p>
        </w:tc>
        <w:tc>
          <w:tcPr>
            <w:tcW w:w="640" w:type="dxa"/>
            <w:vAlign w:val="bottom"/>
            <w:vMerge w:val="continue"/>
          </w:tcPr>
          <w:p>
            <w:pPr>
              <w:spacing w:after="0"/>
              <w:rPr>
                <w:sz w:val="23"/>
                <w:szCs w:val="23"/>
                <w:color w:val="auto"/>
              </w:rPr>
            </w:pPr>
          </w:p>
        </w:tc>
        <w:tc>
          <w:tcPr>
            <w:tcW w:w="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7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8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9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29"/>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(1)</w:t>
            </w:r>
          </w:p>
        </w:tc>
        <w:tc>
          <w:tcPr>
            <w:tcW w:w="3180" w:type="dxa"/>
            <w:vAlign w:val="bottom"/>
            <w:vMerge w:val="restart"/>
          </w:tcPr>
          <w:p>
            <w:pPr>
              <w:ind w:left="100"/>
              <w:spacing w:after="0"/>
              <w:rPr>
                <w:sz w:val="20"/>
                <w:szCs w:val="20"/>
                <w:color w:val="auto"/>
              </w:rPr>
            </w:pPr>
            <w:r>
              <w:rPr>
                <w:rFonts w:ascii="Arial" w:cs="Arial" w:eastAsia="Arial" w:hAnsi="Arial"/>
                <w:sz w:val="16"/>
                <w:szCs w:val="16"/>
                <w:color w:val="auto"/>
                <w:w w:val="89"/>
              </w:rPr>
              <w:t>Computations may reflect rounding adjustments.</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For the three months ended June 30, 2020, we excluded 0.3 million share-based awards from the computation of diluted earnings per share because their effect was anti-dilutive. When an entity has a net loss from continuing operations, it is prohibited from including potential common shares in the computation of diluted per share amounts. For the three months ended June 30, 2021 and the six months ended June 30, 2021 and 2020, we excluded from the computation of diluted loss per share 0.1 million, 0.2 million and 0.4 million share-based awards, respectively, since the effect would have been anti-dilutive. Additionally, for the three and six months ended June 30, 2021 and 2020, we excluded from the computation the impact of converting the Preferred Shares into 2.4 million and 2.4 million common shares, respectively,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0"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and December 31, 2020, long-term debt consisted of the following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4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2"/>
              </w:rPr>
              <w:t>December 31, 2020</w:t>
            </w:r>
          </w:p>
        </w:tc>
        <w:tc>
          <w:tcPr>
            <w:tcW w:w="0" w:type="dxa"/>
            <w:vAlign w:val="bottom"/>
          </w:tcPr>
          <w:p>
            <w:pPr>
              <w:spacing w:after="0"/>
              <w:rPr>
                <w:sz w:val="1"/>
                <w:szCs w:val="1"/>
                <w:color w:val="auto"/>
              </w:rPr>
            </w:pPr>
          </w:p>
        </w:tc>
      </w:tr>
      <w:tr>
        <w:trPr>
          <w:trHeight w:val="144"/>
        </w:trPr>
        <w:tc>
          <w:tcPr>
            <w:tcW w:w="7780" w:type="dxa"/>
            <w:vAlign w:val="bottom"/>
            <w:tcBorders>
              <w:top w:val="single" w:sz="8" w:color="CCEEFF"/>
            </w:tcBorders>
            <w:shd w:val="clear" w:color="auto" w:fill="CCEEFF"/>
          </w:tcPr>
          <w:p>
            <w:pPr>
              <w:ind w:left="20"/>
              <w:spacing w:after="0" w:line="144" w:lineRule="exact"/>
              <w:rPr>
                <w:sz w:val="20"/>
                <w:szCs w:val="20"/>
                <w:color w:val="auto"/>
              </w:rPr>
            </w:pPr>
            <w:r>
              <w:rPr>
                <w:rFonts w:ascii="Arial" w:cs="Arial" w:eastAsia="Arial" w:hAnsi="Arial"/>
                <w:sz w:val="16"/>
                <w:szCs w:val="16"/>
                <w:color w:val="auto"/>
                <w:w w:val="91"/>
              </w:rPr>
              <w:t>Canadian term loan, which matures on May 30, 2023; C$11.2 million principal repayable per quarter; weighted average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174,636</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187,530</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of 4.0% for the six month period ended June 30, 2021</w:t>
            </w:r>
          </w:p>
        </w:tc>
        <w:tc>
          <w:tcPr>
            <w:tcW w:w="16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2"/>
              </w:rPr>
              <w:t>U.S. revolving credit facility, which matures on May 30, 2023; weighted average interest rate of 5.8% for the six month</w:t>
            </w:r>
          </w:p>
        </w:tc>
        <w:tc>
          <w:tcPr>
            <w:tcW w:w="16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period ended June 30, 2021</w:t>
            </w:r>
          </w:p>
        </w:tc>
        <w:tc>
          <w:tcPr>
            <w:tcW w:w="16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4"/>
              </w:rPr>
              <w:t>Canadian revolving credit facility, which matures on May 30, 2023; weighted average interest rate of 4.5% for the six</w:t>
            </w: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44,697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45,789</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 period ended June 30, 2021</w:t>
            </w:r>
          </w:p>
        </w:tc>
        <w:tc>
          <w:tcPr>
            <w:tcW w:w="1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3"/>
              </w:rPr>
              <w:t>Australian revolving credit facility, which matures on May 30, 2023; weighted average interest rate of 3.6% for the six</w:t>
            </w:r>
          </w:p>
        </w:tc>
        <w:tc>
          <w:tcPr>
            <w:tcW w:w="1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17,767</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 period ended June 30, 2021</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226,833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251,086</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199"/>
        </w:trPr>
        <w:tc>
          <w:tcPr>
            <w:tcW w:w="7780" w:type="dxa"/>
            <w:vAlign w:val="bottom"/>
          </w:tcPr>
          <w:p>
            <w:pPr>
              <w:ind w:left="14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224,821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248,585</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35,593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06"/>
        </w:trPr>
        <w:tc>
          <w:tcPr>
            <w:tcW w:w="7780" w:type="dxa"/>
            <w:vAlign w:val="bottom"/>
          </w:tcPr>
          <w:p>
            <w:pPr>
              <w:ind w:left="14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189,228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24"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June 30, 2021, our Credit Agreement (as then amended to date, the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and (C) a $35.0 million senior secured revolving credit facility in favor of one of our Australian subsidiaries, as borrower; and (ii) a $194.8 million term loan facility scheduled to mature on May 30, 2023 for certain lenders in favor of Civeo.</w:t>
      </w:r>
    </w:p>
    <w:p>
      <w:pPr>
        <w:spacing w:after="0" w:line="73"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U.S. dollar amounts outstanding under the facilities provided by the Credit Agreement bear interest at a variable rate equal to the London Inter-Bank Offered Rate (LIBOR) plus a margin of 3.50% to 4.50%, or a base rate plus 2.50% to 3.50%, in each case based on a ratio of our total debt to consolidated EBITDA (as defined in the Credit Agreement). Canadian dollar amounts outstanding bear interest at a variable rate equal to a Bankers’ Acceptance Discount Rate (as defined in the Credit Agreement) based on the Canadian Dollar Offered Rate (CDOR) plus a margin of 3.50% to 4.50%, or a Canadian Prime rate plus a margin of 2.50% to 3.50%, in each case based on a ratio of our total debt to consolidated EBITDA. Australian dollar amounts outstanding under the Credit Agreement bear interest at a variable rate equal to the Bank Bill Swap Bid Rate plus a margin of 3.50% to 4.50%, based on a ratio of our total debt to consolidated EBITDA. The future transitions from LIBOR and CDOR as interest rate benchmarks are addressed in the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81"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3.00 to 1.00 and our maximum leverage ratio, defined as the ratio of total debt to consolidated EBITDA, of no greater than 3.50 to 1.00. Following a qualified offering of indebtedness with gross proceeds in excess of $150.0 million, we will be required to maintain a maximum leverage ratio of no greater than 4.00 to 1.00 and a maximum senior secured ratio less than 2.50 to 1.00. Each of the factors considered in the calculations of these ratios are defined in the Credit Agreement. EBITDA and consolidated interest, as defined, exclude goodwill and asset impairments, debt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discount amortization, amortization of intangibles and other non-cash charges. We were in compliance with our covenants as of June 30, 2021.</w:t>
      </w:r>
    </w:p>
    <w:p>
      <w:pPr>
        <w:spacing w:after="0" w:line="119"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June 30, 2021, we had eight lenders that were parties to the Credit Agreement, with total commitments (including both revolving commitments and term commitments) ranging from $22.4 million to $71.1 million. As of June 30, 2021, we had outstanding letters of credit of $0.9 million under the U.S. facility, zero under the Australian facility and $2.1 million under the Canadian facility.</w:t>
      </w:r>
    </w:p>
    <w:p>
      <w:pPr>
        <w:spacing w:after="0" w:line="113"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As of June 30, 2021, we had one bank guarantee facility totaling A$1.0 million. We had bank guarantees of A$0.8 million outstanding under the facility as of June 30, 2021.</w:t>
      </w:r>
    </w:p>
    <w:p>
      <w:pPr>
        <w:spacing w:after="0" w:line="73"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53"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operate in three jurisdictions, Canada, Australia and the U.S., where statutory tax rates range from 21% to 30%. Our effective tax rate will vary from period to period based on changes in earnings mix between these different jurisdictions.</w:t>
      </w:r>
    </w:p>
    <w:p>
      <w:pPr>
        <w:spacing w:after="0" w:line="53" w:lineRule="exact"/>
        <w:rPr>
          <w:sz w:val="20"/>
          <w:szCs w:val="20"/>
          <w:color w:val="auto"/>
        </w:rPr>
      </w:pPr>
    </w:p>
    <w:p>
      <w:pPr>
        <w:jc w:val="both"/>
        <w:ind w:firstLine="472"/>
        <w:spacing w:after="0" w:line="272" w:lineRule="auto"/>
        <w:rPr>
          <w:sz w:val="20"/>
          <w:szCs w:val="20"/>
          <w:color w:val="auto"/>
        </w:rPr>
      </w:pPr>
      <w:r>
        <w:rPr>
          <w:rFonts w:ascii="Arial" w:cs="Arial" w:eastAsia="Arial" w:hAnsi="Arial"/>
          <w:sz w:val="16"/>
          <w:szCs w:val="16"/>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June 30, 2021 and 2020, Canada and the U.S. were considered loss jurisdictions for tax accounting purposes and were removed from the annual effective tax rate computation for purposes of computing the interim tax provision.</w:t>
      </w:r>
    </w:p>
    <w:p>
      <w:pPr>
        <w:spacing w:after="0" w:line="188" w:lineRule="exact"/>
        <w:rPr>
          <w:sz w:val="20"/>
          <w:szCs w:val="20"/>
          <w:color w:val="auto"/>
        </w:rPr>
      </w:pPr>
    </w:p>
    <w:p>
      <w:pPr>
        <w:jc w:val="both"/>
        <w:ind w:firstLine="472"/>
        <w:spacing w:after="0" w:line="249" w:lineRule="auto"/>
        <w:rPr>
          <w:sz w:val="20"/>
          <w:szCs w:val="20"/>
          <w:color w:val="auto"/>
        </w:rPr>
      </w:pPr>
      <w:r>
        <w:rPr>
          <w:rFonts w:ascii="Arial" w:cs="Arial" w:eastAsia="Arial" w:hAnsi="Arial"/>
          <w:sz w:val="17"/>
          <w:szCs w:val="17"/>
          <w:color w:val="auto"/>
        </w:rPr>
        <w:t>Our income tax benefit for the three months ended June 30, 2021 totaled $0.5 million, or 102.1% of pretax loss, compared to tax expense of $0.1 million, or 1.8% of pretax income, for the three months ended June 30, 2020. Our effective tax rate for both the three months ended June 30, 2021 and June 30, 2020 was impacted by considering Canada and the U.S. loss jurisdictions that were removed from the annual effective tax rate computation for purposes of computing the interim tax provision. Under ASC 740-270, "Accounting for Income Taxes," the quarterly tax provision is based on our current estimate of the annual effective tax rate less the prior quarter's year-to-date provision.</w:t>
      </w:r>
    </w:p>
    <w:p>
      <w:pPr>
        <w:spacing w:after="0" w:line="204" w:lineRule="exact"/>
        <w:rPr>
          <w:sz w:val="20"/>
          <w:szCs w:val="20"/>
          <w:color w:val="auto"/>
        </w:rPr>
      </w:pPr>
    </w:p>
    <w:p>
      <w:pPr>
        <w:jc w:val="both"/>
        <w:ind w:firstLine="472"/>
        <w:spacing w:after="0" w:line="247" w:lineRule="auto"/>
        <w:rPr>
          <w:sz w:val="20"/>
          <w:szCs w:val="20"/>
          <w:color w:val="auto"/>
        </w:rPr>
      </w:pPr>
      <w:r>
        <w:rPr>
          <w:rFonts w:ascii="Arial" w:cs="Arial" w:eastAsia="Arial" w:hAnsi="Arial"/>
          <w:sz w:val="17"/>
          <w:szCs w:val="17"/>
          <w:color w:val="auto"/>
        </w:rPr>
        <w:t>Our income tax expense for the six months ended June 30, 2021 totaled $0.6 million, or (6.6)% of pretax loss, compared to a benefit of $8.7 million, or 5.9% of pretax loss, for the six months ended June 30, 2020. Our effective tax rate for the six months ended June 30, 2021 and June 30, 2020 was impacted by considering Canada and the U.S. loss jurisdictions. Although Australia was not considered a loss jurisdiction for the six months ended June 30, 2020, our effective tax rate was impacted by utilization of deferred tax assets and a release of the corresponding valuation allowance in Australia, resulting in no income tax expense for that jurisdiction. Additionally, our effective tax rate for the six months ended June 30, 2020 was impacted by a deferred tax benefit of $9.6 million offset by an increase of $0.7 million in the valuation allowance in Canada.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30"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LOSS</w:t>
      </w:r>
    </w:p>
    <w:p>
      <w:pPr>
        <w:spacing w:after="0" w:line="23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accumulated other comprehensive loss increased $3.2 million from $349.0 million at December 31, 2020 to $352.2 million at June 30, 2021, as a result of foreign currency exchange rate fluctuations. Changes in other comprehensive loss during the first six months of 2021 were primarily driven by the Australian dollar decreasing in value compared to the U.S. dollar, partially offset by the Canadian dollar increasing in value compared to the U.S. dollar. Excluding intercompany balances, our Canadian dollar and Australian dollar functional currency net assets totaled approximately C$166 million and A$280 million, respectively, at June 30, 2021.</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Awards</w:t>
      </w:r>
    </w:p>
    <w:p>
      <w:pPr>
        <w:spacing w:after="0" w:line="22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b w:val="1"/>
          <w:bCs w:val="1"/>
          <w:i w:val="1"/>
          <w:iCs w:val="1"/>
          <w:color w:val="auto"/>
        </w:rPr>
        <w:t xml:space="preserve">Restricted Share Awards / Restricted Share Units / Deferred Share Awards. </w:t>
      </w:r>
      <w:r>
        <w:rPr>
          <w:rFonts w:ascii="Arial" w:cs="Arial" w:eastAsia="Arial" w:hAnsi="Arial"/>
          <w:sz w:val="17"/>
          <w:szCs w:val="17"/>
          <w:color w:val="auto"/>
        </w:rPr>
        <w:t>On May 19, 2021, we granted 45,762 restricted share awards to our non-employee directors, which vest in their entirety on May 19, 2022.</w:t>
      </w:r>
    </w:p>
    <w:p>
      <w:pPr>
        <w:spacing w:after="0" w:line="18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Compensation expense associated with restricted share awards, restricted share units and deferred share awards recognized in the three months ended June 30, 2021 and 2020 totaled $0.3 million and $0.8 million, respectively. Compensation expense associated with restricted share awards, restricted share units and deferred share awards recognized in the six months ended June 30, 2021 and 2020 totaled $0.8 million and $2.0 million, respectively. The total fair value of restricted share awards, restricted share units and deferred share awards that vested during the three months ended June 30, 2021 and 2020 was zero and $0.2 million, respectively. The total fair value of restricted share awards, restricted share units and deferred share awards that vested during the six months ended June 30, 2021 and 2020 was $1.5 million and $2.6 million, respectively.</w:t>
      </w:r>
    </w:p>
    <w:p>
      <w:pPr>
        <w:spacing w:after="0" w:line="182"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At June 30, 2021, unrecognized compensation cost related to restricted share awards, restricted share units and deferred share awards was $1.2 million, which is expected to be recognized over a weighted average period of 0.8 years.</w:t>
      </w:r>
    </w:p>
    <w:p>
      <w:pPr>
        <w:spacing w:after="0" w:line="158"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b w:val="1"/>
          <w:bCs w:val="1"/>
          <w:i w:val="1"/>
          <w:iCs w:val="1"/>
          <w:color w:val="auto"/>
        </w:rPr>
        <w:t xml:space="preserve">Phantom Share Awards. </w:t>
      </w:r>
      <w:r>
        <w:rPr>
          <w:rFonts w:ascii="Arial" w:cs="Arial" w:eastAsia="Arial" w:hAnsi="Arial"/>
          <w:sz w:val="17"/>
          <w:szCs w:val="17"/>
          <w:color w:val="auto"/>
        </w:rPr>
        <w:t>On February 22, 2021, we granted 270,079 phantom share awards under the Civeo Plan, which vest in three equal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installments beginning on February 22, 2022. We also granted 81,774 phantom share awards under the Canadian Long-Term Incentive Plan, which vest in three equal annual installments beginning on February 22, 2022.</w:t>
      </w:r>
    </w:p>
    <w:p>
      <w:pPr>
        <w:spacing w:after="0" w:line="197"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During the three months ended June 30, 2021 and 2020, we recognized compensation expense associated with phantom shares totaling $1.4 million and $0.4 million, respectively. During the six months ended June 30, 2021 and 2020, we recognized compensation expense associated with phantom shares totaling $2.9 million and $0.7 million, respectively. At June 30, 2021, unrecognized compensation cost related to phantom shares was $9.6 million, as remeasured at June 30, 2021, which is expected to be recognized over a weighted average period of 2.2 years.</w:t>
      </w:r>
    </w:p>
    <w:p>
      <w:pPr>
        <w:spacing w:after="0" w:line="178"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b w:val="1"/>
          <w:bCs w:val="1"/>
          <w:i w:val="1"/>
          <w:iCs w:val="1"/>
          <w:color w:val="auto"/>
        </w:rPr>
        <w:t xml:space="preserve">Performance Awards. </w:t>
      </w:r>
      <w:r>
        <w:rPr>
          <w:rFonts w:ascii="Arial" w:cs="Arial" w:eastAsia="Arial" w:hAnsi="Arial"/>
          <w:sz w:val="16"/>
          <w:szCs w:val="16"/>
          <w:color w:val="auto"/>
        </w:rPr>
        <w:t>On February 22, 2021, we granted 129,754 performance awards under the Civeo Plan, which cliff vest in three years on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 2024. These awards will be earned in amounts between 0% and 200% of the participant’s target performance share award, based on (1) the payout percentage associated with Civeo’s relative total shareholder return rank among a peer group that includes 17 other companies and (2) the payout percentage associated with Civeo's cumulative free cash flow over the performance period relative to a preset target. The portion of the performance awards tied to cumulative free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 The ultimate payout of the cumulative free cash flow component of the award can vary from 0% to 60% based on actual results.</w:t>
      </w:r>
    </w:p>
    <w:p>
      <w:pPr>
        <w:spacing w:after="0" w:line="19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During the three months ended June 30, 2021 and 2020, we recognized compensation expense associated with performance awards totaling $0.6 million and $0.6 million, respectively. During the six months ended June 30, 2021 and 2020, we recognized compensation expense associated with performance awards totaling $1.1 million and $1.5 million, respectively. The total fair value of performance share awards that vested during the three months ended June 30, 2021 and 2020 was zero. The total fair value of performance share awards that vested during the six months ended June 30, 2021 and 2020 was $1.9 million and $1.9 million, respectively. At June 30, 2021, unrecognized compensation cost related to performance shares was $3.9 million, which is expected to be recognized over a weighted average period of 2.2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SEGMENT AND RELATED INFORMATION</w:t>
      </w:r>
    </w:p>
    <w:p>
      <w:pPr>
        <w:spacing w:after="0" w:line="230" w:lineRule="exact"/>
        <w:rPr>
          <w:sz w:val="20"/>
          <w:szCs w:val="20"/>
          <w:color w:val="auto"/>
        </w:rPr>
      </w:pPr>
    </w:p>
    <w:p>
      <w:pPr>
        <w:ind w:firstLine="472"/>
        <w:spacing w:after="0" w:line="32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35"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Financial information by business segment for each of the three and six months ended June 30, 2021 and 2020 is summarized in the following table (in thousands):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Depreciation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Operating</w:t>
            </w: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5"/>
              </w:rPr>
              <w:t>income</w:t>
            </w: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w w:val="95"/>
              </w:rPr>
              <w:t>Total assets</w:t>
            </w: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revenues</w:t>
            </w: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amortization</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expenditures</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32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rPr>
              <w:t>Three months ended June 30,</w:t>
            </w:r>
          </w:p>
        </w:tc>
        <w:tc>
          <w:tcPr>
            <w:tcW w:w="2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83,281</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12,152</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7,452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763,763</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242,730</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U.S.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27,793</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(316,599)</w:t>
            </w:r>
          </w:p>
        </w:tc>
        <w:tc>
          <w:tcPr>
            <w:tcW w:w="0" w:type="dxa"/>
            <w:vAlign w:val="bottom"/>
          </w:tcPr>
          <w:p>
            <w:pPr>
              <w:spacing w:after="0"/>
              <w:rPr>
                <w:sz w:val="1"/>
                <w:szCs w:val="1"/>
                <w:color w:val="auto"/>
              </w:rPr>
            </w:pPr>
          </w:p>
        </w:tc>
      </w:tr>
      <w:tr>
        <w:trPr>
          <w:trHeight w:val="206"/>
        </w:trPr>
        <w:tc>
          <w:tcPr>
            <w:tcW w:w="23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154,176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21,377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717,687</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662,926</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57,071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9,733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261,188</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30,503</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(220,034)</w:t>
            </w:r>
          </w:p>
        </w:tc>
        <w:tc>
          <w:tcPr>
            <w:tcW w:w="0" w:type="dxa"/>
            <w:vAlign w:val="bottom"/>
          </w:tcPr>
          <w:p>
            <w:pPr>
              <w:spacing w:after="0"/>
              <w:rPr>
                <w:sz w:val="1"/>
                <w:szCs w:val="1"/>
                <w:color w:val="auto"/>
              </w:rPr>
            </w:pPr>
          </w:p>
        </w:tc>
      </w:tr>
      <w:tr>
        <w:trPr>
          <w:trHeight w:val="231"/>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22,205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734,583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2"/>
              </w:rPr>
              <w:t>Six months ended June 30, 2021</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145,166</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24,239</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763,763</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242,730</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27,793</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(316,599)</w:t>
            </w:r>
          </w:p>
        </w:tc>
        <w:tc>
          <w:tcPr>
            <w:tcW w:w="0" w:type="dxa"/>
            <w:vAlign w:val="bottom"/>
          </w:tcPr>
          <w:p>
            <w:pPr>
              <w:spacing w:after="0"/>
              <w:rPr>
                <w:sz w:val="1"/>
                <w:szCs w:val="1"/>
                <w:color w:val="auto"/>
              </w:rPr>
            </w:pPr>
          </w:p>
        </w:tc>
      </w:tr>
      <w:tr>
        <w:trPr>
          <w:trHeight w:val="206"/>
        </w:trPr>
        <w:tc>
          <w:tcPr>
            <w:tcW w:w="23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279,606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42,646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717,687</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w w:val="92"/>
              </w:rPr>
              <w:t>Six months ended June 30, 2020</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662,926</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106,184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19,028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261,188</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30,503</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(220,034)</w:t>
            </w:r>
          </w:p>
        </w:tc>
        <w:tc>
          <w:tcPr>
            <w:tcW w:w="0" w:type="dxa"/>
            <w:vAlign w:val="bottom"/>
          </w:tcPr>
          <w:p>
            <w:pPr>
              <w:spacing w:after="0"/>
              <w:rPr>
                <w:sz w:val="1"/>
                <w:szCs w:val="1"/>
                <w:color w:val="auto"/>
              </w:rPr>
            </w:pPr>
          </w:p>
        </w:tc>
      </w:tr>
      <w:tr>
        <w:trPr>
          <w:trHeight w:val="231"/>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253,494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734,583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oil, as well as our expectations about capital expenditures in 2021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2020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37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Reverse Share Split</w:t>
      </w:r>
    </w:p>
    <w:p>
      <w:pPr>
        <w:spacing w:after="0" w:line="151"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On November 19, 2020, we effected a reverse share split where each twelve issued and outstanding common shares were converted into one common share (Reverse Share Split). Our common shares began trading on a reverse share split adjusted basis on November 19, 2020. All common share and per common share data included in this quarterly report have been retroactively adjusted to reflect the Reverse Share Split.</w:t>
      </w:r>
    </w:p>
    <w:p>
      <w:pPr>
        <w:spacing w:after="0" w:line="106"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See Note 1 - Description of Business and Basis of Presentation to the notes to the unaudited consolidated financial statements included in Item 1 of this quarterly report for further discussion.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Macroeconomic Environment</w:t>
      </w:r>
    </w:p>
    <w:p>
      <w:pPr>
        <w:spacing w:after="0" w:line="151"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dynamics and estimates of resource production. As a result, demand for our hospitality services is largely sensitive to expected commodity prices, principally related to oil, metallurgical (met) coal, liquefied natural gas (LNG) and iron ore. Other factors that can affect our business and financial results include the general global economic environment and regulatory changes in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Canada, Australia, the U.S. and other markets, including governmental measures introduced to fight climate change or to help slow the spread or mitigate the impact of COVID-19.</w:t>
      </w:r>
    </w:p>
    <w:p>
      <w:pPr>
        <w:spacing w:after="0" w:line="92"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Approximately 67%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 day basis that covers lodging and meals and is based on the duration of customer needs, which can range from several weeks to several years. The remainder of our revenue is generated by our hospitality services at customer-owned locations in Canada and Australia, mobile assets in Canada and the U.S and our lodges in the U.S.</w:t>
      </w:r>
    </w:p>
    <w:p>
      <w:pPr>
        <w:spacing w:after="0" w:line="10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Generally, our core Canadian oil sands and Australian mining customers make significant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93"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have evolved with the introduction of vaccination efforts, and may continue to evolve as the surfacing of virus variants has added a degree of uncertainty to the continuing global impact of COVID-19.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In mid-April 2020, OPEC+ (the combination of historical OPEC members and other significant oil producers, such as Russia) announced production cuts of up to approximately 10 million barrels per day. However, oil prices remained at depressed levels throughout most of 2020, before modest improvement late in the year and into early 2021. As global oil demand recovered in the second quarter of 2021, oil supply did not keep up, resulting in falling inventories and a significant increase in oil prices continuing into July 2021. In July 2021, OPEC+ agreed to phase out 5.8 million barrels per day of oil production cuts by September 2022.</w:t>
      </w:r>
    </w:p>
    <w:p>
      <w:pPr>
        <w:spacing w:after="0" w:line="120"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spacing w:after="0" w:line="10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 xml:space="preserve">Alberta, Canada. </w:t>
      </w:r>
      <w:r>
        <w:rPr>
          <w:rFonts w:ascii="Arial" w:cs="Arial" w:eastAsia="Arial" w:hAnsi="Arial"/>
          <w:sz w:val="17"/>
          <w:szCs w:val="17"/>
          <w:color w:val="auto"/>
        </w:rPr>
        <w:t>In Canada, Western Canadian Select (WCS) crude is the benchmark price for our oil sands customers. Pricing for WCS is driven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factors, including the underlying price for West Texas Intermediate (WTI) crude, the availability of transportation infrastructure (consisting of pipelines and crude by railcar)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00"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Certain expansionary oil pipeline projects have the potential to both drive incremental demand for mobile assets and to improve take-away capacity for Canadian oil sands producers over the longer term. While these pipeline projects, including the Trans Mountain Pipeline (TMX), have recently received incremental regulatory approvals, it is still not certain if any of the proposed pipeline projects will ultimately be completed. Certain segments of the TMX pipeline have resumed construction without conflict at the present time. Recent legal issues with the Canadian government and First Nation groups have been resolved for the time being. The Canadian federal government acquired the TMX pipeline in 2018, approved the expansion of the project and is currently working through a revised construction timeline to adjust for recent delays related to legal hurdles and the COVID-19 pandemic.</w:t>
      </w:r>
    </w:p>
    <w:p>
      <w:pPr>
        <w:spacing w:after="0" w:line="10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WCS prices in the second quarter of 2021 averaged $53.27 per barrel compared to $19.73 in the second quarter of 2020. The WCS Differential decreased from $15.35 per barrel at the end of the fourth quarter of 2020 to $13.95 at the end of the second quarter of 2021. In 2018, the Government of Alberta announced it would mandate temporary curtailments of the province’s oil production. However, monthly production limits were put on hold in December 2020 until further notice, allowing operators to produce freely at their discretion while the government monitors production and inventory levels. Should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forecasts show storage inventories approaching maximum capacity, the government may reintroduce production limits. As of July 26, 2021, the WTI price was $71.91 and the WCS price was $58.27, resulting in a WCS Differential of $13.64.</w:t>
      </w:r>
    </w:p>
    <w:p>
      <w:pPr>
        <w:spacing w:after="0" w:line="92"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Together with the initial spread of COVID-19, the depressed price levels of both WTI and WCS materially impacted 2020 maintenance and production spending and activity by Canadian operators and, therefore, demand for our hospitality services. Customers began increasing production activity in the fourth quarter of 2020 and into the first half of 2021. Continued uncertainty, including about the impact of COVID-19, and commodity price volatility and regulatory complications could cause our Canadian oil sands and pipeline customers to reduce production, delay expansionary and maintenance spending and defer additional investments in their oil sands assets. Additionally, if oil prices do not stabilize, the resulting impact could continue to negatively affect the value of our long-lived assets.</w:t>
      </w:r>
    </w:p>
    <w:p>
      <w:pPr>
        <w:spacing w:after="0" w:line="11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 xml:space="preserve">British Columbia, Canada. </w:t>
      </w:r>
      <w:r>
        <w:rPr>
          <w:rFonts w:ascii="Arial" w:cs="Arial" w:eastAsia="Arial" w:hAnsi="Arial"/>
          <w:sz w:val="17"/>
          <w:szCs w:val="17"/>
          <w:color w:val="auto"/>
        </w:rPr>
        <w:t>Our Sitka Lodge supports the LNG Canada project and related pipeline projects (see discussion below).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macroeconomic standpoint, LNG demand continued to grow despite the COVID-19 pandemic,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00"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 Link pipeline and Sitka Lodge contracts could be impacted by any delays in the construction of the Kitimat LNG Facility or the pipeline, such as protest blockades and the COVID-19 pandemic.</w:t>
      </w:r>
    </w:p>
    <w:p>
      <w:pPr>
        <w:spacing w:after="0" w:line="103"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In late March 2020, LNGC announced steps being taken to reduce the spread of COVID-19, including reduction of the workforce at the project site to essential personnel only. This resulted in a reduction in occupancy at our Sitka Lodge during the second quarter of 2020, before returning to expected levels in the second half of 2020. In late December 2020, British Columbia’s public health officer issued a health order limiting workforce size at all large industrial projects across the province, including LNGC. This order once again reduced occupancy at our Sitka Lodge in the first quarter of 2021. In the second quarter of 2021, this order was repealed. It was replaced with less restrictive requirements focused on monitoring, allowing workforces to return to their optimal sizes.</w:t>
      </w:r>
    </w:p>
    <w:p>
      <w:pPr>
        <w:spacing w:after="0" w:line="100"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In Australia, 82% of our rooms are located in the Bowen Basin of Queensland, Australia and primarily serve met coal mines in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 Met coal pricing and production growth in the Bowen Basin region is predominantly influenced by the levels of global steel production, which increased by 14.4% during the first half of 2021 compared to the same period of 2020. As of July 26, 2021, met coal spot prices were $215 per metric tonne. Long-term demand for steel is expected to be driven by global infrastructure spending and increased steel consumption per capita in developing economies, such as China and India, whose current consumption per capita is a fraction of developed countries. In 2020, the impact of the outbreak of COVID-19 led to a high level of uncertainty for demand of iron ore and met coal. However, due to strong global steel demand, supply disruptions in other countries and limited COVID-19 cases in Australia, Australian met coal and iron ore activity was relatively buoyant in 2020 and the first half of 2021. An increase in global infrastructure spending to stimulate economies is expected to support demand for raw materials, particularly met coal and iron ore.</w:t>
      </w:r>
    </w:p>
    <w:p>
      <w:pPr>
        <w:spacing w:after="0" w:line="9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Currently, China and Australia are in a trade dispute that has led to China implementing a trade embargo on Australian coal. China has historically accounted for approximately 22% of Australia’s met coal exports. The continuing uncertainty in the Chinese demand for Australian met coal has led to volatile Australian met coal spot pricing. The Chinese trade embargo and volatile Australian met coal spot pricing have created a shuffling of global export trade flows. If this dispute continues, it could continue to impact pricing volatility, and demand for Australian met coal and consequently lead to reduced occupancy at our Australian villages.</w:t>
      </w:r>
    </w:p>
    <w:p>
      <w:pPr>
        <w:spacing w:after="0" w:line="113"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Civeo's activity in Western Australia is driven primarily by iron ore production, which is a key steel-making ingredient. As of July 26, 2021, iron ore spot prices were $197.30 per metric tonne.</w:t>
      </w:r>
    </w:p>
    <w:p>
      <w:pPr>
        <w:spacing w:after="0" w:line="92"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integrated services business provides catering and managed services to the mining industry in Western Australia. We have contracts to manage customer-owned villages in Western Australia which primarily support iron ore mines in addition 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gold, lithium and nickel mines. We believe iron ore prices are currently at a level that may contribute to increased activity over the long term if our customers view these price levels as sustainable.</w:t>
      </w:r>
    </w:p>
    <w:p>
      <w:pPr>
        <w:spacing w:after="0" w:line="92" w:lineRule="exact"/>
        <w:rPr>
          <w:sz w:val="20"/>
          <w:szCs w:val="20"/>
          <w:color w:val="auto"/>
        </w:rPr>
      </w:pPr>
    </w:p>
    <w:p>
      <w:pPr>
        <w:jc w:val="both"/>
        <w:ind w:firstLine="472"/>
        <w:spacing w:after="0" w:line="276" w:lineRule="auto"/>
        <w:rPr>
          <w:sz w:val="20"/>
          <w:szCs w:val="20"/>
          <w:color w:val="auto"/>
        </w:rPr>
      </w:pPr>
      <w:r>
        <w:rPr>
          <w:rFonts w:ascii="Arial" w:cs="Arial" w:eastAsia="Arial" w:hAnsi="Arial"/>
          <w:sz w:val="16"/>
          <w:szCs w:val="16"/>
          <w:b w:val="1"/>
          <w:bCs w:val="1"/>
          <w:i w:val="1"/>
          <w:iCs w:val="1"/>
          <w:color w:val="auto"/>
        </w:rPr>
        <w:t xml:space="preserve">U.S. </w:t>
      </w:r>
      <w:r>
        <w:rPr>
          <w:rFonts w:ascii="Arial" w:cs="Arial" w:eastAsia="Arial" w:hAnsi="Arial"/>
          <w:sz w:val="16"/>
          <w:szCs w:val="16"/>
          <w:color w:val="auto"/>
        </w:rPr>
        <w:t>Our U.S. business supports oil shale drilling and completion activity and is primarily tied to WTI oil prices in the U.S. shale formations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Permian Basin, the Mid-Continent, the Bakken and the Rockies. During 2019, the U.S. oil rig count and associated completion activity decreased due to the oil price decline in late 2018 and early 2019 coupled with other market dynamics negatively impacting exploration and production (E&amp;P) spending, finishing the year at 677 rigs. In 2020, the U.S. oil rig count and associated completion activity further decreased due to the global oil price decline discussed above. Only 267 oil rigs were active at the end of 2020. As oil prices began to recover in 2021, oil rig count and drilling activity recovered somewhat, with 372 oil rigs active at the end of the second quarter 2021. The Permian Basin remains the most active U.S. unconventional play, representing 63% of the oil rigs active in the U.S. at the end of the second quarter of 2021. The lower U.S. rig count and decline in oil prices resulted in decreased U.S. oil production from an average of 12.2 million barrels per day in 2019 to an average of 11.3 million barrels per day in 2020 and to an average of 11.2 million barrels per day through the first five months of 2021. As of July 23, 2021, there were 387 active oil rigs in the U.S. (as measured by Bakerhughes.com). With the recent volatility in oil prices and a resulting reduction in spending by E&amp;P companies, we exited the Bakken and reduced our presence in the Rockies regions for our U.S. mobile assets. Those assets were either sold or transported to our Permian Basin and Mid-Continent district locations. This process is underway and we expect it to be complete during the third quarter of 2021. U.S. oil shale drilling and completion activity will continue to be dependent on sustained higher WTI oil prices, pipeline capacity and sufficient capital to support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Recent Commodity Prices. </w:t>
      </w:r>
      <w:r>
        <w:rPr>
          <w:rFonts w:ascii="Arial" w:cs="Arial" w:eastAsia="Arial" w:hAnsi="Arial"/>
          <w:sz w:val="17"/>
          <w:szCs w:val="17"/>
          <w:color w:val="auto"/>
        </w:rPr>
        <w:t>Recent WTI crude, WCS crude, met coal and iron ore pricing trends are as follows:</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253"/>
        </w:trPr>
        <w:tc>
          <w:tcPr>
            <w:tcW w:w="3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5"/>
          </w:tcPr>
          <w:p>
            <w:pPr>
              <w:ind w:left="860"/>
              <w:spacing w:after="0"/>
              <w:rPr>
                <w:sz w:val="20"/>
                <w:szCs w:val="20"/>
                <w:color w:val="auto"/>
              </w:rPr>
            </w:pPr>
            <w:r>
              <w:rPr>
                <w:rFonts w:ascii="Arial" w:cs="Arial" w:eastAsia="Arial" w:hAnsi="Arial"/>
                <w:sz w:val="17"/>
                <w:szCs w:val="17"/>
                <w:color w:val="auto"/>
              </w:rPr>
              <w:t xml:space="preserve">Average Price </w:t>
            </w:r>
            <w:r>
              <w:rPr>
                <w:rFonts w:ascii="Arial" w:cs="Arial" w:eastAsia="Arial" w:hAnsi="Arial"/>
                <w:sz w:val="22"/>
                <w:szCs w:val="22"/>
                <w:color w:val="auto"/>
                <w:vertAlign w:val="superscript"/>
              </w:rPr>
              <w:t>(1)</w:t>
            </w: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ind w:left="460"/>
              <w:spacing w:after="0"/>
              <w:rPr>
                <w:sz w:val="20"/>
                <w:szCs w:val="20"/>
                <w:color w:val="auto"/>
              </w:rPr>
            </w:pPr>
            <w:r>
              <w:rPr>
                <w:rFonts w:ascii="Arial" w:cs="Arial" w:eastAsia="Arial" w:hAnsi="Arial"/>
                <w:sz w:val="17"/>
                <w:szCs w:val="17"/>
                <w:color w:val="auto"/>
              </w:rPr>
              <w:t>WTI</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ind w:left="420"/>
              <w:spacing w:after="0"/>
              <w:rPr>
                <w:sz w:val="20"/>
                <w:szCs w:val="20"/>
                <w:color w:val="auto"/>
              </w:rPr>
            </w:pPr>
            <w:r>
              <w:rPr>
                <w:rFonts w:ascii="Arial" w:cs="Arial" w:eastAsia="Arial" w:hAnsi="Arial"/>
                <w:sz w:val="17"/>
                <w:szCs w:val="17"/>
                <w:color w:val="auto"/>
              </w:rPr>
              <w:t>WCS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Hard</w:t>
            </w:r>
          </w:p>
        </w:tc>
        <w:tc>
          <w:tcPr>
            <w:tcW w:w="1560" w:type="dxa"/>
            <w:vAlign w:val="bottom"/>
            <w:vMerge w:val="restart"/>
          </w:tcPr>
          <w:p>
            <w:pPr>
              <w:jc w:val="right"/>
              <w:ind w:right="713"/>
              <w:spacing w:after="0"/>
              <w:rPr>
                <w:sz w:val="20"/>
                <w:szCs w:val="20"/>
                <w:color w:val="auto"/>
              </w:rPr>
            </w:pPr>
            <w:r>
              <w:rPr>
                <w:rFonts w:ascii="Arial" w:cs="Arial" w:eastAsia="Arial" w:hAnsi="Arial"/>
                <w:sz w:val="17"/>
                <w:szCs w:val="17"/>
                <w:color w:val="auto"/>
              </w:rPr>
              <w:t>Iron</w:t>
            </w:r>
          </w:p>
        </w:tc>
        <w:tc>
          <w:tcPr>
            <w:tcW w:w="0" w:type="dxa"/>
            <w:vAlign w:val="bottom"/>
          </w:tcPr>
          <w:p>
            <w:pPr>
              <w:spacing w:after="0"/>
              <w:rPr>
                <w:sz w:val="1"/>
                <w:szCs w:val="1"/>
                <w:color w:val="auto"/>
              </w:rPr>
            </w:pPr>
          </w:p>
        </w:tc>
      </w:tr>
      <w:tr>
        <w:trPr>
          <w:trHeight w:val="170"/>
        </w:trPr>
        <w:tc>
          <w:tcPr>
            <w:tcW w:w="3000" w:type="dxa"/>
            <w:vAlign w:val="bottom"/>
            <w:vMerge w:val="restart"/>
          </w:tcPr>
          <w:p>
            <w:pPr>
              <w:jc w:val="center"/>
              <w:spacing w:after="0"/>
              <w:rPr>
                <w:sz w:val="20"/>
                <w:szCs w:val="20"/>
                <w:color w:val="auto"/>
              </w:rPr>
            </w:pPr>
            <w:r>
              <w:rPr>
                <w:rFonts w:ascii="Arial" w:cs="Arial" w:eastAsia="Arial" w:hAnsi="Arial"/>
                <w:sz w:val="17"/>
                <w:szCs w:val="17"/>
                <w:color w:val="auto"/>
                <w:w w:val="93"/>
              </w:rPr>
              <w:t>Quarter</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300"/>
              <w:spacing w:after="0" w:line="171" w:lineRule="exact"/>
              <w:rPr>
                <w:sz w:val="20"/>
                <w:szCs w:val="20"/>
                <w:color w:val="auto"/>
              </w:rPr>
            </w:pPr>
            <w:r>
              <w:rPr>
                <w:rFonts w:ascii="Arial" w:cs="Arial" w:eastAsia="Arial" w:hAnsi="Arial"/>
                <w:sz w:val="17"/>
                <w:szCs w:val="17"/>
                <w:color w:val="auto"/>
              </w:rPr>
              <w:t>Coking Coal</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ind w:left="560"/>
              <w:spacing w:after="0" w:line="171" w:lineRule="exact"/>
              <w:rPr>
                <w:sz w:val="20"/>
                <w:szCs w:val="20"/>
                <w:color w:val="auto"/>
              </w:rPr>
            </w:pPr>
            <w:r>
              <w:rPr>
                <w:rFonts w:ascii="Arial" w:cs="Arial" w:eastAsia="Arial" w:hAnsi="Arial"/>
                <w:sz w:val="17"/>
                <w:szCs w:val="17"/>
                <w:color w:val="auto"/>
              </w:rPr>
              <w:t>Crude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373"/>
              <w:spacing w:after="0" w:line="171" w:lineRule="exact"/>
              <w:rPr>
                <w:sz w:val="20"/>
                <w:szCs w:val="20"/>
                <w:color w:val="auto"/>
              </w:rPr>
            </w:pPr>
            <w:r>
              <w:rPr>
                <w:rFonts w:ascii="Arial" w:cs="Arial" w:eastAsia="Arial" w:hAnsi="Arial"/>
                <w:sz w:val="17"/>
                <w:szCs w:val="17"/>
                <w:color w:val="auto"/>
                <w:w w:val="90"/>
              </w:rPr>
              <w:t>Crude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380"/>
              <w:spacing w:after="0" w:line="171" w:lineRule="exact"/>
              <w:rPr>
                <w:sz w:val="20"/>
                <w:szCs w:val="20"/>
                <w:color w:val="auto"/>
              </w:rPr>
            </w:pPr>
            <w:r>
              <w:rPr>
                <w:rFonts w:ascii="Arial" w:cs="Arial" w:eastAsia="Arial" w:hAnsi="Arial"/>
                <w:sz w:val="17"/>
                <w:szCs w:val="17"/>
                <w:color w:val="auto"/>
              </w:rPr>
              <w:t>(Met Coal)</w:t>
            </w:r>
          </w:p>
        </w:tc>
        <w:tc>
          <w:tcPr>
            <w:tcW w:w="1560" w:type="dxa"/>
            <w:vAlign w:val="bottom"/>
          </w:tcPr>
          <w:p>
            <w:pPr>
              <w:jc w:val="right"/>
              <w:ind w:right="573"/>
              <w:spacing w:after="0" w:line="171" w:lineRule="exact"/>
              <w:rPr>
                <w:sz w:val="20"/>
                <w:szCs w:val="20"/>
                <w:color w:val="auto"/>
              </w:rPr>
            </w:pPr>
            <w:r>
              <w:rPr>
                <w:rFonts w:ascii="Arial" w:cs="Arial" w:eastAsia="Arial" w:hAnsi="Arial"/>
                <w:sz w:val="17"/>
                <w:szCs w:val="17"/>
                <w:color w:val="auto"/>
              </w:rPr>
              <w:t>Ore</w:t>
            </w:r>
          </w:p>
        </w:tc>
        <w:tc>
          <w:tcPr>
            <w:tcW w:w="0" w:type="dxa"/>
            <w:vAlign w:val="bottom"/>
          </w:tcPr>
          <w:p>
            <w:pPr>
              <w:spacing w:after="0"/>
              <w:rPr>
                <w:sz w:val="1"/>
                <w:szCs w:val="1"/>
                <w:color w:val="auto"/>
              </w:rPr>
            </w:pPr>
          </w:p>
        </w:tc>
      </w:tr>
      <w:tr>
        <w:trPr>
          <w:trHeight w:val="222"/>
        </w:trPr>
        <w:tc>
          <w:tcPr>
            <w:tcW w:w="3000" w:type="dxa"/>
            <w:vAlign w:val="bottom"/>
          </w:tcPr>
          <w:p>
            <w:pPr>
              <w:ind w:left="1480"/>
              <w:spacing w:after="0"/>
              <w:rPr>
                <w:sz w:val="20"/>
                <w:szCs w:val="20"/>
                <w:color w:val="auto"/>
              </w:rPr>
            </w:pPr>
            <w:r>
              <w:rPr>
                <w:rFonts w:ascii="Arial" w:cs="Arial" w:eastAsia="Arial" w:hAnsi="Arial"/>
                <w:sz w:val="17"/>
                <w:szCs w:val="17"/>
                <w:color w:val="auto"/>
              </w:rPr>
              <w:t>ended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ind w:left="480"/>
              <w:spacing w:after="0"/>
              <w:rPr>
                <w:sz w:val="20"/>
                <w:szCs w:val="20"/>
                <w:color w:val="auto"/>
              </w:rPr>
            </w:pPr>
            <w:r>
              <w:rPr>
                <w:rFonts w:ascii="Arial" w:cs="Arial" w:eastAsia="Arial" w:hAnsi="Arial"/>
                <w:sz w:val="17"/>
                <w:szCs w:val="17"/>
                <w:color w:val="auto"/>
                <w:w w:val="94"/>
              </w:rPr>
              <w:t>(per bbl)</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left="353"/>
              <w:spacing w:after="0"/>
              <w:rPr>
                <w:sz w:val="20"/>
                <w:szCs w:val="20"/>
                <w:color w:val="auto"/>
              </w:rPr>
            </w:pPr>
            <w:r>
              <w:rPr>
                <w:rFonts w:ascii="Arial" w:cs="Arial" w:eastAsia="Arial" w:hAnsi="Arial"/>
                <w:sz w:val="17"/>
                <w:szCs w:val="17"/>
                <w:color w:val="auto"/>
                <w:w w:val="94"/>
              </w:rPr>
              <w:t>(per bbl)</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380"/>
              <w:spacing w:after="0"/>
              <w:rPr>
                <w:sz w:val="20"/>
                <w:szCs w:val="20"/>
                <w:color w:val="auto"/>
              </w:rPr>
            </w:pPr>
            <w:r>
              <w:rPr>
                <w:rFonts w:ascii="Arial" w:cs="Arial" w:eastAsia="Arial" w:hAnsi="Arial"/>
                <w:sz w:val="17"/>
                <w:szCs w:val="17"/>
                <w:color w:val="auto"/>
              </w:rPr>
              <w:t>(per tonne)</w:t>
            </w:r>
          </w:p>
        </w:tc>
        <w:tc>
          <w:tcPr>
            <w:tcW w:w="1560" w:type="dxa"/>
            <w:vAlign w:val="bottom"/>
          </w:tcPr>
          <w:p>
            <w:pPr>
              <w:jc w:val="right"/>
              <w:ind w:right="313"/>
              <w:spacing w:after="0"/>
              <w:rPr>
                <w:sz w:val="20"/>
                <w:szCs w:val="20"/>
                <w:color w:val="auto"/>
              </w:rPr>
            </w:pPr>
            <w:r>
              <w:rPr>
                <w:rFonts w:ascii="Arial" w:cs="Arial" w:eastAsia="Arial" w:hAnsi="Arial"/>
                <w:sz w:val="17"/>
                <w:szCs w:val="17"/>
                <w:color w:val="auto"/>
              </w:rPr>
              <w:t>(per tonne)</w:t>
            </w:r>
          </w:p>
        </w:tc>
        <w:tc>
          <w:tcPr>
            <w:tcW w:w="0" w:type="dxa"/>
            <w:vAlign w:val="bottom"/>
          </w:tcPr>
          <w:p>
            <w:pPr>
              <w:spacing w:after="0"/>
              <w:rPr>
                <w:sz w:val="1"/>
                <w:szCs w:val="1"/>
                <w:color w:val="auto"/>
              </w:rPr>
            </w:pPr>
          </w:p>
        </w:tc>
      </w:tr>
      <w:tr>
        <w:trPr>
          <w:trHeight w:val="216"/>
        </w:trPr>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Third Quarter through July 26, 2021</w:t>
            </w:r>
          </w:p>
        </w:tc>
        <w:tc>
          <w:tcPr>
            <w:tcW w:w="4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3"/>
              </w:rPr>
              <w:t>72.35$</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3"/>
              </w:rPr>
              <w:t>58.77$</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209.68</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5"/>
              </w:rPr>
              <w:t>6/30/2021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66.19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53.27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136.44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195.97</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3/31/2021</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58.13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46.28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159.83</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3"/>
              </w:rPr>
              <w:t>12/31/2020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42.63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31.34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109.37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128.24</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9/30/2020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40.90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31.15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116.10</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5"/>
              </w:rPr>
              <w:t>6/30/2020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27.95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19.73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120.27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89.53</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3/31/2020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45.38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27.92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83.57</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3"/>
              </w:rPr>
              <w:t>12/30/2019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56.85</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37.94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141.39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85.13</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9/30/2019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56.40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43.88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101.41</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5"/>
              </w:rPr>
              <w:t>6/30/2019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59.89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47.39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204.78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94.62</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3/31/2019</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54.87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44.49</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3"/>
              </w:rPr>
              <w:t>12/31/2018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59.32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25.66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223.02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70.13</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9/30/2018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69.61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41.58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61.91</w:t>
            </w:r>
          </w:p>
        </w:tc>
        <w:tc>
          <w:tcPr>
            <w:tcW w:w="0" w:type="dxa"/>
            <w:vAlign w:val="bottom"/>
          </w:tcPr>
          <w:p>
            <w:pPr>
              <w:spacing w:after="0"/>
              <w:rPr>
                <w:sz w:val="1"/>
                <w:szCs w:val="1"/>
                <w:color w:val="auto"/>
              </w:rPr>
            </w:pPr>
          </w:p>
        </w:tc>
      </w:tr>
      <w:tr>
        <w:trPr>
          <w:trHeight w:val="222"/>
        </w:trPr>
        <w:tc>
          <w:tcPr>
            <w:tcW w:w="3000" w:type="dxa"/>
            <w:vAlign w:val="bottom"/>
          </w:tcPr>
          <w:p>
            <w:pPr>
              <w:jc w:val="center"/>
              <w:spacing w:after="0"/>
              <w:rPr>
                <w:sz w:val="20"/>
                <w:szCs w:val="20"/>
                <w:color w:val="auto"/>
              </w:rPr>
            </w:pPr>
            <w:r>
              <w:rPr>
                <w:rFonts w:ascii="Arial" w:cs="Arial" w:eastAsia="Arial" w:hAnsi="Arial"/>
                <w:sz w:val="17"/>
                <w:szCs w:val="17"/>
                <w:color w:val="auto"/>
                <w:w w:val="95"/>
              </w:rPr>
              <w:t>6/30/2018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67.97</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9"/>
              </w:rPr>
              <w:t>49.93</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189.41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62.58</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940" w:hanging="306"/>
        <w:spacing w:after="0" w:line="224" w:lineRule="auto"/>
        <w:tabs>
          <w:tab w:leader="none" w:pos="928"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Source: WTI crude prices are from U.S. Energy Information Administration (EIA), WCS crude prices and iron ore prices are from Bloomberg and hard coking coal prices are from IHS Markit.</w:t>
      </w:r>
    </w:p>
    <w:p>
      <w:pPr>
        <w:spacing w:after="0" w:line="220"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ind w:left="620"/>
              <w:spacing w:after="0"/>
              <w:rPr>
                <w:sz w:val="20"/>
                <w:szCs w:val="20"/>
                <w:color w:val="auto"/>
              </w:rPr>
            </w:pPr>
            <w:r>
              <w:rPr>
                <w:rFonts w:ascii="Arial" w:cs="Arial" w:eastAsia="Arial" w:hAnsi="Arial"/>
                <w:sz w:val="17"/>
                <w:szCs w:val="17"/>
                <w:b w:val="1"/>
                <w:bCs w:val="1"/>
                <w:color w:val="auto"/>
              </w:rPr>
              <w:t>Three Months Ended</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gridSpan w:val="5"/>
          </w:tcPr>
          <w:p>
            <w:pPr>
              <w:ind w:left="740"/>
              <w:spacing w:after="0"/>
              <w:rPr>
                <w:sz w:val="20"/>
                <w:szCs w:val="20"/>
                <w:color w:val="auto"/>
              </w:rPr>
            </w:pPr>
            <w:r>
              <w:rPr>
                <w:rFonts w:ascii="Arial" w:cs="Arial" w:eastAsia="Arial" w:hAnsi="Arial"/>
                <w:sz w:val="17"/>
                <w:szCs w:val="17"/>
                <w:b w:val="1"/>
                <w:bCs w:val="1"/>
                <w:color w:val="auto"/>
                <w:w w:val="97"/>
              </w:rPr>
              <w:t>Six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ind w:left="860"/>
              <w:spacing w:after="0"/>
              <w:rPr>
                <w:sz w:val="20"/>
                <w:szCs w:val="20"/>
                <w:color w:val="auto"/>
              </w:rPr>
            </w:pPr>
            <w:r>
              <w:rPr>
                <w:rFonts w:ascii="Arial" w:cs="Arial" w:eastAsia="Arial" w:hAnsi="Arial"/>
                <w:sz w:val="17"/>
                <w:szCs w:val="17"/>
                <w:b w:val="1"/>
                <w:bCs w:val="1"/>
                <w:color w:val="auto"/>
                <w:w w:val="93"/>
              </w:rPr>
              <w:t>June 30,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880"/>
              <w:spacing w:after="0"/>
              <w:rPr>
                <w:sz w:val="20"/>
                <w:szCs w:val="20"/>
                <w:color w:val="auto"/>
              </w:rPr>
            </w:pPr>
            <w:r>
              <w:rPr>
                <w:rFonts w:ascii="Arial" w:cs="Arial" w:eastAsia="Arial" w:hAnsi="Arial"/>
                <w:sz w:val="17"/>
                <w:szCs w:val="17"/>
                <w:b w:val="1"/>
                <w:bCs w:val="1"/>
                <w:color w:val="auto"/>
                <w:w w:val="93"/>
              </w:rPr>
              <w:t>June 30,</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000" w:type="dxa"/>
            <w:vAlign w:val="bottom"/>
          </w:tcPr>
          <w:p>
            <w:pPr>
              <w:jc w:val="center"/>
              <w:ind w:left="376"/>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Pr>
          <w:p>
            <w:pPr>
              <w:spacing w:after="0"/>
              <w:rPr>
                <w:sz w:val="17"/>
                <w:szCs w:val="17"/>
                <w:color w:val="auto"/>
              </w:rPr>
            </w:pPr>
          </w:p>
        </w:tc>
        <w:tc>
          <w:tcPr>
            <w:tcW w:w="980" w:type="dxa"/>
            <w:vAlign w:val="bottom"/>
          </w:tcPr>
          <w:p>
            <w:pPr>
              <w:jc w:val="center"/>
              <w:ind w:left="37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020" w:type="dxa"/>
            <w:vAlign w:val="bottom"/>
          </w:tcPr>
          <w:p>
            <w:pPr>
              <w:jc w:val="center"/>
              <w:ind w:left="116"/>
              <w:spacing w:after="0"/>
              <w:rPr>
                <w:sz w:val="20"/>
                <w:szCs w:val="20"/>
                <w:color w:val="auto"/>
              </w:rPr>
            </w:pPr>
            <w:r>
              <w:rPr>
                <w:rFonts w:ascii="Arial" w:cs="Arial" w:eastAsia="Arial" w:hAnsi="Arial"/>
                <w:sz w:val="16"/>
                <w:szCs w:val="16"/>
                <w:b w:val="1"/>
                <w:bCs w:val="1"/>
                <w:color w:val="auto"/>
                <w:w w:val="85"/>
              </w:rPr>
              <w:t>Percentage</w:t>
            </w:r>
          </w:p>
        </w:tc>
        <w:tc>
          <w:tcPr>
            <w:tcW w:w="80" w:type="dxa"/>
            <w:vAlign w:val="bottom"/>
          </w:tcPr>
          <w:p>
            <w:pPr>
              <w:spacing w:after="0"/>
              <w:rPr>
                <w:sz w:val="17"/>
                <w:szCs w:val="17"/>
                <w:color w:val="auto"/>
              </w:rPr>
            </w:pPr>
          </w:p>
        </w:tc>
        <w:tc>
          <w:tcPr>
            <w:tcW w:w="1000" w:type="dxa"/>
            <w:vAlign w:val="bottom"/>
          </w:tcPr>
          <w:p>
            <w:pPr>
              <w:jc w:val="center"/>
              <w:ind w:left="376"/>
              <w:spacing w:after="0"/>
              <w:rPr>
                <w:sz w:val="20"/>
                <w:szCs w:val="20"/>
                <w:color w:val="auto"/>
              </w:rPr>
            </w:pPr>
            <w:r>
              <w:rPr>
                <w:rFonts w:ascii="Arial" w:cs="Arial" w:eastAsia="Arial" w:hAnsi="Arial"/>
                <w:sz w:val="16"/>
                <w:szCs w:val="16"/>
                <w:b w:val="1"/>
                <w:bCs w:val="1"/>
                <w:color w:val="auto"/>
                <w:w w:val="84"/>
              </w:rPr>
              <w:t>2021</w:t>
            </w:r>
          </w:p>
        </w:tc>
        <w:tc>
          <w:tcPr>
            <w:tcW w:w="80" w:type="dxa"/>
            <w:vAlign w:val="bottom"/>
          </w:tcPr>
          <w:p>
            <w:pPr>
              <w:spacing w:after="0"/>
              <w:rPr>
                <w:sz w:val="17"/>
                <w:szCs w:val="17"/>
                <w:color w:val="auto"/>
              </w:rPr>
            </w:pPr>
          </w:p>
        </w:tc>
        <w:tc>
          <w:tcPr>
            <w:tcW w:w="1000" w:type="dxa"/>
            <w:vAlign w:val="bottom"/>
          </w:tcPr>
          <w:p>
            <w:pPr>
              <w:jc w:val="center"/>
              <w:ind w:left="394"/>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Change</w:t>
            </w:r>
          </w:p>
        </w:tc>
        <w:tc>
          <w:tcPr>
            <w:tcW w:w="1260" w:type="dxa"/>
            <w:vAlign w:val="bottom"/>
          </w:tcPr>
          <w:p>
            <w:pPr>
              <w:ind w:left="500"/>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154"/>
        </w:trPr>
        <w:tc>
          <w:tcPr>
            <w:tcW w:w="1100" w:type="dxa"/>
            <w:vAlign w:val="bottom"/>
            <w:tcBorders>
              <w:top w:val="single" w:sz="8" w:color="CCEEFF"/>
            </w:tcBorders>
            <w:shd w:val="clear" w:color="auto" w:fill="CCEEFF"/>
          </w:tcPr>
          <w:p>
            <w:pPr>
              <w:ind w:left="480"/>
              <w:spacing w:after="0" w:line="154" w:lineRule="exact"/>
              <w:rPr>
                <w:sz w:val="20"/>
                <w:szCs w:val="20"/>
                <w:color w:val="auto"/>
              </w:rPr>
            </w:pPr>
            <w:r>
              <w:rPr>
                <w:rFonts w:ascii="Arial" w:cs="Arial" w:eastAsia="Arial" w:hAnsi="Arial"/>
                <w:sz w:val="17"/>
                <w:szCs w:val="17"/>
                <w:color w:val="auto"/>
                <w:w w:val="94"/>
              </w:rPr>
              <w:t>Average</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Canadian</w:t>
            </w: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dollar to U.S.</w:t>
            </w:r>
          </w:p>
        </w:tc>
        <w:tc>
          <w:tcPr>
            <w:tcW w:w="1000" w:type="dxa"/>
            <w:vAlign w:val="bottom"/>
            <w:vMerge w:val="restart"/>
            <w:shd w:val="clear" w:color="auto" w:fill="CCEEFF"/>
          </w:tcPr>
          <w:p>
            <w:pPr>
              <w:jc w:val="center"/>
              <w:ind w:left="396"/>
              <w:spacing w:after="0"/>
              <w:rPr>
                <w:sz w:val="20"/>
                <w:szCs w:val="20"/>
                <w:color w:val="auto"/>
              </w:rPr>
            </w:pPr>
            <w:r>
              <w:rPr>
                <w:rFonts w:ascii="Arial" w:cs="Arial" w:eastAsia="Arial" w:hAnsi="Arial"/>
                <w:sz w:val="17"/>
                <w:szCs w:val="17"/>
                <w:color w:val="auto"/>
                <w:w w:val="92"/>
              </w:rPr>
              <w:t>$0.815</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ind w:left="374"/>
              <w:spacing w:after="0"/>
              <w:rPr>
                <w:sz w:val="20"/>
                <w:szCs w:val="20"/>
                <w:color w:val="auto"/>
              </w:rPr>
            </w:pPr>
            <w:r>
              <w:rPr>
                <w:rFonts w:ascii="Arial" w:cs="Arial" w:eastAsia="Arial" w:hAnsi="Arial"/>
                <w:sz w:val="17"/>
                <w:szCs w:val="17"/>
                <w:color w:val="auto"/>
                <w:w w:val="92"/>
              </w:rPr>
              <w:t>$0.722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6"/>
              </w:rPr>
              <w:t>0.09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center"/>
              <w:ind w:left="116"/>
              <w:spacing w:after="0"/>
              <w:rPr>
                <w:sz w:val="20"/>
                <w:szCs w:val="20"/>
                <w:color w:val="auto"/>
              </w:rPr>
            </w:pPr>
            <w:r>
              <w:rPr>
                <w:rFonts w:ascii="Arial" w:cs="Arial" w:eastAsia="Arial" w:hAnsi="Arial"/>
                <w:sz w:val="17"/>
                <w:szCs w:val="17"/>
                <w:color w:val="auto"/>
                <w:w w:val="95"/>
              </w:rPr>
              <w:t>12.8%</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ind w:left="396"/>
              <w:spacing w:after="0"/>
              <w:rPr>
                <w:sz w:val="20"/>
                <w:szCs w:val="20"/>
                <w:color w:val="auto"/>
              </w:rPr>
            </w:pPr>
            <w:r>
              <w:rPr>
                <w:rFonts w:ascii="Arial" w:cs="Arial" w:eastAsia="Arial" w:hAnsi="Arial"/>
                <w:sz w:val="17"/>
                <w:szCs w:val="17"/>
                <w:color w:val="auto"/>
                <w:w w:val="92"/>
              </w:rPr>
              <w:t>$0.802</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center"/>
              <w:ind w:left="394"/>
              <w:spacing w:after="0"/>
              <w:rPr>
                <w:sz w:val="20"/>
                <w:szCs w:val="20"/>
                <w:color w:val="auto"/>
              </w:rPr>
            </w:pPr>
            <w:r>
              <w:rPr>
                <w:rFonts w:ascii="Arial" w:cs="Arial" w:eastAsia="Arial" w:hAnsi="Arial"/>
                <w:sz w:val="17"/>
                <w:szCs w:val="17"/>
                <w:color w:val="auto"/>
                <w:w w:val="92"/>
              </w:rPr>
              <w:t>$0.733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3"/>
              </w:rPr>
              <w:t>$0.07</w:t>
            </w:r>
          </w:p>
        </w:tc>
        <w:tc>
          <w:tcPr>
            <w:tcW w:w="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22"/>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dollar</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100" w:type="dxa"/>
            <w:vAlign w:val="bottom"/>
          </w:tcPr>
          <w:p>
            <w:pPr>
              <w:ind w:left="480"/>
              <w:spacing w:after="0" w:line="171" w:lineRule="exact"/>
              <w:rPr>
                <w:sz w:val="20"/>
                <w:szCs w:val="20"/>
                <w:color w:val="auto"/>
              </w:rPr>
            </w:pPr>
            <w:r>
              <w:rPr>
                <w:rFonts w:ascii="Arial" w:cs="Arial" w:eastAsia="Arial" w:hAnsi="Arial"/>
                <w:sz w:val="17"/>
                <w:szCs w:val="17"/>
                <w:color w:val="auto"/>
                <w:w w:val="94"/>
              </w:rPr>
              <w:t>Average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line="171" w:lineRule="exact"/>
              <w:rPr>
                <w:sz w:val="20"/>
                <w:szCs w:val="20"/>
                <w:color w:val="auto"/>
              </w:rPr>
            </w:pPr>
            <w:r>
              <w:rPr>
                <w:rFonts w:ascii="Arial" w:cs="Arial" w:eastAsia="Arial" w:hAnsi="Arial"/>
                <w:sz w:val="17"/>
                <w:szCs w:val="17"/>
                <w:color w:val="auto"/>
              </w:rPr>
              <w:t>Australian</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00" w:type="dxa"/>
            <w:vAlign w:val="bottom"/>
          </w:tcPr>
          <w:p>
            <w:pPr>
              <w:ind w:left="20"/>
              <w:spacing w:after="0" w:line="171" w:lineRule="exact"/>
              <w:rPr>
                <w:sz w:val="20"/>
                <w:szCs w:val="20"/>
                <w:color w:val="auto"/>
              </w:rPr>
            </w:pPr>
            <w:r>
              <w:rPr>
                <w:rFonts w:ascii="Arial" w:cs="Arial" w:eastAsia="Arial" w:hAnsi="Arial"/>
                <w:sz w:val="17"/>
                <w:szCs w:val="17"/>
                <w:color w:val="auto"/>
              </w:rPr>
              <w:t>dollar to U.S.</w:t>
            </w:r>
          </w:p>
        </w:tc>
        <w:tc>
          <w:tcPr>
            <w:tcW w:w="1000" w:type="dxa"/>
            <w:vAlign w:val="bottom"/>
            <w:vMerge w:val="restart"/>
          </w:tcPr>
          <w:p>
            <w:pPr>
              <w:jc w:val="center"/>
              <w:ind w:left="396"/>
              <w:spacing w:after="0"/>
              <w:rPr>
                <w:sz w:val="20"/>
                <w:szCs w:val="20"/>
                <w:color w:val="auto"/>
              </w:rPr>
            </w:pPr>
            <w:r>
              <w:rPr>
                <w:rFonts w:ascii="Arial" w:cs="Arial" w:eastAsia="Arial" w:hAnsi="Arial"/>
                <w:sz w:val="17"/>
                <w:szCs w:val="17"/>
                <w:color w:val="auto"/>
                <w:w w:val="92"/>
              </w:rPr>
              <w:t>$0.770</w:t>
            </w:r>
          </w:p>
        </w:tc>
        <w:tc>
          <w:tcPr>
            <w:tcW w:w="100" w:type="dxa"/>
            <w:vAlign w:val="bottom"/>
          </w:tcPr>
          <w:p>
            <w:pPr>
              <w:spacing w:after="0"/>
              <w:rPr>
                <w:sz w:val="14"/>
                <w:szCs w:val="14"/>
                <w:color w:val="auto"/>
              </w:rPr>
            </w:pPr>
          </w:p>
        </w:tc>
        <w:tc>
          <w:tcPr>
            <w:tcW w:w="980" w:type="dxa"/>
            <w:vAlign w:val="bottom"/>
            <w:vMerge w:val="restart"/>
          </w:tcPr>
          <w:p>
            <w:pPr>
              <w:jc w:val="center"/>
              <w:ind w:left="374"/>
              <w:spacing w:after="0"/>
              <w:rPr>
                <w:sz w:val="20"/>
                <w:szCs w:val="20"/>
                <w:color w:val="auto"/>
              </w:rPr>
            </w:pPr>
            <w:r>
              <w:rPr>
                <w:rFonts w:ascii="Arial" w:cs="Arial" w:eastAsia="Arial" w:hAnsi="Arial"/>
                <w:sz w:val="17"/>
                <w:szCs w:val="17"/>
                <w:color w:val="auto"/>
                <w:w w:val="92"/>
              </w:rPr>
              <w:t>$0.658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84"/>
              </w:rPr>
              <w:t>0.11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center"/>
              <w:ind w:left="116"/>
              <w:spacing w:after="0"/>
              <w:rPr>
                <w:sz w:val="20"/>
                <w:szCs w:val="20"/>
                <w:color w:val="auto"/>
              </w:rPr>
            </w:pPr>
            <w:r>
              <w:rPr>
                <w:rFonts w:ascii="Arial" w:cs="Arial" w:eastAsia="Arial" w:hAnsi="Arial"/>
                <w:sz w:val="17"/>
                <w:szCs w:val="17"/>
                <w:color w:val="auto"/>
                <w:w w:val="95"/>
              </w:rPr>
              <w:t>17.2%</w:t>
            </w:r>
          </w:p>
        </w:tc>
        <w:tc>
          <w:tcPr>
            <w:tcW w:w="80" w:type="dxa"/>
            <w:vAlign w:val="bottom"/>
          </w:tcPr>
          <w:p>
            <w:pPr>
              <w:spacing w:after="0"/>
              <w:rPr>
                <w:sz w:val="14"/>
                <w:szCs w:val="14"/>
                <w:color w:val="auto"/>
              </w:rPr>
            </w:pPr>
          </w:p>
        </w:tc>
        <w:tc>
          <w:tcPr>
            <w:tcW w:w="1000" w:type="dxa"/>
            <w:vAlign w:val="bottom"/>
            <w:vMerge w:val="restart"/>
          </w:tcPr>
          <w:p>
            <w:pPr>
              <w:jc w:val="center"/>
              <w:ind w:left="396"/>
              <w:spacing w:after="0"/>
              <w:rPr>
                <w:sz w:val="20"/>
                <w:szCs w:val="20"/>
                <w:color w:val="auto"/>
              </w:rPr>
            </w:pPr>
            <w:r>
              <w:rPr>
                <w:rFonts w:ascii="Arial" w:cs="Arial" w:eastAsia="Arial" w:hAnsi="Arial"/>
                <w:sz w:val="17"/>
                <w:szCs w:val="17"/>
                <w:color w:val="auto"/>
                <w:w w:val="92"/>
              </w:rPr>
              <w:t>$0.772</w:t>
            </w:r>
          </w:p>
        </w:tc>
        <w:tc>
          <w:tcPr>
            <w:tcW w:w="80" w:type="dxa"/>
            <w:vAlign w:val="bottom"/>
          </w:tcPr>
          <w:p>
            <w:pPr>
              <w:spacing w:after="0"/>
              <w:rPr>
                <w:sz w:val="14"/>
                <w:szCs w:val="14"/>
                <w:color w:val="auto"/>
              </w:rPr>
            </w:pPr>
          </w:p>
        </w:tc>
        <w:tc>
          <w:tcPr>
            <w:tcW w:w="1000" w:type="dxa"/>
            <w:vAlign w:val="bottom"/>
            <w:vMerge w:val="restart"/>
          </w:tcPr>
          <w:p>
            <w:pPr>
              <w:jc w:val="center"/>
              <w:ind w:left="394"/>
              <w:spacing w:after="0"/>
              <w:rPr>
                <w:sz w:val="20"/>
                <w:szCs w:val="20"/>
                <w:color w:val="auto"/>
              </w:rPr>
            </w:pPr>
            <w:r>
              <w:rPr>
                <w:rFonts w:ascii="Arial" w:cs="Arial" w:eastAsia="Arial" w:hAnsi="Arial"/>
                <w:sz w:val="17"/>
                <w:szCs w:val="17"/>
                <w:color w:val="auto"/>
                <w:w w:val="92"/>
              </w:rPr>
              <w:t>$0.658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89"/>
              </w:rPr>
              <w:t>$0.11</w:t>
            </w:r>
          </w:p>
        </w:tc>
        <w:tc>
          <w:tcPr>
            <w:tcW w:w="80" w:type="dxa"/>
            <w:vAlign w:val="bottom"/>
          </w:tcPr>
          <w:p>
            <w:pPr>
              <w:spacing w:after="0"/>
              <w:rPr>
                <w:sz w:val="14"/>
                <w:szCs w:val="14"/>
                <w:color w:val="auto"/>
              </w:rPr>
            </w:pPr>
          </w:p>
        </w:tc>
        <w:tc>
          <w:tcPr>
            <w:tcW w:w="1260" w:type="dxa"/>
            <w:vAlign w:val="bottom"/>
            <w:vMerge w:val="restart"/>
          </w:tcPr>
          <w:p>
            <w:pPr>
              <w:jc w:val="right"/>
              <w:ind w:right="76"/>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22"/>
        </w:trPr>
        <w:tc>
          <w:tcPr>
            <w:tcW w:w="1100" w:type="dxa"/>
            <w:vAlign w:val="bottom"/>
          </w:tcPr>
          <w:p>
            <w:pPr>
              <w:ind w:left="20"/>
              <w:spacing w:after="0"/>
              <w:rPr>
                <w:sz w:val="20"/>
                <w:szCs w:val="20"/>
                <w:color w:val="auto"/>
              </w:rPr>
            </w:pPr>
            <w:r>
              <w:rPr>
                <w:rFonts w:ascii="Arial" w:cs="Arial" w:eastAsia="Arial" w:hAnsi="Arial"/>
                <w:sz w:val="17"/>
                <w:szCs w:val="17"/>
                <w:color w:val="auto"/>
              </w:rPr>
              <w:t>dollar</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158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As of</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440" w:type="dxa"/>
            <w:vAlign w:val="bottom"/>
            <w:gridSpan w:val="2"/>
          </w:tcPr>
          <w:p>
            <w:pPr>
              <w:ind w:left="600"/>
              <w:spacing w:after="0" w:line="151" w:lineRule="exact"/>
              <w:rPr>
                <w:sz w:val="20"/>
                <w:szCs w:val="20"/>
                <w:color w:val="auto"/>
              </w:rPr>
            </w:pPr>
            <w:r>
              <w:rPr>
                <w:rFonts w:ascii="Arial" w:cs="Arial" w:eastAsia="Arial" w:hAnsi="Arial"/>
                <w:sz w:val="16"/>
                <w:szCs w:val="16"/>
                <w:b w:val="1"/>
                <w:bCs w:val="1"/>
                <w:color w:val="auto"/>
              </w:rPr>
              <w:t>June 30,</w:t>
            </w:r>
          </w:p>
        </w:tc>
        <w:tc>
          <w:tcPr>
            <w:tcW w:w="1340" w:type="dxa"/>
            <w:vAlign w:val="bottom"/>
          </w:tcPr>
          <w:p>
            <w:pPr>
              <w:jc w:val="right"/>
              <w:ind w:right="17"/>
              <w:spacing w:after="0" w:line="151" w:lineRule="exact"/>
              <w:rPr>
                <w:sz w:val="20"/>
                <w:szCs w:val="20"/>
                <w:color w:val="auto"/>
              </w:rPr>
            </w:pPr>
            <w:r>
              <w:rPr>
                <w:rFonts w:ascii="Arial" w:cs="Arial" w:eastAsia="Arial" w:hAnsi="Arial"/>
                <w:sz w:val="16"/>
                <w:szCs w:val="16"/>
                <w:b w:val="1"/>
                <w:bCs w:val="1"/>
                <w:color w:val="auto"/>
              </w:rPr>
              <w:t>December</w:t>
            </w:r>
          </w:p>
        </w:tc>
        <w:tc>
          <w:tcPr>
            <w:tcW w:w="160" w:type="dxa"/>
            <w:vAlign w:val="bottom"/>
          </w:tcPr>
          <w:p>
            <w:pPr>
              <w:spacing w:after="0"/>
              <w:rPr>
                <w:sz w:val="13"/>
                <w:szCs w:val="13"/>
                <w:color w:val="auto"/>
              </w:rPr>
            </w:pPr>
          </w:p>
        </w:tc>
        <w:tc>
          <w:tcPr>
            <w:tcW w:w="118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Change</w:t>
            </w:r>
          </w:p>
        </w:tc>
        <w:tc>
          <w:tcPr>
            <w:tcW w:w="160" w:type="dxa"/>
            <w:vAlign w:val="bottom"/>
            <w:vMerge w:val="restart"/>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31, 2020</w:t>
            </w: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Canadian dollar to U.S. dollar</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$0.807</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$0.785</w:t>
            </w:r>
          </w:p>
        </w:tc>
        <w:tc>
          <w:tcPr>
            <w:tcW w:w="134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0.02</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2"/>
        </w:trPr>
        <w:tc>
          <w:tcPr>
            <w:tcW w:w="3020" w:type="dxa"/>
            <w:vAlign w:val="bottom"/>
          </w:tcPr>
          <w:p>
            <w:pPr>
              <w:ind w:left="500"/>
              <w:spacing w:after="0"/>
              <w:rPr>
                <w:sz w:val="20"/>
                <w:szCs w:val="20"/>
                <w:color w:val="auto"/>
              </w:rPr>
            </w:pPr>
            <w:r>
              <w:rPr>
                <w:rFonts w:ascii="Arial" w:cs="Arial" w:eastAsia="Arial" w:hAnsi="Arial"/>
                <w:sz w:val="17"/>
                <w:szCs w:val="17"/>
                <w:color w:val="auto"/>
              </w:rPr>
              <w:t>Australian dollar to U.S. dollar</w:t>
            </w:r>
          </w:p>
        </w:tc>
        <w:tc>
          <w:tcPr>
            <w:tcW w:w="1280" w:type="dxa"/>
            <w:vAlign w:val="bottom"/>
          </w:tcPr>
          <w:p>
            <w:pPr>
              <w:jc w:val="right"/>
              <w:spacing w:after="0"/>
              <w:rPr>
                <w:sz w:val="20"/>
                <w:szCs w:val="20"/>
                <w:color w:val="auto"/>
              </w:rPr>
            </w:pPr>
            <w:r>
              <w:rPr>
                <w:rFonts w:ascii="Arial" w:cs="Arial" w:eastAsia="Arial" w:hAnsi="Arial"/>
                <w:sz w:val="17"/>
                <w:szCs w:val="17"/>
                <w:color w:val="auto"/>
              </w:rPr>
              <w:t>$0.750</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$0.773</w:t>
            </w:r>
          </w:p>
        </w:tc>
        <w:tc>
          <w:tcPr>
            <w:tcW w:w="1340" w:type="dxa"/>
            <w:vAlign w:val="bottom"/>
            <w:gridSpan w:val="2"/>
          </w:tcPr>
          <w:p>
            <w:pPr>
              <w:jc w:val="right"/>
              <w:ind w:right="61"/>
              <w:spacing w:after="0"/>
              <w:rPr>
                <w:sz w:val="20"/>
                <w:szCs w:val="20"/>
                <w:color w:val="auto"/>
              </w:rPr>
            </w:pPr>
            <w:r>
              <w:rPr>
                <w:rFonts w:ascii="Arial" w:cs="Arial" w:eastAsia="Arial" w:hAnsi="Arial"/>
                <w:sz w:val="17"/>
                <w:szCs w:val="17"/>
                <w:color w:val="auto"/>
              </w:rPr>
              <w:t>(0.02)</w:t>
            </w:r>
          </w:p>
        </w:tc>
        <w:tc>
          <w:tcPr>
            <w:tcW w:w="160" w:type="dxa"/>
            <w:vAlign w:val="bottom"/>
          </w:tcPr>
          <w:p>
            <w:pPr>
              <w:spacing w:after="0"/>
              <w:rPr>
                <w:sz w:val="19"/>
                <w:szCs w:val="19"/>
                <w:color w:val="auto"/>
              </w:rPr>
            </w:pP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78"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5"/>
          <w:szCs w:val="15"/>
          <w:b w:val="1"/>
          <w:bCs w:val="1"/>
          <w:color w:val="auto"/>
        </w:rPr>
        <w:t xml:space="preserve">Capital Expenditures. </w:t>
      </w:r>
      <w:r>
        <w:rPr>
          <w:rFonts w:ascii="Arial" w:cs="Arial" w:eastAsia="Arial" w:hAnsi="Arial"/>
          <w:sz w:val="15"/>
          <w:szCs w:val="15"/>
          <w:color w:val="auto"/>
        </w:rPr>
        <w:t>We continue to monitor the COVID-19 global pandemic and the responses thereto, the global economy, the price of and demand</w:t>
      </w:r>
      <w:r>
        <w:rPr>
          <w:rFonts w:ascii="Arial" w:cs="Arial" w:eastAsia="Arial" w:hAnsi="Arial"/>
          <w:sz w:val="15"/>
          <w:szCs w:val="15"/>
          <w:b w:val="1"/>
          <w:bCs w:val="1"/>
          <w:color w:val="auto"/>
        </w:rPr>
        <w:t xml:space="preserve"> </w:t>
      </w:r>
      <w:r>
        <w:rPr>
          <w:rFonts w:ascii="Arial" w:cs="Arial" w:eastAsia="Arial" w:hAnsi="Arial"/>
          <w:sz w:val="15"/>
          <w:szCs w:val="15"/>
          <w:color w:val="auto"/>
        </w:rPr>
        <w:t>for crude oil, met coal, LNG and iron ore and the resultant impact on the capital spending plans of our customers in order to plan our business activities. We currently expect that our 2021 capital expenditures, exclusive of any business acquisitions, will total approximately $20 million, compared to 2020 capital expenditures of $10.1 million. We may adjust our capital expenditure plans in the future as we continue to monitor customer activity and the impact of COVID-</w:t>
      </w:r>
    </w:p>
    <w:p>
      <w:pPr>
        <w:spacing w:after="0" w:line="3" w:lineRule="exact"/>
        <w:rPr>
          <w:sz w:val="20"/>
          <w:szCs w:val="20"/>
          <w:color w:val="auto"/>
        </w:rPr>
      </w:pPr>
    </w:p>
    <w:p>
      <w:pPr>
        <w:ind w:left="260" w:hanging="255"/>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further discussion of 2021 capital expenditures.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Unless otherwise indicated, discussion of results for the three months ended June 30, 2021, is based on a comparison to the corresponding period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2020.</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Three Months Ended June 30, 2021 Compared to Three Months Ended June 30,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Three Months Ended</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3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Change</w:t>
            </w:r>
          </w:p>
        </w:tc>
      </w:tr>
      <w:tr>
        <w:trPr>
          <w:trHeight w:val="211"/>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Canada</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83,281</w:t>
            </w:r>
          </w:p>
        </w:tc>
        <w:tc>
          <w:tcPr>
            <w:tcW w:w="12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52,986</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30,295</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57,071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6,948</w:t>
            </w:r>
          </w:p>
        </w:tc>
      </w:tr>
      <w:tr>
        <w:trPr>
          <w:trHeight w:val="181"/>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2,231</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154,176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114,702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39,474</w:t>
            </w:r>
          </w:p>
        </w:tc>
      </w:tr>
      <w:tr>
        <w:trPr>
          <w:trHeight w:val="181"/>
        </w:trPr>
        <w:tc>
          <w:tcPr>
            <w:tcW w:w="50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 and services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34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57,342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42,465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14,877</w:t>
            </w:r>
          </w:p>
        </w:tc>
      </w:tr>
      <w:tr>
        <w:trPr>
          <w:trHeight w:val="186"/>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9,982</w:t>
            </w:r>
          </w:p>
        </w:tc>
      </w:tr>
      <w:tr>
        <w:trPr>
          <w:trHeight w:val="181"/>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5,765</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79"/>
        </w:trPr>
        <w:tc>
          <w:tcPr>
            <w:tcW w:w="50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83,133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24,869</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14,703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11,490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3,213</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7,935</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expense (income)</w:t>
            </w: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174"/>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152,047</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116,543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35,504</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3,970</w:t>
            </w:r>
          </w:p>
        </w:tc>
      </w:tr>
      <w:tr>
        <w:trPr>
          <w:trHeight w:val="210"/>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(11,854)</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income before income taxes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(7,433)</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(expense)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(6,819)</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Corporation</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(6,594)</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income attributable to Civeo common shareholders</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reported net loss attributable to Civeo for the quarter ended June 30, 2021 of $0.5 million, or $0.03 per diluted share. As further discussed below, net loss included a $7.9 million pre-tax loss resulting from the impairment of fixed assets included in Impairment expense.</w:t>
      </w:r>
    </w:p>
    <w:p>
      <w:pPr>
        <w:spacing w:after="0" w:line="5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We reported net income attributable to Civeo for the quarter ended June 30, 2020 of $6.1 million, or $0.37 per diluted share. As further discussed below, net income included $4.7 million of income associated with the settlement of a representations and warranties claim related to the Noralta acquisition included in Other income.</w:t>
      </w:r>
    </w:p>
    <w:p>
      <w:pPr>
        <w:spacing w:after="0" w:line="6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increased $39.5 million, or 34%, in the second quarter of 2021 compared to the second quarter of 2020. This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due to (i) higher billed rooms at our Canadian oil sands lodges related to turnaround activities by a number of customers, (ii) increased mobile asset activity from a pipeline project in Canada, (iii) increased occupancy at our Australian integrated services villages, (iv) increased activity levels in certain U.S. markets and (v) a stronger Australian and Canadian dollar relative to the U.S. dollar in the second quarter of 2021 compared to the second quarter of 2020. These items were partially offset by (i) reduced occupancy at our Canadian Sitka Lodge related to the COVID-19 pandemic and the British Columbia health order, (ii) reduced food service activity, as an overflow site supporting a LNG-related project in 2020 is no longer required, (iii) decreased activity at our Bowen Basin villages and Western Australia villages and (iv) decreased activity at our U.S. wellsite business. See the discussion of segment results of operations below for further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14" w:lineRule="exact"/>
        <w:rPr>
          <w:sz w:val="20"/>
          <w:szCs w:val="20"/>
          <w:color w:val="auto"/>
        </w:rPr>
      </w:pPr>
    </w:p>
    <w:p>
      <w:pPr>
        <w:jc w:val="both"/>
        <w:ind w:firstLine="472"/>
        <w:spacing w:after="0" w:line="302" w:lineRule="auto"/>
        <w:rPr>
          <w:sz w:val="20"/>
          <w:szCs w:val="20"/>
          <w:color w:val="auto"/>
        </w:rPr>
      </w:pPr>
      <w:r>
        <w:rPr>
          <w:rFonts w:ascii="Arial" w:cs="Arial" w:eastAsia="Arial" w:hAnsi="Arial"/>
          <w:sz w:val="15"/>
          <w:szCs w:val="15"/>
          <w:b w:val="1"/>
          <w:bCs w:val="1"/>
          <w:color w:val="auto"/>
        </w:rPr>
        <w:t xml:space="preserve">Cost of Sales and Services. </w:t>
      </w:r>
      <w:r>
        <w:rPr>
          <w:rFonts w:ascii="Arial" w:cs="Arial" w:eastAsia="Arial" w:hAnsi="Arial"/>
          <w:sz w:val="15"/>
          <w:szCs w:val="15"/>
          <w:color w:val="auto"/>
        </w:rPr>
        <w:t>Our consolidated cost of sales and services increased $24.9 million, or 30%, in the second quarter of 2021 compared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second quarter of 2020. This increase was primarily due to (i) increased occupancy at our Canadian oil sands lodges related to turnaround activities by a number of customers, (ii) increased mobile asset activity from a pipeline project in Canada, (iii) increased occupancy at our Australian integrated services villages and increased cost of temporary labor due to ongoing labor shortages in Australia, (iv) increased activity levels in certain U.S. markets and (v) a stronger Australian and Canadian dollar relative to the U.S. dollar in the second quarter of 2021 compared to the second quarter of 2020. These items were partially offset by (i) reduced occupancy at our Canadian Sitka Lodge related to the COVID-19 pandemic and the British Columbia health order, (ii) reduced food service activity, as an overflow site supporting a LNG-related project in 2020 is no longer required, (iii) decreased activity at our Bowen Basin villages and Western Australia villages and (iv) decreased activity at our U.S. wellsite business. See the discussion of segment results of operations below for further information.</w:t>
      </w:r>
    </w:p>
    <w:p>
      <w:pPr>
        <w:spacing w:after="0" w:line="8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$3.2 million, or 28%, in the second quarter of 2021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2020. This increase was primarily due to higher incentive compensation costs, share-based compensation expense and compensation expense. In addition, SG&amp;A expense increased approximately $1.0 million due to a stronger Australian and Canadian dollar relative to the U.S. dollar in the second quarter of 2021 compared to the second quarter of 2020. The increase in share-based compensation was due to an increase in our stock price during the second quarter of 2021 compared to the second quarter of 2020.</w:t>
      </w:r>
    </w:p>
    <w:p>
      <w:pPr>
        <w:spacing w:after="0" w:line="105"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$0.8 million, or 4%, in the second quarter of 2021</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second quarter of 2020. The decrease was primarily due to certain assets and intangibles becoming fully depreciated during 2020 and the extension of the remaining life of certain long-lived assets in the U.S. during the second quarter of 2020. These items were partially offset by a stronger Australian and Canadian dollar relative to the U.S. dollar in the second quarter of 2021 compared to the second quarter of 2020.</w:t>
      </w:r>
    </w:p>
    <w:p>
      <w:pPr>
        <w:spacing w:after="0" w:line="77" w:lineRule="exact"/>
        <w:rPr>
          <w:sz w:val="20"/>
          <w:szCs w:val="20"/>
          <w:color w:val="auto"/>
        </w:rPr>
      </w:pPr>
    </w:p>
    <w:p>
      <w:pPr>
        <w:jc w:val="both"/>
        <w:ind w:right="220" w:firstLine="472"/>
        <w:spacing w:after="0" w:line="244"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We recorded pre-tax impairment expense of $7.9 million in the second quarter of 2021 associated with long-lived assets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Australian reporting unit. See Note 6 - Impairment Charges to the notes to the unaudited consolidated financial statements included in Item 1 of this quarterly report for further discussion.</w:t>
      </w:r>
    </w:p>
    <w:p>
      <w:pPr>
        <w:spacing w:after="0" w:line="111"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Consolidated operating income increased $4.0 million, or 216%, in the second quarter of 2021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2020, primarily due to increased activity levels in Canada, partially offset by higher impairment expense.</w:t>
      </w:r>
    </w:p>
    <w:p>
      <w:pPr>
        <w:spacing w:after="0" w:line="81" w:lineRule="exact"/>
        <w:rPr>
          <w:sz w:val="20"/>
          <w:szCs w:val="20"/>
          <w:color w:val="auto"/>
        </w:rPr>
      </w:pPr>
    </w:p>
    <w:p>
      <w:pPr>
        <w:jc w:val="both"/>
        <w:ind w:firstLine="472"/>
        <w:spacing w:after="0" w:line="330" w:lineRule="auto"/>
        <w:rPr>
          <w:sz w:val="20"/>
          <w:szCs w:val="20"/>
          <w:color w:val="auto"/>
        </w:rPr>
      </w:pPr>
      <w:r>
        <w:rPr>
          <w:rFonts w:ascii="Arial" w:cs="Arial" w:eastAsia="Arial" w:hAnsi="Arial"/>
          <w:sz w:val="16"/>
          <w:szCs w:val="16"/>
          <w:b w:val="1"/>
          <w:bCs w:val="1"/>
          <w:color w:val="auto"/>
        </w:rPr>
        <w:t xml:space="preserve">Interest Expense, net. </w:t>
      </w:r>
      <w:r>
        <w:rPr>
          <w:rFonts w:ascii="Arial" w:cs="Arial" w:eastAsia="Arial" w:hAnsi="Arial"/>
          <w:sz w:val="16"/>
          <w:szCs w:val="16"/>
          <w:color w:val="auto"/>
        </w:rPr>
        <w:t>Net interest expense decreased by $0.5 million, or 12%, in the second quarter of 2021 compared to the second quarter of 2020,</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related to lower average debt levels and lower interest rates on term loan and revolving credit facility borrowings during 2021 compared to 2020.</w:t>
      </w:r>
    </w:p>
    <w:p>
      <w:pPr>
        <w:spacing w:after="0" w:line="149"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decreased $11.9 million in the second quarter of 2021 compared to the second quarter of 2020.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2021 included $0.7 million related to proceeds from the Canada Emergency Wage Subsidy (CEWS). The second quarter of 2020 included $4.7 million of other income associated with the settlement of a representations and warranties claim related to the Noralta acquisition, $6.2 million of other income related to proceeds from the CEWS and a higher gain on sale of assets compared to the second quarter of 2020.</w:t>
      </w:r>
    </w:p>
    <w:p>
      <w:pPr>
        <w:spacing w:after="0" w:line="16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6"/>
          <w:szCs w:val="16"/>
          <w:b w:val="1"/>
          <w:bCs w:val="1"/>
          <w:color w:val="auto"/>
        </w:rPr>
        <w:t xml:space="preserve">Income Tax (Expense) Benefit. </w:t>
      </w:r>
      <w:r>
        <w:rPr>
          <w:rFonts w:ascii="Arial" w:cs="Arial" w:eastAsia="Arial" w:hAnsi="Arial"/>
          <w:sz w:val="16"/>
          <w:szCs w:val="16"/>
          <w:color w:val="auto"/>
        </w:rPr>
        <w:t>Our income tax benefit for the three months ended June 30, 2021 totaled $0.5 million, or 102.1% of pretax loss,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an income tax expense of $0.1 million, or 1.8% of pretax income, for the three months ended June 30, 2020. Our effective tax rate for both the three months ended June 30, 2021 and June 30, 2020 was impacted by considering Canada and the U.S. loss jurisdictions that were removed from the annual effective tax rate computation for purposes of computing the interim tax provision. Under ASC 740-270, "Accounting for Income Taxes," the quarterly tax provision is based on our current estimate of the annual effective tax rate less the prior quarter's year-to-date provision.</w:t>
      </w:r>
    </w:p>
    <w:p>
      <w:pPr>
        <w:spacing w:after="0" w:line="183"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Other Comprehensive (Loss) Income. </w:t>
      </w:r>
      <w:r>
        <w:rPr>
          <w:rFonts w:ascii="Arial" w:cs="Arial" w:eastAsia="Arial" w:hAnsi="Arial"/>
          <w:sz w:val="17"/>
          <w:szCs w:val="17"/>
          <w:color w:val="auto"/>
        </w:rPr>
        <w:t>Other comprehensive income decreased $31.0 million in the second quarter of 2021 compared to the second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2020, primarily as a result of foreign currency translation adjustments due to changes in the Canadian and Australian dollar exchange rates compared to the U.S. dollar. The Canadian dollar exchange rate compared to the U.S. dollar increased 1% in the second quarter of 2021 compared to a 4% decrease in the second quarter of 2020. The Australian dollar exchange rate compared to the U.S. dollar decreased 1% in the second quarter of 2021 compared to a 2% decrease in the second quarter of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6"/>
        </w:trPr>
        <w:tc>
          <w:tcPr>
            <w:tcW w:w="48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69,759</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40,204</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29,555</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8,666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6,072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2,594</w:t>
            </w:r>
          </w:p>
        </w:tc>
      </w:tr>
      <w:tr>
        <w:trPr>
          <w:trHeight w:val="181"/>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4,856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6,710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(1,854)</w:t>
            </w:r>
          </w:p>
        </w:tc>
      </w:tr>
      <w:tr>
        <w:trPr>
          <w:trHeight w:val="179"/>
        </w:trPr>
        <w:tc>
          <w:tcPr>
            <w:tcW w:w="4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1120" w:type="dxa"/>
            <w:vAlign w:val="bottom"/>
            <w:shd w:val="clear" w:color="auto" w:fill="CCEEFF"/>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83,281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52,986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30,295</w:t>
            </w:r>
          </w:p>
        </w:tc>
      </w:tr>
      <w:tr>
        <w:trPr>
          <w:trHeight w:val="144"/>
        </w:trPr>
        <w:tc>
          <w:tcPr>
            <w:tcW w:w="4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Accommodation cost</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44,992</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28,598</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16,394</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cost</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5,644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5,285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359</w:t>
            </w: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4,455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6,163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(1,708)</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2,251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2,419</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(168)</w:t>
            </w:r>
          </w:p>
        </w:tc>
      </w:tr>
      <w:tr>
        <w:trPr>
          <w:trHeight w:val="174"/>
        </w:trPr>
        <w:tc>
          <w:tcPr>
            <w:tcW w:w="48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57,342</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42,465</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14,877</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19.9 %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723,324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409,897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313,427</w:t>
            </w:r>
          </w:p>
        </w:tc>
      </w:tr>
      <w:tr>
        <w:trPr>
          <w:trHeight w:val="147"/>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78"/>
        </w:trPr>
        <w:tc>
          <w:tcPr>
            <w:tcW w:w="484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120" w:type="dxa"/>
            <w:vAlign w:val="bottom"/>
          </w:tcPr>
          <w:p>
            <w:pPr>
              <w:jc w:val="right"/>
              <w:ind w:right="97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0.815</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0.722</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0.093</w:t>
            </w:r>
          </w:p>
        </w:tc>
      </w:tr>
    </w:tbl>
    <w:p>
      <w:pPr>
        <w:spacing w:after="0" w:line="277" w:lineRule="exact"/>
        <w:rPr>
          <w:sz w:val="20"/>
          <w:szCs w:val="20"/>
          <w:color w:val="auto"/>
        </w:rPr>
      </w:pPr>
    </w:p>
    <w:p>
      <w:pPr>
        <w:ind w:left="300" w:hanging="295"/>
        <w:spacing w:after="0"/>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Our Canadian segment reported revenues in the second quarter of 2021 that were $30.3 million, or 57%, higher than the second quarter of 2020. The strengthening of the average exchange rate for the Canadian dollar relative to the U.S. dollar by 13% in the second quarter of 2021 compared to the second quarter of 2020 resulted in a $9.6 million period-over-period increase in revenues. Excluding the impact of the stronger Canadian exchange rate, the segment experienced a 39% increase in revenues. This increase was driven by higher billed rooms at our oil sands lodges related to turnaround activities by a number of customers and by increased mobile asset activity from a pipeline project. Partially offsetting these items, revenue was lower at our Sitka Lodge related to the COVID-19 pandemic and the British Columbia health order and from food services activity, as an overflow site supporting a LNG-related project in 2020 is no longer required.</w:t>
      </w:r>
    </w:p>
    <w:p>
      <w:pPr>
        <w:spacing w:after="0" w:line="20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Our Canadian segment cost of sales and services increased $14.9 million, or 35%, in the second quarter of 2021 compared to the second quarter of 2020. The strengthening of the average exchange rate for the Canadian dollar relative to the U.S. dollar by 13% in the second quarter of 2021 compared to the second quarter of 2020 resulted in a $6.5 million period-over-period increase in cost of sales and services. Excluding the impact of the stronger Canadian exchange rate, the increased cost of sales and services was driven by increased occupancy at our oil sands lodges related to turnaround activities by a number of customers and by increased mobile asset activity from a pipeline project. Partially offsetting these items, cost of sales and services decreased at our Sitka Lodge related to the COVID-19 pandemic and the British Columbia health order and from food services activity, as an overflow site supporting a LNG-related project in 2020 is no longer required.</w:t>
      </w:r>
    </w:p>
    <w:p>
      <w:pPr>
        <w:spacing w:after="0" w:line="183"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Canadian segment gross margin as a percentage of revenues increased from 19.9% in the second quarter of 2020 to 31.1% in the second quarter of 2021. This was primarily driven by increased operating efficiencies at our oil sands lodges due to higher occupancy and from our increased mobile asset activity.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47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6"/>
        </w:trPr>
        <w:tc>
          <w:tcPr>
            <w:tcW w:w="4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64"/>
        </w:trPr>
        <w:tc>
          <w:tcPr>
            <w:tcW w:w="47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1"/>
        </w:trPr>
        <w:tc>
          <w:tcPr>
            <w:tcW w:w="474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37,780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34,933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2,847</w:t>
            </w: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26,239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22,138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4,101</w:t>
            </w:r>
          </w:p>
        </w:tc>
      </w:tr>
      <w:tr>
        <w:trPr>
          <w:trHeight w:val="174"/>
        </w:trPr>
        <w:tc>
          <w:tcPr>
            <w:tcW w:w="474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64,019</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57,071</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6,948</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18,082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15,269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2,813</w:t>
            </w:r>
          </w:p>
        </w:tc>
      </w:tr>
      <w:tr>
        <w:trPr>
          <w:trHeight w:val="181"/>
        </w:trPr>
        <w:tc>
          <w:tcPr>
            <w:tcW w:w="47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25,154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18,759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6,395</w:t>
            </w:r>
          </w:p>
        </w:tc>
      </w:tr>
      <w:tr>
        <w:trPr>
          <w:trHeight w:val="186"/>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1,659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774</w:t>
            </w:r>
          </w:p>
        </w:tc>
      </w:tr>
      <w:tr>
        <w:trPr>
          <w:trHeight w:val="174"/>
        </w:trPr>
        <w:tc>
          <w:tcPr>
            <w:tcW w:w="47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44,895</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34,913</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9,982</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11</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10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466,298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502,392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(36,094)</w:t>
            </w:r>
          </w:p>
        </w:tc>
      </w:tr>
      <w:tr>
        <w:trPr>
          <w:trHeight w:val="212"/>
        </w:trPr>
        <w:tc>
          <w:tcPr>
            <w:tcW w:w="4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4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0.770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0.658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0.113</w:t>
            </w:r>
          </w:p>
        </w:tc>
      </w:tr>
    </w:tbl>
    <w:p>
      <w:pPr>
        <w:spacing w:after="0" w:line="277" w:lineRule="exact"/>
        <w:rPr>
          <w:sz w:val="20"/>
          <w:szCs w:val="20"/>
          <w:color w:val="auto"/>
        </w:rPr>
      </w:pPr>
    </w:p>
    <w:p>
      <w:pPr>
        <w:ind w:left="300" w:hanging="295"/>
        <w:spacing w:after="0"/>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Australian segment reported revenues in the second quarter of 2021 that were $6.9 million, or 12%, higher than the second quarter of 2020. The strengthening of the average exchange rate for Australian dollars relative to the U.S. dollar by 17% in the second quarter of 2021 compared to the second quarter of 2020 resulted in a $9.4 million period-over-period increase in revenues. Accordingly, the increase in the average daily rate is entirely attributable to the strengthening of the Australia dollar. Excluding the impact of the stronger Australian exchange rate, the Australian segment experienced a 4% decrease in revenues largely due to decreased activity at our Bowen Basin villages and Western Australia villages, partially offset by increased occupancy at our integrated services villages.</w:t>
      </w:r>
    </w:p>
    <w:p>
      <w:pPr>
        <w:spacing w:after="0" w:line="182"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Australian segment cost of sales and services increased $10.0 million, or 29%, in the second quarter of 2021 compared to the second quarter of 2020. The strengthening of the average exchange rate for Australian dollars relative to the U.S. dollar by 17% in the second quarter of 2021 compared to the second quarter of 2020 resulted in a $6.6 million period-over-period increase in cost of sales and services. Excluding the impact of the stronger Australian exchange rate, the increase in cost of sales and services was largely driven by the increased occupancy at our integrated services villages and increased costs of temporary labor due to ongoing labor shortages.</w:t>
      </w:r>
    </w:p>
    <w:p>
      <w:pPr>
        <w:spacing w:after="0" w:line="20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Our Australian segment gross margin as a percentage of revenues decreased to 29.9% in the second quarter of 2021 from 38.8% in the second quarter of 2020. This was primarily driven by our integrated services business, which has a service-only business model, and therefore results in lower overall gross margins than the accommodation business. Reduced occupancy at the Bowen Basin villages and Western Australia villages has also impacted our Australian gross margin. Segment gross margin has also been negatively impacted by increased staff costs as a result of a hospitality labor shortage in Australia which has been exacerbated by state and international border closures due to COVID-19. State and international border closures have affected the number of staff available which has subsequently led to an increased reliance on more expensive temporary labor hire resources and has placed upward pressure on wages for permanent staff as competitors compete for a small pool of labor.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U.S. Segment</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3"/>
        </w:trPr>
        <w:tc>
          <w:tcPr>
            <w:tcW w:w="30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176"/>
        </w:trPr>
        <w:tc>
          <w:tcPr>
            <w:tcW w:w="30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r>
      <w:tr>
        <w:trPr>
          <w:trHeight w:val="177"/>
        </w:trPr>
        <w:tc>
          <w:tcPr>
            <w:tcW w:w="3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Revenues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6,876</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4,645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2,231</w:t>
            </w:r>
          </w:p>
        </w:tc>
        <w:tc>
          <w:tcPr>
            <w:tcW w:w="400" w:type="dxa"/>
            <w:vAlign w:val="bottom"/>
            <w:shd w:val="clear" w:color="auto" w:fill="CCEEFF"/>
          </w:tcPr>
          <w:p>
            <w:pPr>
              <w:spacing w:after="0"/>
              <w:rPr>
                <w:sz w:val="15"/>
                <w:szCs w:val="15"/>
                <w:color w:val="auto"/>
              </w:rPr>
            </w:pPr>
          </w:p>
        </w:tc>
      </w:tr>
      <w:tr>
        <w:trPr>
          <w:trHeight w:val="210"/>
        </w:trPr>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83"/>
        </w:trPr>
        <w:tc>
          <w:tcPr>
            <w:tcW w:w="30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5"/>
              </w:rPr>
              <w:t>Cost of sales and services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5,765</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5,755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10</w:t>
            </w:r>
          </w:p>
        </w:tc>
        <w:tc>
          <w:tcPr>
            <w:tcW w:w="400" w:type="dxa"/>
            <w:vAlign w:val="bottom"/>
            <w:shd w:val="clear" w:color="auto" w:fill="CCEEFF"/>
          </w:tcPr>
          <w:p>
            <w:pPr>
              <w:spacing w:after="0"/>
              <w:rPr>
                <w:sz w:val="15"/>
                <w:szCs w:val="15"/>
                <w:color w:val="auto"/>
              </w:rPr>
            </w:pPr>
          </w:p>
        </w:tc>
      </w:tr>
      <w:tr>
        <w:trPr>
          <w:trHeight w:val="210"/>
        </w:trPr>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83"/>
        </w:trPr>
        <w:tc>
          <w:tcPr>
            <w:tcW w:w="3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Gross margin as a % of revenues</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16.2</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(23.9)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40.1</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89"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U.S. segment reported revenues in the second quarter of 2021 that were $2.2 million, or 48%, higher than the second quarter of 2020. This increase was due to increased occupancy at our West Permian, Killdeer and Acadian Acres lodges and increased activity in our offshore business from fabrication and unit sales, partially offset by reduced U.S. drilling activity affecting our wellsite business.</w:t>
      </w:r>
    </w:p>
    <w:p>
      <w:pPr>
        <w:spacing w:after="0" w:line="171" w:lineRule="exact"/>
        <w:rPr>
          <w:sz w:val="20"/>
          <w:szCs w:val="20"/>
          <w:color w:val="auto"/>
        </w:rPr>
      </w:pPr>
    </w:p>
    <w:p>
      <w:pPr>
        <w:jc w:val="both"/>
        <w:ind w:firstLine="472"/>
        <w:spacing w:after="0" w:line="322" w:lineRule="auto"/>
        <w:rPr>
          <w:sz w:val="20"/>
          <w:szCs w:val="20"/>
          <w:color w:val="auto"/>
        </w:rPr>
      </w:pPr>
      <w:r>
        <w:rPr>
          <w:rFonts w:ascii="Arial" w:cs="Arial" w:eastAsia="Arial" w:hAnsi="Arial"/>
          <w:sz w:val="16"/>
          <w:szCs w:val="16"/>
          <w:color w:val="auto"/>
        </w:rPr>
        <w:t>Our U.S. segment cost of sales and services slightly increased in the second quarter of 2021 compared to the second quarter of 2020. This increase was due to greater activity in our offshore business, partially offset by reduced costs in our wellsite business attributable to its reduced activity.</w:t>
      </w:r>
    </w:p>
    <w:p>
      <w:pPr>
        <w:spacing w:after="0" w:line="161"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U.S. segment gross margin as a percentage of revenues increased from (23.9)% in the second quarter of 2020 to 16.2% in the second quarter of 2021 primarily due to increased occupancy at our West Permian, Killdeer and Acadian Acres lodges and in our offshore business from product sales, partially offset by reduced operating efficiencies at lower activity levels in our wellsite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Six Months Ended June 30, 2021 Compared to Six Months Ended June 30,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Six Months Ended</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3"/>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3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Change</w:t>
            </w:r>
          </w:p>
        </w:tc>
      </w:tr>
      <w:tr>
        <w:trPr>
          <w:trHeight w:val="211"/>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Canada</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145,166</w:t>
            </w:r>
          </w:p>
        </w:tc>
        <w:tc>
          <w:tcPr>
            <w:tcW w:w="120" w:type="dxa"/>
            <w:vAlign w:val="bottom"/>
          </w:tcPr>
          <w:p>
            <w:pPr>
              <w:spacing w:after="0"/>
              <w:rPr>
                <w:sz w:val="15"/>
                <w:szCs w:val="15"/>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132,334</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12,832</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123,656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106,184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17,472</w:t>
            </w:r>
          </w:p>
        </w:tc>
      </w:tr>
      <w:tr>
        <w:trPr>
          <w:trHeight w:val="181"/>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14,976</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(4,192)</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279,606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253,494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26,112</w:t>
            </w:r>
          </w:p>
        </w:tc>
      </w:tr>
      <w:tr>
        <w:trPr>
          <w:trHeight w:val="181"/>
        </w:trPr>
        <w:tc>
          <w:tcPr>
            <w:tcW w:w="50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sales and services</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40" w:type="dxa"/>
            <w:vAlign w:val="bottom"/>
          </w:tcPr>
          <w:p>
            <w:pPr>
              <w:ind w:left="340"/>
              <w:spacing w:after="0"/>
              <w:rPr>
                <w:sz w:val="20"/>
                <w:szCs w:val="20"/>
                <w:color w:val="auto"/>
              </w:rPr>
            </w:pPr>
            <w:r>
              <w:rPr>
                <w:rFonts w:ascii="Arial" w:cs="Arial" w:eastAsia="Arial" w:hAnsi="Arial"/>
                <w:sz w:val="14"/>
                <w:szCs w:val="14"/>
                <w:color w:val="auto"/>
              </w:rPr>
              <w:t>Canada</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109,227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106,737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2,490</w:t>
            </w:r>
          </w:p>
        </w:tc>
      </w:tr>
      <w:tr>
        <w:trPr>
          <w:trHeight w:val="186"/>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87,798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64,466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23,332</w:t>
            </w:r>
          </w:p>
        </w:tc>
      </w:tr>
      <w:tr>
        <w:trPr>
          <w:trHeight w:val="181"/>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10,787</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(4,456)</w:t>
            </w:r>
          </w:p>
        </w:tc>
      </w:tr>
      <w:tr>
        <w:trPr>
          <w:trHeight w:val="179"/>
        </w:trPr>
        <w:tc>
          <w:tcPr>
            <w:tcW w:w="50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207,812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186,446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21,366</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28,884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25,427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3,457</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 expense</w:t>
            </w: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47,707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(5,061)</w:t>
            </w:r>
          </w:p>
        </w:tc>
      </w:tr>
      <w:tr>
        <w:trPr>
          <w:trHeight w:val="181"/>
        </w:trPr>
        <w:tc>
          <w:tcPr>
            <w:tcW w:w="504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7,935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(136,185)</w:t>
            </w:r>
          </w:p>
        </w:tc>
      </w:tr>
      <w:tr>
        <w:trPr>
          <w:trHeight w:val="186"/>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operating income</w:t>
            </w: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r>
      <w:tr>
        <w:trPr>
          <w:trHeight w:val="174"/>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287,378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404,404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(117,026)</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(7,772)</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(150,910)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143,138</w:t>
            </w:r>
          </w:p>
        </w:tc>
      </w:tr>
      <w:tr>
        <w:trPr>
          <w:trHeight w:val="210"/>
        </w:trPr>
        <w:tc>
          <w:tcPr>
            <w:tcW w:w="5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3"/>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2,668</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(6,965)</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before income taxes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(147,672)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138,841</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(9,273)</w:t>
            </w:r>
          </w:p>
        </w:tc>
      </w:tr>
      <w:tr>
        <w:trPr>
          <w:trHeight w:val="179"/>
        </w:trPr>
        <w:tc>
          <w:tcPr>
            <w:tcW w:w="5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(9,415)</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(138,983)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129,568</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r>
      <w:tr>
        <w:trPr>
          <w:trHeight w:val="179"/>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(139,463)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129,992</w:t>
            </w:r>
          </w:p>
        </w:tc>
      </w:tr>
      <w:tr>
        <w:trPr>
          <w:trHeight w:val="18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(140,402)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129,973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reported net loss attributable to Civeo for the six months ended June 30, 2021 of $10.4 million, or $0.73 per diluted share. As further discussed below, net loss included a $7.9 million pre-tax loss resulting from the impairment of fixed assets included in Impairment expense.</w:t>
      </w:r>
    </w:p>
    <w:p>
      <w:pPr>
        <w:spacing w:after="0" w:line="53"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We reported net loss attributable to Civeo for the six months ended June 30, 2020 of $140.4 million, or $9.96 per diluted share. As further discussed below, net loss included (i) a $93.6 million pre-tax loss resulting from the impairment of goodwill in our Canada segment included in Impairment expense, (ii) a $38.1 million pre-tax loss resulting from the impairment of long-lived assets in our Canada segment included in Impairment expense and (iii) a $12.4 million pre-tax loss resulting from the impairment of long-lived assets in our U.S. segment included in Impairment expense. Net loss was partially offset by $4.7 million of income associated with the settlement of a representations and warranties claim related to the Noralta acquisition included in Other income.</w:t>
      </w:r>
    </w:p>
    <w:p>
      <w:pPr>
        <w:spacing w:after="0" w:line="54"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increased $26.1 million, or 10%, in the six months ended June 30, 2021 compared to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2020. This increase was primarily due to (i) increased mobile asset activity from a pipeline project in Canada, (ii) increased occupancy at our Australian integrated services villages and (iii) a stronger Australian and Canadian dollar relative to the U.S. dollar in the six months ended June 30, 2021 compared to the six months ended June 30, 2020. These items were partially offset by (i) reduced food service activity, as an overflow site supporting a LNG-related project in 2020 is no longer required, (ii) decreased activity at our Bowen Basin villages and Western Australia villages and (iii) decreased activity at our U.S. wellsite business. See the discussion of segment results of operations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$21.4 million million, or 11%, in the six months ended June 30, 2021</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six months ended June 30, 2020. This increase was primarily due to (i) increased mobile asset activity from a pipeline project in Canada, (ii) increased occupancy at our Australian integrated services villages and increased cost of temporary labor due to ongoing labor shortages in Australia and (iii) a stronger Australian and Canadian dollar relative to the U.S. dollar in the six months ended June 30, 2021 compared to the six months ended June 30, 2020. These items were partially offset by (i) reduced food service activity, as an overflow site supporting a LNG-related project in 2020 is no longer required, (ii) decreased activity at our Bowen Basin villages and Western Australia villages and (iii) lower activity in certain markets in the U.S. See the discussion of segment results of operations below for further information.</w:t>
      </w:r>
    </w:p>
    <w:p>
      <w:pPr>
        <w:spacing w:after="0" w:line="112"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$3.5 million, or 14%, in the six months ended June 30, 2021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six months ended June 30, 2020. This increase was primarily due to higher incentive compensation costs, share-based compensation expense and compensation expense, partially offset by lower professional fees. The increase in share-based compensation was due to an increase in our stock price during 2021 compared to 2020.</w:t>
      </w:r>
    </w:p>
    <w:p>
      <w:pPr>
        <w:spacing w:after="0" w:line="103"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$5.1 million, or 11%, in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2021 compared to the six months ended June 30, 2020. The decrease was primarily due to (i) certain assets and intangibles becoming fully depreciated during 2020, (ii) the impairment of certain long-lived assets in Canada and the U.S. during the first quarter of 2020 and (iii) the extension of the remaining life of certain long-lived assets in the U.S. during the second quarter of 2020. These items were partially offset by a stronger Australian and Canadian dollar relative to the U.S. dollar in the six months ended June 30, 2021 compared to the six months ended June 30, 2020.</w:t>
      </w:r>
    </w:p>
    <w:p>
      <w:pPr>
        <w:spacing w:after="0" w:line="92"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We recorded pre-tax impairment expense of $7.9 million in the six months ended June 30, 2021 associated with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in our Australian reporting unit.</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Impairment expense of $144.1 million in the six months ended June 30, 2020 included the following items:</w:t>
      </w:r>
    </w:p>
    <w:p>
      <w:pPr>
        <w:spacing w:after="0" w:line="158" w:lineRule="exact"/>
        <w:rPr>
          <w:sz w:val="20"/>
          <w:szCs w:val="20"/>
          <w:color w:val="auto"/>
        </w:rPr>
      </w:pPr>
    </w:p>
    <w:p>
      <w:pPr>
        <w:ind w:left="620" w:hanging="14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Pre-tax impairment expense of $93.6 million related to the impairment of goodwill in our Canadian reporting unit.</w:t>
      </w:r>
    </w:p>
    <w:p>
      <w:pPr>
        <w:spacing w:after="0" w:line="145" w:lineRule="exact"/>
        <w:rPr>
          <w:rFonts w:ascii="Arial" w:cs="Arial" w:eastAsia="Arial" w:hAnsi="Arial"/>
          <w:sz w:val="17"/>
          <w:szCs w:val="17"/>
          <w:color w:val="auto"/>
        </w:rPr>
      </w:pPr>
    </w:p>
    <w:p>
      <w:pPr>
        <w:ind w:left="620" w:hanging="14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Pre-tax impairment expense of $38.1 million associated with long-lived assets in our Canadian reporting unit.</w:t>
      </w:r>
    </w:p>
    <w:p>
      <w:pPr>
        <w:spacing w:after="0" w:line="158" w:lineRule="exact"/>
        <w:rPr>
          <w:rFonts w:ascii="Arial" w:cs="Arial" w:eastAsia="Arial" w:hAnsi="Arial"/>
          <w:sz w:val="17"/>
          <w:szCs w:val="17"/>
          <w:color w:val="auto"/>
        </w:rPr>
      </w:pPr>
    </w:p>
    <w:p>
      <w:pPr>
        <w:ind w:left="620" w:hanging="144"/>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Pre-tax impairment expense of $12.4 million associated with long-lived assets in our U.S. reporting unit.</w:t>
      </w:r>
    </w:p>
    <w:p>
      <w:pPr>
        <w:spacing w:after="0" w:line="158" w:lineRule="exact"/>
        <w:rPr>
          <w:sz w:val="20"/>
          <w:szCs w:val="20"/>
          <w:color w:val="auto"/>
        </w:rPr>
      </w:pPr>
    </w:p>
    <w:p>
      <w:pPr>
        <w:ind w:right="340" w:firstLine="472"/>
        <w:spacing w:after="0" w:line="289" w:lineRule="auto"/>
        <w:rPr>
          <w:sz w:val="20"/>
          <w:szCs w:val="20"/>
          <w:color w:val="auto"/>
        </w:rPr>
      </w:pPr>
      <w:r>
        <w:rPr>
          <w:rFonts w:ascii="Arial" w:cs="Arial" w:eastAsia="Arial" w:hAnsi="Arial"/>
          <w:sz w:val="17"/>
          <w:szCs w:val="17"/>
          <w:color w:val="auto"/>
        </w:rPr>
        <w:t>See Note 6 - Impairment Charges to the notes to the unaudited consolidated financial statements included in Item 1 of this quarterly report for further discussion.</w:t>
      </w:r>
    </w:p>
    <w:p>
      <w:pPr>
        <w:spacing w:after="0" w:line="178"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Consolidated operating loss decreased $143.1 million, or 95%, in the six months ended June 30, 2021 compared to the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2020, primarily due to impairment expense of goodwill and long-lived assets in 2020.</w:t>
      </w:r>
    </w:p>
    <w:p>
      <w:pPr>
        <w:spacing w:after="0" w:line="147"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Interest Expense, net. </w:t>
      </w:r>
      <w:r>
        <w:rPr>
          <w:rFonts w:ascii="Arial" w:cs="Arial" w:eastAsia="Arial" w:hAnsi="Arial"/>
          <w:sz w:val="17"/>
          <w:szCs w:val="17"/>
          <w:color w:val="auto"/>
        </w:rPr>
        <w:t>Net interest expense decreased by $2.7 million, or 28%, in the six months ended June 30, 2021 compared to the six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June 30, 2020, primarily related to lower average debt levels and lower interest rates on term loan and revolving credit facility borrowings during 2021 compared to 2020.</w:t>
      </w:r>
    </w:p>
    <w:p>
      <w:pPr>
        <w:spacing w:after="0" w:line="18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decreased $7.0 million in the six months ended June 30, 2021 compared to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2020. The six months ended June 30, 2021 included $3.5 million related to proceeds from the CEWS and a higher gain on the sale of assets primarily related to the sale of a manufacturing facility and mobile assets in Canada. The six months ended June 30, 2020 included $4.7 million of other income associated with the settlement of a representations and warranties claim related to the Noralta acquisition, $6.2 million of other income related to proceeds from the CEWS and a gain on sale of assets related to unutilized lodge assets in Canada.</w:t>
      </w:r>
    </w:p>
    <w:p>
      <w:pPr>
        <w:spacing w:after="0" w:line="170" w:lineRule="exact"/>
        <w:rPr>
          <w:sz w:val="20"/>
          <w:szCs w:val="20"/>
          <w:color w:val="auto"/>
        </w:rPr>
      </w:pPr>
    </w:p>
    <w:p>
      <w:pPr>
        <w:jc w:val="both"/>
        <w:ind w:firstLine="472"/>
        <w:spacing w:after="0" w:line="251" w:lineRule="auto"/>
        <w:rPr>
          <w:sz w:val="20"/>
          <w:szCs w:val="20"/>
          <w:color w:val="auto"/>
        </w:rPr>
      </w:pPr>
      <w:r>
        <w:rPr>
          <w:rFonts w:ascii="Arial" w:cs="Arial" w:eastAsia="Arial" w:hAnsi="Arial"/>
          <w:sz w:val="17"/>
          <w:szCs w:val="17"/>
          <w:b w:val="1"/>
          <w:bCs w:val="1"/>
          <w:color w:val="auto"/>
        </w:rPr>
        <w:t xml:space="preserve">Income Tax (Expense) Benefit. </w:t>
      </w:r>
      <w:r>
        <w:rPr>
          <w:rFonts w:ascii="Arial" w:cs="Arial" w:eastAsia="Arial" w:hAnsi="Arial"/>
          <w:sz w:val="17"/>
          <w:szCs w:val="17"/>
          <w:color w:val="auto"/>
        </w:rPr>
        <w:t>Our income tax expense for the six months ended June 30, 2021 totaled $0.6 million, or (6.6)% of pretax loss,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an income tax benefit of $8.7 million, or 5.9% of pretax loss, for the six months ended June 30, 2020. Our effective tax rate for both the six months ended June 30, 2021 and June 30, 2020 was impacted by considering Canada and the U.S. loss jurisdictions that were removed from the annual effective tax rate computation for purposes of computing the interim tax provision. Additionally, our effective tax rate for the six months ended June 30, 2020 was impacted by a deferred tax benefit of $9.6 million offset by an increase of $0.7 million in the valuation allowance in Canada.</w:t>
      </w:r>
    </w:p>
    <w:p>
      <w:pPr>
        <w:spacing w:after="0" w:line="196"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Other Comprehensive Loss. </w:t>
      </w:r>
      <w:r>
        <w:rPr>
          <w:rFonts w:ascii="Arial" w:cs="Arial" w:eastAsia="Arial" w:hAnsi="Arial"/>
          <w:sz w:val="17"/>
          <w:szCs w:val="17"/>
          <w:color w:val="auto"/>
        </w:rPr>
        <w:t>Other comprehensive loss decreased $16.0 million in the six months ended June 30, 2021 compared to the six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2020, primarily as a result of foreign currency translation adjustments due 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changes in the Canadian and Australian dollar exchange rates compared to the U.S. dollar. The Canadian dollar exchange rate compared to the U.S. dollar increased 3% in the six months ended June 30, 2021 compared to a 5% decrease in the six months ended June 30, 2020. The Australian dollar exchange rate compared to the U.S. dollar decreased 3% in the six months ended June 30, 2021 compared to a 2% decrease in the six months ended June 30,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Six Months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3"/>
        </w:trPr>
        <w:tc>
          <w:tcPr>
            <w:tcW w:w="48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76"/>
        </w:trPr>
        <w:tc>
          <w:tcPr>
            <w:tcW w:w="48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7"/>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116,289</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106,270</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10,019</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19,165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8,580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10,585</w:t>
            </w:r>
          </w:p>
        </w:tc>
      </w:tr>
      <w:tr>
        <w:trPr>
          <w:trHeight w:val="181"/>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0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9,712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17,484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(7,772)</w:t>
            </w:r>
          </w:p>
        </w:tc>
      </w:tr>
      <w:tr>
        <w:trPr>
          <w:trHeight w:val="179"/>
        </w:trPr>
        <w:tc>
          <w:tcPr>
            <w:tcW w:w="4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145,166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132,334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12,832</w:t>
            </w:r>
          </w:p>
        </w:tc>
      </w:tr>
      <w:tr>
        <w:trPr>
          <w:trHeight w:val="144"/>
        </w:trPr>
        <w:tc>
          <w:tcPr>
            <w:tcW w:w="4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83"/>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Accommodation cost</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83,328</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76,653</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6,675</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cost</w:t>
            </w: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12,418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8,542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3,876</w:t>
            </w:r>
          </w:p>
        </w:tc>
      </w:tr>
      <w:tr>
        <w:trPr>
          <w:trHeight w:val="181"/>
        </w:trPr>
        <w:tc>
          <w:tcPr>
            <w:tcW w:w="48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8,576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16,178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color w:val="auto"/>
              </w:rPr>
              <w:t>(7,602)</w:t>
            </w:r>
          </w:p>
        </w:tc>
      </w:tr>
      <w:tr>
        <w:trPr>
          <w:trHeight w:val="186"/>
        </w:trPr>
        <w:tc>
          <w:tcPr>
            <w:tcW w:w="4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0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4,905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5,364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(459)</w:t>
            </w:r>
          </w:p>
        </w:tc>
      </w:tr>
      <w:tr>
        <w:trPr>
          <w:trHeight w:val="174"/>
        </w:trPr>
        <w:tc>
          <w:tcPr>
            <w:tcW w:w="48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109,227</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106,737</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2,490</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19.3 %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5.4 %</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3</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81"/>
        </w:trPr>
        <w:tc>
          <w:tcPr>
            <w:tcW w:w="484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060" w:type="dxa"/>
            <w:vAlign w:val="bottom"/>
          </w:tcPr>
          <w:p>
            <w:pPr>
              <w:spacing w:after="0"/>
              <w:rPr>
                <w:sz w:val="15"/>
                <w:szCs w:val="15"/>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w w:val="89"/>
              </w:rPr>
              <w:t>1,203,390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1,118,220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85,170</w:t>
            </w:r>
          </w:p>
        </w:tc>
      </w:tr>
      <w:tr>
        <w:trPr>
          <w:trHeight w:val="147"/>
        </w:trPr>
        <w:tc>
          <w:tcPr>
            <w:tcW w:w="48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r>
      <w:tr>
        <w:trPr>
          <w:trHeight w:val="178"/>
        </w:trPr>
        <w:tc>
          <w:tcPr>
            <w:tcW w:w="484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0.802</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0.733</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0.069</w:t>
            </w:r>
          </w:p>
        </w:tc>
      </w:tr>
    </w:tbl>
    <w:p>
      <w:pPr>
        <w:spacing w:after="0" w:line="277" w:lineRule="exact"/>
        <w:rPr>
          <w:sz w:val="20"/>
          <w:szCs w:val="20"/>
          <w:color w:val="auto"/>
        </w:rPr>
      </w:pPr>
    </w:p>
    <w:p>
      <w:pPr>
        <w:ind w:left="300" w:hanging="295"/>
        <w:spacing w:after="0"/>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0"/>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Our Canadian segment reported revenues in the six months ended June 30, 2021 that were $12.8 million, or 10%, higher than the six months ended June 30, 2020. The strengthening of the average exchange rate for the Canadian dollar relative to the U.S. dollar by 9% in the six months ended June 30, 2021 compared to the six months ended June 30, 2020 resulted in a $13.3 million period-over-period increase in revenues. Excluding the impact of the stronger Canadian exchange rate, revenue remained relatively flat; however, it was positively impacted by higher billed rooms at our oil sands lodges related to turnaround activities by a number of customers and by increased mobile asset activity from a pipeline project. Partially offsetting these increases were reduced billed rooms at our Sitka Lodge related to the COVID-19 pandemic and the British Columbia health order and reduced food services activity, as an overflow site supporting a LNG-related project in 2020 is no longer required.</w:t>
      </w:r>
    </w:p>
    <w:p>
      <w:pPr>
        <w:spacing w:after="0" w:line="20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Our Canadian segment cost of sales and services increased $2.5 million, or 2%, in the six months ended June 30, 2021 compared to the six months ended June 30, 2020. The strengthening of the average exchange rate for the Canadian dollar relative to the U.S. dollar by 9% in the six months ended June 30, 2021 compared to the six months ended June 30, 2020 resulted in a $9.6 million period-over-period increase in cost of sales and services. Excluding the impact of the stronger Canadian exchange rate, the decreased cost of sales and services was driven by reduced food services activity, as an overflow site supporting a LNG-related project in 2020 is no longer required and reduced activity at our Sitka Lodge related to the COVID-19 pandemic and British Columbia health order. Partially offsetting these decreases were increased mobile asset activity from a pipeline project and increased activity at our oil sands lodges related to turnaround activities by a number of customers.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2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Canadian segment gross margin as a percentage of revenues increased from 19.3% in the six months ended June 30, 2020 to 24.8% in the six months ended June 30, 2021. This was primarily driven by increased mobile asset activity and related operating efficiencies. Accommodation gross margins were maintained at 28% with an increase in margins at our oil sands lodges related to turnaround activities by a number of customers and related operating efficiencies at these higher levels, offset by a reduction in margins at our Sitka Lodge related to reduced operating efficiencies at the lower occupancy levels experienced due to the COVID-19 pandemic and the British Columbia health order.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Six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47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6"/>
        </w:trPr>
        <w:tc>
          <w:tcPr>
            <w:tcW w:w="47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70"/>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64"/>
        </w:trPr>
        <w:tc>
          <w:tcPr>
            <w:tcW w:w="47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1"/>
        </w:trPr>
        <w:tc>
          <w:tcPr>
            <w:tcW w:w="472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71,455</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67,518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3,937</w:t>
            </w:r>
          </w:p>
        </w:tc>
      </w:tr>
      <w:tr>
        <w:trPr>
          <w:trHeight w:val="186"/>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52,201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38,666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13,535</w:t>
            </w:r>
          </w:p>
        </w:tc>
      </w:tr>
      <w:tr>
        <w:trPr>
          <w:trHeight w:val="174"/>
        </w:trPr>
        <w:tc>
          <w:tcPr>
            <w:tcW w:w="472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123,656</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106,184</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17,472</w:t>
            </w:r>
          </w:p>
        </w:tc>
      </w:tr>
      <w:tr>
        <w:trPr>
          <w:trHeight w:val="212"/>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35,187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30,264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4,923</w:t>
            </w:r>
          </w:p>
        </w:tc>
      </w:tr>
      <w:tr>
        <w:trPr>
          <w:trHeight w:val="181"/>
        </w:trPr>
        <w:tc>
          <w:tcPr>
            <w:tcW w:w="472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0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49,451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32,466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16,985</w:t>
            </w:r>
          </w:p>
        </w:tc>
      </w:tr>
      <w:tr>
        <w:trPr>
          <w:trHeight w:val="186"/>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3,160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1,424</w:t>
            </w:r>
          </w:p>
        </w:tc>
      </w:tr>
      <w:tr>
        <w:trPr>
          <w:trHeight w:val="174"/>
        </w:trPr>
        <w:tc>
          <w:tcPr>
            <w:tcW w:w="472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87,798</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64,466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23,332</w:t>
            </w:r>
          </w:p>
        </w:tc>
      </w:tr>
      <w:tr>
        <w:trPr>
          <w:trHeight w:val="212"/>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39.3 %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12"/>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11</w:t>
            </w:r>
          </w:p>
        </w:tc>
      </w:tr>
      <w:tr>
        <w:trPr>
          <w:trHeight w:val="212"/>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10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890,964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974,232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(83,268)</w:t>
            </w:r>
          </w:p>
        </w:tc>
      </w:tr>
      <w:tr>
        <w:trPr>
          <w:trHeight w:val="212"/>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2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5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0.772</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110"/>
              <w:spacing w:after="0"/>
              <w:rPr>
                <w:sz w:val="20"/>
                <w:szCs w:val="20"/>
                <w:color w:val="auto"/>
              </w:rPr>
            </w:pPr>
            <w:r>
              <w:rPr>
                <w:rFonts w:ascii="Arial" w:cs="Arial" w:eastAsia="Arial" w:hAnsi="Arial"/>
                <w:sz w:val="14"/>
                <w:szCs w:val="14"/>
                <w:color w:val="auto"/>
              </w:rPr>
              <w:t>0.658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0.114</w:t>
            </w:r>
          </w:p>
        </w:tc>
      </w:tr>
    </w:tbl>
    <w:p>
      <w:pPr>
        <w:spacing w:after="0" w:line="277" w:lineRule="exact"/>
        <w:rPr>
          <w:sz w:val="20"/>
          <w:szCs w:val="20"/>
          <w:color w:val="auto"/>
        </w:rPr>
      </w:pPr>
    </w:p>
    <w:p>
      <w:pPr>
        <w:ind w:left="300" w:hanging="295"/>
        <w:spacing w:after="0"/>
        <w:tabs>
          <w:tab w:leader="none" w:pos="30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Australian segment reported revenues in the six months ended June 30, 2021 that were $17.5 million, or 17%, higher than the six months ended June 30, 2020. The strengthening of the average exchange rate for Australian dollars relative to the U.S. dollar by 17% in the six months ended June 30, 2021 compared to the six months ended June 30, 2020 resulted in a $18.3 million period-over-period increase in revenues. Accordingly, the increase in the average daily rate is entirely attributable to the strengthening of the Australia dollar. Excluding the impact of the stronger Australian exchange rate, the Australian segment experienced a 1% decrease in revenues largely due to decreased activity at our Bowen Basin villages and Western Australia villages, partially offset by increased occupancy at our integrated services villages.</w:t>
      </w:r>
    </w:p>
    <w:p>
      <w:pPr>
        <w:spacing w:after="0" w:line="208"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Australian segment cost of sales and services increased $23.3 million, or 36%, in the six months ended June 30, 2021 compared to the six months ended June 30, 2020. The strengthening of the average exchange rate for Australian dollars relative to the U.S. dollar by 17% in the six months ended June 30, 2021 compared to the six months ended June 30, 2020 resulted in a $13.0 million period-over-period increase in cost of sales and services. Excluding the impact of the stronger Australian exchange rate, the increase in cost of sales and services was largely driven by increased occupancy at our integrated services villages and increased costs of temporary labor due to ongoing labor shortages.</w:t>
      </w:r>
    </w:p>
    <w:p>
      <w:pPr>
        <w:spacing w:after="0" w:line="204"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Our Australian segment gross margin as a percentage of revenues decreased to 29% in the six months ended June 30, 2021 from 39.3% in the six months ended June 30, 2020. This was primarily driven by our integrated services business, which has a service-only business model, and therefore results in lower overall gross margins than the accommodation business. Reduced occupancy at the Bowen Basin villages and Western Australia villages has also impacted our Australian segment gross margin. Segment gross margin has also been negatively impacted by increased staff costs as a result of a hospitality labor shortage in Australia which has been exacerbated by state and international border closures due to COVID-19. State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international border closures have affected the number of staff available which has subsequently led to an increased reliance on more expensive temporary labor hire resources and has placed upward pressure on wages for permanent staff as competitors compete for a small pool of labor.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U.S. Segment</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20" w:type="dxa"/>
            <w:vAlign w:val="bottom"/>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3"/>
        </w:trPr>
        <w:tc>
          <w:tcPr>
            <w:tcW w:w="30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176"/>
        </w:trPr>
        <w:tc>
          <w:tcPr>
            <w:tcW w:w="3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r>
      <w:tr>
        <w:trPr>
          <w:trHeight w:val="177"/>
        </w:trPr>
        <w:tc>
          <w:tcPr>
            <w:tcW w:w="3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Revenues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10,784</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14,976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(4,192)</w:t>
            </w:r>
          </w:p>
        </w:tc>
        <w:tc>
          <w:tcPr>
            <w:tcW w:w="380" w:type="dxa"/>
            <w:vAlign w:val="bottom"/>
            <w:shd w:val="clear" w:color="auto" w:fill="CCEEFF"/>
          </w:tcPr>
          <w:p>
            <w:pPr>
              <w:spacing w:after="0"/>
              <w:rPr>
                <w:sz w:val="15"/>
                <w:szCs w:val="15"/>
                <w:color w:val="auto"/>
              </w:rPr>
            </w:pPr>
          </w:p>
        </w:tc>
      </w:tr>
      <w:tr>
        <w:trPr>
          <w:trHeight w:val="210"/>
        </w:trPr>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3"/>
        </w:trPr>
        <w:tc>
          <w:tcPr>
            <w:tcW w:w="302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3"/>
              </w:rPr>
              <w:t>Cost of sales and services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10,787</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15,243</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(4,456)</w:t>
            </w:r>
          </w:p>
        </w:tc>
        <w:tc>
          <w:tcPr>
            <w:tcW w:w="380" w:type="dxa"/>
            <w:vAlign w:val="bottom"/>
            <w:shd w:val="clear" w:color="auto" w:fill="CCEEFF"/>
          </w:tcPr>
          <w:p>
            <w:pPr>
              <w:spacing w:after="0"/>
              <w:rPr>
                <w:sz w:val="15"/>
                <w:szCs w:val="15"/>
                <w:color w:val="auto"/>
              </w:rPr>
            </w:pPr>
          </w:p>
        </w:tc>
      </w:tr>
      <w:tr>
        <w:trPr>
          <w:trHeight w:val="210"/>
        </w:trPr>
        <w:tc>
          <w:tcPr>
            <w:tcW w:w="3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183"/>
        </w:trPr>
        <w:tc>
          <w:tcPr>
            <w:tcW w:w="30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Gross margin as a % of revenues</w:t>
            </w:r>
          </w:p>
        </w:tc>
        <w:tc>
          <w:tcPr>
            <w:tcW w:w="9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0.0</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(1.8)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1.8</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8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U.S. segment reported revenues in the six months ended June 30, 2021 that were $4.2 million, or 28%, lower than the six months ended June 30, 2020. This decrease was due to reduced U.S. drilling activity affecting our wellsite business and reduced activity in our offshore fabrication business as a project was completed in the first half of 2020 that did not recur to the same extent in 2021. These decreases were partially offset by increased activity at our Acadian Acres lodge related to a client’s turnaround activity.</w:t>
      </w:r>
    </w:p>
    <w:p>
      <w:pPr>
        <w:spacing w:after="0" w:line="17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U.S. segment cost of sales and services decreased $4.5 million, or 29%, in the six months ended June 30, 2021 compared to the six months ended June 30, 2020. This decrease was due to reduced U.S. drilling activity affecting our wellsite business, reduced activity in our offshore fabrication business as a project was completed in the first half of 2020 that did not recur to the same extent in 2021 and reduced costs at our West Permian lodge under a new customer contract.</w:t>
      </w:r>
    </w:p>
    <w:p>
      <w:pPr>
        <w:spacing w:after="0" w:line="204"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U.S. segment gross margin as a percentage of revenues increased 1.8% from the six months ended June 30, 2020 to the six months ended June 30, 2021, primarily due to improved margins at our West Permian lodge under a new customer contract and in our offshore business from product sales, partially offset by reduced operating efficiencies at lower activity levels in our wellsite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and fund strategic business acquisitions.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consolidated liquidity position as of June 30, 2021 and December 31, 2020 (in thousands):</w:t>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640" w:type="dxa"/>
            <w:vAlign w:val="bottom"/>
          </w:tcPr>
          <w:p>
            <w:pPr>
              <w:spacing w:after="0"/>
              <w:rPr>
                <w:sz w:val="16"/>
                <w:szCs w:val="16"/>
                <w:color w:val="auto"/>
              </w:rPr>
            </w:pPr>
          </w:p>
        </w:tc>
        <w:tc>
          <w:tcPr>
            <w:tcW w:w="1500" w:type="dxa"/>
            <w:vAlign w:val="bottom"/>
          </w:tcPr>
          <w:p>
            <w:pPr>
              <w:jc w:val="right"/>
              <w:ind w:right="21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6360" w:type="dxa"/>
            <w:vAlign w:val="bottom"/>
            <w:tcBorders>
              <w:top w:val="single" w:sz="8" w:color="CCEEFF"/>
            </w:tcBorders>
            <w:shd w:val="clear" w:color="auto" w:fill="CCEEFF"/>
          </w:tcPr>
          <w:p>
            <w:pPr>
              <w:ind w:left="500"/>
              <w:spacing w:after="0" w:line="182" w:lineRule="exact"/>
              <w:rPr>
                <w:sz w:val="20"/>
                <w:szCs w:val="20"/>
                <w:color w:val="auto"/>
              </w:rPr>
            </w:pPr>
            <w:r>
              <w:rPr>
                <w:rFonts w:ascii="Arial" w:cs="Arial" w:eastAsia="Arial" w:hAnsi="Arial"/>
                <w:sz w:val="14"/>
                <w:szCs w:val="14"/>
                <w:color w:val="auto"/>
              </w:rPr>
              <w:t xml:space="preserve">Lender commitments </w:t>
            </w:r>
            <w:r>
              <w:rPr>
                <w:rFonts w:ascii="Arial" w:cs="Arial" w:eastAsia="Arial" w:hAnsi="Arial"/>
                <w:sz w:val="18"/>
                <w:szCs w:val="18"/>
                <w:color w:val="auto"/>
                <w:vertAlign w:val="superscript"/>
              </w:rPr>
              <w:t>(1)</w:t>
            </w: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167,300</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167,300</w:t>
            </w:r>
          </w:p>
        </w:tc>
      </w:tr>
      <w:tr>
        <w:trPr>
          <w:trHeight w:val="181"/>
        </w:trPr>
        <w:tc>
          <w:tcPr>
            <w:tcW w:w="6360" w:type="dxa"/>
            <w:vAlign w:val="bottom"/>
          </w:tcPr>
          <w:p>
            <w:pPr>
              <w:ind w:left="600"/>
              <w:spacing w:after="0"/>
              <w:rPr>
                <w:sz w:val="20"/>
                <w:szCs w:val="20"/>
                <w:color w:val="auto"/>
              </w:rPr>
            </w:pPr>
            <w:r>
              <w:rPr>
                <w:rFonts w:ascii="Arial" w:cs="Arial" w:eastAsia="Arial" w:hAnsi="Arial"/>
                <w:sz w:val="14"/>
                <w:szCs w:val="14"/>
                <w:color w:val="auto"/>
              </w:rPr>
              <w:t>Borrowings against revolving credit capacity</w:t>
            </w:r>
          </w:p>
        </w:tc>
        <w:tc>
          <w:tcPr>
            <w:tcW w:w="7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(52,197)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(63,556)</w:t>
            </w:r>
          </w:p>
        </w:tc>
      </w:tr>
      <w:tr>
        <w:trPr>
          <w:trHeight w:val="186"/>
        </w:trPr>
        <w:tc>
          <w:tcPr>
            <w:tcW w:w="63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Outstanding letters of credit</w:t>
            </w:r>
          </w:p>
        </w:tc>
        <w:tc>
          <w:tcPr>
            <w:tcW w:w="7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(4,487)</w:t>
            </w:r>
          </w:p>
        </w:tc>
      </w:tr>
      <w:tr>
        <w:trPr>
          <w:trHeight w:val="174"/>
        </w:trPr>
        <w:tc>
          <w:tcPr>
            <w:tcW w:w="6360" w:type="dxa"/>
            <w:vAlign w:val="bottom"/>
          </w:tcPr>
          <w:p>
            <w:pPr>
              <w:ind w:left="500"/>
              <w:spacing w:after="0"/>
              <w:rPr>
                <w:sz w:val="20"/>
                <w:szCs w:val="20"/>
                <w:color w:val="auto"/>
              </w:rPr>
            </w:pPr>
            <w:r>
              <w:rPr>
                <w:rFonts w:ascii="Arial" w:cs="Arial" w:eastAsia="Arial" w:hAnsi="Arial"/>
                <w:sz w:val="14"/>
                <w:szCs w:val="14"/>
                <w:color w:val="auto"/>
              </w:rPr>
              <w:t>Unused availability</w:t>
            </w:r>
          </w:p>
        </w:tc>
        <w:tc>
          <w:tcPr>
            <w:tcW w:w="720" w:type="dxa"/>
            <w:vAlign w:val="bottom"/>
          </w:tcPr>
          <w:p>
            <w:pPr>
              <w:spacing w:after="0"/>
              <w:rPr>
                <w:sz w:val="15"/>
                <w:szCs w:val="15"/>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112,121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99,257</w:t>
            </w:r>
          </w:p>
        </w:tc>
      </w:tr>
      <w:tr>
        <w:trPr>
          <w:trHeight w:val="183"/>
        </w:trPr>
        <w:tc>
          <w:tcPr>
            <w:tcW w:w="6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7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4,414</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6,155</w:t>
            </w:r>
          </w:p>
        </w:tc>
      </w:tr>
      <w:tr>
        <w:trPr>
          <w:trHeight w:val="179"/>
        </w:trPr>
        <w:tc>
          <w:tcPr>
            <w:tcW w:w="6360" w:type="dxa"/>
            <w:vAlign w:val="bottom"/>
          </w:tcPr>
          <w:p>
            <w:pPr>
              <w:ind w:left="500"/>
              <w:spacing w:after="0"/>
              <w:rPr>
                <w:sz w:val="20"/>
                <w:szCs w:val="20"/>
                <w:color w:val="auto"/>
              </w:rPr>
            </w:pPr>
            <w:r>
              <w:rPr>
                <w:rFonts w:ascii="Arial" w:cs="Arial" w:eastAsia="Arial" w:hAnsi="Arial"/>
                <w:sz w:val="14"/>
                <w:szCs w:val="14"/>
                <w:color w:val="auto"/>
              </w:rPr>
              <w:t>Total available liquidity</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116,535</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105,412</w:t>
            </w:r>
          </w:p>
        </w:tc>
      </w:tr>
      <w:tr>
        <w:trPr>
          <w:trHeight w:val="20"/>
        </w:trPr>
        <w:tc>
          <w:tcPr>
            <w:tcW w:w="6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5"/>
        <w:spacing w:after="0" w:line="224" w:lineRule="auto"/>
        <w:tabs>
          <w:tab w:leader="none" w:pos="308" w:val="left"/>
        </w:tabs>
        <w:numPr>
          <w:ilvl w:val="0"/>
          <w:numId w:val="22"/>
        </w:numPr>
        <w:rPr>
          <w:rFonts w:ascii="Arial" w:cs="Arial" w:eastAsia="Arial" w:hAnsi="Arial"/>
          <w:sz w:val="23"/>
          <w:szCs w:val="23"/>
          <w:color w:val="auto"/>
          <w:vertAlign w:val="subscript"/>
        </w:rPr>
      </w:pPr>
      <w:r>
        <w:rPr>
          <w:rFonts w:ascii="Arial" w:cs="Arial" w:eastAsia="Arial" w:hAnsi="Arial"/>
          <w:sz w:val="17"/>
          <w:szCs w:val="17"/>
          <w:color w:val="auto"/>
        </w:rPr>
        <w:t>As of June 30, 2021, we had one bank guarantee facility totaling A$1.0 million. As of December 31, 2020, we had two bank guarantee facilities totaling $3.0 million. We had bank guarantees of A$0.8 million outstanding under the facilities as of both June 30, 2021 and December 31, 2020.</w:t>
      </w:r>
    </w:p>
    <w:p>
      <w:pPr>
        <w:spacing w:after="0" w:line="226"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Cash totaling $29.4 million was provided by operations during the six months ended June 30, 2021, compared to $45.3 million provided by operations during the six months ended June 30, 2020. During the six months ended June 30, 2021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2020, $13.8 million was used in working capital and $2.9 million was provided by working capital, respectively. The decrease in cash provided by working capital in 2021 compared to 2020 is largely due to increased accounts receivable balances in Canada.</w:t>
      </w:r>
    </w:p>
    <w:p>
      <w:pPr>
        <w:spacing w:after="0" w:line="18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Cash was provided by investing activities during the six months ended June 30, 2021 in the amount of $0.5 million, compared to cash provided by investing activities during the six months ended June 30, 2020 in the amount of $2.7 million. The decrease in cash provided by investing activities was primarily due to $4.7 million of other income associated with the settlement of a representations and warranties claim related to the Noralta acquisition and lower capital expenditures during the six months ended June 30, 2020, partially offset by higher proceeds from the sale of our manufacturing facility and mobile assets in Canada during the six months ended June 30, 2021. Capital expenditures totaled $6.5 million and $3.8 million during the six months ended June 30, 2021 and 2020, respectively.</w:t>
      </w:r>
    </w:p>
    <w:p>
      <w:pPr>
        <w:spacing w:after="0" w:line="208"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expect our capital expenditures for 2021, exclusive of any business acquisitions or any growth capital expenditures, to be approximately $20 million, which excludes any unannounced and uncommitted projects, the spending for which is contingent on obtaining customer contracts. Whether planned expenditures will actually be spent in 2021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w:t>
      </w:r>
    </w:p>
    <w:p>
      <w:pPr>
        <w:spacing w:after="0" w:line="169"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Net cash of $31.1 million was used in financing activities during the six months ended June 30, 2021 primarily due to net repayments under our revolving credit facilities of $12.1 million, repayments of term loan borrowings of $17.9 million and $1.1 million used to settle tax obligations on vested shares under our share-based compensation plans. Net cash of $43.6 million was used in financing activities during the six months ended June 30, 2020 primarily due to net repayments under our revolving credit facilities of $25.6 million, repayments of term loan borrowings of $16.5 million and $1.5 million used to settle tax obligations on vested shares under our share-based compensation plans.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debt outstanding during the six months ended June 30, 2021 (in thousands):</w:t>
      </w:r>
    </w:p>
    <w:p>
      <w:pPr>
        <w:spacing w:after="0" w:line="328" w:lineRule="exact"/>
        <w:rPr>
          <w:sz w:val="20"/>
          <w:szCs w:val="20"/>
          <w:color w:val="auto"/>
        </w:rPr>
      </w:pPr>
    </w:p>
    <w:tbl>
      <w:tblPr>
        <w:tblLayout w:type="fixed"/>
        <w:tblInd w:w="2460" w:type="dxa"/>
        <w:tblCellMar>
          <w:top w:w="0" w:type="dxa"/>
          <w:left w:w="0" w:type="dxa"/>
          <w:bottom w:w="0" w:type="dxa"/>
          <w:right w:w="0" w:type="dxa"/>
        </w:tblCellMar>
      </w:tblP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251,086</w:t>
            </w:r>
          </w:p>
        </w:tc>
      </w:tr>
      <w:tr>
        <w:trPr>
          <w:trHeight w:val="181"/>
        </w:trPr>
        <w:tc>
          <w:tcPr>
            <w:tcW w:w="4960" w:type="dxa"/>
            <w:vAlign w:val="bottom"/>
          </w:tcPr>
          <w:p>
            <w:pPr>
              <w:ind w:left="120"/>
              <w:spacing w:after="0"/>
              <w:rPr>
                <w:sz w:val="20"/>
                <w:szCs w:val="20"/>
                <w:color w:val="auto"/>
              </w:rPr>
            </w:pPr>
            <w:r>
              <w:rPr>
                <w:rFonts w:ascii="Arial" w:cs="Arial" w:eastAsia="Arial" w:hAnsi="Arial"/>
                <w:sz w:val="14"/>
                <w:szCs w:val="14"/>
                <w:color w:val="auto"/>
              </w:rPr>
              <w:t>Borrowings under revolving credit facilities</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117,976</w:t>
            </w:r>
          </w:p>
        </w:tc>
      </w:tr>
      <w:tr>
        <w:trPr>
          <w:trHeight w:val="186"/>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borrowings under revolving credit facilities</w:t>
            </w: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(130,080)</w:t>
            </w:r>
          </w:p>
        </w:tc>
      </w:tr>
      <w:tr>
        <w:trPr>
          <w:trHeight w:val="181"/>
        </w:trPr>
        <w:tc>
          <w:tcPr>
            <w:tcW w:w="4960" w:type="dxa"/>
            <w:vAlign w:val="bottom"/>
          </w:tcPr>
          <w:p>
            <w:pPr>
              <w:ind w:left="120"/>
              <w:spacing w:after="0"/>
              <w:rPr>
                <w:sz w:val="20"/>
                <w:szCs w:val="20"/>
                <w:color w:val="auto"/>
              </w:rPr>
            </w:pPr>
            <w:r>
              <w:rPr>
                <w:rFonts w:ascii="Arial" w:cs="Arial" w:eastAsia="Arial" w:hAnsi="Arial"/>
                <w:sz w:val="14"/>
                <w:szCs w:val="14"/>
                <w:color w:val="auto"/>
              </w:rPr>
              <w:t>Repayments of term loans</w:t>
            </w: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(17,874)</w:t>
            </w:r>
          </w:p>
        </w:tc>
      </w:tr>
      <w:tr>
        <w:trPr>
          <w:trHeight w:val="18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w:t>
            </w: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179"/>
        </w:trPr>
        <w:tc>
          <w:tcPr>
            <w:tcW w:w="496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4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226,833</w:t>
            </w: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including as a result of the impact of COVID-19 or the decline in the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p>
    <w:p>
      <w:pPr>
        <w:spacing w:after="0" w:line="25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June 30, 2021, our Credit Agreement (as then amended to date, the Credit Agreement) provided for: (i) a $167.3 million revolving credit facility scheduled to mature on May 30, 2023, allocated as follows: (A) a $10.0 million senior secured revolving credit facility in favor of certain of our U.S. subsidiaries, as borrowers; (B) a $122.3 million senior secured revolving credit facility in favor of Civeo and certain of our Canadian subsidiaries, as borrowers; and (C) a $35.0 million senior secured revolving credit facility in favor of one of our Australian subsidiaries, as borrower; and (ii) a $194.8 million term loan facility scheduled to mature on May 30, 2023 for certain lenders in favor of Civeo.</w:t>
      </w:r>
    </w:p>
    <w:p>
      <w:pPr>
        <w:spacing w:after="0" w:line="20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As of June 30, 2021, we had outstanding letters of credit of $0.9 million under the U.S. facility, zero under the Australian facility and $2.1 million under the Canadian facility.</w:t>
      </w:r>
    </w:p>
    <w:p>
      <w:pPr>
        <w:spacing w:after="0" w:line="18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As of June 30, 2021, we had one bank guarantee facility totaling A$1.0 million. We had bank guarantees of A$0.8 million outstanding under the facility as of June 30, 2021.</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8 – Debt to the notes to the unaudited consolidated financial statements included in Item 1 of this quarterly report for further discussion.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6"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95"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June 30, 2021, thereby increasing the liquidation preference to $10,669 per share as of June 30, 2021. We currently expect to pay dividends on the preferred shares for the foreseeable future through an increase in liquidation preference rather than cash.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June 30, 2021, we had no off-balance sheet arrangements as defined in Item 303(a)(4)(ii) of Regulation S-K.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0"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in our Annual Report on Form 10-K for the year ended December 31, 2020. As of June 30, 2021, except for net repayments under our revolving credit facilities, there were no material changes to the disclosure regarding our contractual obligations made in our Annual Report on Form 10-K for the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3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2020.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principal market risks are our exposure to changes in interest rates and foreign currency exchange rates.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June 30, 2021, we had $226.8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$2.3 million annually, based on our floating-rate debt obligations and interest rates in effect as of June 30, 2021.</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30"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C$166 million and A$280 million, respectively, at June 30, 2021. We use a sensitivity analysis model to measure the impact of a 10% adverse movement of foreign currency exchange rates against the United States dollar. A hypothetical 10% adverse change in the value of the Canadian dollar and Australian dollar relative to the U.S. dollar as of June 30, 2021 would result in translation adjustments of approximately $17 million and $28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jc w:val="both"/>
        <w:ind w:firstLine="472"/>
        <w:spacing w:after="0" w:line="302"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June 30, 2021, at the reasonable assurance level.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0" w:lineRule="exact"/>
        <w:rPr>
          <w:sz w:val="20"/>
          <w:szCs w:val="20"/>
          <w:color w:val="auto"/>
        </w:rPr>
      </w:pPr>
    </w:p>
    <w:p>
      <w:pPr>
        <w:jc w:val="both"/>
        <w:ind w:firstLine="472"/>
        <w:spacing w:after="0" w:line="322" w:lineRule="auto"/>
        <w:rPr>
          <w:sz w:val="20"/>
          <w:szCs w:val="20"/>
          <w:color w:val="auto"/>
        </w:rPr>
      </w:pPr>
      <w:r>
        <w:rPr>
          <w:rFonts w:ascii="Arial" w:cs="Arial" w:eastAsia="Arial" w:hAnsi="Arial"/>
          <w:sz w:val="16"/>
          <w:szCs w:val="16"/>
          <w:color w:val="auto"/>
        </w:rPr>
        <w:t>During the three months ended June 30, 2021,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PART II --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30"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For additional information about our risk factors, you should carefully read the section entitled "Risk Factors” included in our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256" w:lineRule="exact"/>
        <w:rPr>
          <w:sz w:val="20"/>
          <w:szCs w:val="20"/>
          <w:color w:val="auto"/>
        </w:rPr>
      </w:pPr>
    </w:p>
    <w:p>
      <w:pPr>
        <w:ind w:left="640" w:hanging="47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INDEX OF EXHIBITS</w:t>
      </w:r>
    </w:p>
    <w:p>
      <w:pPr>
        <w:spacing w:after="0" w:line="139" w:lineRule="exact"/>
        <w:rPr>
          <w:sz w:val="20"/>
          <w:szCs w:val="20"/>
          <w:color w:val="auto"/>
        </w:rPr>
      </w:pPr>
    </w:p>
    <w:p>
      <w:pPr>
        <w:ind w:left="800"/>
        <w:spacing w:after="0"/>
        <w:tabs>
          <w:tab w:leader="none" w:pos="584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69"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960" w:type="dxa"/>
            <w:vAlign w:val="bottom"/>
          </w:tcPr>
          <w:p>
            <w:pPr>
              <w:spacing w:after="0"/>
              <w:rPr>
                <w:sz w:val="20"/>
                <w:szCs w:val="20"/>
                <w:color w:val="auto"/>
              </w:rPr>
            </w:pPr>
            <w:r>
              <w:rPr>
                <w:rFonts w:ascii="Arial" w:cs="Arial" w:eastAsia="Arial" w:hAnsi="Arial"/>
                <w:sz w:val="17"/>
                <w:szCs w:val="17"/>
                <w:color w:val="auto"/>
              </w:rPr>
              <w:t>31.1*</w:t>
            </w:r>
          </w:p>
        </w:tc>
        <w:tc>
          <w:tcPr>
            <w:tcW w:w="8860" w:type="dxa"/>
            <w:vAlign w:val="bottom"/>
            <w:gridSpan w:val="9"/>
          </w:tcPr>
          <w:p>
            <w:pPr>
              <w:ind w:left="200"/>
              <w:spacing w:after="0"/>
              <w:rPr>
                <w:rFonts w:ascii="Arial" w:cs="Arial" w:eastAsia="Arial" w:hAnsi="Arial"/>
                <w:sz w:val="17"/>
                <w:szCs w:val="17"/>
                <w:color w:val="auto"/>
                <w:w w:val="99"/>
              </w:rPr>
            </w:pPr>
            <w:r>
              <w:rPr>
                <w:rFonts w:ascii="Arial" w:cs="Arial" w:eastAsia="Arial" w:hAnsi="Arial"/>
                <w:sz w:val="17"/>
                <w:szCs w:val="17"/>
                <w:color w:val="auto"/>
                <w:w w:val="99"/>
              </w:rPr>
              <w:t xml:space="preserve">—  </w:t>
            </w:r>
            <w:hyperlink w:anchor="page40">
              <w:r>
                <w:rPr>
                  <w:rFonts w:ascii="Arial" w:cs="Arial" w:eastAsia="Arial" w:hAnsi="Arial"/>
                  <w:sz w:val="17"/>
                  <w:szCs w:val="17"/>
                  <w:color w:val="0000FF"/>
                  <w:w w:val="99"/>
                </w:rPr>
                <w:t>Certification of Chief Executive Officer of Civeo Corporation pursuant to Rules 13a-14(a) or 15d-14(a) under the</w:t>
              </w:r>
            </w:hyperlink>
          </w:p>
        </w:tc>
      </w:tr>
      <w:tr>
        <w:trPr>
          <w:trHeight w:val="150"/>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93"/>
              </w:rPr>
            </w:pPr>
            <w:hyperlink w:anchor="page40">
              <w:r>
                <w:rPr>
                  <w:rFonts w:ascii="Arial" w:cs="Arial" w:eastAsia="Arial" w:hAnsi="Arial"/>
                  <w:sz w:val="17"/>
                  <w:szCs w:val="17"/>
                  <w:color w:val="0000FF"/>
                  <w:w w:val="93"/>
                </w:rPr>
                <w:t>Securities Exchange Act of 1934.</w:t>
              </w:r>
            </w:hyperlink>
          </w:p>
        </w:tc>
        <w:tc>
          <w:tcPr>
            <w:tcW w:w="590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5"/>
        </w:trPr>
        <w:tc>
          <w:tcPr>
            <w:tcW w:w="960" w:type="dxa"/>
            <w:vAlign w:val="bottom"/>
          </w:tcPr>
          <w:p>
            <w:pPr>
              <w:spacing w:after="0"/>
              <w:rPr>
                <w:sz w:val="20"/>
                <w:szCs w:val="20"/>
                <w:color w:val="auto"/>
              </w:rPr>
            </w:pPr>
            <w:r>
              <w:rPr>
                <w:rFonts w:ascii="Arial" w:cs="Arial" w:eastAsia="Arial" w:hAnsi="Arial"/>
                <w:sz w:val="17"/>
                <w:szCs w:val="17"/>
                <w:color w:val="auto"/>
              </w:rPr>
              <w:t>31.2*</w:t>
            </w:r>
          </w:p>
        </w:tc>
        <w:tc>
          <w:tcPr>
            <w:tcW w:w="8860" w:type="dxa"/>
            <w:vAlign w:val="bottom"/>
            <w:gridSpan w:val="9"/>
          </w:tcPr>
          <w:p>
            <w:pPr>
              <w:ind w:left="200"/>
              <w:spacing w:after="0"/>
              <w:rPr>
                <w:rFonts w:ascii="Arial" w:cs="Arial" w:eastAsia="Arial" w:hAnsi="Arial"/>
                <w:sz w:val="17"/>
                <w:szCs w:val="17"/>
                <w:color w:val="auto"/>
              </w:rPr>
            </w:pPr>
            <w:r>
              <w:rPr>
                <w:rFonts w:ascii="Arial" w:cs="Arial" w:eastAsia="Arial" w:hAnsi="Arial"/>
                <w:sz w:val="17"/>
                <w:szCs w:val="17"/>
                <w:color w:val="auto"/>
              </w:rPr>
              <w:t xml:space="preserve">—  </w:t>
            </w:r>
            <w:hyperlink w:anchor="page41">
              <w:r>
                <w:rPr>
                  <w:rFonts w:ascii="Arial" w:cs="Arial" w:eastAsia="Arial" w:hAnsi="Arial"/>
                  <w:sz w:val="17"/>
                  <w:szCs w:val="17"/>
                  <w:color w:val="0000FF"/>
                </w:rPr>
                <w:t>Certification of Chief Financial Officer of Civeo Corporation pursuant to Rules 13a-14(a) or 15d-14(a) under the</w:t>
              </w:r>
            </w:hyperlink>
          </w:p>
        </w:tc>
      </w:tr>
      <w:tr>
        <w:trPr>
          <w:trHeight w:val="150"/>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340" w:type="dxa"/>
            <w:vAlign w:val="bottom"/>
            <w:tcBorders>
              <w:top w:val="single" w:sz="8" w:color="0000FF"/>
              <w:bottom w:val="single" w:sz="8" w:color="0000FF"/>
            </w:tcBorders>
          </w:tcPr>
          <w:p>
            <w:pPr>
              <w:spacing w:after="0" w:line="150" w:lineRule="exact"/>
              <w:rPr>
                <w:rFonts w:ascii="Arial" w:cs="Arial" w:eastAsia="Arial" w:hAnsi="Arial"/>
                <w:sz w:val="17"/>
                <w:szCs w:val="17"/>
                <w:color w:val="0000FF"/>
                <w:w w:val="92"/>
              </w:rPr>
            </w:pPr>
            <w:hyperlink w:anchor="page41">
              <w:r>
                <w:rPr>
                  <w:rFonts w:ascii="Arial" w:cs="Arial" w:eastAsia="Arial" w:hAnsi="Arial"/>
                  <w:sz w:val="17"/>
                  <w:szCs w:val="17"/>
                  <w:color w:val="0000FF"/>
                  <w:w w:val="92"/>
                </w:rPr>
                <w:t>Securities Exchange Act of 1934.</w:t>
              </w:r>
            </w:hyperlink>
          </w:p>
        </w:tc>
        <w:tc>
          <w:tcPr>
            <w:tcW w:w="59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25"/>
        </w:trPr>
        <w:tc>
          <w:tcPr>
            <w:tcW w:w="960" w:type="dxa"/>
            <w:vAlign w:val="bottom"/>
          </w:tcPr>
          <w:p>
            <w:pPr>
              <w:spacing w:after="0"/>
              <w:rPr>
                <w:sz w:val="20"/>
                <w:szCs w:val="20"/>
                <w:color w:val="auto"/>
              </w:rPr>
            </w:pPr>
            <w:r>
              <w:rPr>
                <w:rFonts w:ascii="Arial" w:cs="Arial" w:eastAsia="Arial" w:hAnsi="Arial"/>
                <w:sz w:val="17"/>
                <w:szCs w:val="17"/>
                <w:color w:val="auto"/>
              </w:rPr>
              <w:t>32.1**</w:t>
            </w:r>
          </w:p>
        </w:tc>
        <w:tc>
          <w:tcPr>
            <w:tcW w:w="8860" w:type="dxa"/>
            <w:vAlign w:val="bottom"/>
            <w:gridSpan w:val="9"/>
          </w:tcPr>
          <w:p>
            <w:pPr>
              <w:ind w:left="200"/>
              <w:spacing w:after="0"/>
              <w:rPr>
                <w:rFonts w:ascii="Arial" w:cs="Arial" w:eastAsia="Arial" w:hAnsi="Arial"/>
                <w:sz w:val="17"/>
                <w:szCs w:val="17"/>
                <w:color w:val="auto"/>
                <w:w w:val="99"/>
              </w:rPr>
            </w:pPr>
            <w:r>
              <w:rPr>
                <w:rFonts w:ascii="Arial" w:cs="Arial" w:eastAsia="Arial" w:hAnsi="Arial"/>
                <w:sz w:val="17"/>
                <w:szCs w:val="17"/>
                <w:color w:val="auto"/>
                <w:w w:val="99"/>
              </w:rPr>
              <w:t xml:space="preserve">—  </w:t>
            </w:r>
            <w:hyperlink w:anchor="page42">
              <w:r>
                <w:rPr>
                  <w:rFonts w:ascii="Arial" w:cs="Arial" w:eastAsia="Arial" w:hAnsi="Arial"/>
                  <w:sz w:val="17"/>
                  <w:szCs w:val="17"/>
                  <w:color w:val="0000FF"/>
                  <w:w w:val="99"/>
                </w:rPr>
                <w:t>Certification of Chief Executive Officer of Civeo Corporation pursuant to Rules 13a-14(b) or 15d-14(b) under the</w:t>
              </w:r>
            </w:hyperlink>
          </w:p>
        </w:tc>
      </w:tr>
      <w:tr>
        <w:trPr>
          <w:trHeight w:val="150"/>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300" w:type="dxa"/>
            <w:vAlign w:val="bottom"/>
            <w:tcBorders>
              <w:top w:val="single" w:sz="8" w:color="0000FF"/>
            </w:tcBorders>
            <w:gridSpan w:val="7"/>
          </w:tcPr>
          <w:p>
            <w:pPr>
              <w:spacing w:after="0" w:line="150" w:lineRule="exact"/>
              <w:rPr>
                <w:rFonts w:ascii="Arial" w:cs="Arial" w:eastAsia="Arial" w:hAnsi="Arial"/>
                <w:sz w:val="17"/>
                <w:szCs w:val="17"/>
                <w:color w:val="0000FF"/>
              </w:rPr>
            </w:pPr>
            <w:hyperlink w:anchor="page42">
              <w:r>
                <w:rPr>
                  <w:rFonts w:ascii="Arial" w:cs="Arial" w:eastAsia="Arial" w:hAnsi="Arial"/>
                  <w:sz w:val="17"/>
                  <w:szCs w:val="17"/>
                  <w:color w:val="0000FF"/>
                </w:rPr>
                <w:t>Securities Exchange Act of 1934 and 18 U.S.C. Section 1350.</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25"/>
        </w:trPr>
        <w:tc>
          <w:tcPr>
            <w:tcW w:w="960" w:type="dxa"/>
            <w:vAlign w:val="bottom"/>
          </w:tcPr>
          <w:p>
            <w:pPr>
              <w:spacing w:after="0"/>
              <w:rPr>
                <w:sz w:val="20"/>
                <w:szCs w:val="20"/>
                <w:color w:val="auto"/>
              </w:rPr>
            </w:pPr>
            <w:r>
              <w:rPr>
                <w:rFonts w:ascii="Arial" w:cs="Arial" w:eastAsia="Arial" w:hAnsi="Arial"/>
                <w:sz w:val="17"/>
                <w:szCs w:val="17"/>
                <w:color w:val="auto"/>
              </w:rPr>
              <w:t>32.2**</w:t>
            </w:r>
          </w:p>
        </w:tc>
        <w:tc>
          <w:tcPr>
            <w:tcW w:w="8860" w:type="dxa"/>
            <w:vAlign w:val="bottom"/>
            <w:gridSpan w:val="9"/>
          </w:tcPr>
          <w:p>
            <w:pPr>
              <w:ind w:left="200"/>
              <w:spacing w:after="0"/>
              <w:rPr>
                <w:rFonts w:ascii="Arial" w:cs="Arial" w:eastAsia="Arial" w:hAnsi="Arial"/>
                <w:sz w:val="17"/>
                <w:szCs w:val="17"/>
                <w:color w:val="auto"/>
              </w:rPr>
            </w:pPr>
            <w:r>
              <w:rPr>
                <w:rFonts w:ascii="Arial" w:cs="Arial" w:eastAsia="Arial" w:hAnsi="Arial"/>
                <w:sz w:val="17"/>
                <w:szCs w:val="17"/>
                <w:color w:val="auto"/>
              </w:rPr>
              <w:t xml:space="preserve">—  </w:t>
            </w:r>
            <w:hyperlink w:anchor="page43">
              <w:r>
                <w:rPr>
                  <w:rFonts w:ascii="Arial" w:cs="Arial" w:eastAsia="Arial" w:hAnsi="Arial"/>
                  <w:sz w:val="17"/>
                  <w:szCs w:val="17"/>
                  <w:color w:val="0000FF"/>
                </w:rPr>
                <w:t>Certification of Chief Financial Officer of Civeo Corporation pursuant to Rules 13a-14(b) or 15d-14(b) under the</w:t>
              </w:r>
            </w:hyperlink>
          </w:p>
        </w:tc>
      </w:tr>
      <w:tr>
        <w:trPr>
          <w:trHeight w:val="150"/>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40" w:type="dxa"/>
            <w:vAlign w:val="bottom"/>
            <w:tcBorders>
              <w:top w:val="single" w:sz="8" w:color="0000FF"/>
            </w:tcBorders>
            <w:gridSpan w:val="4"/>
          </w:tcPr>
          <w:p>
            <w:pPr>
              <w:spacing w:after="0" w:line="150" w:lineRule="exact"/>
              <w:rPr>
                <w:rFonts w:ascii="Arial" w:cs="Arial" w:eastAsia="Arial" w:hAnsi="Arial"/>
                <w:sz w:val="17"/>
                <w:szCs w:val="17"/>
                <w:color w:val="0000FF"/>
              </w:rPr>
            </w:pPr>
            <w:hyperlink w:anchor="page43">
              <w:r>
                <w:rPr>
                  <w:rFonts w:ascii="Arial" w:cs="Arial" w:eastAsia="Arial" w:hAnsi="Arial"/>
                  <w:sz w:val="17"/>
                  <w:szCs w:val="17"/>
                  <w:color w:val="0000FF"/>
                </w:rPr>
                <w:t>Securities Exchange Act of 1934 and 18 U.S.C. Section 1350.</w:t>
              </w:r>
            </w:hyperlink>
          </w:p>
        </w:tc>
        <w:tc>
          <w:tcPr>
            <w:tcW w:w="80" w:type="dxa"/>
            <w:vAlign w:val="bottom"/>
            <w:gridSpan w:val="4"/>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r>
      <w:tr>
        <w:trPr>
          <w:trHeight w:val="413"/>
        </w:trPr>
        <w:tc>
          <w:tcPr>
            <w:tcW w:w="960" w:type="dxa"/>
            <w:vAlign w:val="bottom"/>
          </w:tcPr>
          <w:p>
            <w:pPr>
              <w:spacing w:after="0"/>
              <w:rPr>
                <w:sz w:val="20"/>
                <w:szCs w:val="20"/>
                <w:color w:val="auto"/>
              </w:rPr>
            </w:pPr>
            <w:r>
              <w:rPr>
                <w:rFonts w:ascii="Arial" w:cs="Arial" w:eastAsia="Arial" w:hAnsi="Arial"/>
                <w:sz w:val="17"/>
                <w:szCs w:val="17"/>
                <w:color w:val="auto"/>
              </w:rPr>
              <w:t>101.INS*</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w w:val="98"/>
              </w:rPr>
              <w:t>—  Inline XBRL Instance Document - the instance document does not appear in the Interactive Data File because its</w:t>
            </w:r>
          </w:p>
        </w:tc>
      </w:tr>
      <w:tr>
        <w:trPr>
          <w:trHeight w:val="222"/>
        </w:trPr>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XBRL tags are embedded within the Inline XBRL document</w:t>
            </w:r>
          </w:p>
        </w:tc>
      </w:tr>
      <w:tr>
        <w:trPr>
          <w:trHeight w:val="445"/>
        </w:trPr>
        <w:tc>
          <w:tcPr>
            <w:tcW w:w="960" w:type="dxa"/>
            <w:vAlign w:val="bottom"/>
          </w:tcPr>
          <w:p>
            <w:pPr>
              <w:spacing w:after="0"/>
              <w:rPr>
                <w:sz w:val="20"/>
                <w:szCs w:val="20"/>
                <w:color w:val="auto"/>
              </w:rPr>
            </w:pPr>
            <w:r>
              <w:rPr>
                <w:rFonts w:ascii="Arial" w:cs="Arial" w:eastAsia="Arial" w:hAnsi="Arial"/>
                <w:sz w:val="17"/>
                <w:szCs w:val="17"/>
                <w:color w:val="auto"/>
              </w:rPr>
              <w:t>101.SCH*</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Schema Document</w:t>
            </w:r>
          </w:p>
        </w:tc>
      </w:tr>
      <w:tr>
        <w:trPr>
          <w:trHeight w:val="445"/>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Calculation Linkbase Document</w:t>
            </w:r>
          </w:p>
        </w:tc>
      </w:tr>
      <w:tr>
        <w:trPr>
          <w:trHeight w:val="445"/>
        </w:trPr>
        <w:tc>
          <w:tcPr>
            <w:tcW w:w="960" w:type="dxa"/>
            <w:vAlign w:val="bottom"/>
          </w:tcPr>
          <w:p>
            <w:pPr>
              <w:spacing w:after="0"/>
              <w:rPr>
                <w:sz w:val="20"/>
                <w:szCs w:val="20"/>
                <w:color w:val="auto"/>
              </w:rPr>
            </w:pPr>
            <w:r>
              <w:rPr>
                <w:rFonts w:ascii="Arial" w:cs="Arial" w:eastAsia="Arial" w:hAnsi="Arial"/>
                <w:sz w:val="17"/>
                <w:szCs w:val="17"/>
                <w:color w:val="auto"/>
              </w:rPr>
              <w:t>101.DEF*</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rPr>
              <w:t>—  Inline Taxonomy Extension Definition Linkbase Document</w:t>
            </w:r>
          </w:p>
        </w:tc>
      </w:tr>
      <w:tr>
        <w:trPr>
          <w:trHeight w:val="445"/>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Label Linkbase Document</w:t>
            </w:r>
          </w:p>
        </w:tc>
      </w:tr>
      <w:tr>
        <w:trPr>
          <w:trHeight w:val="445"/>
        </w:trPr>
        <w:tc>
          <w:tcPr>
            <w:tcW w:w="960" w:type="dxa"/>
            <w:vAlign w:val="bottom"/>
          </w:tcPr>
          <w:p>
            <w:pPr>
              <w:spacing w:after="0"/>
              <w:rPr>
                <w:sz w:val="20"/>
                <w:szCs w:val="20"/>
                <w:color w:val="auto"/>
              </w:rPr>
            </w:pPr>
            <w:r>
              <w:rPr>
                <w:rFonts w:ascii="Arial" w:cs="Arial" w:eastAsia="Arial" w:hAnsi="Arial"/>
                <w:sz w:val="17"/>
                <w:szCs w:val="17"/>
                <w:color w:val="auto"/>
              </w:rPr>
              <w:t>101.PRE*</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rPr>
              <w:t>—  Inline XBRL Taxonomy Extension Presentation Linkbase Document</w:t>
            </w:r>
          </w:p>
        </w:tc>
      </w:tr>
      <w:tr>
        <w:trPr>
          <w:trHeight w:val="472"/>
        </w:trPr>
        <w:tc>
          <w:tcPr>
            <w:tcW w:w="960" w:type="dxa"/>
            <w:vAlign w:val="bottom"/>
          </w:tcPr>
          <w:p>
            <w:pPr>
              <w:spacing w:after="0"/>
              <w:rPr>
                <w:sz w:val="20"/>
                <w:szCs w:val="20"/>
                <w:color w:val="auto"/>
              </w:rPr>
            </w:pPr>
            <w:r>
              <w:rPr>
                <w:rFonts w:ascii="Arial" w:cs="Arial" w:eastAsia="Arial" w:hAnsi="Arial"/>
                <w:sz w:val="17"/>
                <w:szCs w:val="17"/>
                <w:color w:val="auto"/>
              </w:rPr>
              <w:t>104</w:t>
            </w:r>
          </w:p>
        </w:tc>
        <w:tc>
          <w:tcPr>
            <w:tcW w:w="8860" w:type="dxa"/>
            <w:vAlign w:val="bottom"/>
            <w:gridSpan w:val="9"/>
          </w:tcPr>
          <w:p>
            <w:pPr>
              <w:ind w:left="200"/>
              <w:spacing w:after="0"/>
              <w:rPr>
                <w:sz w:val="20"/>
                <w:szCs w:val="20"/>
                <w:color w:val="auto"/>
              </w:rPr>
            </w:pPr>
            <w:r>
              <w:rPr>
                <w:rFonts w:ascii="Arial" w:cs="Arial" w:eastAsia="Arial" w:hAnsi="Arial"/>
                <w:sz w:val="17"/>
                <w:szCs w:val="17"/>
                <w:color w:val="auto"/>
              </w:rPr>
              <w:t>—  Cover Page Interactive Data File (formatted as Inline XBRL and contained in Exhibit 101)</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8" w:lineRule="exact"/>
        <w:rPr>
          <w:sz w:val="20"/>
          <w:szCs w:val="20"/>
          <w:color w:val="auto"/>
        </w:rPr>
      </w:pPr>
    </w:p>
    <w:p>
      <w:pPr>
        <w:ind w:left="420" w:hanging="398"/>
        <w:spacing w:after="0"/>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3" w:lineRule="exact"/>
        <w:rPr>
          <w:sz w:val="20"/>
          <w:szCs w:val="20"/>
          <w:color w:val="auto"/>
        </w:rPr>
      </w:pPr>
    </w:p>
    <w:p>
      <w:pPr>
        <w:ind w:left="420" w:hanging="398"/>
        <w:spacing w:after="0"/>
        <w:tabs>
          <w:tab w:leader="none" w:pos="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4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CIVEO CORPORATION</w:t>
      </w:r>
    </w:p>
    <w:p>
      <w:pPr>
        <w:spacing w:after="0" w:line="34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7"/>
          <w:szCs w:val="17"/>
          <w:u w:val="single" w:color="auto"/>
          <w:color w:val="auto"/>
        </w:rPr>
        <w:t>Date: July 30, 2021</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-3810</wp:posOffset>
            </wp:positionV>
            <wp:extent cx="16421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Carolyn J. Stone</w:t>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144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Bradley J. Dodson, certify that:</w:t>
      </w:r>
    </w:p>
    <w:p>
      <w:pPr>
        <w:spacing w:after="0" w:line="355" w:lineRule="exact"/>
        <w:rPr>
          <w:sz w:val="20"/>
          <w:szCs w:val="20"/>
          <w:color w:val="auto"/>
        </w:rPr>
      </w:pPr>
    </w:p>
    <w:p>
      <w:pPr>
        <w:ind w:left="340" w:hanging="318"/>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20" w:hanging="318"/>
        <w:spacing w:after="0" w:line="230"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jc w:val="both"/>
        <w:ind w:left="340" w:right="2300" w:hanging="318"/>
        <w:spacing w:after="0" w:line="230"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jc w:val="both"/>
        <w:ind w:left="340" w:right="2300" w:hanging="318"/>
        <w:spacing w:after="0" w:line="230"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700" w:right="2300" w:hanging="367"/>
        <w:spacing w:after="0" w:line="224" w:lineRule="auto"/>
        <w:rPr>
          <w:rFonts w:ascii="Arial" w:cs="Arial" w:eastAsia="Arial" w:hAnsi="Arial"/>
          <w:sz w:val="17"/>
          <w:szCs w:val="17"/>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700" w:right="2320" w:hanging="367"/>
        <w:spacing w:after="0" w:line="224"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700" w:right="2300" w:hanging="367"/>
        <w:spacing w:after="0" w:line="230" w:lineRule="auto"/>
        <w:rPr>
          <w:rFonts w:ascii="Arial" w:cs="Arial" w:eastAsia="Arial" w:hAnsi="Arial"/>
          <w:sz w:val="17"/>
          <w:szCs w:val="17"/>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700" w:right="2320" w:hanging="367"/>
        <w:spacing w:after="0" w:line="224" w:lineRule="auto"/>
        <w:rPr>
          <w:rFonts w:ascii="Arial" w:cs="Arial" w:eastAsia="Arial" w:hAnsi="Arial"/>
          <w:sz w:val="17"/>
          <w:szCs w:val="17"/>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jc w:val="both"/>
        <w:ind w:left="340" w:right="2300" w:hanging="318"/>
        <w:spacing w:after="0" w:line="230"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00" w:right="2320" w:hanging="367"/>
        <w:spacing w:after="0" w:line="230"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700" w:right="2300" w:hanging="367"/>
        <w:spacing w:after="0" w:line="241"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July 30, 2021</w:t>
      </w:r>
    </w:p>
    <w:p>
      <w:pPr>
        <w:spacing w:after="0" w:line="14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16510</wp:posOffset>
            </wp:positionV>
            <wp:extent cx="2877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Bradley J. Dodson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Carolyn J. Stone, certify that:</w:t>
      </w:r>
    </w:p>
    <w:p>
      <w:pPr>
        <w:spacing w:after="0" w:line="355" w:lineRule="exact"/>
        <w:rPr>
          <w:sz w:val="20"/>
          <w:szCs w:val="20"/>
          <w:color w:val="auto"/>
        </w:rPr>
      </w:pPr>
    </w:p>
    <w:p>
      <w:pPr>
        <w:ind w:left="320" w:hanging="298"/>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00" w:hanging="298"/>
        <w:spacing w:after="0" w:line="230"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jc w:val="both"/>
        <w:ind w:left="320" w:right="2400" w:hanging="298"/>
        <w:spacing w:after="0" w:line="230" w:lineRule="auto"/>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jc w:val="both"/>
        <w:ind w:left="320" w:right="2400" w:hanging="298"/>
        <w:spacing w:after="0" w:line="230"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ind w:left="720" w:right="2400" w:hanging="393"/>
        <w:spacing w:after="0" w:line="230" w:lineRule="auto"/>
        <w:rPr>
          <w:rFonts w:ascii="Arial" w:cs="Arial" w:eastAsia="Arial" w:hAnsi="Arial"/>
          <w:sz w:val="17"/>
          <w:szCs w:val="17"/>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jc w:val="both"/>
        <w:ind w:left="320" w:right="2400" w:hanging="298"/>
        <w:spacing w:after="0" w:line="230"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20" w:right="2400" w:hanging="393"/>
        <w:spacing w:after="0" w:line="230" w:lineRule="auto"/>
        <w:rPr>
          <w:rFonts w:ascii="Arial" w:cs="Arial" w:eastAsia="Arial" w:hAnsi="Arial"/>
          <w:sz w:val="17"/>
          <w:szCs w:val="17"/>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720" w:right="2400" w:hanging="393"/>
        <w:spacing w:after="0" w:line="241"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July 30, 2021</w:t>
      </w:r>
    </w:p>
    <w:p>
      <w:pPr>
        <w:spacing w:after="0" w:line="35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16510</wp:posOffset>
            </wp:positionV>
            <wp:extent cx="28778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Carolyn J. Stone</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6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ind w:firstLine="786"/>
        <w:spacing w:after="0" w:line="297" w:lineRule="auto"/>
        <w:rPr>
          <w:sz w:val="20"/>
          <w:szCs w:val="20"/>
          <w:color w:val="auto"/>
        </w:rPr>
      </w:pPr>
      <w:r>
        <w:rPr>
          <w:rFonts w:ascii="Arial" w:cs="Arial" w:eastAsia="Arial" w:hAnsi="Arial"/>
          <w:sz w:val="16"/>
          <w:szCs w:val="16"/>
          <w:color w:val="auto"/>
        </w:rPr>
        <w:t>In connection with the Quarterly Report on Form 10-Q of Civeo Corporation (the “Company”) for the quarterly period ended June 30, 2021,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86"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1" w:lineRule="auto"/>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Bradley J. Dodson</w:t>
      </w:r>
    </w:p>
    <w:p>
      <w:pPr>
        <w:spacing w:after="0" w:line="26" w:lineRule="exact"/>
        <w:rPr>
          <w:sz w:val="20"/>
          <w:szCs w:val="20"/>
          <w:color w:val="auto"/>
        </w:rPr>
      </w:pPr>
    </w:p>
    <w:tbl>
      <w:tblPr>
        <w:tblLayout w:type="fixed"/>
        <w:tblInd w:w="5920" w:type="dxa"/>
        <w:tblCellMar>
          <w:top w:w="0" w:type="dxa"/>
          <w:left w:w="0" w:type="dxa"/>
          <w:bottom w:w="0" w:type="dxa"/>
          <w:right w:w="0" w:type="dxa"/>
        </w:tblCellMar>
      </w:tblPr>
      <w:tr>
        <w:trPr>
          <w:trHeight w:val="217"/>
        </w:trPr>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w w:val="93"/>
              </w:rPr>
              <w:t>Bradley</w:t>
            </w: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J. Dodson</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700" w:type="dxa"/>
            <w:vAlign w:val="bottom"/>
          </w:tcPr>
          <w:p>
            <w:pPr>
              <w:ind w:left="140"/>
              <w:spacing w:after="0"/>
              <w:rPr>
                <w:sz w:val="20"/>
                <w:szCs w:val="20"/>
                <w:color w:val="auto"/>
              </w:rPr>
            </w:pPr>
            <w:r>
              <w:rPr>
                <w:rFonts w:ascii="Arial" w:cs="Arial" w:eastAsia="Arial" w:hAnsi="Arial"/>
                <w:sz w:val="17"/>
                <w:szCs w:val="17"/>
                <w:color w:val="auto"/>
                <w:w w:val="92"/>
              </w:rPr>
              <w:t>July 30,</w:t>
            </w:r>
          </w:p>
        </w:tc>
        <w:tc>
          <w:tcPr>
            <w:tcW w:w="2740" w:type="dxa"/>
            <w:vAlign w:val="bottom"/>
          </w:tcPr>
          <w:p>
            <w:pPr>
              <w:ind w:left="20"/>
              <w:spacing w:after="0"/>
              <w:rPr>
                <w:sz w:val="20"/>
                <w:szCs w:val="20"/>
                <w:color w:val="auto"/>
              </w:rPr>
            </w:pPr>
            <w:r>
              <w:rPr>
                <w:rFonts w:ascii="Arial" w:cs="Arial" w:eastAsia="Arial" w:hAnsi="Arial"/>
                <w:sz w:val="17"/>
                <w:szCs w:val="17"/>
                <w:color w:val="auto"/>
              </w:rPr>
              <w:t>2021</w:t>
            </w:r>
          </w:p>
        </w:tc>
      </w:tr>
    </w:tbl>
    <w:p>
      <w:pPr>
        <w:sectPr>
          <w:pgSz w:w="11900" w:h="16838" w:orient="portrait"/>
          <w:cols w:equalWidth="0" w:num="1">
            <w:col w:w="11240"/>
          </w:cols>
          <w:pgMar w:left="320" w:top="86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32.2</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786"/>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June 30, 2021,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09"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1" w:lineRule="auto"/>
        <w:tabs>
          <w:tab w:leader="none" w:pos="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 Carolyn J. Stone</w:t>
      </w:r>
    </w:p>
    <w:p>
      <w:pPr>
        <w:spacing w:after="0" w:line="26" w:lineRule="exact"/>
        <w:rPr>
          <w:sz w:val="20"/>
          <w:szCs w:val="20"/>
          <w:color w:val="auto"/>
        </w:rPr>
      </w:pPr>
    </w:p>
    <w:tbl>
      <w:tblPr>
        <w:tblLayout w:type="fixed"/>
        <w:tblInd w:w="5760" w:type="dxa"/>
        <w:tblCellMar>
          <w:top w:w="0" w:type="dxa"/>
          <w:left w:w="0" w:type="dxa"/>
          <w:bottom w:w="0" w:type="dxa"/>
          <w:right w:w="0" w:type="dxa"/>
        </w:tblCellMar>
      </w:tblPr>
      <w:tr>
        <w:trPr>
          <w:trHeight w:val="217"/>
        </w:trPr>
        <w:tc>
          <w:tcPr>
            <w:tcW w:w="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348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Carolyn J. Stone</w:t>
            </w:r>
          </w:p>
        </w:tc>
      </w:tr>
      <w:tr>
        <w:trPr>
          <w:trHeight w:val="222"/>
        </w:trPr>
        <w:tc>
          <w:tcPr>
            <w:tcW w:w="720" w:type="dxa"/>
            <w:vAlign w:val="bottom"/>
          </w:tcPr>
          <w:p>
            <w:pPr>
              <w:ind w:left="20"/>
              <w:spacing w:after="0"/>
              <w:rPr>
                <w:sz w:val="20"/>
                <w:szCs w:val="20"/>
                <w:color w:val="auto"/>
              </w:rPr>
            </w:pPr>
            <w:r>
              <w:rPr>
                <w:rFonts w:ascii="Arial" w:cs="Arial" w:eastAsia="Arial" w:hAnsi="Arial"/>
                <w:sz w:val="17"/>
                <w:szCs w:val="17"/>
                <w:color w:val="auto"/>
              </w:rPr>
              <w:t>Date:</w:t>
            </w:r>
          </w:p>
        </w:tc>
        <w:tc>
          <w:tcPr>
            <w:tcW w:w="3480" w:type="dxa"/>
            <w:vAlign w:val="bottom"/>
          </w:tcPr>
          <w:p>
            <w:pPr>
              <w:ind w:left="200"/>
              <w:spacing w:after="0"/>
              <w:rPr>
                <w:sz w:val="20"/>
                <w:szCs w:val="20"/>
                <w:color w:val="auto"/>
              </w:rPr>
            </w:pPr>
            <w:r>
              <w:rPr>
                <w:rFonts w:ascii="Arial" w:cs="Arial" w:eastAsia="Arial" w:hAnsi="Arial"/>
                <w:sz w:val="17"/>
                <w:szCs w:val="17"/>
                <w:color w:val="auto"/>
              </w:rPr>
              <w:t>July 30, 2021</w:t>
            </w:r>
          </w:p>
        </w:tc>
      </w:tr>
    </w:tbl>
    <w:p>
      <w:pPr>
        <w:spacing w:after="0" w:line="1" w:lineRule="exact"/>
        <w:rPr>
          <w:sz w:val="20"/>
          <w:szCs w:val="20"/>
          <w:color w:val="auto"/>
        </w:rPr>
      </w:pP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1."/>
      <w:numFmt w:val="decimal"/>
      <w:start w:val="3"/>
    </w:lvl>
  </w:abstractNum>
  <w:abstractNum w:abstractNumId="8">
    <w:nsid w:val="2D1D5AE9"/>
    <w:multiLevelType w:val="hybridMultilevel"/>
    <w:lvl w:ilvl="0">
      <w:lvlJc w:val="left"/>
      <w:lvlText w:val="%1."/>
      <w:numFmt w:val="decimal"/>
      <w:start w:val="4"/>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6"/>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1."/>
      <w:numFmt w:val="decimal"/>
      <w:start w:val="8"/>
    </w:lvl>
  </w:abstractNum>
  <w:abstractNum w:abstractNumId="13">
    <w:nsid w:val="4353D0CD"/>
    <w:multiLevelType w:val="hybridMultilevel"/>
    <w:lvl w:ilvl="0">
      <w:lvlJc w:val="left"/>
      <w:lvlText w:val="%1."/>
      <w:numFmt w:val="decimal"/>
      <w:start w:val="9"/>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9"/>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bullet"/>
      <w:start w:val="1"/>
    </w:lvl>
  </w:abstractNum>
  <w:abstractNum w:abstractNumId="26">
    <w:nsid w:val="6CEAF087"/>
    <w:multiLevelType w:val="hybridMultilevel"/>
    <w:lvl w:ilvl="0">
      <w:lvlJc w:val="left"/>
      <w:lvlText w:val="2"/>
      <w:numFmt w:val="bullet"/>
      <w:start w:val="1"/>
    </w:lvl>
  </w:abstractNum>
  <w:abstractNum w:abstractNumId="27">
    <w:nsid w:val="22221A70"/>
    <w:multiLevelType w:val="hybridMultilevel"/>
    <w:lvl w:ilvl="0">
      <w:lvlJc w:val="left"/>
      <w:lvlText w:val="3"/>
      <w:numFmt w:val="bullet"/>
      <w:start w:val="1"/>
    </w:lvl>
  </w:abstractNum>
  <w:abstractNum w:abstractNumId="28">
    <w:nsid w:val="4516DDE9"/>
    <w:multiLevelType w:val="hybridMultilevel"/>
    <w:lvl w:ilvl="0">
      <w:lvlJc w:val="left"/>
      <w:lvlText w:val="4"/>
      <w:numFmt w:val="bullet"/>
      <w:start w:val="1"/>
    </w:lvl>
  </w:abstractNum>
  <w:abstractNum w:abstractNumId="29">
    <w:nsid w:val="3006C83E"/>
    <w:multiLevelType w:val="hybridMultilevel"/>
    <w:lvl w:ilvl="0">
      <w:lvlJc w:val="left"/>
      <w:lvlText w:val="5"/>
      <w:numFmt w:val="bullet"/>
      <w:start w:val="1"/>
    </w:lvl>
  </w:abstractNum>
  <w:abstractNum w:abstractNumId="30">
    <w:nsid w:val="614FD4A1"/>
    <w:multiLevelType w:val="hybridMultilevel"/>
    <w:lvl w:ilvl="0">
      <w:lvlJc w:val="left"/>
      <w:lvlText w:val="1"/>
      <w:numFmt w:val="bullet"/>
      <w:start w:val="1"/>
    </w:lvl>
  </w:abstractNum>
  <w:abstractNum w:abstractNumId="31">
    <w:nsid w:val="419AC241"/>
    <w:multiLevelType w:val="hybridMultilevel"/>
    <w:lvl w:ilvl="0">
      <w:lvlJc w:val="left"/>
      <w:lvlText w:val="2"/>
      <w:numFmt w:val="bullet"/>
      <w:start w:val="1"/>
    </w:lvl>
  </w:abstractNum>
  <w:abstractNum w:abstractNumId="32">
    <w:nsid w:val="5577F8E1"/>
    <w:multiLevelType w:val="hybridMultilevel"/>
    <w:lvl w:ilvl="0">
      <w:lvlJc w:val="left"/>
      <w:lvlText w:val="3"/>
      <w:numFmt w:val="bullet"/>
      <w:start w:val="1"/>
    </w:lvl>
  </w:abstractNum>
  <w:abstractNum w:abstractNumId="33">
    <w:nsid w:val="440BADFC"/>
    <w:multiLevelType w:val="hybridMultilevel"/>
    <w:lvl w:ilvl="0">
      <w:lvlJc w:val="left"/>
      <w:lvlText w:val="4"/>
      <w:numFmt w:val="bullet"/>
      <w:start w:val="1"/>
    </w:lvl>
  </w:abstractNum>
  <w:abstractNum w:abstractNumId="34">
    <w:nsid w:val="5072367"/>
    <w:multiLevelType w:val="hybridMultilevel"/>
    <w:lvl w:ilvl="0">
      <w:lvlJc w:val="left"/>
      <w:lvlText w:val="5"/>
      <w:numFmt w:val="bullet"/>
      <w:start w:val="1"/>
    </w:lvl>
  </w:abstractNum>
  <w:abstractNum w:abstractNumId="35">
    <w:nsid w:val="3804823E"/>
    <w:multiLevelType w:val="hybridMultilevel"/>
    <w:lvl w:ilvl="0">
      <w:lvlJc w:val="left"/>
      <w:lvlText w:val="2"/>
      <w:numFmt w:val="bullet"/>
      <w:start w:val="1"/>
    </w:lvl>
  </w:abstractNum>
  <w:abstractNum w:abstractNumId="36">
    <w:nsid w:val="77465F0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2021-07-30T14:24:06Z</dcterms:created>
  <dcterms:modified xsi:type="dcterms:W3CDTF">2021-07-30T14:24:06Z</dcterms:modified>
</cp:coreProperties>
</file>