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36"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8-K/A</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5, 2014</w:t>
      </w:r>
    </w:p>
    <w:p>
      <w:pPr>
        <w:spacing w:after="0" w:line="262"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__________________</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272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Delaware</w:t>
            </w:r>
          </w:p>
        </w:tc>
        <w:tc>
          <w:tcPr>
            <w:tcW w:w="48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1-36246</w:t>
            </w:r>
          </w:p>
        </w:tc>
        <w:tc>
          <w:tcPr>
            <w:tcW w:w="198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2720" w:type="dxa"/>
            <w:vAlign w:val="bottom"/>
          </w:tcPr>
          <w:p>
            <w:pPr>
              <w:jc w:val="center"/>
              <w:ind w:right="290"/>
              <w:spacing w:after="0"/>
              <w:rPr>
                <w:sz w:val="20"/>
                <w:szCs w:val="20"/>
                <w:color w:val="auto"/>
              </w:rPr>
            </w:pPr>
            <w:r>
              <w:rPr>
                <w:rFonts w:ascii="Arial" w:cs="Arial" w:eastAsia="Arial" w:hAnsi="Arial"/>
                <w:sz w:val="18"/>
                <w:szCs w:val="18"/>
                <w:color w:val="auto"/>
                <w:w w:val="92"/>
              </w:rPr>
              <w:t>(State or other jurisdiction</w:t>
            </w:r>
          </w:p>
        </w:tc>
        <w:tc>
          <w:tcPr>
            <w:tcW w:w="4800" w:type="dxa"/>
            <w:vAlign w:val="bottom"/>
          </w:tcPr>
          <w:p>
            <w:pPr>
              <w:jc w:val="center"/>
              <w:ind w:right="150"/>
              <w:spacing w:after="0"/>
              <w:rPr>
                <w:sz w:val="20"/>
                <w:szCs w:val="20"/>
                <w:color w:val="auto"/>
              </w:rPr>
            </w:pPr>
            <w:r>
              <w:rPr>
                <w:rFonts w:ascii="Arial" w:cs="Arial" w:eastAsia="Arial" w:hAnsi="Arial"/>
                <w:sz w:val="18"/>
                <w:szCs w:val="18"/>
                <w:color w:val="auto"/>
                <w:w w:val="92"/>
              </w:rPr>
              <w:t>(Commission File</w:t>
            </w:r>
          </w:p>
        </w:tc>
        <w:tc>
          <w:tcPr>
            <w:tcW w:w="1980" w:type="dxa"/>
            <w:vAlign w:val="bottom"/>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2720" w:type="dxa"/>
            <w:vAlign w:val="bottom"/>
          </w:tcPr>
          <w:p>
            <w:pPr>
              <w:jc w:val="center"/>
              <w:ind w:right="270"/>
              <w:spacing w:after="0"/>
              <w:rPr>
                <w:sz w:val="20"/>
                <w:szCs w:val="20"/>
                <w:color w:val="auto"/>
              </w:rPr>
            </w:pPr>
            <w:r>
              <w:rPr>
                <w:rFonts w:ascii="Arial" w:cs="Arial" w:eastAsia="Arial" w:hAnsi="Arial"/>
                <w:sz w:val="18"/>
                <w:szCs w:val="18"/>
                <w:color w:val="auto"/>
                <w:w w:val="92"/>
              </w:rPr>
              <w:t>of incorporation or organization)</w:t>
            </w:r>
          </w:p>
        </w:tc>
        <w:tc>
          <w:tcPr>
            <w:tcW w:w="4800" w:type="dxa"/>
            <w:vAlign w:val="bottom"/>
          </w:tcPr>
          <w:p>
            <w:pPr>
              <w:jc w:val="center"/>
              <w:ind w:right="150"/>
              <w:spacing w:after="0"/>
              <w:rPr>
                <w:sz w:val="20"/>
                <w:szCs w:val="20"/>
                <w:color w:val="auto"/>
              </w:rPr>
            </w:pPr>
            <w:r>
              <w:rPr>
                <w:rFonts w:ascii="Arial" w:cs="Arial" w:eastAsia="Arial" w:hAnsi="Arial"/>
                <w:sz w:val="18"/>
                <w:szCs w:val="18"/>
                <w:color w:val="auto"/>
                <w:w w:val="91"/>
              </w:rPr>
              <w:t>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720" w:type="dxa"/>
            <w:vAlign w:val="bottom"/>
          </w:tcPr>
          <w:p>
            <w:pPr>
              <w:spacing w:after="0"/>
              <w:rPr>
                <w:sz w:val="24"/>
                <w:szCs w:val="24"/>
                <w:color w:val="auto"/>
              </w:rPr>
            </w:pPr>
          </w:p>
        </w:tc>
        <w:tc>
          <w:tcPr>
            <w:tcW w:w="48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Three Allen Center</w:t>
            </w:r>
          </w:p>
        </w:tc>
        <w:tc>
          <w:tcPr>
            <w:tcW w:w="198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48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333 Clay Street, Suite 4980</w:t>
            </w:r>
          </w:p>
        </w:tc>
        <w:tc>
          <w:tcPr>
            <w:tcW w:w="1980" w:type="dxa"/>
            <w:vAlign w:val="bottom"/>
          </w:tcPr>
          <w:p>
            <w:pPr>
              <w:spacing w:after="0"/>
              <w:rPr>
                <w:sz w:val="18"/>
                <w:szCs w:val="18"/>
                <w:color w:val="auto"/>
              </w:rPr>
            </w:pPr>
          </w:p>
        </w:tc>
      </w:tr>
      <w:tr>
        <w:trPr>
          <w:trHeight w:val="220"/>
        </w:trPr>
        <w:tc>
          <w:tcPr>
            <w:tcW w:w="2720" w:type="dxa"/>
            <w:vAlign w:val="bottom"/>
          </w:tcPr>
          <w:p>
            <w:pPr>
              <w:spacing w:after="0"/>
              <w:rPr>
                <w:sz w:val="19"/>
                <w:szCs w:val="19"/>
                <w:color w:val="auto"/>
              </w:rPr>
            </w:pPr>
          </w:p>
        </w:tc>
        <w:tc>
          <w:tcPr>
            <w:tcW w:w="48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Houston, Texas 77002</w:t>
            </w:r>
          </w:p>
        </w:tc>
        <w:tc>
          <w:tcPr>
            <w:tcW w:w="198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4800" w:type="dxa"/>
            <w:vAlign w:val="bottom"/>
          </w:tcPr>
          <w:p>
            <w:pPr>
              <w:jc w:val="center"/>
              <w:ind w:right="150"/>
              <w:spacing w:after="0"/>
              <w:rPr>
                <w:sz w:val="20"/>
                <w:szCs w:val="20"/>
                <w:color w:val="auto"/>
              </w:rPr>
            </w:pPr>
            <w:r>
              <w:rPr>
                <w:rFonts w:ascii="Arial" w:cs="Arial" w:eastAsia="Arial" w:hAnsi="Arial"/>
                <w:sz w:val="18"/>
                <w:szCs w:val="18"/>
                <w:color w:val="auto"/>
                <w:w w:val="91"/>
              </w:rPr>
              <w:t>(Address and zip code of principal executive offices)</w:t>
            </w:r>
          </w:p>
        </w:tc>
        <w:tc>
          <w:tcPr>
            <w:tcW w:w="1980" w:type="dxa"/>
            <w:vAlign w:val="bottom"/>
          </w:tcPr>
          <w:p>
            <w:pPr>
              <w:spacing w:after="0"/>
              <w:rPr>
                <w:sz w:val="20"/>
                <w:szCs w:val="20"/>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52"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52"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52"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Form 8-K/A amends the Current Report on Form 8-K filed by Civeo Corporation (the “Company”) on November 6, 2014 (the “Original Form 8-K”) solely to correct an error by the financial printer in the press release. All other information in the Original Form 8-K remains unchanged.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5, 2014, Civeo Corporation (the "Company") issued a press release announcing its financial condition and results of operations for the quarter ended September 30, 2014. A copy of the press release is furnished as Exhibit 99.1 to this report on Form 8-K, and is incorporated herein by reference.</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8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8200" w:type="dxa"/>
            <w:vAlign w:val="bottom"/>
          </w:tcPr>
          <w:p>
            <w:pPr>
              <w:spacing w:after="0"/>
              <w:rPr>
                <w:sz w:val="16"/>
                <w:szCs w:val="16"/>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Press Release dated November 5, 2014</w:t>
            </w:r>
          </w:p>
        </w:tc>
      </w:tr>
      <w:tr>
        <w:trPr>
          <w:trHeight w:val="888"/>
        </w:trPr>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82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2014</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57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 Steininger</w:t>
            </w:r>
          </w:p>
        </w:tc>
      </w:tr>
      <w:tr>
        <w:trPr>
          <w:trHeight w:val="202"/>
        </w:trPr>
        <w:tc>
          <w:tcPr>
            <w:tcW w:w="664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Frank C. Steininger</w:t>
            </w:r>
          </w:p>
        </w:tc>
      </w:tr>
      <w:tr>
        <w:trPr>
          <w:trHeight w:val="230"/>
        </w:trPr>
        <w:tc>
          <w:tcPr>
            <w:tcW w:w="6640" w:type="dxa"/>
            <w:vAlign w:val="bottom"/>
          </w:tcPr>
          <w:p>
            <w:pPr>
              <w:ind w:left="57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w w:val="99"/>
              </w:rPr>
              <w:t>Senior Vice President, Chief Financial Officer and Treasurer</w:t>
            </w:r>
          </w:p>
        </w:tc>
      </w:tr>
      <w:tr>
        <w:trPr>
          <w:trHeight w:val="1104"/>
        </w:trPr>
        <w:tc>
          <w:tcPr>
            <w:tcW w:w="66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61"/>
        </w:trPr>
        <w:tc>
          <w:tcPr>
            <w:tcW w:w="6640" w:type="dxa"/>
            <w:vAlign w:val="bottom"/>
            <w:shd w:val="clear" w:color="auto" w:fill="808080"/>
          </w:tcPr>
          <w:p>
            <w:pPr>
              <w:spacing w:after="0"/>
              <w:rPr>
                <w:sz w:val="5"/>
                <w:szCs w:val="5"/>
                <w:color w:val="auto"/>
              </w:rPr>
            </w:pPr>
          </w:p>
        </w:tc>
        <w:tc>
          <w:tcPr>
            <w:tcW w:w="47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8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980" w:type="dxa"/>
            <w:vAlign w:val="bottom"/>
          </w:tcPr>
          <w:p>
            <w:pPr>
              <w:spacing w:after="0"/>
              <w:rPr>
                <w:sz w:val="16"/>
                <w:szCs w:val="16"/>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87"/>
              </w:rPr>
              <w:t>Press Release dated November 5, 2014</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ind w:left="3140"/>
        <w:spacing w:after="0"/>
        <w:rPr>
          <w:sz w:val="20"/>
          <w:szCs w:val="20"/>
          <w:color w:val="auto"/>
        </w:rPr>
      </w:pPr>
      <w:r>
        <w:rPr>
          <w:rFonts w:ascii="Arial" w:cs="Arial" w:eastAsia="Arial" w:hAnsi="Arial"/>
          <w:sz w:val="25"/>
          <w:szCs w:val="25"/>
          <w:b w:val="1"/>
          <w:bCs w:val="1"/>
          <w:color w:val="auto"/>
        </w:rPr>
        <w:t>Civeo Announces Third Quarter 2014 Earnings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Third quarter results exceeded previous quarterly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Maintaining fourth quarter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-107315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Announcing 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quarter dividend of $0.13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-181610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HOUSTON, Nov. 5, 2014 (GLOBE NEWSWIRE) -- Civeo Corporation (NYSE:CVEO) reported net income for the quarter ended September 30, 2014 of $32.4 million, or $0.30 per diluted share. These results compare to net income of $39.6 million, or $0.37 per diluted share, for the third quarter of 2013.</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Company generated revenues of $243.3 million and Adjusted EBITDA of $92.5 million during the third quarter of 2014 (EBITDA is defined as net income plus interest, taxes, depreciation and amortization and Adjusted EBITDA is defined as EBITDA adjusted to exclude impairment charges and certain other costs such as those incurred associated with the spin-off). These results compare to revenues of $245.1 million and Adjusted EBITDA of $98.3 million reported in the third quarter of 2013. Revenues and Adjusted EBITDA were down year-over-year primarily due to the unfavorable impact on consolidated results of a stronger U.S. dollar compared to the Canadian dollar, a year-over-year decline of 5%, lower occupancy levels in both the Australian villages and Canadian lodges and lower average daily rates at the Canadian lodges.</w:t>
      </w:r>
    </w:p>
    <w:p>
      <w:pPr>
        <w:spacing w:after="0" w:line="153"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The Company's President and Chief Executive Officer, Bradley J. Dodson, stated, "Civeo generated better than expected results for the third quarter of 2014. Occupancy and margins for our Canadian and Australian operations were better than expected. In addition, our results reflected increased contributions from the McClelland Lake Lodge and cost containment efforts in Australia. The U.S. operations were as expected. As previously discussed, we continue to expect lower earnings in the fourth quarter as activity in the Canadian oil sands' region softens coupled with holiday downtime. We are maintaining our initial fourth quarter guidance of $200 million to $210 million of revenues with EBITDA margins of 32% to 34%. We continue to monitor lower oil and metallurgical coal prices and their potential impact on customer spending announcements as we look for clarity around 2015 activity levels."</w:t>
      </w:r>
    </w:p>
    <w:p>
      <w:pPr>
        <w:spacing w:after="0" w:line="18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Mr. Dodson continued, "At the end of the quarter, we were pleased to complete our thorough analysis of our structural alternatives and have begun our efforts to redomicile to Canada. Moving the company to Canada will provide operational and financial efficiencies as well as an optimal tax position. We expect to complete the migration to Canada in the second or third quarter of 2015."</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For the first nine months of 2014, the Company reported revenues of $723.2 million, Adjusted EBITDA of $262.0 million and net income of $82.6 million, or $0.77 per diluted share, which included a $0.12 per diluted share after-tax loss from transition costs, debt extinguishment costs and an impairment incurred in connection with the spin-off from Oil States, a $0.03 per diluted share after-tax loss from severance costs associated with the termination of an executive, and a $0.02 per diluted share after-tax loss from the impairment of assets, and for which the return or reimbursement is unlikely. For the first nine months of 2013, the Company reported revenues of $782.6 million, Adjusted EBITDA of $319.1 million and net income of $136.4 million, or $1.28 per diluted share, which included a pre-tax gain of $4.0 million, or $0.03 per diluted share after-tax related to the reversal of an estimated earnout liability associated with an acquisition, offset by a $0.01 per diluted share after-tax loss from debt extinguishment costs.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(Unless otherwise noted, the following discussion compares the quarterly results for the third quarter of 2014 to the results for the third quarter of 2013.)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Canadian segment generated revenues of $174.1 million and EBITDA of $67.1 million for the third quarter of 2014 compared to revenues and EBITDA of $167.2 million and $65.0 million, respectively, in the third quarter of 2013. Our third quarter 2014 results were negatively impacted by a weaker Canadian dollar relative to the U.S. dollar which reduced revenues by $8.5 million and EBITDA by $3.3 million. Excluding the year-over-year impact of exchange rates, revenues would have increased $15.4 million and EBITDA would have increased $5.4 million. On a constant currency basis, the revenues increased due to $4.0 million in product revenue associated with the completion of a wastewater treatment plant, revenue associated with a pipeline related contract camp and the opening of our McClelland Lake facility. These items were partially offset by lower contracted rates and reduced occupancy at our lodges. EBITDA increased due to these items, as well as from lower selling, general and administrative expenses. SG&amp;A expenses were lower year-over-year due to a $2.0 million refund of surplus medical premiums from our Canadian medical benefits provider based on lower experience ratings coupled with lower compensation expenses. RevPAR decreased 13% year-over-year to $112 in the third quarter of 2014, compared to $128 in the third quarter of 2013. The RevPAR decrease was attributable to declining foreign exchange rates and lower average daily rates.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The Australian segment generated revenues of $54.0 million and Adjusted EBITDA of $27.1 million for the third quarter of 2014 compared to revenues and EBITDA of $59.7 million and $33.4 million, respectively, in the third quarter of 2013. The revenue and EBITDA declines were primarily due to lower occupancy resulting from reduced customer commitments and lower overall</w:t>
      </w:r>
    </w:p>
    <w:p>
      <w:pPr>
        <w:sectPr>
          <w:pgSz w:w="11900" w:h="16838" w:orient="portrait"/>
          <w:cols w:equalWidth="0" w:num="1">
            <w:col w:w="11420"/>
          </w:cols>
          <w:pgMar w:left="240" w:top="118" w:right="239" w:bottom="0" w:gutter="0" w:footer="0" w:header="0"/>
        </w:sectPr>
      </w:pPr>
    </w:p>
    <w:bookmarkStart w:id="5" w:name="page6"/>
    <w:bookmarkEnd w:id="5"/>
    <w:p>
      <w:pPr>
        <w:spacing w:after="0" w:line="80"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customer activity and spending in the Bowen Basin, partially offset by contributions from the Boggabri Village which opened late in the third quarter of 2013. RevPAR decreased 11% year-over-year to $63 in the third quarter of 2014, compared to $71 in the third quarter of 2013. The RevPAR decrease was attributable to lower occupancy levels for the Australian villages.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color w:val="auto"/>
        </w:rPr>
        <w:t>The U.S. segment generated revenues of $15.2 million and Adjusted EBITDA of $4.0 million for the third quarter of 2014 compared to revenues and EBITDA of $18.2 million and $2.1 million, respectively, in the third quarter of 2013. Despite lower revenue due to lower offshore fabrication sales, EBITDA from the U.S. segment was higher due to lower selling, general and administrative expense in 2014 compared to 2013 largely resulting from a recovery of previously reserved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The Company recognized income tax expense of $9.0 million, which resulted in an effective tax rate of 21.6%, in the third quarter of 2014 compared to income tax expense of $11.4 million, and an effective tax rate of 22.2%, in the third quarter of 2013.</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jc w:val="both"/>
        <w:ind w:right="340"/>
        <w:spacing w:after="0" w:line="297" w:lineRule="auto"/>
        <w:rPr>
          <w:sz w:val="20"/>
          <w:szCs w:val="20"/>
          <w:color w:val="auto"/>
        </w:rPr>
      </w:pPr>
      <w:r>
        <w:rPr>
          <w:rFonts w:ascii="Arial" w:cs="Arial" w:eastAsia="Arial" w:hAnsi="Arial"/>
          <w:sz w:val="19"/>
          <w:szCs w:val="19"/>
          <w:color w:val="auto"/>
        </w:rPr>
        <w:t>The Company invested $66.6 million in capital expenditures during the third quarter of 2014. Spending primarily related to the ongoing expansion of the Canadian accommodations business, specifically the construction of the McClelland Lake Lodge. The Company currently expects to spend approximately $280 to $300 million in capital expenditures for the full year of 2014.</w:t>
      </w:r>
    </w:p>
    <w:p>
      <w:pPr>
        <w:spacing w:after="0" w:line="134"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As of the end of the third quarter, the Company had total liquidity of approximately $885.2 million, comprised of $643.4 million available under its credit facilities and $241.8 million of cash on hand.</w:t>
      </w:r>
    </w:p>
    <w:p>
      <w:pPr>
        <w:spacing w:after="0" w:line="173"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The Company announced today that its board of directors has declared a quarterly cash dividend of $0.13 per share of common stock, payable on December 2, 2014 to shareholders of record as of 5:00 p.m., New York City time, on November 17, 2014.</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eighteen lodges and villages in operation in Canada and Australia, with an aggregate of more than 22,000 rooms. Civeo is publicly traded under the symbol "CVEO" on the NYSE. For more information, please visit Civeo's website at http://www.civeo.com.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Company's announced emphasis on yield as the core component of the company's value proposition and the specifics and timing of the contemplated new dividend policy, payout ratio and extent of return of capital to shareholders, risks associated with the general nature of the accommodations industry, risks associated with the execution of the redomiciling, including, among other things, risks associated with obtaining any required shareholder approval and changes in tax laws or their interpretations, risks and uncertainties associated with the terms of the arrangements entered into by the Company with JANA Partners LLC and the announcement thereof, including with respect to expanding our Board and adding three new directors to our Board, the implications, results and timing of any review by the Value Creation Committee and ultimate Board decisions regarding such review, the ability to realize the anticipated benefits of these arrangements, the impact thereof on the Company's relationships, including with employees, customers, competitors and investors, and other factors discussed in the "Business" and "Risk Factors" sections of the amended Form 10 filed by Civeo with the SEC on May 8, 2014 and within the Company's subsequent SEC filings.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27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6020" w:type="dxa"/>
            <w:vAlign w:val="bottom"/>
          </w:tcPr>
          <w:p>
            <w:pPr>
              <w:spacing w:after="0"/>
              <w:rPr>
                <w:sz w:val="18"/>
                <w:szCs w:val="18"/>
                <w:color w:val="auto"/>
              </w:rPr>
            </w:pPr>
          </w:p>
        </w:tc>
        <w:tc>
          <w:tcPr>
            <w:tcW w:w="27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248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r>
      <w:tr>
        <w:trPr>
          <w:trHeight w:val="263"/>
        </w:trPr>
        <w:tc>
          <w:tcPr>
            <w:tcW w:w="6020" w:type="dxa"/>
            <w:vAlign w:val="bottom"/>
          </w:tcPr>
          <w:p>
            <w:pPr>
              <w:spacing w:after="0"/>
              <w:rPr>
                <w:sz w:val="22"/>
                <w:szCs w:val="22"/>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r>
      <w:tr>
        <w:trPr>
          <w:trHeight w:val="541"/>
        </w:trPr>
        <w:tc>
          <w:tcPr>
            <w:tcW w:w="6020" w:type="dxa"/>
            <w:vAlign w:val="bottom"/>
          </w:tcPr>
          <w:p>
            <w:pPr>
              <w:spacing w:after="0"/>
              <w:rPr>
                <w:sz w:val="20"/>
                <w:szCs w:val="20"/>
                <w:color w:val="auto"/>
              </w:rPr>
            </w:pPr>
            <w:r>
              <w:rPr>
                <w:rFonts w:ascii="Arial" w:cs="Arial" w:eastAsia="Arial" w:hAnsi="Arial"/>
                <w:sz w:val="16"/>
                <w:szCs w:val="16"/>
                <w:color w:val="auto"/>
              </w:rPr>
              <w:t>Revenues</w:t>
            </w:r>
          </w:p>
        </w:tc>
        <w:tc>
          <w:tcPr>
            <w:tcW w:w="1300" w:type="dxa"/>
            <w:vAlign w:val="bottom"/>
          </w:tcPr>
          <w:p>
            <w:pPr>
              <w:jc w:val="right"/>
              <w:spacing w:after="0"/>
              <w:rPr>
                <w:sz w:val="20"/>
                <w:szCs w:val="20"/>
                <w:color w:val="auto"/>
              </w:rPr>
            </w:pPr>
            <w:r>
              <w:rPr>
                <w:rFonts w:ascii="Arial" w:cs="Arial" w:eastAsia="Arial" w:hAnsi="Arial"/>
                <w:sz w:val="16"/>
                <w:szCs w:val="16"/>
                <w:color w:val="auto"/>
              </w:rPr>
              <w:t>$ 243,265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$ 245,099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$ 723,197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$ 782,627</w:t>
            </w:r>
          </w:p>
        </w:tc>
      </w:tr>
      <w:tr>
        <w:trPr>
          <w:trHeight w:val="540"/>
        </w:trPr>
        <w:tc>
          <w:tcPr>
            <w:tcW w:w="6020" w:type="dxa"/>
            <w:vAlign w:val="bottom"/>
          </w:tcPr>
          <w:p>
            <w:pPr>
              <w:spacing w:after="0"/>
              <w:rPr>
                <w:sz w:val="20"/>
                <w:szCs w:val="20"/>
                <w:color w:val="auto"/>
              </w:rPr>
            </w:pPr>
            <w:r>
              <w:rPr>
                <w:rFonts w:ascii="Arial" w:cs="Arial" w:eastAsia="Arial" w:hAnsi="Arial"/>
                <w:sz w:val="16"/>
                <w:szCs w:val="16"/>
                <w:color w:val="auto"/>
              </w:rPr>
              <w:t>Costs and expenses: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Cost of sales and services</w:t>
            </w:r>
          </w:p>
        </w:tc>
        <w:tc>
          <w:tcPr>
            <w:tcW w:w="1300" w:type="dxa"/>
            <w:vAlign w:val="bottom"/>
          </w:tcPr>
          <w:p>
            <w:pPr>
              <w:jc w:val="right"/>
              <w:spacing w:after="0"/>
              <w:rPr>
                <w:sz w:val="20"/>
                <w:szCs w:val="20"/>
                <w:color w:val="auto"/>
              </w:rPr>
            </w:pPr>
            <w:r>
              <w:rPr>
                <w:rFonts w:ascii="Arial" w:cs="Arial" w:eastAsia="Arial" w:hAnsi="Arial"/>
                <w:sz w:val="16"/>
                <w:szCs w:val="16"/>
                <w:color w:val="auto"/>
              </w:rPr>
              <w:t>137,101</w:t>
            </w:r>
          </w:p>
        </w:tc>
        <w:tc>
          <w:tcPr>
            <w:tcW w:w="1460" w:type="dxa"/>
            <w:vAlign w:val="bottom"/>
            <w:gridSpan w:val="3"/>
          </w:tcPr>
          <w:p>
            <w:pPr>
              <w:jc w:val="right"/>
              <w:ind w:right="80"/>
              <w:spacing w:after="0"/>
              <w:rPr>
                <w:sz w:val="20"/>
                <w:szCs w:val="20"/>
                <w:color w:val="auto"/>
              </w:rPr>
            </w:pPr>
            <w:r>
              <w:rPr>
                <w:rFonts w:ascii="Arial" w:cs="Arial" w:eastAsia="Arial" w:hAnsi="Arial"/>
                <w:sz w:val="16"/>
                <w:szCs w:val="16"/>
                <w:color w:val="auto"/>
              </w:rPr>
              <w:t>132,126</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413,916</w:t>
            </w:r>
          </w:p>
        </w:tc>
        <w:tc>
          <w:tcPr>
            <w:tcW w:w="1200" w:type="dxa"/>
            <w:vAlign w:val="bottom"/>
          </w:tcPr>
          <w:p>
            <w:pPr>
              <w:jc w:val="right"/>
              <w:spacing w:after="0"/>
              <w:rPr>
                <w:sz w:val="20"/>
                <w:szCs w:val="20"/>
                <w:color w:val="auto"/>
              </w:rPr>
            </w:pPr>
            <w:r>
              <w:rPr>
                <w:rFonts w:ascii="Arial" w:cs="Arial" w:eastAsia="Arial" w:hAnsi="Arial"/>
                <w:sz w:val="16"/>
                <w:szCs w:val="16"/>
                <w:color w:val="auto"/>
              </w:rPr>
              <w:t>415,168</w:t>
            </w: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300" w:type="dxa"/>
            <w:vAlign w:val="bottom"/>
          </w:tcPr>
          <w:p>
            <w:pPr>
              <w:jc w:val="right"/>
              <w:spacing w:after="0"/>
              <w:rPr>
                <w:sz w:val="20"/>
                <w:szCs w:val="20"/>
                <w:color w:val="auto"/>
              </w:rPr>
            </w:pPr>
            <w:r>
              <w:rPr>
                <w:rFonts w:ascii="Arial" w:cs="Arial" w:eastAsia="Arial" w:hAnsi="Arial"/>
                <w:sz w:val="16"/>
                <w:szCs w:val="16"/>
                <w:color w:val="auto"/>
              </w:rPr>
              <w:t>13,216</w:t>
            </w:r>
          </w:p>
        </w:tc>
        <w:tc>
          <w:tcPr>
            <w:tcW w:w="1460" w:type="dxa"/>
            <w:vAlign w:val="bottom"/>
            <w:gridSpan w:val="3"/>
          </w:tcPr>
          <w:p>
            <w:pPr>
              <w:jc w:val="right"/>
              <w:ind w:right="80"/>
              <w:spacing w:after="0"/>
              <w:rPr>
                <w:sz w:val="20"/>
                <w:szCs w:val="20"/>
                <w:color w:val="auto"/>
              </w:rPr>
            </w:pPr>
            <w:r>
              <w:rPr>
                <w:rFonts w:ascii="Arial" w:cs="Arial" w:eastAsia="Arial" w:hAnsi="Arial"/>
                <w:sz w:val="16"/>
                <w:szCs w:val="16"/>
                <w:color w:val="auto"/>
              </w:rPr>
              <w:t>17,212</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51,069</w:t>
            </w:r>
          </w:p>
        </w:tc>
        <w:tc>
          <w:tcPr>
            <w:tcW w:w="1200" w:type="dxa"/>
            <w:vAlign w:val="bottom"/>
          </w:tcPr>
          <w:p>
            <w:pPr>
              <w:jc w:val="right"/>
              <w:spacing w:after="0"/>
              <w:rPr>
                <w:sz w:val="20"/>
                <w:szCs w:val="20"/>
                <w:color w:val="auto"/>
              </w:rPr>
            </w:pPr>
            <w:r>
              <w:rPr>
                <w:rFonts w:ascii="Arial" w:cs="Arial" w:eastAsia="Arial" w:hAnsi="Arial"/>
                <w:sz w:val="16"/>
                <w:szCs w:val="16"/>
                <w:color w:val="auto"/>
              </w:rPr>
              <w:t>50,377</w:t>
            </w:r>
          </w:p>
        </w:tc>
      </w:tr>
    </w:tbl>
    <w:p>
      <w:pPr>
        <w:sectPr>
          <w:pgSz w:w="11900" w:h="16918"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ind w:left="220"/>
              <w:spacing w:after="0"/>
              <w:rPr>
                <w:sz w:val="20"/>
                <w:szCs w:val="20"/>
                <w:color w:val="auto"/>
              </w:rPr>
            </w:pPr>
            <w:r>
              <w:rPr>
                <w:rFonts w:ascii="Arial" w:cs="Arial" w:eastAsia="Arial" w:hAnsi="Arial"/>
                <w:sz w:val="16"/>
                <w:szCs w:val="16"/>
                <w:color w:val="auto"/>
              </w:rPr>
              <w:t>Spin-off and formation costs</w:t>
            </w:r>
          </w:p>
        </w:tc>
        <w:tc>
          <w:tcPr>
            <w:tcW w:w="1300" w:type="dxa"/>
            <w:vAlign w:val="bottom"/>
          </w:tcPr>
          <w:p>
            <w:pPr>
              <w:jc w:val="right"/>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3,497</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300" w:type="dxa"/>
            <w:vAlign w:val="bottom"/>
          </w:tcPr>
          <w:p>
            <w:pPr>
              <w:jc w:val="right"/>
              <w:spacing w:after="0"/>
              <w:rPr>
                <w:sz w:val="20"/>
                <w:szCs w:val="20"/>
                <w:color w:val="auto"/>
              </w:rPr>
            </w:pPr>
            <w:r>
              <w:rPr>
                <w:rFonts w:ascii="Arial" w:cs="Arial" w:eastAsia="Arial" w:hAnsi="Arial"/>
                <w:sz w:val="16"/>
                <w:szCs w:val="16"/>
                <w:color w:val="auto"/>
              </w:rPr>
              <w:t>45,758</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42,011</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127,770</w:t>
            </w:r>
          </w:p>
        </w:tc>
        <w:tc>
          <w:tcPr>
            <w:tcW w:w="1200" w:type="dxa"/>
            <w:vAlign w:val="bottom"/>
          </w:tcPr>
          <w:p>
            <w:pPr>
              <w:jc w:val="right"/>
              <w:spacing w:after="0"/>
              <w:rPr>
                <w:sz w:val="20"/>
                <w:szCs w:val="20"/>
                <w:color w:val="auto"/>
              </w:rPr>
            </w:pPr>
            <w:r>
              <w:rPr>
                <w:rFonts w:ascii="Arial" w:cs="Arial" w:eastAsia="Arial" w:hAnsi="Arial"/>
                <w:sz w:val="16"/>
                <w:szCs w:val="16"/>
                <w:color w:val="auto"/>
              </w:rPr>
              <w:t>124,510</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Impairment expense</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11,610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020" w:type="dxa"/>
            <w:vAlign w:val="bottom"/>
          </w:tcPr>
          <w:p>
            <w:pPr>
              <w:ind w:left="220"/>
              <w:spacing w:after="0"/>
              <w:rPr>
                <w:sz w:val="20"/>
                <w:szCs w:val="20"/>
                <w:color w:val="auto"/>
              </w:rPr>
            </w:pPr>
            <w:r>
              <w:rPr>
                <w:rFonts w:ascii="Arial" w:cs="Arial" w:eastAsia="Arial" w:hAnsi="Arial"/>
                <w:sz w:val="16"/>
                <w:szCs w:val="16"/>
                <w:color w:val="auto"/>
              </w:rPr>
              <w:t>Other operating expense (income)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(3,205)</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197,268</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191,715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608,114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586,850</w:t>
            </w:r>
          </w:p>
        </w:tc>
        <w:tc>
          <w:tcPr>
            <w:tcW w:w="0" w:type="dxa"/>
            <w:vAlign w:val="bottom"/>
          </w:tcPr>
          <w:p>
            <w:pPr>
              <w:spacing w:after="0"/>
              <w:rPr>
                <w:sz w:val="1"/>
                <w:szCs w:val="1"/>
                <w:color w:val="auto"/>
              </w:rPr>
            </w:pPr>
          </w:p>
        </w:tc>
      </w:tr>
      <w:tr>
        <w:trPr>
          <w:trHeight w:val="271"/>
        </w:trPr>
        <w:tc>
          <w:tcPr>
            <w:tcW w:w="6020" w:type="dxa"/>
            <w:vAlign w:val="bottom"/>
          </w:tcPr>
          <w:p>
            <w:pPr>
              <w:spacing w:after="0"/>
              <w:rPr>
                <w:sz w:val="20"/>
                <w:szCs w:val="20"/>
                <w:color w:val="auto"/>
              </w:rPr>
            </w:pPr>
            <w:r>
              <w:rPr>
                <w:rFonts w:ascii="Arial" w:cs="Arial" w:eastAsia="Arial" w:hAnsi="Arial"/>
                <w:sz w:val="16"/>
                <w:szCs w:val="16"/>
                <w:color w:val="auto"/>
              </w:rPr>
              <w:t>Operating income</w:t>
            </w:r>
          </w:p>
        </w:tc>
        <w:tc>
          <w:tcPr>
            <w:tcW w:w="1300" w:type="dxa"/>
            <w:vAlign w:val="bottom"/>
          </w:tcPr>
          <w:p>
            <w:pPr>
              <w:jc w:val="right"/>
              <w:spacing w:after="0"/>
              <w:rPr>
                <w:sz w:val="20"/>
                <w:szCs w:val="20"/>
                <w:color w:val="auto"/>
              </w:rPr>
            </w:pPr>
            <w:r>
              <w:rPr>
                <w:rFonts w:ascii="Arial" w:cs="Arial" w:eastAsia="Arial" w:hAnsi="Arial"/>
                <w:sz w:val="16"/>
                <w:szCs w:val="16"/>
                <w:color w:val="auto"/>
              </w:rPr>
              <w:t>45,997</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53,384</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115,083</w:t>
            </w:r>
          </w:p>
        </w:tc>
        <w:tc>
          <w:tcPr>
            <w:tcW w:w="1200" w:type="dxa"/>
            <w:vAlign w:val="bottom"/>
          </w:tcPr>
          <w:p>
            <w:pPr>
              <w:jc w:val="right"/>
              <w:spacing w:after="0"/>
              <w:rPr>
                <w:sz w:val="20"/>
                <w:szCs w:val="20"/>
                <w:color w:val="auto"/>
              </w:rPr>
            </w:pPr>
            <w:r>
              <w:rPr>
                <w:rFonts w:ascii="Arial" w:cs="Arial" w:eastAsia="Arial" w:hAnsi="Arial"/>
                <w:sz w:val="16"/>
                <w:szCs w:val="16"/>
                <w:color w:val="auto"/>
              </w:rPr>
              <w:t>195,777</w:t>
            </w:r>
          </w:p>
        </w:tc>
        <w:tc>
          <w:tcPr>
            <w:tcW w:w="0" w:type="dxa"/>
            <w:vAlign w:val="bottom"/>
          </w:tcPr>
          <w:p>
            <w:pPr>
              <w:spacing w:after="0"/>
              <w:rPr>
                <w:sz w:val="1"/>
                <w:szCs w:val="1"/>
                <w:color w:val="auto"/>
              </w:rPr>
            </w:pPr>
          </w:p>
        </w:tc>
      </w:tr>
      <w:tr>
        <w:trPr>
          <w:trHeight w:val="540"/>
        </w:trPr>
        <w:tc>
          <w:tcPr>
            <w:tcW w:w="602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(4,563)</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(6,980)</w:t>
            </w:r>
          </w:p>
        </w:tc>
        <w:tc>
          <w:tcPr>
            <w:tcW w:w="1200" w:type="dxa"/>
            <w:vAlign w:val="bottom"/>
          </w:tcPr>
          <w:p>
            <w:pPr>
              <w:jc w:val="right"/>
              <w:spacing w:after="0"/>
              <w:rPr>
                <w:sz w:val="20"/>
                <w:szCs w:val="20"/>
                <w:color w:val="auto"/>
              </w:rPr>
            </w:pPr>
            <w:r>
              <w:rPr>
                <w:rFonts w:ascii="Arial" w:cs="Arial" w:eastAsia="Arial" w:hAnsi="Arial"/>
                <w:sz w:val="16"/>
                <w:szCs w:val="16"/>
                <w:color w:val="auto"/>
              </w:rPr>
              <w:t>(13,857)</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300" w:type="dxa"/>
            <w:vAlign w:val="bottom"/>
          </w:tcPr>
          <w:p>
            <w:pPr>
              <w:jc w:val="right"/>
              <w:spacing w:after="0"/>
              <w:rPr>
                <w:sz w:val="20"/>
                <w:szCs w:val="20"/>
                <w:color w:val="auto"/>
              </w:rPr>
            </w:pPr>
            <w:r>
              <w:rPr>
                <w:rFonts w:ascii="Arial" w:cs="Arial" w:eastAsia="Arial" w:hAnsi="Arial"/>
                <w:sz w:val="16"/>
                <w:szCs w:val="16"/>
                <w:color w:val="auto"/>
              </w:rPr>
              <w:t>(5,335)</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(992)</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(8,445)</w:t>
            </w:r>
          </w:p>
        </w:tc>
        <w:tc>
          <w:tcPr>
            <w:tcW w:w="1200" w:type="dxa"/>
            <w:vAlign w:val="bottom"/>
          </w:tcPr>
          <w:p>
            <w:pPr>
              <w:jc w:val="right"/>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(3,455)</w:t>
            </w:r>
          </w:p>
        </w:tc>
        <w:tc>
          <w:tcPr>
            <w:tcW w:w="1200" w:type="dxa"/>
            <w:vAlign w:val="bottom"/>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income</w:t>
            </w:r>
          </w:p>
        </w:tc>
        <w:tc>
          <w:tcPr>
            <w:tcW w:w="1300" w:type="dxa"/>
            <w:vAlign w:val="bottom"/>
          </w:tcPr>
          <w:p>
            <w:pPr>
              <w:jc w:val="right"/>
              <w:spacing w:after="0"/>
              <w:rPr>
                <w:sz w:val="20"/>
                <w:szCs w:val="20"/>
                <w:color w:val="auto"/>
              </w:rPr>
            </w:pPr>
            <w:r>
              <w:rPr>
                <w:rFonts w:ascii="Arial" w:cs="Arial" w:eastAsia="Arial" w:hAnsi="Arial"/>
                <w:sz w:val="16"/>
                <w:szCs w:val="16"/>
                <w:color w:val="auto"/>
              </w:rPr>
              <w:t>1,048</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347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2,841</w:t>
            </w:r>
          </w:p>
        </w:tc>
        <w:tc>
          <w:tcPr>
            <w:tcW w:w="120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63"/>
        </w:trPr>
        <w:tc>
          <w:tcPr>
            <w:tcW w:w="6020" w:type="dxa"/>
            <w:vAlign w:val="bottom"/>
          </w:tcPr>
          <w:p>
            <w:pPr>
              <w:spacing w:after="0"/>
              <w:rPr>
                <w:sz w:val="20"/>
                <w:szCs w:val="20"/>
                <w:color w:val="auto"/>
              </w:rPr>
            </w:pPr>
            <w:r>
              <w:rPr>
                <w:rFonts w:ascii="Arial" w:cs="Arial" w:eastAsia="Arial" w:hAnsi="Arial"/>
                <w:sz w:val="16"/>
                <w:szCs w:val="16"/>
                <w:color w:val="auto"/>
              </w:rPr>
              <w:t>Other income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3,236</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w:t>
            </w:r>
          </w:p>
        </w:tc>
        <w:tc>
          <w:tcPr>
            <w:tcW w:w="0" w:type="dxa"/>
            <w:vAlign w:val="bottom"/>
          </w:tcPr>
          <w:p>
            <w:pPr>
              <w:spacing w:after="0"/>
              <w:rPr>
                <w:sz w:val="1"/>
                <w:szCs w:val="1"/>
                <w:color w:val="auto"/>
              </w:rPr>
            </w:pPr>
          </w:p>
        </w:tc>
      </w:tr>
      <w:tr>
        <w:trPr>
          <w:trHeight w:val="271"/>
        </w:trPr>
        <w:tc>
          <w:tcPr>
            <w:tcW w:w="6020" w:type="dxa"/>
            <w:vAlign w:val="bottom"/>
          </w:tcPr>
          <w:p>
            <w:pPr>
              <w:ind w:left="220"/>
              <w:spacing w:after="0"/>
              <w:rPr>
                <w:sz w:val="20"/>
                <w:szCs w:val="20"/>
                <w:color w:val="auto"/>
              </w:rPr>
            </w:pPr>
            <w:r>
              <w:rPr>
                <w:rFonts w:ascii="Arial" w:cs="Arial" w:eastAsia="Arial" w:hAnsi="Arial"/>
                <w:sz w:val="16"/>
                <w:szCs w:val="16"/>
                <w:color w:val="auto"/>
              </w:rPr>
              <w:t>Income before income taxes</w:t>
            </w:r>
          </w:p>
        </w:tc>
        <w:tc>
          <w:tcPr>
            <w:tcW w:w="1300" w:type="dxa"/>
            <w:vAlign w:val="bottom"/>
          </w:tcPr>
          <w:p>
            <w:pPr>
              <w:jc w:val="right"/>
              <w:spacing w:after="0"/>
              <w:rPr>
                <w:sz w:val="20"/>
                <w:szCs w:val="20"/>
                <w:color w:val="auto"/>
              </w:rPr>
            </w:pPr>
            <w:r>
              <w:rPr>
                <w:rFonts w:ascii="Arial" w:cs="Arial" w:eastAsia="Arial" w:hAnsi="Arial"/>
                <w:sz w:val="16"/>
                <w:szCs w:val="16"/>
                <w:color w:val="auto"/>
              </w:rPr>
              <w:t>41,774</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51,412</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100,055</w:t>
            </w:r>
          </w:p>
        </w:tc>
        <w:tc>
          <w:tcPr>
            <w:tcW w:w="1200" w:type="dxa"/>
            <w:vAlign w:val="bottom"/>
          </w:tcPr>
          <w:p>
            <w:pPr>
              <w:jc w:val="right"/>
              <w:spacing w:after="0"/>
              <w:rPr>
                <w:sz w:val="20"/>
                <w:szCs w:val="20"/>
                <w:color w:val="auto"/>
              </w:rPr>
            </w:pPr>
            <w:r>
              <w:rPr>
                <w:rFonts w:ascii="Arial" w:cs="Arial" w:eastAsia="Arial" w:hAnsi="Arial"/>
                <w:sz w:val="16"/>
                <w:szCs w:val="16"/>
                <w:color w:val="auto"/>
              </w:rPr>
              <w:t>180,837</w:t>
            </w:r>
          </w:p>
        </w:tc>
        <w:tc>
          <w:tcPr>
            <w:tcW w:w="0" w:type="dxa"/>
            <w:vAlign w:val="bottom"/>
          </w:tcPr>
          <w:p>
            <w:pPr>
              <w:spacing w:after="0"/>
              <w:rPr>
                <w:sz w:val="1"/>
                <w:szCs w:val="1"/>
                <w:color w:val="auto"/>
              </w:rPr>
            </w:pPr>
          </w:p>
        </w:tc>
      </w:tr>
      <w:tr>
        <w:trPr>
          <w:trHeight w:val="263"/>
        </w:trPr>
        <w:tc>
          <w:tcPr>
            <w:tcW w:w="6020" w:type="dxa"/>
            <w:vAlign w:val="bottom"/>
          </w:tcPr>
          <w:p>
            <w:pPr>
              <w:spacing w:after="0"/>
              <w:rPr>
                <w:sz w:val="20"/>
                <w:szCs w:val="20"/>
                <w:color w:val="auto"/>
              </w:rPr>
            </w:pPr>
            <w:r>
              <w:rPr>
                <w:rFonts w:ascii="Arial" w:cs="Arial" w:eastAsia="Arial" w:hAnsi="Arial"/>
                <w:sz w:val="16"/>
                <w:szCs w:val="16"/>
                <w:color w:val="auto"/>
              </w:rPr>
              <w:t>Income tax provision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(9,011)</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(11,418)</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(43,350)</w:t>
            </w:r>
          </w:p>
        </w:tc>
        <w:tc>
          <w:tcPr>
            <w:tcW w:w="0" w:type="dxa"/>
            <w:vAlign w:val="bottom"/>
          </w:tcPr>
          <w:p>
            <w:pPr>
              <w:spacing w:after="0"/>
              <w:rPr>
                <w:sz w:val="1"/>
                <w:szCs w:val="1"/>
                <w:color w:val="auto"/>
              </w:rPr>
            </w:pPr>
          </w:p>
        </w:tc>
      </w:tr>
      <w:tr>
        <w:trPr>
          <w:trHeight w:val="271"/>
        </w:trPr>
        <w:tc>
          <w:tcPr>
            <w:tcW w:w="6020" w:type="dxa"/>
            <w:vAlign w:val="bottom"/>
          </w:tcPr>
          <w:p>
            <w:pPr>
              <w:spacing w:after="0"/>
              <w:rPr>
                <w:sz w:val="20"/>
                <w:szCs w:val="20"/>
                <w:color w:val="auto"/>
              </w:rPr>
            </w:pPr>
            <w:r>
              <w:rPr>
                <w:rFonts w:ascii="Arial" w:cs="Arial" w:eastAsia="Arial" w:hAnsi="Arial"/>
                <w:sz w:val="16"/>
                <w:szCs w:val="16"/>
                <w:color w:val="auto"/>
              </w:rPr>
              <w:t>Net income</w:t>
            </w:r>
          </w:p>
        </w:tc>
        <w:tc>
          <w:tcPr>
            <w:tcW w:w="1300" w:type="dxa"/>
            <w:vAlign w:val="bottom"/>
          </w:tcPr>
          <w:p>
            <w:pPr>
              <w:jc w:val="right"/>
              <w:spacing w:after="0"/>
              <w:rPr>
                <w:sz w:val="20"/>
                <w:szCs w:val="20"/>
                <w:color w:val="auto"/>
              </w:rPr>
            </w:pPr>
            <w:r>
              <w:rPr>
                <w:rFonts w:ascii="Arial" w:cs="Arial" w:eastAsia="Arial" w:hAnsi="Arial"/>
                <w:sz w:val="16"/>
                <w:szCs w:val="16"/>
                <w:color w:val="auto"/>
              </w:rPr>
              <w:t>32,763</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39,994</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83,644</w:t>
            </w:r>
          </w:p>
        </w:tc>
        <w:tc>
          <w:tcPr>
            <w:tcW w:w="1200" w:type="dxa"/>
            <w:vAlign w:val="bottom"/>
          </w:tcPr>
          <w:p>
            <w:pPr>
              <w:jc w:val="right"/>
              <w:spacing w:after="0"/>
              <w:rPr>
                <w:sz w:val="20"/>
                <w:szCs w:val="20"/>
                <w:color w:val="auto"/>
              </w:rPr>
            </w:pPr>
            <w:r>
              <w:rPr>
                <w:rFonts w:ascii="Arial" w:cs="Arial" w:eastAsia="Arial" w:hAnsi="Arial"/>
                <w:sz w:val="16"/>
                <w:szCs w:val="16"/>
                <w:color w:val="auto"/>
              </w:rPr>
              <w:t>137,487</w:t>
            </w:r>
          </w:p>
        </w:tc>
        <w:tc>
          <w:tcPr>
            <w:tcW w:w="0" w:type="dxa"/>
            <w:vAlign w:val="bottom"/>
          </w:tcPr>
          <w:p>
            <w:pPr>
              <w:spacing w:after="0"/>
              <w:rPr>
                <w:sz w:val="1"/>
                <w:szCs w:val="1"/>
                <w:color w:val="auto"/>
              </w:rPr>
            </w:pPr>
          </w:p>
        </w:tc>
      </w:tr>
      <w:tr>
        <w:trPr>
          <w:trHeight w:val="263"/>
        </w:trPr>
        <w:tc>
          <w:tcPr>
            <w:tcW w:w="6020" w:type="dxa"/>
            <w:vAlign w:val="bottom"/>
          </w:tcPr>
          <w:p>
            <w:pPr>
              <w:ind w:left="220"/>
              <w:spacing w:after="0"/>
              <w:rPr>
                <w:sz w:val="20"/>
                <w:szCs w:val="20"/>
                <w:color w:val="auto"/>
              </w:rPr>
            </w:pPr>
            <w:r>
              <w:rPr>
                <w:rFonts w:ascii="Arial" w:cs="Arial" w:eastAsia="Arial" w:hAnsi="Arial"/>
                <w:sz w:val="16"/>
                <w:szCs w:val="16"/>
                <w:color w:val="auto"/>
              </w:rPr>
              <w:t>Less: Net income attributable to noncontrolling interest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0"/>
                <w:szCs w:val="20"/>
                <w:color w:val="auto"/>
              </w:rPr>
            </w:pPr>
            <w:r>
              <w:rPr>
                <w:rFonts w:ascii="Arial" w:cs="Arial" w:eastAsia="Arial" w:hAnsi="Arial"/>
                <w:sz w:val="16"/>
                <w:szCs w:val="16"/>
                <w:color w:val="auto"/>
              </w:rPr>
              <w:t>Net income attributable to Civeo Corporation</w:t>
            </w:r>
          </w:p>
        </w:tc>
        <w:tc>
          <w:tcPr>
            <w:tcW w:w="1300" w:type="dxa"/>
            <w:vAlign w:val="bottom"/>
          </w:tcPr>
          <w:p>
            <w:pPr>
              <w:jc w:val="right"/>
              <w:spacing w:after="0"/>
              <w:rPr>
                <w:sz w:val="20"/>
                <w:szCs w:val="20"/>
                <w:color w:val="auto"/>
              </w:rPr>
            </w:pPr>
            <w:r>
              <w:rPr>
                <w:rFonts w:ascii="Arial" w:cs="Arial" w:eastAsia="Arial" w:hAnsi="Arial"/>
                <w:sz w:val="16"/>
                <w:szCs w:val="16"/>
                <w:color w:val="auto"/>
              </w:rPr>
              <w:t>$ 32,403</w:t>
            </w:r>
          </w:p>
        </w:tc>
        <w:tc>
          <w:tcPr>
            <w:tcW w:w="8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$ 39,641</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$ 82,591</w:t>
            </w:r>
          </w:p>
        </w:tc>
        <w:tc>
          <w:tcPr>
            <w:tcW w:w="1200" w:type="dxa"/>
            <w:vAlign w:val="bottom"/>
          </w:tcPr>
          <w:p>
            <w:pPr>
              <w:jc w:val="right"/>
              <w:spacing w:after="0"/>
              <w:rPr>
                <w:sz w:val="20"/>
                <w:szCs w:val="20"/>
                <w:color w:val="auto"/>
              </w:rPr>
            </w:pPr>
            <w:r>
              <w:rPr>
                <w:rFonts w:ascii="Arial" w:cs="Arial" w:eastAsia="Arial" w:hAnsi="Arial"/>
                <w:sz w:val="16"/>
                <w:szCs w:val="16"/>
                <w:color w:val="auto"/>
              </w:rPr>
              <w:t>$ 136,423</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6"/>
                <w:szCs w:val="16"/>
                <w:color w:val="auto"/>
              </w:rPr>
              <w:t>Net income per share attributable to Civeo Corporation common stockholders:</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60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Basic</w:t>
            </w:r>
          </w:p>
        </w:tc>
        <w:tc>
          <w:tcPr>
            <w:tcW w:w="1300" w:type="dxa"/>
            <w:vAlign w:val="bottom"/>
          </w:tcPr>
          <w:p>
            <w:pPr>
              <w:jc w:val="right"/>
              <w:spacing w:after="0"/>
              <w:rPr>
                <w:sz w:val="20"/>
                <w:szCs w:val="20"/>
                <w:color w:val="auto"/>
              </w:rPr>
            </w:pPr>
            <w:r>
              <w:rPr>
                <w:rFonts w:ascii="Arial" w:cs="Arial" w:eastAsia="Arial" w:hAnsi="Arial"/>
                <w:sz w:val="16"/>
                <w:szCs w:val="16"/>
                <w:color w:val="auto"/>
              </w:rPr>
              <w:t>$ 0.30</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$ 0.37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$ 0.77</w:t>
            </w:r>
          </w:p>
        </w:tc>
        <w:tc>
          <w:tcPr>
            <w:tcW w:w="1200" w:type="dxa"/>
            <w:vAlign w:val="bottom"/>
          </w:tcPr>
          <w:p>
            <w:pPr>
              <w:jc w:val="right"/>
              <w:spacing w:after="0"/>
              <w:rPr>
                <w:sz w:val="20"/>
                <w:szCs w:val="20"/>
                <w:color w:val="auto"/>
              </w:rPr>
            </w:pPr>
            <w:r>
              <w:rPr>
                <w:rFonts w:ascii="Arial" w:cs="Arial" w:eastAsia="Arial" w:hAnsi="Arial"/>
                <w:sz w:val="16"/>
                <w:szCs w:val="16"/>
                <w:color w:val="auto"/>
              </w:rPr>
              <w:t>$ 1.28</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Diluted</w:t>
            </w:r>
          </w:p>
        </w:tc>
        <w:tc>
          <w:tcPr>
            <w:tcW w:w="1300" w:type="dxa"/>
            <w:vAlign w:val="bottom"/>
          </w:tcPr>
          <w:p>
            <w:pPr>
              <w:jc w:val="right"/>
              <w:spacing w:after="0"/>
              <w:rPr>
                <w:sz w:val="20"/>
                <w:szCs w:val="20"/>
                <w:color w:val="auto"/>
              </w:rPr>
            </w:pPr>
            <w:r>
              <w:rPr>
                <w:rFonts w:ascii="Arial" w:cs="Arial" w:eastAsia="Arial" w:hAnsi="Arial"/>
                <w:sz w:val="16"/>
                <w:szCs w:val="16"/>
                <w:color w:val="auto"/>
              </w:rPr>
              <w:t>$ 0.30</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$ 0.37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$ 0.77</w:t>
            </w:r>
          </w:p>
        </w:tc>
        <w:tc>
          <w:tcPr>
            <w:tcW w:w="1200" w:type="dxa"/>
            <w:vAlign w:val="bottom"/>
          </w:tcPr>
          <w:p>
            <w:pPr>
              <w:jc w:val="right"/>
              <w:spacing w:after="0"/>
              <w:rPr>
                <w:sz w:val="20"/>
                <w:szCs w:val="20"/>
                <w:color w:val="auto"/>
              </w:rPr>
            </w:pPr>
            <w:r>
              <w:rPr>
                <w:rFonts w:ascii="Arial" w:cs="Arial" w:eastAsia="Arial" w:hAnsi="Arial"/>
                <w:sz w:val="16"/>
                <w:szCs w:val="16"/>
                <w:color w:val="auto"/>
              </w:rPr>
              <w:t>$ 1.28</w:t>
            </w:r>
          </w:p>
        </w:tc>
        <w:tc>
          <w:tcPr>
            <w:tcW w:w="0" w:type="dxa"/>
            <w:vAlign w:val="bottom"/>
          </w:tcPr>
          <w:p>
            <w:pPr>
              <w:spacing w:after="0"/>
              <w:rPr>
                <w:sz w:val="1"/>
                <w:szCs w:val="1"/>
                <w:color w:val="auto"/>
              </w:rPr>
            </w:pPr>
          </w:p>
        </w:tc>
      </w:tr>
      <w:tr>
        <w:trPr>
          <w:trHeight w:val="810"/>
        </w:trPr>
        <w:tc>
          <w:tcPr>
            <w:tcW w:w="602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Basic</w:t>
            </w:r>
          </w:p>
        </w:tc>
        <w:tc>
          <w:tcPr>
            <w:tcW w:w="1300" w:type="dxa"/>
            <w:vAlign w:val="bottom"/>
          </w:tcPr>
          <w:p>
            <w:pPr>
              <w:jc w:val="right"/>
              <w:spacing w:after="0"/>
              <w:rPr>
                <w:sz w:val="20"/>
                <w:szCs w:val="20"/>
                <w:color w:val="auto"/>
              </w:rPr>
            </w:pPr>
            <w:r>
              <w:rPr>
                <w:rFonts w:ascii="Arial" w:cs="Arial" w:eastAsia="Arial" w:hAnsi="Arial"/>
                <w:sz w:val="16"/>
                <w:szCs w:val="16"/>
                <w:color w:val="auto"/>
              </w:rPr>
              <w:t>106,311</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106,293</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106,300</w:t>
            </w:r>
          </w:p>
        </w:tc>
        <w:tc>
          <w:tcPr>
            <w:tcW w:w="1200" w:type="dxa"/>
            <w:vAlign w:val="bottom"/>
          </w:tcPr>
          <w:p>
            <w:pPr>
              <w:jc w:val="right"/>
              <w:spacing w:after="0"/>
              <w:rPr>
                <w:sz w:val="20"/>
                <w:szCs w:val="20"/>
                <w:color w:val="auto"/>
              </w:rPr>
            </w:pPr>
            <w:r>
              <w:rPr>
                <w:rFonts w:ascii="Arial" w:cs="Arial" w:eastAsia="Arial" w:hAnsi="Arial"/>
                <w:sz w:val="16"/>
                <w:szCs w:val="16"/>
                <w:color w:val="auto"/>
              </w:rPr>
              <w:t>106,293</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Diluted</w:t>
            </w:r>
          </w:p>
        </w:tc>
        <w:tc>
          <w:tcPr>
            <w:tcW w:w="1300" w:type="dxa"/>
            <w:vAlign w:val="bottom"/>
          </w:tcPr>
          <w:p>
            <w:pPr>
              <w:jc w:val="right"/>
              <w:spacing w:after="0"/>
              <w:rPr>
                <w:sz w:val="20"/>
                <w:szCs w:val="20"/>
                <w:color w:val="auto"/>
              </w:rPr>
            </w:pPr>
            <w:r>
              <w:rPr>
                <w:rFonts w:ascii="Arial" w:cs="Arial" w:eastAsia="Arial" w:hAnsi="Arial"/>
                <w:sz w:val="16"/>
                <w:szCs w:val="16"/>
                <w:color w:val="auto"/>
              </w:rPr>
              <w:t>106,495</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106,460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106,474</w:t>
            </w:r>
          </w:p>
        </w:tc>
        <w:tc>
          <w:tcPr>
            <w:tcW w:w="1200" w:type="dxa"/>
            <w:vAlign w:val="bottom"/>
          </w:tcPr>
          <w:p>
            <w:pPr>
              <w:jc w:val="right"/>
              <w:spacing w:after="0"/>
              <w:rPr>
                <w:sz w:val="20"/>
                <w:szCs w:val="20"/>
                <w:color w:val="auto"/>
              </w:rPr>
            </w:pPr>
            <w:r>
              <w:rPr>
                <w:rFonts w:ascii="Arial" w:cs="Arial" w:eastAsia="Arial" w:hAnsi="Arial"/>
                <w:sz w:val="16"/>
                <w:szCs w:val="16"/>
                <w:color w:val="auto"/>
              </w:rPr>
              <w:t>106,460</w:t>
            </w:r>
          </w:p>
        </w:tc>
        <w:tc>
          <w:tcPr>
            <w:tcW w:w="0" w:type="dxa"/>
            <w:vAlign w:val="bottom"/>
          </w:tcPr>
          <w:p>
            <w:pPr>
              <w:spacing w:after="0"/>
              <w:rPr>
                <w:sz w:val="1"/>
                <w:szCs w:val="1"/>
                <w:color w:val="auto"/>
              </w:rPr>
            </w:pPr>
          </w:p>
        </w:tc>
      </w:tr>
      <w:tr>
        <w:trPr>
          <w:trHeight w:val="810"/>
        </w:trPr>
        <w:tc>
          <w:tcPr>
            <w:tcW w:w="602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1300" w:type="dxa"/>
            <w:vAlign w:val="bottom"/>
          </w:tcPr>
          <w:p>
            <w:pPr>
              <w:jc w:val="right"/>
              <w:spacing w:after="0"/>
              <w:rPr>
                <w:sz w:val="20"/>
                <w:szCs w:val="20"/>
                <w:color w:val="auto"/>
              </w:rPr>
            </w:pPr>
            <w:r>
              <w:rPr>
                <w:rFonts w:ascii="Arial" w:cs="Arial" w:eastAsia="Arial" w:hAnsi="Arial"/>
                <w:sz w:val="16"/>
                <w:szCs w:val="16"/>
                <w:color w:val="auto"/>
              </w:rPr>
              <w:t>$ 0.13</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$ 0.13</w:t>
            </w:r>
          </w:p>
        </w:tc>
        <w:tc>
          <w:tcPr>
            <w:tcW w:w="12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9"/>
        <w:spacing w:after="0" w:line="251"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2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82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66"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 DECEMBER 31,</w:t>
            </w:r>
          </w:p>
        </w:tc>
        <w:tc>
          <w:tcPr>
            <w:tcW w:w="0" w:type="dxa"/>
            <w:vAlign w:val="bottom"/>
          </w:tcPr>
          <w:p>
            <w:pPr>
              <w:spacing w:after="0"/>
              <w:rPr>
                <w:sz w:val="1"/>
                <w:szCs w:val="1"/>
                <w:color w:val="auto"/>
              </w:rPr>
            </w:pPr>
          </w:p>
        </w:tc>
      </w:tr>
      <w:tr>
        <w:trPr>
          <w:trHeight w:val="207"/>
        </w:trPr>
        <w:tc>
          <w:tcPr>
            <w:tcW w:w="6820" w:type="dxa"/>
            <w:vAlign w:val="bottom"/>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71"/>
        </w:trPr>
        <w:tc>
          <w:tcPr>
            <w:tcW w:w="6820" w:type="dxa"/>
            <w:vAlign w:val="bottom"/>
          </w:tcPr>
          <w:p>
            <w:pPr>
              <w:spacing w:after="0"/>
              <w:rPr>
                <w:sz w:val="23"/>
                <w:szCs w:val="23"/>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(UNAUDITED)</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6"/>
                <w:szCs w:val="16"/>
                <w:color w:val="auto"/>
              </w:rPr>
              <w:t>Current assets: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6"/>
                <w:szCs w:val="16"/>
                <w:color w:val="auto"/>
              </w:rPr>
              <w:t>$ 241,814</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$ 224,128</w:t>
            </w: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280" w:type="dxa"/>
            <w:vAlign w:val="bottom"/>
          </w:tcPr>
          <w:p>
            <w:pPr>
              <w:jc w:val="right"/>
              <w:spacing w:after="0"/>
              <w:rPr>
                <w:sz w:val="20"/>
                <w:szCs w:val="20"/>
                <w:color w:val="auto"/>
              </w:rPr>
            </w:pPr>
            <w:r>
              <w:rPr>
                <w:rFonts w:ascii="Arial" w:cs="Arial" w:eastAsia="Arial" w:hAnsi="Arial"/>
                <w:sz w:val="16"/>
                <w:szCs w:val="16"/>
                <w:color w:val="auto"/>
              </w:rPr>
              <w:t>203,331</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177,845</w:t>
            </w: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280" w:type="dxa"/>
            <w:vAlign w:val="bottom"/>
          </w:tcPr>
          <w:p>
            <w:pPr>
              <w:jc w:val="right"/>
              <w:spacing w:after="0"/>
              <w:rPr>
                <w:sz w:val="20"/>
                <w:szCs w:val="20"/>
                <w:color w:val="auto"/>
              </w:rPr>
            </w:pPr>
            <w:r>
              <w:rPr>
                <w:rFonts w:ascii="Arial" w:cs="Arial" w:eastAsia="Arial" w:hAnsi="Arial"/>
                <w:sz w:val="16"/>
                <w:szCs w:val="16"/>
                <w:color w:val="auto"/>
              </w:rPr>
              <w:t>14,896</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29,815</w:t>
            </w:r>
          </w:p>
        </w:tc>
        <w:tc>
          <w:tcPr>
            <w:tcW w:w="0" w:type="dxa"/>
            <w:vAlign w:val="bottom"/>
          </w:tcPr>
          <w:p>
            <w:pPr>
              <w:spacing w:after="0"/>
              <w:rPr>
                <w:sz w:val="1"/>
                <w:szCs w:val="1"/>
                <w:color w:val="auto"/>
              </w:rPr>
            </w:pPr>
          </w:p>
        </w:tc>
      </w:tr>
      <w:tr>
        <w:trPr>
          <w:trHeight w:val="263"/>
        </w:trPr>
        <w:tc>
          <w:tcPr>
            <w:tcW w:w="68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29,313</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c>
          <w:tcPr>
            <w:tcW w:w="0" w:type="dxa"/>
            <w:vAlign w:val="bottom"/>
          </w:tcPr>
          <w:p>
            <w:pPr>
              <w:spacing w:after="0"/>
              <w:rPr>
                <w:sz w:val="1"/>
                <w:szCs w:val="1"/>
                <w:color w:val="auto"/>
              </w:rPr>
            </w:pPr>
          </w:p>
        </w:tc>
      </w:tr>
      <w:tr>
        <w:trPr>
          <w:trHeight w:val="271"/>
        </w:trPr>
        <w:tc>
          <w:tcPr>
            <w:tcW w:w="68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280" w:type="dxa"/>
            <w:vAlign w:val="bottom"/>
          </w:tcPr>
          <w:p>
            <w:pPr>
              <w:jc w:val="right"/>
              <w:spacing w:after="0"/>
              <w:rPr>
                <w:sz w:val="20"/>
                <w:szCs w:val="20"/>
                <w:color w:val="auto"/>
              </w:rPr>
            </w:pPr>
            <w:r>
              <w:rPr>
                <w:rFonts w:ascii="Arial" w:cs="Arial" w:eastAsia="Arial" w:hAnsi="Arial"/>
                <w:sz w:val="16"/>
                <w:szCs w:val="16"/>
                <w:color w:val="auto"/>
              </w:rPr>
              <w:t>489,354</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439,744</w:t>
            </w:r>
          </w:p>
        </w:tc>
        <w:tc>
          <w:tcPr>
            <w:tcW w:w="0" w:type="dxa"/>
            <w:vAlign w:val="bottom"/>
          </w:tcPr>
          <w:p>
            <w:pPr>
              <w:spacing w:after="0"/>
              <w:rPr>
                <w:sz w:val="1"/>
                <w:szCs w:val="1"/>
                <w:color w:val="auto"/>
              </w:rPr>
            </w:pPr>
          </w:p>
        </w:tc>
      </w:tr>
      <w:tr>
        <w:trPr>
          <w:trHeight w:val="540"/>
        </w:trPr>
        <w:tc>
          <w:tcPr>
            <w:tcW w:w="68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80" w:type="dxa"/>
            <w:vAlign w:val="bottom"/>
          </w:tcPr>
          <w:p>
            <w:pPr>
              <w:jc w:val="right"/>
              <w:spacing w:after="0"/>
              <w:rPr>
                <w:sz w:val="20"/>
                <w:szCs w:val="20"/>
                <w:color w:val="auto"/>
              </w:rPr>
            </w:pPr>
            <w:r>
              <w:rPr>
                <w:rFonts w:ascii="Arial" w:cs="Arial" w:eastAsia="Arial" w:hAnsi="Arial"/>
                <w:sz w:val="16"/>
                <w:szCs w:val="16"/>
                <w:color w:val="auto"/>
              </w:rPr>
              <w:t>1,364,918</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1,325,867</w:t>
            </w: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6"/>
                <w:szCs w:val="16"/>
                <w:color w:val="auto"/>
              </w:rPr>
              <w:t>Goodwill, net</w:t>
            </w:r>
          </w:p>
        </w:tc>
        <w:tc>
          <w:tcPr>
            <w:tcW w:w="1280" w:type="dxa"/>
            <w:vAlign w:val="bottom"/>
          </w:tcPr>
          <w:p>
            <w:pPr>
              <w:jc w:val="right"/>
              <w:spacing w:after="0"/>
              <w:rPr>
                <w:sz w:val="20"/>
                <w:szCs w:val="20"/>
                <w:color w:val="auto"/>
              </w:rPr>
            </w:pPr>
            <w:r>
              <w:rPr>
                <w:rFonts w:ascii="Arial" w:cs="Arial" w:eastAsia="Arial" w:hAnsi="Arial"/>
                <w:sz w:val="16"/>
                <w:szCs w:val="16"/>
                <w:color w:val="auto"/>
              </w:rPr>
              <w:t>255,283</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261,056</w:t>
            </w: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280" w:type="dxa"/>
            <w:vAlign w:val="bottom"/>
          </w:tcPr>
          <w:p>
            <w:pPr>
              <w:jc w:val="right"/>
              <w:spacing w:after="0"/>
              <w:rPr>
                <w:sz w:val="20"/>
                <w:szCs w:val="20"/>
                <w:color w:val="auto"/>
              </w:rPr>
            </w:pPr>
            <w:r>
              <w:rPr>
                <w:rFonts w:ascii="Arial" w:cs="Arial" w:eastAsia="Arial" w:hAnsi="Arial"/>
                <w:sz w:val="16"/>
                <w:szCs w:val="16"/>
                <w:color w:val="auto"/>
              </w:rPr>
              <w:t>59,589</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75,675</w:t>
            </w:r>
          </w:p>
        </w:tc>
        <w:tc>
          <w:tcPr>
            <w:tcW w:w="0" w:type="dxa"/>
            <w:vAlign w:val="bottom"/>
          </w:tcPr>
          <w:p>
            <w:pPr>
              <w:spacing w:after="0"/>
              <w:rPr>
                <w:sz w:val="1"/>
                <w:szCs w:val="1"/>
                <w:color w:val="auto"/>
              </w:rPr>
            </w:pPr>
          </w:p>
        </w:tc>
      </w:tr>
      <w:tr>
        <w:trPr>
          <w:trHeight w:val="263"/>
        </w:trPr>
        <w:tc>
          <w:tcPr>
            <w:tcW w:w="68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18,975</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20,895</w:t>
            </w:r>
          </w:p>
        </w:tc>
        <w:tc>
          <w:tcPr>
            <w:tcW w:w="0" w:type="dxa"/>
            <w:vAlign w:val="bottom"/>
          </w:tcPr>
          <w:p>
            <w:pPr>
              <w:spacing w:after="0"/>
              <w:rPr>
                <w:sz w:val="1"/>
                <w:szCs w:val="1"/>
                <w:color w:val="auto"/>
              </w:rPr>
            </w:pPr>
          </w:p>
        </w:tc>
      </w:tr>
      <w:tr>
        <w:trPr>
          <w:trHeight w:val="264"/>
        </w:trPr>
        <w:tc>
          <w:tcPr>
            <w:tcW w:w="682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$ 2,188,119</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8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280" w:type="dxa"/>
            <w:vAlign w:val="bottom"/>
          </w:tcPr>
          <w:p>
            <w:pPr>
              <w:jc w:val="right"/>
              <w:spacing w:after="0"/>
              <w:rPr>
                <w:sz w:val="20"/>
                <w:szCs w:val="20"/>
                <w:color w:val="auto"/>
              </w:rPr>
            </w:pPr>
            <w:r>
              <w:rPr>
                <w:rFonts w:ascii="Arial" w:cs="Arial" w:eastAsia="Arial" w:hAnsi="Arial"/>
                <w:sz w:val="16"/>
                <w:szCs w:val="16"/>
                <w:color w:val="auto"/>
              </w:rPr>
              <w:t>$ 50,272</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$ 45,376</w:t>
            </w: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280" w:type="dxa"/>
            <w:vAlign w:val="bottom"/>
          </w:tcPr>
          <w:p>
            <w:pPr>
              <w:jc w:val="right"/>
              <w:spacing w:after="0"/>
              <w:rPr>
                <w:sz w:val="20"/>
                <w:szCs w:val="20"/>
                <w:color w:val="auto"/>
              </w:rPr>
            </w:pPr>
            <w:r>
              <w:rPr>
                <w:rFonts w:ascii="Arial" w:cs="Arial" w:eastAsia="Arial" w:hAnsi="Arial"/>
                <w:sz w:val="16"/>
                <w:szCs w:val="16"/>
                <w:color w:val="auto"/>
              </w:rPr>
              <w:t>22,884</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26,874</w:t>
            </w:r>
          </w:p>
        </w:tc>
        <w:tc>
          <w:tcPr>
            <w:tcW w:w="0" w:type="dxa"/>
            <w:vAlign w:val="bottom"/>
          </w:tcPr>
          <w:p>
            <w:pPr>
              <w:spacing w:after="0"/>
              <w:rPr>
                <w:sz w:val="1"/>
                <w:szCs w:val="1"/>
                <w:color w:val="auto"/>
              </w:rPr>
            </w:pPr>
          </w:p>
        </w:tc>
      </w:tr>
    </w:tbl>
    <w:p>
      <w:pPr>
        <w:sectPr>
          <w:pgSz w:w="11900" w:h="16838" w:orient="portrait"/>
          <w:cols w:equalWidth="0" w:num="1">
            <w:col w:w="11260"/>
          </w:cols>
          <w:pgMar w:left="320" w:top="222" w:right="3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9,687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24,150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19,571</w:t>
            </w:r>
          </w:p>
        </w:tc>
        <w:tc>
          <w:tcPr>
            <w:tcW w:w="0" w:type="dxa"/>
            <w:vAlign w:val="bottom"/>
          </w:tcPr>
          <w:p>
            <w:pPr>
              <w:spacing w:after="0"/>
              <w:rPr>
                <w:sz w:val="1"/>
                <w:szCs w:val="1"/>
                <w:color w:val="auto"/>
              </w:rPr>
            </w:pPr>
          </w:p>
        </w:tc>
      </w:tr>
      <w:tr>
        <w:trPr>
          <w:trHeight w:val="263"/>
        </w:trPr>
        <w:tc>
          <w:tcPr>
            <w:tcW w:w="58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2,389</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71"/>
        </w:trPr>
        <w:tc>
          <w:tcPr>
            <w:tcW w:w="58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109,406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97,052</w:t>
            </w: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Long-term debt to affiliates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335,171</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765,313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Deferred income taxes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63,753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79,739</w:t>
            </w: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25,248</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18,530</w:t>
            </w:r>
          </w:p>
        </w:tc>
        <w:tc>
          <w:tcPr>
            <w:tcW w:w="0" w:type="dxa"/>
            <w:vAlign w:val="bottom"/>
          </w:tcPr>
          <w:p>
            <w:pPr>
              <w:spacing w:after="0"/>
              <w:rPr>
                <w:sz w:val="1"/>
                <w:szCs w:val="1"/>
                <w:color w:val="auto"/>
              </w:rPr>
            </w:pPr>
          </w:p>
        </w:tc>
      </w:tr>
      <w:tr>
        <w:trPr>
          <w:trHeight w:val="271"/>
        </w:trPr>
        <w:tc>
          <w:tcPr>
            <w:tcW w:w="58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963,720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530,492</w:t>
            </w: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Stockholders' equity / Net investment: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1,067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1,312,823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27,017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Oil States International, Inc. net investment</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1,651,013</w:t>
            </w:r>
          </w:p>
        </w:tc>
        <w:tc>
          <w:tcPr>
            <w:tcW w:w="0" w:type="dxa"/>
            <w:vAlign w:val="bottom"/>
          </w:tcPr>
          <w:p>
            <w:pPr>
              <w:spacing w:after="0"/>
              <w:rPr>
                <w:sz w:val="1"/>
                <w:szCs w:val="1"/>
                <w:color w:val="auto"/>
              </w:rPr>
            </w:pPr>
          </w:p>
        </w:tc>
      </w:tr>
      <w:tr>
        <w:trPr>
          <w:trHeight w:val="263"/>
        </w:trPr>
        <w:tc>
          <w:tcPr>
            <w:tcW w:w="586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(118,692)</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(59,979)</w:t>
            </w:r>
          </w:p>
        </w:tc>
        <w:tc>
          <w:tcPr>
            <w:tcW w:w="0" w:type="dxa"/>
            <w:vAlign w:val="bottom"/>
          </w:tcPr>
          <w:p>
            <w:pPr>
              <w:spacing w:after="0"/>
              <w:rPr>
                <w:sz w:val="1"/>
                <w:szCs w:val="1"/>
                <w:color w:val="auto"/>
              </w:rPr>
            </w:pPr>
          </w:p>
        </w:tc>
      </w:tr>
      <w:tr>
        <w:trPr>
          <w:trHeight w:val="271"/>
        </w:trPr>
        <w:tc>
          <w:tcPr>
            <w:tcW w:w="6820" w:type="dxa"/>
            <w:vAlign w:val="bottom"/>
            <w:gridSpan w:val="4"/>
          </w:tcPr>
          <w:p>
            <w:pPr>
              <w:ind w:left="340"/>
              <w:spacing w:after="0"/>
              <w:rPr>
                <w:sz w:val="20"/>
                <w:szCs w:val="20"/>
                <w:color w:val="auto"/>
              </w:rPr>
            </w:pPr>
            <w:r>
              <w:rPr>
                <w:rFonts w:ascii="Arial" w:cs="Arial" w:eastAsia="Arial" w:hAnsi="Arial"/>
                <w:sz w:val="16"/>
                <w:szCs w:val="16"/>
                <w:color w:val="auto"/>
              </w:rPr>
              <w:t>Total Civeo Corporation stockholders' equity / Oil States International, Inc. net investment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1,222,215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1,591,034</w:t>
            </w: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2,184</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64"/>
        </w:trPr>
        <w:tc>
          <w:tcPr>
            <w:tcW w:w="5860" w:type="dxa"/>
            <w:vAlign w:val="bottom"/>
          </w:tcPr>
          <w:p>
            <w:pPr>
              <w:ind w:left="220"/>
              <w:spacing w:after="0"/>
              <w:rPr>
                <w:sz w:val="20"/>
                <w:szCs w:val="20"/>
                <w:color w:val="auto"/>
              </w:rPr>
            </w:pPr>
            <w:r>
              <w:rPr>
                <w:rFonts w:ascii="Arial" w:cs="Arial" w:eastAsia="Arial" w:hAnsi="Arial"/>
                <w:sz w:val="16"/>
                <w:szCs w:val="16"/>
                <w:color w:val="auto"/>
              </w:rPr>
              <w:t>Total stockholders' equity / net investment</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1,224,399</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1,592,745</w:t>
            </w:r>
          </w:p>
        </w:tc>
        <w:tc>
          <w:tcPr>
            <w:tcW w:w="0" w:type="dxa"/>
            <w:vAlign w:val="bottom"/>
          </w:tcPr>
          <w:p>
            <w:pPr>
              <w:spacing w:after="0"/>
              <w:rPr>
                <w:sz w:val="1"/>
                <w:szCs w:val="1"/>
                <w:color w:val="auto"/>
              </w:rPr>
            </w:pPr>
          </w:p>
        </w:tc>
      </w:tr>
      <w:tr>
        <w:trPr>
          <w:trHeight w:val="264"/>
        </w:trPr>
        <w:tc>
          <w:tcPr>
            <w:tcW w:w="586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 / net investment</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$ 2,188,119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5860" w:type="dxa"/>
            <w:vAlign w:val="bottom"/>
            <w:vMerge w:val="restart"/>
          </w:tcPr>
          <w:p>
            <w:pPr>
              <w:jc w:val="center"/>
              <w:ind w:left="1679"/>
              <w:spacing w:after="0"/>
              <w:rPr>
                <w:sz w:val="20"/>
                <w:szCs w:val="20"/>
                <w:color w:val="auto"/>
              </w:rPr>
            </w:pPr>
            <w:r>
              <w:rPr>
                <w:rFonts w:ascii="Arial" w:cs="Arial" w:eastAsia="Arial" w:hAnsi="Arial"/>
                <w:sz w:val="16"/>
                <w:szCs w:val="16"/>
                <w:b w:val="1"/>
                <w:bCs w:val="1"/>
                <w:color w:val="auto"/>
                <w:w w:val="99"/>
              </w:rPr>
              <w:t>CIVEO CORPORATION</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5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20" w:type="dxa"/>
            <w:vAlign w:val="bottom"/>
            <w:gridSpan w:val="4"/>
          </w:tcPr>
          <w:p>
            <w:pPr>
              <w:jc w:val="center"/>
              <w:ind w:left="719"/>
              <w:spacing w:after="0"/>
              <w:rPr>
                <w:sz w:val="20"/>
                <w:szCs w:val="20"/>
                <w:color w:val="auto"/>
              </w:rPr>
            </w:pPr>
            <w:r>
              <w:rPr>
                <w:rFonts w:ascii="Arial" w:cs="Arial" w:eastAsia="Arial" w:hAnsi="Arial"/>
                <w:sz w:val="16"/>
                <w:szCs w:val="16"/>
                <w:b w:val="1"/>
                <w:bCs w:val="1"/>
                <w:color w:val="auto"/>
              </w:rPr>
              <w:t>UNAUDITED CONSOLIDATED STATEMENTS OF CASH FLOWS</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60" w:type="dxa"/>
            <w:vAlign w:val="bottom"/>
          </w:tcPr>
          <w:p>
            <w:pPr>
              <w:jc w:val="center"/>
              <w:ind w:left="1679"/>
              <w:spacing w:after="0"/>
              <w:rPr>
                <w:sz w:val="20"/>
                <w:szCs w:val="20"/>
                <w:color w:val="auto"/>
              </w:rPr>
            </w:pPr>
            <w:r>
              <w:rPr>
                <w:rFonts w:ascii="Arial" w:cs="Arial" w:eastAsia="Arial" w:hAnsi="Arial"/>
                <w:sz w:val="16"/>
                <w:szCs w:val="16"/>
                <w:b w:val="1"/>
                <w:bCs w:val="1"/>
                <w:color w:val="auto"/>
                <w:w w:val="99"/>
              </w:rPr>
              <w:t>(in thousands)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586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9"/>
              </w:rPr>
              <w:t>NINE MONTHS ENDED</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1"/>
        </w:trPr>
        <w:tc>
          <w:tcPr>
            <w:tcW w:w="58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jc w:val="right"/>
              <w:spacing w:after="0"/>
              <w:rPr>
                <w:sz w:val="20"/>
                <w:szCs w:val="20"/>
                <w:color w:val="auto"/>
              </w:rPr>
            </w:pPr>
            <w:r>
              <w:rPr>
                <w:rFonts w:ascii="Arial" w:cs="Arial" w:eastAsia="Arial" w:hAnsi="Arial"/>
                <w:sz w:val="16"/>
                <w:szCs w:val="16"/>
                <w:color w:val="auto"/>
              </w:rPr>
              <w:t>$ 83,644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$ 137,487</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jc w:val="right"/>
              <w:spacing w:after="0"/>
              <w:rPr>
                <w:sz w:val="20"/>
                <w:szCs w:val="20"/>
                <w:color w:val="auto"/>
              </w:rPr>
            </w:pPr>
            <w:r>
              <w:rPr>
                <w:rFonts w:ascii="Arial" w:cs="Arial" w:eastAsia="Arial" w:hAnsi="Arial"/>
                <w:sz w:val="16"/>
                <w:szCs w:val="16"/>
                <w:color w:val="auto"/>
              </w:rPr>
              <w:t>127,770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124,510</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Impairment charges</w:t>
            </w:r>
          </w:p>
        </w:tc>
        <w:tc>
          <w:tcPr>
            <w:tcW w:w="840" w:type="dxa"/>
            <w:vAlign w:val="bottom"/>
          </w:tcPr>
          <w:p>
            <w:pPr>
              <w:jc w:val="right"/>
              <w:spacing w:after="0"/>
              <w:rPr>
                <w:sz w:val="20"/>
                <w:szCs w:val="20"/>
                <w:color w:val="auto"/>
              </w:rPr>
            </w:pPr>
            <w:r>
              <w:rPr>
                <w:rFonts w:ascii="Arial" w:cs="Arial" w:eastAsia="Arial" w:hAnsi="Arial"/>
                <w:sz w:val="16"/>
                <w:szCs w:val="16"/>
                <w:color w:val="auto"/>
              </w:rPr>
              <w:t>11,610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840" w:type="dxa"/>
            <w:vAlign w:val="bottom"/>
          </w:tcPr>
          <w:p>
            <w:pPr>
              <w:jc w:val="right"/>
              <w:spacing w:after="0"/>
              <w:rPr>
                <w:sz w:val="20"/>
                <w:szCs w:val="20"/>
                <w:color w:val="auto"/>
              </w:rPr>
            </w:pPr>
            <w:r>
              <w:rPr>
                <w:rFonts w:ascii="Arial" w:cs="Arial" w:eastAsia="Arial" w:hAnsi="Arial"/>
                <w:sz w:val="16"/>
                <w:szCs w:val="16"/>
                <w:color w:val="auto"/>
              </w:rPr>
              <w:t>3,455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1,207</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Deferred income tax provision (benefit)</w:t>
            </w:r>
          </w:p>
        </w:tc>
        <w:tc>
          <w:tcPr>
            <w:tcW w:w="840" w:type="dxa"/>
            <w:vAlign w:val="bottom"/>
          </w:tcPr>
          <w:p>
            <w:pPr>
              <w:jc w:val="right"/>
              <w:spacing w:after="0"/>
              <w:rPr>
                <w:sz w:val="20"/>
                <w:szCs w:val="20"/>
                <w:color w:val="auto"/>
              </w:rPr>
            </w:pPr>
            <w:r>
              <w:rPr>
                <w:rFonts w:ascii="Arial" w:cs="Arial" w:eastAsia="Arial" w:hAnsi="Arial"/>
                <w:sz w:val="16"/>
                <w:szCs w:val="16"/>
                <w:color w:val="auto"/>
              </w:rPr>
              <w:t>(1,989)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11,388</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Non-cash compensation charge</w:t>
            </w:r>
          </w:p>
        </w:tc>
        <w:tc>
          <w:tcPr>
            <w:tcW w:w="840" w:type="dxa"/>
            <w:vAlign w:val="bottom"/>
          </w:tcPr>
          <w:p>
            <w:pPr>
              <w:jc w:val="right"/>
              <w:spacing w:after="0"/>
              <w:rPr>
                <w:sz w:val="20"/>
                <w:szCs w:val="20"/>
                <w:color w:val="auto"/>
              </w:rPr>
            </w:pPr>
            <w:r>
              <w:rPr>
                <w:rFonts w:ascii="Arial" w:cs="Arial" w:eastAsia="Arial" w:hAnsi="Arial"/>
                <w:sz w:val="16"/>
                <w:szCs w:val="16"/>
                <w:color w:val="auto"/>
              </w:rPr>
              <w:t>5,892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4,857</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Gains on disposals of assets</w:t>
            </w:r>
          </w:p>
        </w:tc>
        <w:tc>
          <w:tcPr>
            <w:tcW w:w="840" w:type="dxa"/>
            <w:vAlign w:val="bottom"/>
          </w:tcPr>
          <w:p>
            <w:pPr>
              <w:jc w:val="right"/>
              <w:spacing w:after="0"/>
              <w:rPr>
                <w:sz w:val="20"/>
                <w:szCs w:val="20"/>
                <w:color w:val="auto"/>
              </w:rPr>
            </w:pPr>
            <w:r>
              <w:rPr>
                <w:rFonts w:ascii="Arial" w:cs="Arial" w:eastAsia="Arial" w:hAnsi="Arial"/>
                <w:sz w:val="16"/>
                <w:szCs w:val="16"/>
                <w:color w:val="auto"/>
              </w:rPr>
              <w:t>(776)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(2,574)</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Provision for loss on receivables</w:t>
            </w:r>
          </w:p>
        </w:tc>
        <w:tc>
          <w:tcPr>
            <w:tcW w:w="840" w:type="dxa"/>
            <w:vAlign w:val="bottom"/>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1,081</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Fair value adjustment of contingent consideration</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(4,014)</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840" w:type="dxa"/>
            <w:vAlign w:val="bottom"/>
          </w:tcPr>
          <w:p>
            <w:pPr>
              <w:jc w:val="right"/>
              <w:spacing w:after="0"/>
              <w:rPr>
                <w:sz w:val="20"/>
                <w:szCs w:val="20"/>
                <w:color w:val="auto"/>
              </w:rPr>
            </w:pPr>
            <w:r>
              <w:rPr>
                <w:rFonts w:ascii="Arial" w:cs="Arial" w:eastAsia="Arial" w:hAnsi="Arial"/>
                <w:sz w:val="16"/>
                <w:szCs w:val="16"/>
                <w:color w:val="auto"/>
              </w:rPr>
              <w:t>2,687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840" w:type="dxa"/>
            <w:vAlign w:val="bottom"/>
          </w:tcPr>
          <w:p>
            <w:pPr>
              <w:jc w:val="right"/>
              <w:spacing w:after="0"/>
              <w:rPr>
                <w:sz w:val="20"/>
                <w:szCs w:val="20"/>
                <w:color w:val="auto"/>
              </w:rPr>
            </w:pPr>
            <w:r>
              <w:rPr>
                <w:rFonts w:ascii="Arial" w:cs="Arial" w:eastAsia="Arial" w:hAnsi="Arial"/>
                <w:sz w:val="16"/>
                <w:szCs w:val="16"/>
                <w:color w:val="auto"/>
              </w:rPr>
              <w:t>(32,119)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17,459</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840" w:type="dxa"/>
            <w:vAlign w:val="bottom"/>
          </w:tcPr>
          <w:p>
            <w:pPr>
              <w:jc w:val="right"/>
              <w:spacing w:after="0"/>
              <w:rPr>
                <w:sz w:val="20"/>
                <w:szCs w:val="20"/>
                <w:color w:val="auto"/>
              </w:rPr>
            </w:pPr>
            <w:r>
              <w:rPr>
                <w:rFonts w:ascii="Arial" w:cs="Arial" w:eastAsia="Arial" w:hAnsi="Arial"/>
                <w:sz w:val="16"/>
                <w:szCs w:val="16"/>
                <w:color w:val="auto"/>
              </w:rPr>
              <w:t>13,897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(5,036)</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840" w:type="dxa"/>
            <w:vAlign w:val="bottom"/>
          </w:tcPr>
          <w:p>
            <w:pPr>
              <w:jc w:val="right"/>
              <w:spacing w:after="0"/>
              <w:rPr>
                <w:sz w:val="20"/>
                <w:szCs w:val="20"/>
                <w:color w:val="auto"/>
              </w:rPr>
            </w:pPr>
            <w:r>
              <w:rPr>
                <w:rFonts w:ascii="Arial" w:cs="Arial" w:eastAsia="Arial" w:hAnsi="Arial"/>
                <w:sz w:val="16"/>
                <w:szCs w:val="16"/>
                <w:color w:val="auto"/>
              </w:rPr>
              <w:t>10,957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(14,609)</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340"/>
              <w:spacing w:after="0"/>
              <w:rPr>
                <w:sz w:val="20"/>
                <w:szCs w:val="20"/>
                <w:color w:val="auto"/>
              </w:rPr>
            </w:pPr>
            <w:r>
              <w:rPr>
                <w:rFonts w:ascii="Arial" w:cs="Arial" w:eastAsia="Arial" w:hAnsi="Arial"/>
                <w:sz w:val="16"/>
                <w:szCs w:val="16"/>
                <w:color w:val="auto"/>
              </w:rPr>
              <w:t>Taxes payable</w:t>
            </w:r>
          </w:p>
        </w:tc>
        <w:tc>
          <w:tcPr>
            <w:tcW w:w="840" w:type="dxa"/>
            <w:vAlign w:val="bottom"/>
          </w:tcPr>
          <w:p>
            <w:pPr>
              <w:jc w:val="right"/>
              <w:spacing w:after="0"/>
              <w:rPr>
                <w:sz w:val="20"/>
                <w:szCs w:val="20"/>
                <w:color w:val="auto"/>
              </w:rPr>
            </w:pPr>
            <w:r>
              <w:rPr>
                <w:rFonts w:ascii="Arial" w:cs="Arial" w:eastAsia="Arial" w:hAnsi="Arial"/>
                <w:sz w:val="16"/>
                <w:szCs w:val="16"/>
                <w:color w:val="auto"/>
              </w:rPr>
              <w:t>(17,340)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(20,583)</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60" w:type="dxa"/>
            <w:vAlign w:val="bottom"/>
          </w:tcPr>
          <w:p>
            <w:pPr>
              <w:ind w:left="340"/>
              <w:spacing w:after="0"/>
              <w:rPr>
                <w:sz w:val="20"/>
                <w:szCs w:val="20"/>
                <w:color w:val="auto"/>
              </w:rPr>
            </w:pPr>
            <w:r>
              <w:rPr>
                <w:rFonts w:ascii="Arial" w:cs="Arial" w:eastAsia="Arial" w:hAnsi="Arial"/>
                <w:sz w:val="16"/>
                <w:szCs w:val="16"/>
                <w:color w:val="auto"/>
              </w:rPr>
              <w:t>Other current assets and liabilities, net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12,560</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86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840" w:type="dxa"/>
            <w:vAlign w:val="bottom"/>
          </w:tcPr>
          <w:p>
            <w:pPr>
              <w:jc w:val="right"/>
              <w:spacing w:after="0"/>
              <w:rPr>
                <w:sz w:val="20"/>
                <w:szCs w:val="20"/>
                <w:color w:val="auto"/>
              </w:rPr>
            </w:pPr>
            <w:r>
              <w:rPr>
                <w:rFonts w:ascii="Arial" w:cs="Arial" w:eastAsia="Arial" w:hAnsi="Arial"/>
                <w:sz w:val="16"/>
                <w:szCs w:val="16"/>
                <w:color w:val="auto"/>
              </w:rPr>
              <w:t>208,265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263,845</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Capital expenditures, including capitalized interest</w:t>
            </w:r>
          </w:p>
        </w:tc>
        <w:tc>
          <w:tcPr>
            <w:tcW w:w="840" w:type="dxa"/>
            <w:vAlign w:val="bottom"/>
          </w:tcPr>
          <w:p>
            <w:pPr>
              <w:jc w:val="right"/>
              <w:spacing w:after="0"/>
              <w:rPr>
                <w:sz w:val="20"/>
                <w:szCs w:val="20"/>
                <w:color w:val="auto"/>
              </w:rPr>
            </w:pPr>
            <w:r>
              <w:rPr>
                <w:rFonts w:ascii="Arial" w:cs="Arial" w:eastAsia="Arial" w:hAnsi="Arial"/>
                <w:sz w:val="16"/>
                <w:szCs w:val="16"/>
                <w:color w:val="auto"/>
              </w:rPr>
              <w:t>(208,297)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(234,794)</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60" w:type="dxa"/>
            <w:vAlign w:val="bottom"/>
          </w:tcPr>
          <w:p>
            <w:pPr>
              <w:ind w:left="220"/>
              <w:spacing w:after="0"/>
              <w:rPr>
                <w:sz w:val="20"/>
                <w:szCs w:val="20"/>
                <w:color w:val="auto"/>
              </w:rPr>
            </w:pPr>
            <w:r>
              <w:rPr>
                <w:rFonts w:ascii="Arial" w:cs="Arial" w:eastAsia="Arial" w:hAnsi="Arial"/>
                <w:sz w:val="16"/>
                <w:szCs w:val="16"/>
                <w:color w:val="auto"/>
              </w:rPr>
              <w:t>Proceeds from disposition of property, plant and equipment</w:t>
            </w:r>
          </w:p>
        </w:tc>
        <w:tc>
          <w:tcPr>
            <w:tcW w:w="840" w:type="dxa"/>
            <w:vAlign w:val="bottom"/>
          </w:tcPr>
          <w:p>
            <w:pPr>
              <w:jc w:val="right"/>
              <w:spacing w:after="0"/>
              <w:rPr>
                <w:sz w:val="20"/>
                <w:szCs w:val="20"/>
                <w:color w:val="auto"/>
              </w:rPr>
            </w:pPr>
            <w:r>
              <w:rPr>
                <w:rFonts w:ascii="Arial" w:cs="Arial" w:eastAsia="Arial" w:hAnsi="Arial"/>
                <w:sz w:val="16"/>
                <w:szCs w:val="16"/>
                <w:color w:val="auto"/>
              </w:rPr>
              <w:t>1,607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6,413</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86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(206,690)</w:t>
            </w: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(228,381)</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Revolving credit borrowings and (repayments), net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(47,901)</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Term loan borrowings, net of issuance costs</w:t>
            </w:r>
          </w:p>
        </w:tc>
        <w:tc>
          <w:tcPr>
            <w:tcW w:w="840" w:type="dxa"/>
            <w:vAlign w:val="bottom"/>
          </w:tcPr>
          <w:p>
            <w:pPr>
              <w:jc w:val="right"/>
              <w:spacing w:after="0"/>
              <w:rPr>
                <w:sz w:val="20"/>
                <w:szCs w:val="20"/>
                <w:color w:val="auto"/>
              </w:rPr>
            </w:pPr>
            <w:r>
              <w:rPr>
                <w:rFonts w:ascii="Arial" w:cs="Arial" w:eastAsia="Arial" w:hAnsi="Arial"/>
                <w:sz w:val="16"/>
                <w:szCs w:val="16"/>
                <w:color w:val="auto"/>
              </w:rPr>
              <w:t>775,000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Debt issuance costs</w:t>
            </w:r>
          </w:p>
        </w:tc>
        <w:tc>
          <w:tcPr>
            <w:tcW w:w="840" w:type="dxa"/>
            <w:vAlign w:val="bottom"/>
          </w:tcPr>
          <w:p>
            <w:pPr>
              <w:jc w:val="right"/>
              <w:spacing w:after="0"/>
              <w:rPr>
                <w:sz w:val="20"/>
                <w:szCs w:val="20"/>
                <w:color w:val="auto"/>
              </w:rPr>
            </w:pPr>
            <w:r>
              <w:rPr>
                <w:rFonts w:ascii="Arial" w:cs="Arial" w:eastAsia="Arial" w:hAnsi="Arial"/>
                <w:sz w:val="16"/>
                <w:szCs w:val="16"/>
                <w:color w:val="auto"/>
              </w:rPr>
              <w:t>(9,460)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1" w:right="1440" w:bottom="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ind w:left="220"/>
              <w:spacing w:after="0"/>
              <w:rPr>
                <w:sz w:val="20"/>
                <w:szCs w:val="20"/>
                <w:color w:val="auto"/>
              </w:rPr>
            </w:pPr>
            <w:r>
              <w:rPr>
                <w:rFonts w:ascii="Arial" w:cs="Arial" w:eastAsia="Arial" w:hAnsi="Arial"/>
                <w:sz w:val="16"/>
                <w:szCs w:val="16"/>
                <w:color w:val="auto"/>
              </w:rPr>
              <w:t>Term loan repayments</w:t>
            </w: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(82,762)</w:t>
            </w: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(13,893)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Distributions to Oil States</w:t>
            </w: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(750,000)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Contributions from Oil States</w:t>
            </w: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28,257</w:t>
            </w: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103,628</w:t>
            </w:r>
          </w:p>
        </w:tc>
        <w:tc>
          <w:tcPr>
            <w:tcW w:w="0" w:type="dxa"/>
            <w:vAlign w:val="bottom"/>
          </w:tcPr>
          <w:p>
            <w:pPr>
              <w:spacing w:after="0"/>
              <w:rPr>
                <w:sz w:val="1"/>
                <w:szCs w:val="1"/>
                <w:color w:val="auto"/>
              </w:rPr>
            </w:pPr>
          </w:p>
        </w:tc>
      </w:tr>
      <w:tr>
        <w:trPr>
          <w:trHeight w:val="271"/>
        </w:trPr>
        <w:tc>
          <w:tcPr>
            <w:tcW w:w="4500" w:type="dxa"/>
            <w:vAlign w:val="bottom"/>
            <w:gridSpan w:val="7"/>
          </w:tcPr>
          <w:p>
            <w:pPr>
              <w:ind w:left="340"/>
              <w:spacing w:after="0"/>
              <w:rPr>
                <w:sz w:val="20"/>
                <w:szCs w:val="20"/>
                <w:color w:val="auto"/>
              </w:rPr>
            </w:pPr>
            <w:r>
              <w:rPr>
                <w:rFonts w:ascii="Arial" w:cs="Arial" w:eastAsia="Arial" w:hAnsi="Arial"/>
                <w:sz w:val="16"/>
                <w:szCs w:val="16"/>
                <w:color w:val="auto"/>
              </w:rPr>
              <w:t>Net cash flows provided by (used in) financing activities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29,904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(27,035)</w:t>
            </w:r>
          </w:p>
        </w:tc>
        <w:tc>
          <w:tcPr>
            <w:tcW w:w="0" w:type="dxa"/>
            <w:vAlign w:val="bottom"/>
          </w:tcPr>
          <w:p>
            <w:pPr>
              <w:spacing w:after="0"/>
              <w:rPr>
                <w:sz w:val="1"/>
                <w:szCs w:val="1"/>
                <w:color w:val="auto"/>
              </w:rPr>
            </w:pPr>
          </w:p>
        </w:tc>
      </w:tr>
      <w:tr>
        <w:trPr>
          <w:trHeight w:val="540"/>
        </w:trPr>
        <w:tc>
          <w:tcPr>
            <w:tcW w:w="3700" w:type="dxa"/>
            <w:vAlign w:val="bottom"/>
            <w:gridSpan w:val="5"/>
          </w:tcPr>
          <w:p>
            <w:pPr>
              <w:spacing w:after="0"/>
              <w:rPr>
                <w:sz w:val="20"/>
                <w:szCs w:val="20"/>
                <w:color w:val="auto"/>
              </w:rPr>
            </w:pPr>
            <w:r>
              <w:rPr>
                <w:rFonts w:ascii="Arial" w:cs="Arial" w:eastAsia="Arial" w:hAnsi="Arial"/>
                <w:sz w:val="16"/>
                <w:szCs w:val="16"/>
                <w:color w:val="auto"/>
              </w:rPr>
              <w:t>Effect of exchange rate changes on cash</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(13,793)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533"/>
        </w:trPr>
        <w:tc>
          <w:tcPr>
            <w:tcW w:w="3700" w:type="dxa"/>
            <w:vAlign w:val="bottom"/>
            <w:gridSpan w:val="5"/>
          </w:tcPr>
          <w:p>
            <w:pPr>
              <w:spacing w:after="0"/>
              <w:rPr>
                <w:sz w:val="20"/>
                <w:szCs w:val="20"/>
                <w:color w:val="auto"/>
              </w:rPr>
            </w:pPr>
            <w:r>
              <w:rPr>
                <w:rFonts w:ascii="Arial" w:cs="Arial" w:eastAsia="Arial" w:hAnsi="Arial"/>
                <w:sz w:val="16"/>
                <w:szCs w:val="16"/>
                <w:color w:val="auto"/>
              </w:rPr>
              <w:t>Net change in cash and cash equivalents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17,686</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w:t>
            </w:r>
          </w:p>
        </w:tc>
        <w:tc>
          <w:tcPr>
            <w:tcW w:w="0" w:type="dxa"/>
            <w:vAlign w:val="bottom"/>
          </w:tcPr>
          <w:p>
            <w:pPr>
              <w:spacing w:after="0"/>
              <w:rPr>
                <w:sz w:val="1"/>
                <w:szCs w:val="1"/>
                <w:color w:val="auto"/>
              </w:rPr>
            </w:pPr>
          </w:p>
        </w:tc>
      </w:tr>
      <w:tr>
        <w:trPr>
          <w:trHeight w:val="534"/>
        </w:trPr>
        <w:tc>
          <w:tcPr>
            <w:tcW w:w="3700" w:type="dxa"/>
            <w:vAlign w:val="bottom"/>
            <w:gridSpan w:val="5"/>
          </w:tcPr>
          <w:p>
            <w:pPr>
              <w:spacing w:after="0"/>
              <w:rPr>
                <w:sz w:val="20"/>
                <w:szCs w:val="20"/>
                <w:color w:val="auto"/>
              </w:rPr>
            </w:pPr>
            <w:r>
              <w:rPr>
                <w:rFonts w:ascii="Arial" w:cs="Arial" w:eastAsia="Arial" w:hAnsi="Arial"/>
                <w:sz w:val="16"/>
                <w:szCs w:val="16"/>
                <w:color w:val="auto"/>
              </w:rPr>
              <w:t>Cash and cash equivalents, beginning of period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224,128</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161,396</w:t>
            </w:r>
          </w:p>
        </w:tc>
        <w:tc>
          <w:tcPr>
            <w:tcW w:w="0" w:type="dxa"/>
            <w:vAlign w:val="bottom"/>
          </w:tcPr>
          <w:p>
            <w:pPr>
              <w:spacing w:after="0"/>
              <w:rPr>
                <w:sz w:val="1"/>
                <w:szCs w:val="1"/>
                <w:color w:val="auto"/>
              </w:rPr>
            </w:pPr>
          </w:p>
        </w:tc>
      </w:tr>
      <w:tr>
        <w:trPr>
          <w:trHeight w:val="534"/>
        </w:trPr>
        <w:tc>
          <w:tcPr>
            <w:tcW w:w="3700" w:type="dxa"/>
            <w:vAlign w:val="bottom"/>
            <w:gridSpan w:val="5"/>
          </w:tcPr>
          <w:p>
            <w:pPr>
              <w:spacing w:after="0"/>
              <w:rPr>
                <w:sz w:val="20"/>
                <w:szCs w:val="20"/>
                <w:color w:val="auto"/>
              </w:rPr>
            </w:pPr>
            <w:r>
              <w:rPr>
                <w:rFonts w:ascii="Arial" w:cs="Arial" w:eastAsia="Arial" w:hAnsi="Arial"/>
                <w:sz w:val="16"/>
                <w:szCs w:val="16"/>
                <w:color w:val="auto"/>
              </w:rPr>
              <w:t>Cash and cash equivalents, end of period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$ 241,814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$ 157,161</w:t>
            </w:r>
          </w:p>
        </w:tc>
        <w:tc>
          <w:tcPr>
            <w:tcW w:w="0" w:type="dxa"/>
            <w:vAlign w:val="bottom"/>
          </w:tcPr>
          <w:p>
            <w:pPr>
              <w:spacing w:after="0"/>
              <w:rPr>
                <w:sz w:val="1"/>
                <w:szCs w:val="1"/>
                <w:color w:val="auto"/>
              </w:rPr>
            </w:pPr>
          </w:p>
        </w:tc>
      </w:tr>
      <w:tr>
        <w:trPr>
          <w:trHeight w:val="20"/>
        </w:trPr>
        <w:tc>
          <w:tcPr>
            <w:tcW w:w="4500" w:type="dxa"/>
            <w:vAlign w:val="bottom"/>
            <w:gridSpan w:val="7"/>
            <w:vMerge w:val="restart"/>
          </w:tcPr>
          <w:p>
            <w:pPr>
              <w:jc w:val="center"/>
              <w:ind w:left="1699"/>
              <w:spacing w:after="0"/>
              <w:rPr>
                <w:sz w:val="20"/>
                <w:szCs w:val="20"/>
                <w:color w:val="auto"/>
              </w:rPr>
            </w:pPr>
            <w:r>
              <w:rPr>
                <w:rFonts w:ascii="Arial" w:cs="Arial" w:eastAsia="Arial" w:hAnsi="Arial"/>
                <w:sz w:val="16"/>
                <w:szCs w:val="16"/>
                <w:b w:val="1"/>
                <w:bCs w:val="1"/>
                <w:color w:val="auto"/>
              </w:rPr>
              <w:t>CIVEO CORPORATION</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4500" w:type="dxa"/>
            <w:vAlign w:val="bottom"/>
            <w:gridSpan w:val="7"/>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2040" w:type="dxa"/>
            <w:vAlign w:val="bottom"/>
            <w:gridSpan w:val="6"/>
          </w:tcPr>
          <w:p>
            <w:pPr>
              <w:jc w:val="center"/>
              <w:ind w:right="680"/>
              <w:spacing w:after="0"/>
              <w:rPr>
                <w:sz w:val="20"/>
                <w:szCs w:val="20"/>
                <w:color w:val="auto"/>
              </w:rPr>
            </w:pPr>
            <w:r>
              <w:rPr>
                <w:rFonts w:ascii="Arial" w:cs="Arial" w:eastAsia="Arial" w:hAnsi="Arial"/>
                <w:sz w:val="16"/>
                <w:szCs w:val="16"/>
                <w:b w:val="1"/>
                <w:bCs w:val="1"/>
                <w:color w:val="auto"/>
                <w:w w:val="99"/>
              </w:rPr>
              <w:t>SEGMENT DATA</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(unaudited)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0" w:type="dxa"/>
            <w:vAlign w:val="bottom"/>
            <w:gridSpan w:val="10"/>
          </w:tcPr>
          <w:p>
            <w:pPr>
              <w:jc w:val="right"/>
              <w:ind w:right="440"/>
              <w:spacing w:after="0"/>
              <w:rPr>
                <w:sz w:val="20"/>
                <w:szCs w:val="20"/>
                <w:color w:val="auto"/>
              </w:rPr>
            </w:pPr>
            <w:r>
              <w:rPr>
                <w:rFonts w:ascii="Arial" w:cs="Arial" w:eastAsia="Arial" w:hAnsi="Arial"/>
                <w:sz w:val="16"/>
                <w:szCs w:val="16"/>
                <w:b w:val="1"/>
                <w:bCs w:val="1"/>
                <w:color w:val="auto"/>
              </w:rPr>
              <w:t>THREE MONTHS ENDED NINE MONTHS ENDED</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22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460" w:type="dxa"/>
            <w:vAlign w:val="bottom"/>
          </w:tcPr>
          <w:p>
            <w:pPr>
              <w:spacing w:after="0"/>
              <w:rPr>
                <w:sz w:val="20"/>
                <w:szCs w:val="20"/>
                <w:color w:val="auto"/>
              </w:rPr>
            </w:pPr>
            <w:r>
              <w:rPr>
                <w:rFonts w:ascii="Arial" w:cs="Arial" w:eastAsia="Arial" w:hAnsi="Arial"/>
                <w:sz w:val="16"/>
                <w:szCs w:val="16"/>
                <w:color w:val="auto"/>
              </w:rPr>
              <w:t>Revenues</w:t>
            </w:r>
          </w:p>
        </w:tc>
        <w:tc>
          <w:tcPr>
            <w:tcW w:w="4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Canada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$ 174,111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$ 167,207</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$ 510,914</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$ 535,810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54,000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59,738</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163,847</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191,510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15,154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18,154</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48,436</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55,307</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$ 243,265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$ 245,099</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$ 723,197</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$ 782,627</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Canada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$ 67,100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$ 64,965</w:t>
            </w:r>
          </w:p>
        </w:tc>
        <w:tc>
          <w:tcPr>
            <w:tcW w:w="840" w:type="dxa"/>
            <w:vAlign w:val="bottom"/>
          </w:tcPr>
          <w:p>
            <w:pPr>
              <w:jc w:val="right"/>
              <w:spacing w:after="0"/>
              <w:rPr>
                <w:sz w:val="20"/>
                <w:szCs w:val="20"/>
                <w:color w:val="auto"/>
              </w:rPr>
            </w:pPr>
            <w:r>
              <w:rPr>
                <w:rFonts w:ascii="Arial" w:cs="Arial" w:eastAsia="Arial" w:hAnsi="Arial"/>
                <w:sz w:val="16"/>
                <w:szCs w:val="16"/>
                <w:color w:val="auto"/>
              </w:rPr>
              <w:t>$ 175,704</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$ 211,717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27,042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33,374</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74,268</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104,460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3,890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2,142</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8,067</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13,133</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(6,573)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(2,203)</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(15,228)</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(6,249)</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Pr>
          <w:p>
            <w:pPr>
              <w:ind w:left="340"/>
              <w:spacing w:after="0"/>
              <w:rPr>
                <w:sz w:val="20"/>
                <w:szCs w:val="20"/>
                <w:color w:val="auto"/>
              </w:rPr>
            </w:pPr>
            <w:r>
              <w:rPr>
                <w:rFonts w:ascii="Arial" w:cs="Arial" w:eastAsia="Arial" w:hAnsi="Arial"/>
                <w:sz w:val="16"/>
                <w:szCs w:val="16"/>
                <w:color w:val="auto"/>
              </w:rPr>
              <w:t>Total EBITDA</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$ 91,459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$ 98,278</w:t>
            </w:r>
          </w:p>
        </w:tc>
        <w:tc>
          <w:tcPr>
            <w:tcW w:w="840" w:type="dxa"/>
            <w:vAlign w:val="bottom"/>
          </w:tcPr>
          <w:p>
            <w:pPr>
              <w:jc w:val="right"/>
              <w:spacing w:after="0"/>
              <w:rPr>
                <w:sz w:val="20"/>
                <w:szCs w:val="20"/>
                <w:color w:val="auto"/>
              </w:rPr>
            </w:pPr>
            <w:r>
              <w:rPr>
                <w:rFonts w:ascii="Arial" w:cs="Arial" w:eastAsia="Arial" w:hAnsi="Arial"/>
                <w:sz w:val="16"/>
                <w:szCs w:val="16"/>
                <w:color w:val="auto"/>
              </w:rPr>
              <w:t>$ 242,811</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$ 323,061</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Canada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$ 67,104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$ 64,965</w:t>
            </w:r>
          </w:p>
        </w:tc>
        <w:tc>
          <w:tcPr>
            <w:tcW w:w="840" w:type="dxa"/>
            <w:vAlign w:val="bottom"/>
          </w:tcPr>
          <w:p>
            <w:pPr>
              <w:jc w:val="right"/>
              <w:spacing w:after="0"/>
              <w:rPr>
                <w:sz w:val="20"/>
                <w:szCs w:val="20"/>
                <w:color w:val="auto"/>
              </w:rPr>
            </w:pPr>
            <w:r>
              <w:rPr>
                <w:rFonts w:ascii="Arial" w:cs="Arial" w:eastAsia="Arial" w:hAnsi="Arial"/>
                <w:sz w:val="16"/>
                <w:szCs w:val="16"/>
                <w:color w:val="auto"/>
              </w:rPr>
              <w:t>$ 179,830</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$ 211,717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27,073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33,374</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83,531</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104,460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3,959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2,142</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10,850</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9,128</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(2,203)</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(12,176)</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(6,249)</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Pr>
          <w:p>
            <w:pPr>
              <w:ind w:left="340"/>
              <w:spacing w:after="0"/>
              <w:rPr>
                <w:sz w:val="20"/>
                <w:szCs w:val="20"/>
                <w:color w:val="auto"/>
              </w:rPr>
            </w:pPr>
            <w:r>
              <w:rPr>
                <w:rFonts w:ascii="Arial" w:cs="Arial" w:eastAsia="Arial" w:hAnsi="Arial"/>
                <w:sz w:val="16"/>
                <w:szCs w:val="16"/>
                <w:color w:val="auto"/>
              </w:rPr>
              <w:t>Total adjusted EBITDA</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$ 92,487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$ 98,278</w:t>
            </w:r>
          </w:p>
        </w:tc>
        <w:tc>
          <w:tcPr>
            <w:tcW w:w="840" w:type="dxa"/>
            <w:vAlign w:val="bottom"/>
          </w:tcPr>
          <w:p>
            <w:pPr>
              <w:jc w:val="right"/>
              <w:spacing w:after="0"/>
              <w:rPr>
                <w:sz w:val="20"/>
                <w:szCs w:val="20"/>
                <w:color w:val="auto"/>
              </w:rPr>
            </w:pPr>
            <w:r>
              <w:rPr>
                <w:rFonts w:ascii="Arial" w:cs="Arial" w:eastAsia="Arial" w:hAnsi="Arial"/>
                <w:sz w:val="16"/>
                <w:szCs w:val="16"/>
                <w:color w:val="auto"/>
              </w:rPr>
              <w:t>$ 262,035</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$ 319,056</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Canada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$ 43,277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$ 39,553</w:t>
            </w:r>
          </w:p>
        </w:tc>
        <w:tc>
          <w:tcPr>
            <w:tcW w:w="840" w:type="dxa"/>
            <w:vAlign w:val="bottom"/>
          </w:tcPr>
          <w:p>
            <w:pPr>
              <w:jc w:val="right"/>
              <w:spacing w:after="0"/>
              <w:rPr>
                <w:sz w:val="20"/>
                <w:szCs w:val="20"/>
                <w:color w:val="auto"/>
              </w:rPr>
            </w:pPr>
            <w:r>
              <w:rPr>
                <w:rFonts w:ascii="Arial" w:cs="Arial" w:eastAsia="Arial" w:hAnsi="Arial"/>
                <w:sz w:val="16"/>
                <w:szCs w:val="16"/>
                <w:color w:val="auto"/>
              </w:rPr>
              <w:t>$ 110,743</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$ 145,827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10,520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17,591</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26,158</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54,684</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(1,236)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(1,596)</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(6,664)</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1,407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(2,164)</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(15,154)</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(6,141)</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Pr>
          <w:p>
            <w:pPr>
              <w:ind w:left="340"/>
              <w:spacing w:after="0"/>
              <w:rPr>
                <w:sz w:val="20"/>
                <w:szCs w:val="20"/>
                <w:color w:val="auto"/>
              </w:rPr>
            </w:pPr>
            <w:r>
              <w:rPr>
                <w:rFonts w:ascii="Arial" w:cs="Arial" w:eastAsia="Arial" w:hAnsi="Arial"/>
                <w:sz w:val="16"/>
                <w:szCs w:val="16"/>
                <w:color w:val="auto"/>
              </w:rPr>
              <w:t>Total operating income (loss)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$ 45,997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$ 53,384</w:t>
            </w:r>
          </w:p>
        </w:tc>
        <w:tc>
          <w:tcPr>
            <w:tcW w:w="840" w:type="dxa"/>
            <w:vAlign w:val="bottom"/>
          </w:tcPr>
          <w:p>
            <w:pPr>
              <w:jc w:val="right"/>
              <w:spacing w:after="0"/>
              <w:rPr>
                <w:sz w:val="20"/>
                <w:szCs w:val="20"/>
                <w:color w:val="auto"/>
              </w:rPr>
            </w:pPr>
            <w:r>
              <w:rPr>
                <w:rFonts w:ascii="Arial" w:cs="Arial" w:eastAsia="Arial" w:hAnsi="Arial"/>
                <w:sz w:val="16"/>
                <w:szCs w:val="16"/>
                <w:color w:val="auto"/>
              </w:rPr>
              <w:t>$ 115,083</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$ 195,777</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9"/>
        <w:spacing w:after="0" w:line="248"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3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ectPr>
          <w:pgSz w:w="11900" w:h="16906" w:orient="portrait"/>
          <w:cols w:equalWidth="0" w:num="1">
            <w:col w:w="11240"/>
          </w:cols>
          <w:pgMar w:left="320" w:top="141" w:right="339" w:bottom="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EBITDA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EBITDA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intangible asset (a)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fixed assets (b)</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Severance costs (c)</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Transition costs (d)</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Reversal of earnout liability (e)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4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232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SEPTEMBER 30,</w:t>
            </w:r>
          </w:p>
        </w:tc>
      </w:tr>
      <w:tr>
        <w:trPr>
          <w:trHeight w:val="263"/>
        </w:trPr>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r>
      <w:tr>
        <w:trPr>
          <w:trHeight w:val="541"/>
        </w:trPr>
        <w:tc>
          <w:tcPr>
            <w:tcW w:w="1620" w:type="dxa"/>
            <w:vAlign w:val="bottom"/>
          </w:tcPr>
          <w:p>
            <w:pPr>
              <w:jc w:val="right"/>
              <w:spacing w:after="0"/>
              <w:rPr>
                <w:sz w:val="20"/>
                <w:szCs w:val="20"/>
                <w:color w:val="auto"/>
              </w:rPr>
            </w:pPr>
            <w:r>
              <w:rPr>
                <w:rFonts w:ascii="Arial" w:cs="Arial" w:eastAsia="Arial" w:hAnsi="Arial"/>
                <w:sz w:val="16"/>
                <w:szCs w:val="16"/>
                <w:color w:val="auto"/>
              </w:rPr>
              <w:t>$ 32,403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$ 39,641</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$ 82,591</w:t>
            </w:r>
          </w:p>
        </w:tc>
        <w:tc>
          <w:tcPr>
            <w:tcW w:w="1520" w:type="dxa"/>
            <w:vAlign w:val="bottom"/>
          </w:tcPr>
          <w:p>
            <w:pPr>
              <w:jc w:val="right"/>
              <w:spacing w:after="0"/>
              <w:rPr>
                <w:sz w:val="20"/>
                <w:szCs w:val="20"/>
                <w:color w:val="auto"/>
              </w:rPr>
            </w:pPr>
            <w:r>
              <w:rPr>
                <w:rFonts w:ascii="Arial" w:cs="Arial" w:eastAsia="Arial" w:hAnsi="Arial"/>
                <w:sz w:val="16"/>
                <w:szCs w:val="16"/>
                <w:color w:val="auto"/>
              </w:rPr>
              <w:t>$ 136,423</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9,011</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11,418</w:t>
            </w:r>
          </w:p>
        </w:tc>
        <w:tc>
          <w:tcPr>
            <w:tcW w:w="1500" w:type="dxa"/>
            <w:vAlign w:val="bottom"/>
          </w:tcPr>
          <w:p>
            <w:pPr>
              <w:jc w:val="right"/>
              <w:spacing w:after="0"/>
              <w:rPr>
                <w:sz w:val="20"/>
                <w:szCs w:val="20"/>
                <w:color w:val="auto"/>
              </w:rPr>
            </w:pPr>
            <w:r>
              <w:rPr>
                <w:rFonts w:ascii="Arial" w:cs="Arial" w:eastAsia="Arial" w:hAnsi="Arial"/>
                <w:sz w:val="16"/>
                <w:szCs w:val="16"/>
                <w:color w:val="auto"/>
              </w:rPr>
              <w:t>16,411</w:t>
            </w:r>
          </w:p>
        </w:tc>
        <w:tc>
          <w:tcPr>
            <w:tcW w:w="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43,350</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45,758</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42,011</w:t>
            </w:r>
          </w:p>
        </w:tc>
        <w:tc>
          <w:tcPr>
            <w:tcW w:w="1500" w:type="dxa"/>
            <w:vAlign w:val="bottom"/>
          </w:tcPr>
          <w:p>
            <w:pPr>
              <w:jc w:val="right"/>
              <w:spacing w:after="0"/>
              <w:rPr>
                <w:sz w:val="20"/>
                <w:szCs w:val="20"/>
                <w:color w:val="auto"/>
              </w:rPr>
            </w:pPr>
            <w:r>
              <w:rPr>
                <w:rFonts w:ascii="Arial" w:cs="Arial" w:eastAsia="Arial" w:hAnsi="Arial"/>
                <w:sz w:val="16"/>
                <w:szCs w:val="16"/>
                <w:color w:val="auto"/>
              </w:rPr>
              <w:t>127,770</w:t>
            </w:r>
          </w:p>
        </w:tc>
        <w:tc>
          <w:tcPr>
            <w:tcW w:w="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124,510</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(1,048)</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23"/>
                <w:szCs w:val="23"/>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(2,841)</w:t>
            </w:r>
          </w:p>
        </w:tc>
        <w:tc>
          <w:tcPr>
            <w:tcW w:w="1520" w:type="dxa"/>
            <w:vAlign w:val="bottom"/>
          </w:tcPr>
          <w:p>
            <w:pPr>
              <w:jc w:val="right"/>
              <w:spacing w:after="0"/>
              <w:rPr>
                <w:sz w:val="20"/>
                <w:szCs w:val="20"/>
                <w:color w:val="auto"/>
              </w:rPr>
            </w:pPr>
            <w:r>
              <w:rPr>
                <w:rFonts w:ascii="Arial" w:cs="Arial" w:eastAsia="Arial" w:hAnsi="Arial"/>
                <w:sz w:val="16"/>
                <w:szCs w:val="16"/>
                <w:color w:val="auto"/>
              </w:rPr>
              <w:t>(1,248)</w:t>
            </w:r>
          </w:p>
        </w:tc>
      </w:tr>
      <w:tr>
        <w:trPr>
          <w:trHeight w:val="263"/>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5,335</w:t>
            </w: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w:t>
            </w:r>
          </w:p>
        </w:tc>
        <w:tc>
          <w:tcPr>
            <w:tcW w:w="8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18,880</w:t>
            </w:r>
          </w:p>
        </w:tc>
        <w:tc>
          <w:tcPr>
            <w:tcW w:w="8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20,026</w:t>
            </w:r>
          </w:p>
        </w:tc>
      </w:tr>
      <w:tr>
        <w:trPr>
          <w:trHeight w:val="264"/>
        </w:trPr>
        <w:tc>
          <w:tcPr>
            <w:tcW w:w="1620" w:type="dxa"/>
            <w:vAlign w:val="bottom"/>
          </w:tcPr>
          <w:p>
            <w:pPr>
              <w:jc w:val="right"/>
              <w:spacing w:after="0"/>
              <w:rPr>
                <w:sz w:val="20"/>
                <w:szCs w:val="20"/>
                <w:color w:val="auto"/>
              </w:rPr>
            </w:pPr>
            <w:r>
              <w:rPr>
                <w:rFonts w:ascii="Arial" w:cs="Arial" w:eastAsia="Arial" w:hAnsi="Arial"/>
                <w:sz w:val="16"/>
                <w:szCs w:val="16"/>
                <w:color w:val="auto"/>
              </w:rPr>
              <w:t>$ 91,459</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$ 98,278</w:t>
            </w:r>
          </w:p>
        </w:tc>
        <w:tc>
          <w:tcPr>
            <w:tcW w:w="1500" w:type="dxa"/>
            <w:vAlign w:val="bottom"/>
          </w:tcPr>
          <w:p>
            <w:pPr>
              <w:jc w:val="right"/>
              <w:spacing w:after="0"/>
              <w:rPr>
                <w:sz w:val="20"/>
                <w:szCs w:val="20"/>
                <w:color w:val="auto"/>
              </w:rPr>
            </w:pPr>
            <w:r>
              <w:rPr>
                <w:rFonts w:ascii="Arial" w:cs="Arial" w:eastAsia="Arial" w:hAnsi="Arial"/>
                <w:sz w:val="16"/>
                <w:szCs w:val="16"/>
                <w:color w:val="auto"/>
              </w:rPr>
              <w:t>$ 242,811</w:t>
            </w: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$ 323,061</w:t>
            </w:r>
          </w:p>
        </w:tc>
      </w:tr>
      <w:tr>
        <w:trPr>
          <w:trHeight w:val="541"/>
        </w:trPr>
        <w:tc>
          <w:tcPr>
            <w:tcW w:w="1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8,989</w:t>
            </w:r>
          </w:p>
        </w:tc>
        <w:tc>
          <w:tcPr>
            <w:tcW w:w="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0"/>
        </w:trPr>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2,621</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3,497</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63"/>
        </w:trPr>
        <w:tc>
          <w:tcPr>
            <w:tcW w:w="16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w:t>
            </w:r>
          </w:p>
        </w:tc>
      </w:tr>
      <w:tr>
        <w:trPr>
          <w:trHeight w:val="264"/>
        </w:trPr>
        <w:tc>
          <w:tcPr>
            <w:tcW w:w="1620" w:type="dxa"/>
            <w:vAlign w:val="bottom"/>
          </w:tcPr>
          <w:p>
            <w:pPr>
              <w:jc w:val="right"/>
              <w:spacing w:after="0"/>
              <w:rPr>
                <w:sz w:val="20"/>
                <w:szCs w:val="20"/>
                <w:color w:val="auto"/>
              </w:rPr>
            </w:pPr>
            <w:r>
              <w:rPr>
                <w:rFonts w:ascii="Arial" w:cs="Arial" w:eastAsia="Arial" w:hAnsi="Arial"/>
                <w:sz w:val="16"/>
                <w:szCs w:val="16"/>
                <w:color w:val="auto"/>
              </w:rPr>
              <w:t>$ 92,487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$ 98,278</w:t>
            </w:r>
          </w:p>
        </w:tc>
        <w:tc>
          <w:tcPr>
            <w:tcW w:w="1500" w:type="dxa"/>
            <w:vAlign w:val="bottom"/>
          </w:tcPr>
          <w:p>
            <w:pPr>
              <w:jc w:val="right"/>
              <w:spacing w:after="0"/>
              <w:rPr>
                <w:sz w:val="20"/>
                <w:szCs w:val="20"/>
                <w:color w:val="auto"/>
              </w:rPr>
            </w:pPr>
            <w:r>
              <w:rPr>
                <w:rFonts w:ascii="Arial" w:cs="Arial" w:eastAsia="Arial" w:hAnsi="Arial"/>
                <w:sz w:val="16"/>
                <w:szCs w:val="16"/>
                <w:color w:val="auto"/>
              </w:rPr>
              <w:t>$ 262,035</w:t>
            </w: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$ 319,056</w:t>
            </w:r>
          </w:p>
        </w:tc>
      </w:tr>
      <w:tr>
        <w:trPr>
          <w:trHeight w:val="20"/>
        </w:trPr>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020" w:space="720"/>
            <w:col w:w="6520"/>
          </w:cols>
          <w:pgMar w:left="320" w:top="446" w:right="319" w:bottom="0" w:gutter="0" w:footer="0" w:header="0"/>
        </w:sectPr>
      </w:pPr>
    </w:p>
    <w:p>
      <w:pPr>
        <w:spacing w:after="0" w:line="153" w:lineRule="exact"/>
        <w:rPr>
          <w:sz w:val="20"/>
          <w:szCs w:val="20"/>
          <w:color w:val="auto"/>
        </w:rPr>
      </w:pPr>
    </w:p>
    <w:p>
      <w:pPr>
        <w:ind w:right="100" w:firstLine="9"/>
        <w:spacing w:after="0" w:line="251"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impairment of an intangible asset in Australia. Due to the Spin-Off, and the resulting rebranding of the Company's Australian operations from The Mac to Civeo Australia, it was determined that the fair value of an intangible asset associated with The Mac brand was zero. The $9.0 million impairment ($6.3 million after-tax, or $0.06 per diluted share), which is related to our Australia segment, is included in Impairment expense on the unaudited statements of income.</w:t>
      </w:r>
    </w:p>
    <w:p>
      <w:pPr>
        <w:spacing w:after="0" w:line="337" w:lineRule="exact"/>
        <w:rPr>
          <w:rFonts w:ascii="Arial" w:cs="Arial" w:eastAsia="Arial" w:hAnsi="Arial"/>
          <w:sz w:val="16"/>
          <w:szCs w:val="16"/>
          <w:color w:val="auto"/>
        </w:rPr>
      </w:pPr>
    </w:p>
    <w:p>
      <w:pPr>
        <w:ind w:right="60" w:firstLine="9"/>
        <w:spacing w:after="0" w:line="253"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impairment of certain fixed assets which are not in our custody, and for which return has been determined to be uncertain. The $2.6 million impairment ($2.2 million after-tax, or $0.02 per diluted share), which is related to our U.S. segment, is included in Impairment expense on the unaudited statements of income.</w:t>
      </w:r>
    </w:p>
    <w:p>
      <w:pPr>
        <w:spacing w:after="0" w:line="336" w:lineRule="exact"/>
        <w:rPr>
          <w:rFonts w:ascii="Arial" w:cs="Arial" w:eastAsia="Arial" w:hAnsi="Arial"/>
          <w:sz w:val="16"/>
          <w:szCs w:val="16"/>
          <w:color w:val="auto"/>
        </w:rPr>
      </w:pPr>
    </w:p>
    <w:p>
      <w:pPr>
        <w:ind w:right="180" w:firstLine="9"/>
        <w:spacing w:after="0" w:line="260" w:lineRule="auto"/>
        <w:tabs>
          <w:tab w:leader="none" w:pos="23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an executive. The $4.1 million expense ($3.4 million after-tax, or $0.03 per diluted share), which is related to our Canadian segment, is included in Selling, general and administrative expenses on the unaudited statements of income.</w:t>
      </w:r>
    </w:p>
    <w:p>
      <w:pPr>
        <w:spacing w:after="0" w:line="330" w:lineRule="exact"/>
        <w:rPr>
          <w:rFonts w:ascii="Arial" w:cs="Arial" w:eastAsia="Arial" w:hAnsi="Arial"/>
          <w:sz w:val="16"/>
          <w:szCs w:val="16"/>
          <w:color w:val="auto"/>
        </w:rPr>
      </w:pPr>
    </w:p>
    <w:p>
      <w:pPr>
        <w:ind w:right="180" w:firstLine="9"/>
        <w:spacing w:after="0" w:line="253"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$1.0 million and $3.5 million in costs ($0.8 million and $2.9 million after-tax, or $0.01 and $0.03 per diluted share, respectively), which are primarily corporate in nature, are included in Spin-off and formation costs on the unaudited statements of income.</w:t>
      </w:r>
    </w:p>
    <w:p>
      <w:pPr>
        <w:spacing w:after="0" w:line="336" w:lineRule="exact"/>
        <w:rPr>
          <w:rFonts w:ascii="Arial" w:cs="Arial" w:eastAsia="Arial" w:hAnsi="Arial"/>
          <w:sz w:val="16"/>
          <w:szCs w:val="16"/>
          <w:color w:val="auto"/>
        </w:rPr>
      </w:pPr>
    </w:p>
    <w:p>
      <w:pPr>
        <w:ind w:right="280" w:firstLine="9"/>
        <w:spacing w:after="0" w:line="260"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reversal of an estimated earnout liability associated with a prior acquisition. The $4 million in income ($3.0 million after-tax, or $0.03 per diluted share), which is related to our U.S. segment is included in Other operating expense on the unaudited statements of income.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5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840" w:type="dxa"/>
            <w:vAlign w:val="bottom"/>
          </w:tcPr>
          <w:p>
            <w:pPr>
              <w:spacing w:after="0"/>
              <w:rPr>
                <w:sz w:val="18"/>
                <w:szCs w:val="18"/>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258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63"/>
        </w:trPr>
        <w:tc>
          <w:tcPr>
            <w:tcW w:w="5840" w:type="dxa"/>
            <w:vAlign w:val="bottom"/>
          </w:tcPr>
          <w:p>
            <w:pPr>
              <w:spacing w:after="0"/>
              <w:rPr>
                <w:sz w:val="22"/>
                <w:szCs w:val="22"/>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541"/>
        </w:trPr>
        <w:tc>
          <w:tcPr>
            <w:tcW w:w="584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Revenues ($ in thousands)</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840" w:type="dxa"/>
            <w:vAlign w:val="bottom"/>
          </w:tcPr>
          <w:p>
            <w:pPr>
              <w:ind w:left="220"/>
              <w:spacing w:after="0"/>
              <w:rPr>
                <w:sz w:val="20"/>
                <w:szCs w:val="20"/>
                <w:color w:val="auto"/>
              </w:rPr>
            </w:pPr>
            <w:r>
              <w:rPr>
                <w:rFonts w:ascii="Arial" w:cs="Arial" w:eastAsia="Arial" w:hAnsi="Arial"/>
                <w:sz w:val="16"/>
                <w:szCs w:val="16"/>
                <w:color w:val="auto"/>
              </w:rPr>
              <w:t>Lodge revenues (1)</w:t>
            </w:r>
          </w:p>
        </w:tc>
        <w:tc>
          <w:tcPr>
            <w:tcW w:w="1320" w:type="dxa"/>
            <w:vAlign w:val="bottom"/>
          </w:tcPr>
          <w:p>
            <w:pPr>
              <w:jc w:val="right"/>
              <w:spacing w:after="0"/>
              <w:rPr>
                <w:sz w:val="20"/>
                <w:szCs w:val="20"/>
                <w:color w:val="auto"/>
              </w:rPr>
            </w:pPr>
            <w:r>
              <w:rPr>
                <w:rFonts w:ascii="Arial" w:cs="Arial" w:eastAsia="Arial" w:hAnsi="Arial"/>
                <w:sz w:val="16"/>
                <w:szCs w:val="16"/>
                <w:color w:val="auto"/>
              </w:rPr>
              <w:t>$ 134,600</w:t>
            </w:r>
          </w:p>
        </w:tc>
        <w:tc>
          <w:tcPr>
            <w:tcW w:w="80" w:type="dxa"/>
            <w:vAlign w:val="bottom"/>
          </w:tcPr>
          <w:p>
            <w:pPr>
              <w:spacing w:after="0"/>
              <w:rPr>
                <w:sz w:val="23"/>
                <w:szCs w:val="2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$ 139,357</w:t>
            </w:r>
          </w:p>
        </w:tc>
        <w:tc>
          <w:tcPr>
            <w:tcW w:w="1240" w:type="dxa"/>
            <w:vAlign w:val="bottom"/>
          </w:tcPr>
          <w:p>
            <w:pPr>
              <w:jc w:val="right"/>
              <w:spacing w:after="0"/>
              <w:rPr>
                <w:sz w:val="20"/>
                <w:szCs w:val="20"/>
                <w:color w:val="auto"/>
              </w:rPr>
            </w:pPr>
            <w:r>
              <w:rPr>
                <w:rFonts w:ascii="Arial" w:cs="Arial" w:eastAsia="Arial" w:hAnsi="Arial"/>
                <w:sz w:val="16"/>
                <w:szCs w:val="16"/>
                <w:color w:val="auto"/>
              </w:rPr>
              <w:t>$ 379,700</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$ 417,162</w:t>
            </w:r>
          </w:p>
        </w:tc>
      </w:tr>
      <w:tr>
        <w:trPr>
          <w:trHeight w:val="263"/>
        </w:trPr>
        <w:tc>
          <w:tcPr>
            <w:tcW w:w="5840" w:type="dxa"/>
            <w:vAlign w:val="bottom"/>
          </w:tcPr>
          <w:p>
            <w:pPr>
              <w:ind w:left="220"/>
              <w:spacing w:after="0"/>
              <w:rPr>
                <w:sz w:val="20"/>
                <w:szCs w:val="20"/>
                <w:color w:val="auto"/>
              </w:rPr>
            </w:pPr>
            <w:r>
              <w:rPr>
                <w:rFonts w:ascii="Arial" w:cs="Arial" w:eastAsia="Arial" w:hAnsi="Arial"/>
                <w:sz w:val="16"/>
                <w:szCs w:val="16"/>
                <w:color w:val="auto"/>
              </w:rPr>
              <w:t>Mobile, open camp and product revenues</w:t>
            </w:r>
          </w:p>
        </w:tc>
        <w:tc>
          <w:tcPr>
            <w:tcW w:w="1320" w:type="dxa"/>
            <w:vAlign w:val="bottom"/>
          </w:tcPr>
          <w:p>
            <w:pPr>
              <w:jc w:val="right"/>
              <w:spacing w:after="0"/>
              <w:rPr>
                <w:sz w:val="20"/>
                <w:szCs w:val="20"/>
                <w:color w:val="auto"/>
              </w:rPr>
            </w:pPr>
            <w:r>
              <w:rPr>
                <w:rFonts w:ascii="Arial" w:cs="Arial" w:eastAsia="Arial" w:hAnsi="Arial"/>
                <w:sz w:val="16"/>
                <w:szCs w:val="16"/>
                <w:color w:val="auto"/>
              </w:rPr>
              <w:t>39,511</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27,850</w:t>
            </w:r>
          </w:p>
        </w:tc>
        <w:tc>
          <w:tcPr>
            <w:tcW w:w="8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131,214</w:t>
            </w:r>
          </w:p>
        </w:tc>
        <w:tc>
          <w:tcPr>
            <w:tcW w:w="1260" w:type="dxa"/>
            <w:vAlign w:val="bottom"/>
          </w:tcPr>
          <w:p>
            <w:pPr>
              <w:jc w:val="right"/>
              <w:spacing w:after="0"/>
              <w:rPr>
                <w:sz w:val="20"/>
                <w:szCs w:val="20"/>
                <w:color w:val="auto"/>
              </w:rPr>
            </w:pPr>
            <w:r>
              <w:rPr>
                <w:rFonts w:ascii="Arial" w:cs="Arial" w:eastAsia="Arial" w:hAnsi="Arial"/>
                <w:sz w:val="16"/>
                <w:szCs w:val="16"/>
                <w:color w:val="auto"/>
              </w:rPr>
              <w:t>118,648</w:t>
            </w:r>
          </w:p>
        </w:tc>
      </w:tr>
      <w:tr>
        <w:trPr>
          <w:trHeight w:val="271"/>
        </w:trPr>
        <w:tc>
          <w:tcPr>
            <w:tcW w:w="5840" w:type="dxa"/>
            <w:vAlign w:val="bottom"/>
          </w:tcPr>
          <w:p>
            <w:pPr>
              <w:ind w:left="340"/>
              <w:spacing w:after="0"/>
              <w:rPr>
                <w:sz w:val="20"/>
                <w:szCs w:val="20"/>
                <w:color w:val="auto"/>
              </w:rPr>
            </w:pPr>
            <w:r>
              <w:rPr>
                <w:rFonts w:ascii="Arial" w:cs="Arial" w:eastAsia="Arial" w:hAnsi="Arial"/>
                <w:sz w:val="16"/>
                <w:szCs w:val="16"/>
                <w:color w:val="auto"/>
              </w:rPr>
              <w:t>Total Canadian revenues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$ 174,111</w:t>
            </w:r>
          </w:p>
        </w:tc>
        <w:tc>
          <w:tcPr>
            <w:tcW w:w="80" w:type="dxa"/>
            <w:vAlign w:val="bottom"/>
          </w:tcPr>
          <w:p>
            <w:pPr>
              <w:spacing w:after="0"/>
              <w:rPr>
                <w:sz w:val="23"/>
                <w:szCs w:val="23"/>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$ 167,207</w:t>
            </w:r>
          </w:p>
        </w:tc>
        <w:tc>
          <w:tcPr>
            <w:tcW w:w="80" w:type="dxa"/>
            <w:vAlign w:val="bottom"/>
          </w:tcPr>
          <w:p>
            <w:pPr>
              <w:spacing w:after="0"/>
              <w:rPr>
                <w:sz w:val="23"/>
                <w:szCs w:val="2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$ 510,914</w:t>
            </w:r>
          </w:p>
        </w:tc>
        <w:tc>
          <w:tcPr>
            <w:tcW w:w="80" w:type="dxa"/>
            <w:vAlign w:val="bottom"/>
          </w:tcPr>
          <w:p>
            <w:pPr>
              <w:spacing w:after="0"/>
              <w:rPr>
                <w:sz w:val="23"/>
                <w:szCs w:val="2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$ 535,810</w:t>
            </w:r>
          </w:p>
        </w:tc>
      </w:tr>
      <w:tr>
        <w:trPr>
          <w:trHeight w:val="540"/>
        </w:trPr>
        <w:tc>
          <w:tcPr>
            <w:tcW w:w="5840" w:type="dxa"/>
            <w:vAlign w:val="bottom"/>
          </w:tcPr>
          <w:p>
            <w:pPr>
              <w:ind w:left="220"/>
              <w:spacing w:after="0"/>
              <w:rPr>
                <w:sz w:val="20"/>
                <w:szCs w:val="20"/>
                <w:color w:val="auto"/>
              </w:rPr>
            </w:pPr>
            <w:r>
              <w:rPr>
                <w:rFonts w:ascii="Arial" w:cs="Arial" w:eastAsia="Arial" w:hAnsi="Arial"/>
                <w:sz w:val="16"/>
                <w:szCs w:val="16"/>
                <w:color w:val="auto"/>
              </w:rPr>
              <w:t>Average available lodge rooms (2)</w:t>
            </w:r>
          </w:p>
        </w:tc>
        <w:tc>
          <w:tcPr>
            <w:tcW w:w="1320" w:type="dxa"/>
            <w:vAlign w:val="bottom"/>
          </w:tcPr>
          <w:p>
            <w:pPr>
              <w:jc w:val="right"/>
              <w:spacing w:after="0"/>
              <w:rPr>
                <w:sz w:val="20"/>
                <w:szCs w:val="20"/>
                <w:color w:val="auto"/>
              </w:rPr>
            </w:pPr>
            <w:r>
              <w:rPr>
                <w:rFonts w:ascii="Arial" w:cs="Arial" w:eastAsia="Arial" w:hAnsi="Arial"/>
                <w:sz w:val="16"/>
                <w:szCs w:val="16"/>
                <w:color w:val="auto"/>
              </w:rPr>
              <w:t>13,067</w:t>
            </w:r>
          </w:p>
        </w:tc>
        <w:tc>
          <w:tcPr>
            <w:tcW w:w="8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11,799</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12,404</w:t>
            </w:r>
          </w:p>
        </w:tc>
        <w:tc>
          <w:tcPr>
            <w:tcW w:w="1260" w:type="dxa"/>
            <w:vAlign w:val="bottom"/>
          </w:tcPr>
          <w:p>
            <w:pPr>
              <w:jc w:val="right"/>
              <w:spacing w:after="0"/>
              <w:rPr>
                <w:sz w:val="20"/>
                <w:szCs w:val="20"/>
                <w:color w:val="auto"/>
              </w:rPr>
            </w:pPr>
            <w:r>
              <w:rPr>
                <w:rFonts w:ascii="Arial" w:cs="Arial" w:eastAsia="Arial" w:hAnsi="Arial"/>
                <w:sz w:val="16"/>
                <w:szCs w:val="16"/>
                <w:color w:val="auto"/>
              </w:rPr>
              <w:t>11,515</w:t>
            </w:r>
          </w:p>
        </w:tc>
      </w:tr>
      <w:tr>
        <w:trPr>
          <w:trHeight w:val="540"/>
        </w:trPr>
        <w:tc>
          <w:tcPr>
            <w:tcW w:w="5840" w:type="dxa"/>
            <w:vAlign w:val="bottom"/>
          </w:tcPr>
          <w:p>
            <w:pPr>
              <w:ind w:left="220"/>
              <w:spacing w:after="0"/>
              <w:rPr>
                <w:sz w:val="20"/>
                <w:szCs w:val="20"/>
                <w:color w:val="auto"/>
              </w:rPr>
            </w:pPr>
            <w:r>
              <w:rPr>
                <w:rFonts w:ascii="Arial" w:cs="Arial" w:eastAsia="Arial" w:hAnsi="Arial"/>
                <w:sz w:val="16"/>
                <w:szCs w:val="16"/>
                <w:color w:val="auto"/>
              </w:rPr>
              <w:t>RevPAR for lodges (3)</w:t>
            </w:r>
          </w:p>
        </w:tc>
        <w:tc>
          <w:tcPr>
            <w:tcW w:w="1320" w:type="dxa"/>
            <w:vAlign w:val="bottom"/>
          </w:tcPr>
          <w:p>
            <w:pPr>
              <w:jc w:val="right"/>
              <w:spacing w:after="0"/>
              <w:rPr>
                <w:sz w:val="20"/>
                <w:szCs w:val="20"/>
                <w:color w:val="auto"/>
              </w:rPr>
            </w:pPr>
            <w:r>
              <w:rPr>
                <w:rFonts w:ascii="Arial" w:cs="Arial" w:eastAsia="Arial" w:hAnsi="Arial"/>
                <w:sz w:val="16"/>
                <w:szCs w:val="16"/>
                <w:color w:val="auto"/>
              </w:rPr>
              <w:t>$ 112</w:t>
            </w:r>
          </w:p>
        </w:tc>
        <w:tc>
          <w:tcPr>
            <w:tcW w:w="8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$ 128</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$ 112</w:t>
            </w:r>
          </w:p>
        </w:tc>
        <w:tc>
          <w:tcPr>
            <w:tcW w:w="1260" w:type="dxa"/>
            <w:vAlign w:val="bottom"/>
          </w:tcPr>
          <w:p>
            <w:pPr>
              <w:jc w:val="right"/>
              <w:spacing w:after="0"/>
              <w:rPr>
                <w:sz w:val="20"/>
                <w:szCs w:val="20"/>
                <w:color w:val="auto"/>
              </w:rPr>
            </w:pPr>
            <w:r>
              <w:rPr>
                <w:rFonts w:ascii="Arial" w:cs="Arial" w:eastAsia="Arial" w:hAnsi="Arial"/>
                <w:sz w:val="16"/>
                <w:szCs w:val="16"/>
                <w:color w:val="auto"/>
              </w:rPr>
              <w:t>$ 133</w:t>
            </w:r>
          </w:p>
        </w:tc>
      </w:tr>
      <w:tr>
        <w:trPr>
          <w:trHeight w:val="540"/>
        </w:trPr>
        <w:tc>
          <w:tcPr>
            <w:tcW w:w="5840" w:type="dxa"/>
            <w:vAlign w:val="bottom"/>
          </w:tcPr>
          <w:p>
            <w:pPr>
              <w:ind w:left="220"/>
              <w:spacing w:after="0"/>
              <w:rPr>
                <w:sz w:val="20"/>
                <w:szCs w:val="20"/>
                <w:color w:val="auto"/>
              </w:rPr>
            </w:pPr>
            <w:r>
              <w:rPr>
                <w:rFonts w:ascii="Arial" w:cs="Arial" w:eastAsia="Arial" w:hAnsi="Arial"/>
                <w:sz w:val="16"/>
                <w:szCs w:val="16"/>
                <w:color w:val="auto"/>
              </w:rPr>
              <w:t>Occupancy in lodges (4)</w:t>
            </w:r>
          </w:p>
        </w:tc>
        <w:tc>
          <w:tcPr>
            <w:tcW w:w="13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92%</w:t>
            </w:r>
          </w:p>
        </w:tc>
        <w:tc>
          <w:tcPr>
            <w:tcW w:w="124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540"/>
        </w:trPr>
        <w:tc>
          <w:tcPr>
            <w:tcW w:w="584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$ 0.918</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$ 0.963</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$ 0.914</w:t>
            </w:r>
          </w:p>
        </w:tc>
        <w:tc>
          <w:tcPr>
            <w:tcW w:w="1260" w:type="dxa"/>
            <w:vAlign w:val="bottom"/>
          </w:tcPr>
          <w:p>
            <w:pPr>
              <w:jc w:val="right"/>
              <w:spacing w:after="0"/>
              <w:rPr>
                <w:sz w:val="20"/>
                <w:szCs w:val="20"/>
                <w:color w:val="auto"/>
              </w:rPr>
            </w:pPr>
            <w:r>
              <w:rPr>
                <w:rFonts w:ascii="Arial" w:cs="Arial" w:eastAsia="Arial" w:hAnsi="Arial"/>
                <w:sz w:val="16"/>
                <w:szCs w:val="16"/>
                <w:color w:val="auto"/>
              </w:rPr>
              <w:t>$ 0.977</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Operating Data - Australian Segment</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Revenues ($ in thousands)</w:t>
      </w:r>
    </w:p>
    <w:p>
      <w:pPr>
        <w:sectPr>
          <w:pgSz w:w="11900" w:h="16838" w:orient="portrait"/>
          <w:cols w:equalWidth="0" w:num="1">
            <w:col w:w="11260"/>
          </w:cols>
          <w:pgMar w:left="320" w:top="446" w:right="319" w:bottom="0" w:gutter="0" w:footer="0" w:header="0"/>
          <w:type w:val="continuous"/>
        </w:sectPr>
      </w:pPr>
    </w:p>
    <w:bookmarkStart w:id="10" w:name="page11"/>
    <w:bookmarkEnd w:id="10"/>
    <w:tbl>
      <w:tblPr>
        <w:tblLayout w:type="fixed"/>
        <w:tblInd w:w="300" w:type="dxa"/>
        <w:tblCellMar>
          <w:top w:w="0" w:type="dxa"/>
          <w:left w:w="0" w:type="dxa"/>
          <w:bottom w:w="0" w:type="dxa"/>
          <w:right w:w="0" w:type="dxa"/>
        </w:tblCellMar>
      </w:tblPr>
      <w:tr>
        <w:trPr>
          <w:trHeight w:val="195"/>
        </w:trPr>
        <w:tc>
          <w:tcPr>
            <w:tcW w:w="4420" w:type="dxa"/>
            <w:vAlign w:val="bottom"/>
          </w:tcPr>
          <w:p>
            <w:pPr>
              <w:ind w:left="120"/>
              <w:spacing w:after="0"/>
              <w:rPr>
                <w:sz w:val="20"/>
                <w:szCs w:val="20"/>
                <w:color w:val="auto"/>
              </w:rPr>
            </w:pPr>
            <w:r>
              <w:rPr>
                <w:rFonts w:ascii="Arial" w:cs="Arial" w:eastAsia="Arial" w:hAnsi="Arial"/>
                <w:sz w:val="16"/>
                <w:szCs w:val="16"/>
                <w:color w:val="auto"/>
              </w:rPr>
              <w:t>Village revenues (1)</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$ 54,000</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$ 59,738</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$ 163,847</w:t>
            </w:r>
          </w:p>
        </w:tc>
        <w:tc>
          <w:tcPr>
            <w:tcW w:w="1020" w:type="dxa"/>
            <w:vAlign w:val="bottom"/>
          </w:tcPr>
          <w:p>
            <w:pPr>
              <w:jc w:val="right"/>
              <w:spacing w:after="0"/>
              <w:rPr>
                <w:sz w:val="20"/>
                <w:szCs w:val="20"/>
                <w:color w:val="auto"/>
              </w:rPr>
            </w:pPr>
            <w:r>
              <w:rPr>
                <w:rFonts w:ascii="Arial" w:cs="Arial" w:eastAsia="Arial" w:hAnsi="Arial"/>
                <w:sz w:val="16"/>
                <w:szCs w:val="16"/>
                <w:color w:val="auto"/>
              </w:rPr>
              <w:t>$ 191,510</w:t>
            </w:r>
          </w:p>
        </w:tc>
      </w:tr>
      <w:tr>
        <w:trPr>
          <w:trHeight w:val="540"/>
        </w:trPr>
        <w:tc>
          <w:tcPr>
            <w:tcW w:w="4420" w:type="dxa"/>
            <w:vAlign w:val="bottom"/>
          </w:tcPr>
          <w:p>
            <w:pPr>
              <w:spacing w:after="0"/>
              <w:rPr>
                <w:sz w:val="20"/>
                <w:szCs w:val="20"/>
                <w:color w:val="auto"/>
              </w:rPr>
            </w:pPr>
            <w:r>
              <w:rPr>
                <w:rFonts w:ascii="Arial" w:cs="Arial" w:eastAsia="Arial" w:hAnsi="Arial"/>
                <w:sz w:val="16"/>
                <w:szCs w:val="16"/>
                <w:color w:val="auto"/>
              </w:rPr>
              <w:t>Average available village rooms (2)</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9,269</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9,116</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9,263</w:t>
            </w:r>
          </w:p>
        </w:tc>
        <w:tc>
          <w:tcPr>
            <w:tcW w:w="1020" w:type="dxa"/>
            <w:vAlign w:val="bottom"/>
          </w:tcPr>
          <w:p>
            <w:pPr>
              <w:jc w:val="right"/>
              <w:spacing w:after="0"/>
              <w:rPr>
                <w:sz w:val="20"/>
                <w:szCs w:val="20"/>
                <w:color w:val="auto"/>
              </w:rPr>
            </w:pPr>
            <w:r>
              <w:rPr>
                <w:rFonts w:ascii="Arial" w:cs="Arial" w:eastAsia="Arial" w:hAnsi="Arial"/>
                <w:sz w:val="16"/>
                <w:szCs w:val="16"/>
                <w:color w:val="auto"/>
              </w:rPr>
              <w:t>8,818</w:t>
            </w:r>
          </w:p>
        </w:tc>
      </w:tr>
      <w:tr>
        <w:trPr>
          <w:trHeight w:val="540"/>
        </w:trPr>
        <w:tc>
          <w:tcPr>
            <w:tcW w:w="4420" w:type="dxa"/>
            <w:vAlign w:val="bottom"/>
          </w:tcPr>
          <w:p>
            <w:pPr>
              <w:spacing w:after="0"/>
              <w:rPr>
                <w:sz w:val="20"/>
                <w:szCs w:val="20"/>
                <w:color w:val="auto"/>
              </w:rPr>
            </w:pPr>
            <w:r>
              <w:rPr>
                <w:rFonts w:ascii="Arial" w:cs="Arial" w:eastAsia="Arial" w:hAnsi="Arial"/>
                <w:sz w:val="16"/>
                <w:szCs w:val="16"/>
                <w:color w:val="auto"/>
              </w:rPr>
              <w:t>RevPAR for villages (3)</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$ 63</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$ 71</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$ 65</w:t>
            </w:r>
          </w:p>
        </w:tc>
        <w:tc>
          <w:tcPr>
            <w:tcW w:w="1020" w:type="dxa"/>
            <w:vAlign w:val="bottom"/>
          </w:tcPr>
          <w:p>
            <w:pPr>
              <w:jc w:val="right"/>
              <w:spacing w:after="0"/>
              <w:rPr>
                <w:sz w:val="20"/>
                <w:szCs w:val="20"/>
                <w:color w:val="auto"/>
              </w:rPr>
            </w:pPr>
            <w:r>
              <w:rPr>
                <w:rFonts w:ascii="Arial" w:cs="Arial" w:eastAsia="Arial" w:hAnsi="Arial"/>
                <w:sz w:val="16"/>
                <w:szCs w:val="16"/>
                <w:color w:val="auto"/>
              </w:rPr>
              <w:t>$ 80</w:t>
            </w:r>
          </w:p>
        </w:tc>
      </w:tr>
      <w:tr>
        <w:trPr>
          <w:trHeight w:val="540"/>
        </w:trPr>
        <w:tc>
          <w:tcPr>
            <w:tcW w:w="4420" w:type="dxa"/>
            <w:vAlign w:val="bottom"/>
          </w:tcPr>
          <w:p>
            <w:pPr>
              <w:spacing w:after="0"/>
              <w:rPr>
                <w:sz w:val="20"/>
                <w:szCs w:val="20"/>
                <w:color w:val="auto"/>
              </w:rPr>
            </w:pPr>
            <w:r>
              <w:rPr>
                <w:rFonts w:ascii="Arial" w:cs="Arial" w:eastAsia="Arial" w:hAnsi="Arial"/>
                <w:sz w:val="16"/>
                <w:szCs w:val="16"/>
                <w:color w:val="auto"/>
              </w:rPr>
              <w:t>Occupancy in villages (4)</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80%</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69%</w:t>
            </w:r>
          </w:p>
        </w:tc>
        <w:tc>
          <w:tcPr>
            <w:tcW w:w="10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540"/>
        </w:trPr>
        <w:tc>
          <w:tcPr>
            <w:tcW w:w="4420" w:type="dxa"/>
            <w:vAlign w:val="bottom"/>
          </w:tcPr>
          <w:p>
            <w:pPr>
              <w:spacing w:after="0"/>
              <w:rPr>
                <w:sz w:val="20"/>
                <w:szCs w:val="20"/>
                <w:color w:val="auto"/>
              </w:rPr>
            </w:pPr>
            <w:r>
              <w:rPr>
                <w:rFonts w:ascii="Arial" w:cs="Arial" w:eastAsia="Arial" w:hAnsi="Arial"/>
                <w:sz w:val="16"/>
                <w:szCs w:val="16"/>
                <w:color w:val="auto"/>
              </w:rPr>
              <w:t>Australian dollar to U.S. dollar</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$ 0.924</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$ 0.917</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$ 0.918</w:t>
            </w:r>
          </w:p>
        </w:tc>
        <w:tc>
          <w:tcPr>
            <w:tcW w:w="1020" w:type="dxa"/>
            <w:vAlign w:val="bottom"/>
          </w:tcPr>
          <w:p>
            <w:pPr>
              <w:jc w:val="right"/>
              <w:spacing w:after="0"/>
              <w:rPr>
                <w:sz w:val="20"/>
                <w:szCs w:val="20"/>
                <w:color w:val="auto"/>
              </w:rPr>
            </w:pPr>
            <w:r>
              <w:rPr>
                <w:rFonts w:ascii="Arial" w:cs="Arial" w:eastAsia="Arial" w:hAnsi="Arial"/>
                <w:sz w:val="16"/>
                <w:szCs w:val="16"/>
                <w:color w:val="auto"/>
              </w:rPr>
              <w:t>$ 0.982</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291"/>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80" w:hanging="291"/>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356" w:lineRule="exact"/>
        <w:rPr>
          <w:rFonts w:ascii="Arial" w:cs="Arial" w:eastAsia="Arial" w:hAnsi="Arial"/>
          <w:sz w:val="16"/>
          <w:szCs w:val="16"/>
          <w:color w:val="auto"/>
        </w:rPr>
      </w:pPr>
    </w:p>
    <w:p>
      <w:pPr>
        <w:ind w:left="80" w:right="20" w:firstLine="9"/>
        <w:spacing w:after="0" w:line="260"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80" w:hanging="291"/>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Company Contact:</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Civeo Corporation</w:t>
      </w:r>
    </w:p>
    <w:p>
      <w:pPr>
        <w:ind w:left="960"/>
        <w:spacing w:after="0" w:line="237" w:lineRule="auto"/>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340"/>
      </w:cols>
      <w:pgMar w:left="240" w:top="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2019-12-08T09:41:31Z</dcterms:created>
  <dcterms:modified xsi:type="dcterms:W3CDTF">2019-12-08T09:41:31Z</dcterms:modified>
</cp:coreProperties>
</file>