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00"/>
        <w:spacing w:after="0"/>
        <w:rPr>
          <w:sz w:val="20"/>
          <w:szCs w:val="20"/>
          <w:color w:val="auto"/>
        </w:rPr>
      </w:pPr>
      <w:r>
        <w:rPr>
          <w:rFonts w:ascii="Arial" w:cs="Arial" w:eastAsia="Arial" w:hAnsi="Arial"/>
          <w:sz w:val="18"/>
          <w:szCs w:val="18"/>
          <w:color w:val="auto"/>
        </w:rPr>
        <w:t>As filed with the Securities and Exchange Commission on February 10, 2014</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001-36246</w:t>
      </w:r>
    </w:p>
    <w:p>
      <w:pPr>
        <w:spacing w:after="0" w:line="259"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Washington, D.C. 20549</w:t>
      </w:r>
    </w:p>
    <w:p>
      <w:pPr>
        <w:spacing w:after="0" w:line="242"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Amendment No. 1</w:t>
      </w:r>
    </w:p>
    <w:p>
      <w:pPr>
        <w:spacing w:after="0" w:line="28"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to</w:t>
      </w:r>
    </w:p>
    <w:p>
      <w:pPr>
        <w:spacing w:after="0" w:line="17"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w:t>
      </w:r>
    </w:p>
    <w:p>
      <w:pPr>
        <w:spacing w:after="0" w:line="24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GENERAL FORM FOR REGISTRATION OF SECURITIES</w:t>
      </w:r>
    </w:p>
    <w:p>
      <w:pPr>
        <w:spacing w:after="0" w:line="2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PURSUANT TO SECTION 12(b) OR 12(g) OF</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THE SECURITIES EXCHANGE ACT OF 1934</w:t>
      </w:r>
    </w:p>
    <w:p>
      <w:pPr>
        <w:spacing w:after="0" w:line="238"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OIS Accommodations SpinCo Inc.</w:t>
      </w:r>
    </w:p>
    <w:p>
      <w:pPr>
        <w:spacing w:after="0" w:line="28"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237"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5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410"/>
              <w:spacing w:after="0"/>
              <w:rPr>
                <w:sz w:val="20"/>
                <w:szCs w:val="20"/>
                <w:color w:val="auto"/>
              </w:rPr>
            </w:pPr>
            <w:r>
              <w:rPr>
                <w:rFonts w:ascii="Arial" w:cs="Arial" w:eastAsia="Arial" w:hAnsi="Arial"/>
                <w:sz w:val="18"/>
                <w:szCs w:val="18"/>
                <w:b w:val="1"/>
                <w:bCs w:val="1"/>
                <w:color w:val="auto"/>
              </w:rPr>
              <w:t>46-3831207</w:t>
            </w:r>
          </w:p>
        </w:tc>
      </w:tr>
      <w:tr>
        <w:trPr>
          <w:trHeight w:val="216"/>
        </w:trPr>
        <w:tc>
          <w:tcPr>
            <w:tcW w:w="5640" w:type="dxa"/>
            <w:vAlign w:val="bottom"/>
          </w:tcPr>
          <w:p>
            <w:pPr>
              <w:jc w:val="center"/>
              <w:ind w:right="1130"/>
              <w:spacing w:after="0"/>
              <w:rPr>
                <w:sz w:val="20"/>
                <w:szCs w:val="20"/>
                <w:color w:val="auto"/>
              </w:rPr>
            </w:pPr>
            <w:r>
              <w:rPr>
                <w:rFonts w:ascii="Arial" w:cs="Arial" w:eastAsia="Arial" w:hAnsi="Arial"/>
                <w:sz w:val="18"/>
                <w:szCs w:val="18"/>
                <w:i w:val="1"/>
                <w:iCs w:val="1"/>
                <w:color w:val="auto"/>
                <w:w w:val="93"/>
              </w:rPr>
              <w:t>(State or other jurisdiction of</w:t>
            </w:r>
          </w:p>
        </w:tc>
        <w:tc>
          <w:tcPr>
            <w:tcW w:w="3080" w:type="dxa"/>
            <w:vAlign w:val="bottom"/>
          </w:tcPr>
          <w:p>
            <w:pPr>
              <w:jc w:val="center"/>
              <w:ind w:right="7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5640" w:type="dxa"/>
            <w:vAlign w:val="bottom"/>
          </w:tcPr>
          <w:p>
            <w:pPr>
              <w:jc w:val="center"/>
              <w:ind w:right="1130"/>
              <w:spacing w:after="0"/>
              <w:rPr>
                <w:sz w:val="20"/>
                <w:szCs w:val="20"/>
                <w:color w:val="auto"/>
              </w:rPr>
            </w:pPr>
            <w:r>
              <w:rPr>
                <w:rFonts w:ascii="Arial" w:cs="Arial" w:eastAsia="Arial" w:hAnsi="Arial"/>
                <w:sz w:val="18"/>
                <w:szCs w:val="18"/>
                <w:i w:val="1"/>
                <w:iCs w:val="1"/>
                <w:color w:val="auto"/>
                <w:w w:val="94"/>
              </w:rPr>
              <w:t>incorporation or organization)</w:t>
            </w:r>
          </w:p>
        </w:tc>
        <w:tc>
          <w:tcPr>
            <w:tcW w:w="3080" w:type="dxa"/>
            <w:vAlign w:val="bottom"/>
          </w:tcPr>
          <w:p>
            <w:pPr>
              <w:jc w:val="center"/>
              <w:ind w:right="710"/>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5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Three Allen Center, 333 Clay Street, Suite 4620, Houston,</w:t>
            </w:r>
          </w:p>
        </w:tc>
        <w:tc>
          <w:tcPr>
            <w:tcW w:w="3080" w:type="dxa"/>
            <w:vAlign w:val="bottom"/>
          </w:tcPr>
          <w:p>
            <w:pPr>
              <w:spacing w:after="0"/>
              <w:rPr>
                <w:sz w:val="24"/>
                <w:szCs w:val="24"/>
                <w:color w:val="auto"/>
              </w:rPr>
            </w:pPr>
          </w:p>
        </w:tc>
      </w:tr>
      <w:tr>
        <w:trPr>
          <w:trHeight w:val="220"/>
        </w:trPr>
        <w:tc>
          <w:tcPr>
            <w:tcW w:w="5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82"/>
              </w:rPr>
              <w:t>Texas</w:t>
            </w:r>
          </w:p>
        </w:tc>
        <w:tc>
          <w:tcPr>
            <w:tcW w:w="3080" w:type="dxa"/>
            <w:vAlign w:val="bottom"/>
          </w:tcPr>
          <w:p>
            <w:pPr>
              <w:jc w:val="right"/>
              <w:ind w:right="1630"/>
              <w:spacing w:after="0"/>
              <w:rPr>
                <w:sz w:val="20"/>
                <w:szCs w:val="20"/>
                <w:color w:val="auto"/>
              </w:rPr>
            </w:pPr>
            <w:r>
              <w:rPr>
                <w:rFonts w:ascii="Arial" w:cs="Arial" w:eastAsia="Arial" w:hAnsi="Arial"/>
                <w:sz w:val="18"/>
                <w:szCs w:val="18"/>
                <w:b w:val="1"/>
                <w:bCs w:val="1"/>
                <w:color w:val="auto"/>
              </w:rPr>
              <w:t>77002</w:t>
            </w:r>
          </w:p>
        </w:tc>
      </w:tr>
      <w:tr>
        <w:trPr>
          <w:trHeight w:val="230"/>
        </w:trPr>
        <w:tc>
          <w:tcPr>
            <w:tcW w:w="5640" w:type="dxa"/>
            <w:vAlign w:val="bottom"/>
          </w:tcPr>
          <w:p>
            <w:pPr>
              <w:jc w:val="center"/>
              <w:ind w:right="11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080" w:type="dxa"/>
            <w:vAlign w:val="bottom"/>
          </w:tcPr>
          <w:p>
            <w:pPr>
              <w:jc w:val="center"/>
              <w:ind w:right="730"/>
              <w:spacing w:after="0"/>
              <w:rPr>
                <w:sz w:val="20"/>
                <w:szCs w:val="20"/>
                <w:color w:val="auto"/>
              </w:rPr>
            </w:pPr>
            <w:r>
              <w:rPr>
                <w:rFonts w:ascii="Arial" w:cs="Arial" w:eastAsia="Arial" w:hAnsi="Arial"/>
                <w:sz w:val="18"/>
                <w:szCs w:val="18"/>
                <w:i w:val="1"/>
                <w:iCs w:val="1"/>
                <w:color w:val="auto"/>
                <w:w w:val="91"/>
              </w:rPr>
              <w:t>(Zip Code)</w:t>
            </w:r>
          </w:p>
        </w:tc>
      </w:tr>
      <w:tr>
        <w:trPr>
          <w:trHeight w:val="414"/>
        </w:trPr>
        <w:tc>
          <w:tcPr>
            <w:tcW w:w="87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34"/>
        </w:trPr>
        <w:tc>
          <w:tcPr>
            <w:tcW w:w="5640" w:type="dxa"/>
            <w:vAlign w:val="bottom"/>
          </w:tcPr>
          <w:p>
            <w:pPr>
              <w:jc w:val="center"/>
              <w:ind w:left="3590"/>
              <w:spacing w:after="0"/>
              <w:rPr>
                <w:sz w:val="20"/>
                <w:szCs w:val="20"/>
                <w:color w:val="auto"/>
              </w:rPr>
            </w:pPr>
            <w:r>
              <w:rPr>
                <w:rFonts w:ascii="Arial" w:cs="Arial" w:eastAsia="Arial" w:hAnsi="Arial"/>
                <w:sz w:val="18"/>
                <w:szCs w:val="18"/>
                <w:b w:val="1"/>
                <w:bCs w:val="1"/>
                <w:color w:val="auto"/>
                <w:w w:val="90"/>
              </w:rPr>
              <w:t>(713) 652-0582</w:t>
            </w:r>
          </w:p>
        </w:tc>
        <w:tc>
          <w:tcPr>
            <w:tcW w:w="3080" w:type="dxa"/>
            <w:vAlign w:val="bottom"/>
          </w:tcPr>
          <w:p>
            <w:pPr>
              <w:spacing w:after="0"/>
              <w:rPr>
                <w:sz w:val="20"/>
                <w:szCs w:val="20"/>
                <w:color w:val="auto"/>
              </w:rPr>
            </w:pPr>
          </w:p>
        </w:tc>
      </w:tr>
      <w:tr>
        <w:trPr>
          <w:trHeight w:val="441"/>
        </w:trPr>
        <w:tc>
          <w:tcPr>
            <w:tcW w:w="872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Securities to be registered pursuant to Section 12(b) of the Act:</w:t>
            </w:r>
          </w:p>
        </w:tc>
      </w:tr>
      <w:tr>
        <w:trPr>
          <w:trHeight w:val="216"/>
        </w:trPr>
        <w:tc>
          <w:tcPr>
            <w:tcW w:w="5640" w:type="dxa"/>
            <w:vAlign w:val="bottom"/>
          </w:tcPr>
          <w:p>
            <w:pPr>
              <w:spacing w:after="0"/>
              <w:rPr>
                <w:sz w:val="18"/>
                <w:szCs w:val="18"/>
                <w:color w:val="auto"/>
              </w:rPr>
            </w:pPr>
          </w:p>
        </w:tc>
        <w:tc>
          <w:tcPr>
            <w:tcW w:w="308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20"/>
        </w:trPr>
        <w:tc>
          <w:tcPr>
            <w:tcW w:w="5640" w:type="dxa"/>
            <w:vAlign w:val="bottom"/>
          </w:tcPr>
          <w:p>
            <w:pPr>
              <w:jc w:val="center"/>
              <w:ind w:right="2190"/>
              <w:spacing w:after="0"/>
              <w:rPr>
                <w:sz w:val="20"/>
                <w:szCs w:val="20"/>
                <w:color w:val="auto"/>
              </w:rPr>
            </w:pPr>
            <w:r>
              <w:rPr>
                <w:rFonts w:ascii="Arial" w:cs="Arial" w:eastAsia="Arial" w:hAnsi="Arial"/>
                <w:sz w:val="18"/>
                <w:szCs w:val="18"/>
                <w:b w:val="1"/>
                <w:bCs w:val="1"/>
                <w:color w:val="auto"/>
                <w:w w:val="87"/>
              </w:rPr>
              <w:t>Title of Each Class to be so Registered</w:t>
            </w:r>
          </w:p>
        </w:tc>
        <w:tc>
          <w:tcPr>
            <w:tcW w:w="30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Each Class is to be Registered</w:t>
            </w:r>
          </w:p>
        </w:tc>
      </w:tr>
      <w:tr>
        <w:trPr>
          <w:trHeight w:val="230"/>
        </w:trPr>
        <w:tc>
          <w:tcPr>
            <w:tcW w:w="5640" w:type="dxa"/>
            <w:vAlign w:val="bottom"/>
          </w:tcPr>
          <w:p>
            <w:pPr>
              <w:jc w:val="center"/>
              <w:ind w:right="2190"/>
              <w:spacing w:after="0"/>
              <w:rPr>
                <w:sz w:val="20"/>
                <w:szCs w:val="20"/>
                <w:color w:val="auto"/>
              </w:rPr>
            </w:pPr>
            <w:r>
              <w:rPr>
                <w:rFonts w:ascii="Arial" w:cs="Arial" w:eastAsia="Arial" w:hAnsi="Arial"/>
                <w:sz w:val="18"/>
                <w:szCs w:val="18"/>
                <w:color w:val="auto"/>
                <w:w w:val="89"/>
              </w:rPr>
              <w:t>Common stock, par value $0.01 per share</w:t>
            </w:r>
          </w:p>
        </w:tc>
        <w:tc>
          <w:tcPr>
            <w:tcW w:w="3080" w:type="dxa"/>
            <w:vAlign w:val="bottom"/>
          </w:tcPr>
          <w:p>
            <w:pPr>
              <w:jc w:val="center"/>
              <w:ind w:left="310"/>
              <w:spacing w:after="0"/>
              <w:rPr>
                <w:sz w:val="20"/>
                <w:szCs w:val="20"/>
                <w:color w:val="auto"/>
              </w:rPr>
            </w:pPr>
            <w:r>
              <w:rPr>
                <w:rFonts w:ascii="Arial" w:cs="Arial" w:eastAsia="Arial" w:hAnsi="Arial"/>
                <w:sz w:val="18"/>
                <w:szCs w:val="18"/>
                <w:color w:val="auto"/>
                <w:w w:val="91"/>
              </w:rPr>
              <w:t>The New York Stock Exchange, Inc.</w:t>
            </w:r>
          </w:p>
        </w:tc>
      </w:tr>
    </w:tbl>
    <w:p>
      <w:pPr>
        <w:spacing w:after="0" w:line="19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None</w:t>
      </w:r>
    </w:p>
    <w:p>
      <w:pPr>
        <w:spacing w:after="0" w:line="238"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203" w:lineRule="exact"/>
        <w:rPr>
          <w:sz w:val="24"/>
          <w:szCs w:val="24"/>
          <w:color w:val="auto"/>
        </w:rPr>
      </w:pPr>
    </w:p>
    <w:p>
      <w:pPr>
        <w:jc w:val="center"/>
        <w:ind w:left="340"/>
        <w:spacing w:after="0" w:line="207" w:lineRule="exact"/>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the following Form 10 Registration Statement items is contained in the Information Statement sections that we identify below, each of which we incorporate in this report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“Risk Factors”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“Security Ownership of Certain Beneficial Owners and Management”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“Management”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“Executive Compensation”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“Business—Legal Proceedings” of the Information Statement.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contained under the sections “Description of Capital Stock.” That section is incorporated herein by reference.</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Stock—Limitation of Liability and Indemnification Matters”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6"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56"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“Index to Financial Statements, Supplementary Data and Schedules” beginning on page F-1 of the Information Statement.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3" w:name="page4"/>
    <w:bookmarkEnd w:id="3"/>
    <w:p>
      <w:pPr>
        <w:ind w:left="432" w:hanging="432"/>
        <w:spacing w:after="0"/>
        <w:tabs>
          <w:tab w:leader="none" w:pos="432"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5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documents are filed as exhibits hereto:</w:t>
      </w:r>
    </w:p>
    <w:p>
      <w:pPr>
        <w:spacing w:after="0" w:line="248" w:lineRule="exact"/>
        <w:rPr>
          <w:sz w:val="20"/>
          <w:szCs w:val="20"/>
          <w:color w:val="auto"/>
        </w:rPr>
      </w:pPr>
    </w:p>
    <w:tbl>
      <w:tblPr>
        <w:tblLayout w:type="fixed"/>
        <w:tblInd w:w="432" w:type="dxa"/>
        <w:tblCellMar>
          <w:top w:w="0" w:type="dxa"/>
          <w:left w:w="0" w:type="dxa"/>
          <w:bottom w:w="0" w:type="dxa"/>
          <w:right w:w="0" w:type="dxa"/>
        </w:tblCellMar>
      </w:tblPr>
      <w:tr>
        <w:trPr>
          <w:trHeight w:val="234"/>
        </w:trPr>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08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6"/>
                <w:szCs w:val="16"/>
                <w:color w:val="auto"/>
              </w:rPr>
            </w:pPr>
          </w:p>
        </w:tc>
        <w:tc>
          <w:tcPr>
            <w:tcW w:w="9080" w:type="dxa"/>
            <w:vAlign w:val="bottom"/>
          </w:tcPr>
          <w:p>
            <w:pPr>
              <w:spacing w:after="0" w:line="195" w:lineRule="exact"/>
              <w:rPr>
                <w:sz w:val="20"/>
                <w:szCs w:val="20"/>
                <w:color w:val="auto"/>
              </w:rPr>
            </w:pPr>
            <w:r>
              <w:rPr>
                <w:rFonts w:ascii="Arial" w:cs="Arial" w:eastAsia="Arial" w:hAnsi="Arial"/>
                <w:sz w:val="18"/>
                <w:szCs w:val="18"/>
                <w:color w:val="auto"/>
                <w:w w:val="91"/>
              </w:rPr>
              <w:t>Form of Separation and Distribution Agreement between Oil States International, Inc. and OIS Accommodations SpinCo 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Amended and Restated Certificate of Incorporation</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Amended and Restated By-laws</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Form of Transition Services Agreement between Oil States International, Inc. and OIS Accommodations SpinCo 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Tax Sharing Agreement between Oil States International, Inc. and OIS Accommodations SpinCo 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Form of Employee Matters Agreement between Oil States International, Inc. and OIS Accommodations SpinCo 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Form of Indemnification and Release Agreement between Oil States International, Inc. and OIS Accommodations SpinCo</w:t>
            </w: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Credit Agreement of OIS Accommodations SpinCo Inc.</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2013 Incentive Plan</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Grant Agreements</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Employment Agreements</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Indemnification Agreements</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1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List of Subsidiaries of OIS Accommodations SpinCo Inc.</w:t>
            </w: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Information Statement, preliminary and subject to completion, dated February 10, 2014</w:t>
            </w:r>
          </w:p>
        </w:tc>
      </w:tr>
    </w:tbl>
    <w:p>
      <w:pPr>
        <w:ind w:left="52"/>
        <w:spacing w:after="0"/>
        <w:rPr>
          <w:sz w:val="20"/>
          <w:szCs w:val="20"/>
          <w:color w:val="auto"/>
        </w:rPr>
      </w:pPr>
      <w:r>
        <w:rPr>
          <w:rFonts w:ascii="Arial" w:cs="Arial" w:eastAsia="Arial" w:hAnsi="Arial"/>
          <w:sz w:val="22"/>
          <w:szCs w:val="22"/>
          <w:color w:val="auto"/>
        </w:rPr>
        <w:t>_________________</w:t>
      </w:r>
    </w:p>
    <w:p>
      <w:pPr>
        <w:spacing w:after="0" w:line="14"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675005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OIS Accommodations SpinCo Inc.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227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01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Bradley J. Dodson</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 February 10, 2014</w:t>
      </w:r>
    </w:p>
    <w:p>
      <w:pPr>
        <w:sectPr>
          <w:pgSz w:w="11900" w:h="16838" w:orient="portrait"/>
          <w:cols w:equalWidth="0" w:num="1">
            <w:col w:w="11320"/>
          </w:cols>
          <w:pgMar w:left="240" w:top="60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original certificate of incorporation was filed with the Secretary of State of the State of Delaware on October 8, 2013, under the name “</w:t>
      </w:r>
      <w:r>
        <w:rPr>
          <w:rFonts w:ascii="Arial" w:cs="Arial" w:eastAsia="Arial" w:hAnsi="Arial"/>
          <w:sz w:val="18"/>
          <w:szCs w:val="18"/>
          <w:u w:val="single" w:color="auto"/>
          <w:color w:val="auto"/>
        </w:rPr>
        <w:t>OIS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Accommodations SpinCo Inc.</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Amended and Restated Certificate of Incorporation (this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has been declared advisable by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duly adopted by the stockholders of the Corporation and duly executed and acknowledged by the officers of the Corporation in accordance with Sections 103, 242 and 245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text of the certificate of incorporation of the Corporation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Wilmington, Delaware 19801 in the County of New Castle. The name of the Corporation's registered agent at such address is The Corporation Trust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purposes of the Corporation are to engage in any lawful act or activity for which corporations may be organized under the General Corporation Law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xml:space="preserve">. The Corporation shall be authorized to issue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shares of capital stock, consisting of two classes: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shares of common stock, par value $.01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shares of preferred stock, par value $.01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firstLine="648"/>
        <w:spacing w:after="0" w:line="29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authorized shares of Preferred Stock may be issued in one or more series. Subject to any provision made in this Article Four fixing and determining the designations, rights and preferences of any series of Preferred Stock, the Board of Directors is hereby authorized to issue the shares of Preferred Stock in such series and to fix from time to time before issuance the number of shares to be included in any series and the designation, relative powers, preferences and rights and qualifications, limitations or restrictions of all shares of such series. The authority of the Board of Directors with respect to each series shall include, without limiting the generality of the foregoing, the determination of any or all of the following:</w:t>
      </w:r>
    </w:p>
    <w:p>
      <w:pPr>
        <w:spacing w:after="0" w:line="158" w:lineRule="exact"/>
        <w:rPr>
          <w:sz w:val="20"/>
          <w:szCs w:val="20"/>
          <w:color w:val="auto"/>
        </w:rPr>
      </w:pPr>
    </w:p>
    <w:p>
      <w:pPr>
        <w:ind w:left="1720" w:hanging="415"/>
        <w:spacing w:after="0"/>
        <w:tabs>
          <w:tab w:leader="none" w:pos="1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shares of any series and the designation to distinguish the shares of such series from the shares of all other series;</w:t>
      </w:r>
    </w:p>
    <w:p>
      <w:pPr>
        <w:spacing w:after="0" w:line="248" w:lineRule="exact"/>
        <w:rPr>
          <w:rFonts w:ascii="Arial" w:cs="Arial" w:eastAsia="Arial" w:hAnsi="Arial"/>
          <w:sz w:val="16"/>
          <w:szCs w:val="16"/>
          <w:color w:val="auto"/>
        </w:rPr>
      </w:pPr>
    </w:p>
    <w:p>
      <w:pPr>
        <w:ind w:left="1740" w:hanging="435"/>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225" w:lineRule="exact"/>
        <w:rPr>
          <w:rFonts w:ascii="Arial" w:cs="Arial" w:eastAsia="Arial" w:hAnsi="Arial"/>
          <w:sz w:val="18"/>
          <w:szCs w:val="18"/>
          <w:color w:val="auto"/>
        </w:rPr>
      </w:pPr>
    </w:p>
    <w:p>
      <w:pPr>
        <w:ind w:right="20" w:firstLine="1305"/>
        <w:spacing w:after="0" w:line="277" w:lineRule="auto"/>
        <w:tabs>
          <w:tab w:leader="none" w:pos="17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rights of such series upon the voluntary or involuntary dissolution of, or upon any distribution of the assets of, the Corporation;</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17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if any, pursuant to which the shares of such series are convertible into, or exchangeable for, shares of any other class or classes of any other series of the same or any other class or classes of stock, or any other security, of the Corporation or any other corporation, and price or prices or the rates of exchange applicable thereto;</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Corporation or any other corporation;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other relative, participating, optional or other special powers, preferences, rights, qualifications, limitations or restrictions thereof;</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as shall be determined from time to time by the Board of Directors and shall be stated in a resolution or resolutions providing for the issuance of such Preferred Stock (a “</w:t>
      </w:r>
      <w:r>
        <w:rPr>
          <w:rFonts w:ascii="Arial" w:cs="Arial" w:eastAsia="Arial" w:hAnsi="Arial"/>
          <w:sz w:val="18"/>
          <w:szCs w:val="18"/>
          <w:u w:val="single" w:color="auto"/>
          <w:color w:val="auto"/>
        </w:rPr>
        <w:t>Preferred Stock Designation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required by law, holders of shares of Preferred Stock shall not be entitled to receive notice of any meeting of stockholders at which they are not entitled to vote. The number of authorized shares of Preferred Stock may be increased or decreased (but not below the number of shares thereof then outstanding) by the affirmative vote of the holders of a majority of the outstanding Common Stock, without a vote of the holders of the Preferred Stock, or of any series thereof, unless a vote of any such holders is required pursuant to any Preferred Stock Designation.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jc w:val="both"/>
        <w:ind w:firstLine="648"/>
        <w:spacing w:after="0" w:line="25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 The Common Stock shall be subject to the express terms of the Preferred Stock and any series thereof. The holders of shares of Common Stock shall be entitled to one vote for each such share upon all proposals on which the holders of Common Stock are entitled to vote. Except as otherwise provided by law or by the resolution or resolutions adopted by the Board designating the rights, powers and preferences of any series of Preferred Stock, the holders of Common Stock shall have the exclusive right to vote for the members of the Board (the “</w:t>
      </w:r>
      <w:r>
        <w:rPr>
          <w:rFonts w:ascii="Arial" w:cs="Arial" w:eastAsia="Arial" w:hAnsi="Arial"/>
          <w:sz w:val="18"/>
          <w:szCs w:val="18"/>
          <w:u w:val="single" w:color="auto"/>
          <w:color w:val="auto"/>
        </w:rPr>
        <w:t>Directors</w:t>
      </w:r>
      <w:r>
        <w:rPr>
          <w:rFonts w:ascii="Arial" w:cs="Arial" w:eastAsia="Arial" w:hAnsi="Arial"/>
          <w:sz w:val="18"/>
          <w:szCs w:val="18"/>
          <w:color w:val="auto"/>
        </w:rPr>
        <w:t>”) and for all other purposes. [The number of authorized shares of Preferred Stock may be increased or decreased (but not below the number of shares thereof then outstanding) by the affirmative vote of the holders of a majority of the outstanding Common Stock, without a vote of the holders of the Preferred Stock, or of any series thereof, unless a vote of any such holders is required pursuant to any Preferred Stock Designation.] The Corporation shall be entitled to treat the Person in which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9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THE BOARD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not provided for in this Certificate of Incorporation, the number, nominations, qualifications, tenure, vacancies and removal of the Directors shall be as set forth in the Bylaws.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Number, Election and Terms of Directors</w:t>
      </w:r>
      <w:r>
        <w:rPr>
          <w:rFonts w:ascii="Arial" w:cs="Arial" w:eastAsia="Arial" w:hAnsi="Arial"/>
          <w:sz w:val="18"/>
          <w:szCs w:val="18"/>
          <w:color w:val="auto"/>
        </w:rPr>
        <w:t>. The number of Directors which shall constitute the entire Board shall be fixed from time to time by a majority of the Directors then in office and shall be divided into three classes, as nearly equal in number as is ratably possible: Class I, Class II and Class III. Each Director shall serve for a term ending on the third annual meeting following the annual meeting of stockholders at which such Director was elected; provided, however, that the Directors first elected to Class I shall serve for a term expiring at the annual meeting of stockholders next following the end of the calendar year 2014, the Directors first elected to Class II shall serve for a term expiring at the annual meeting of stockholders next following the end of the calendar year 2015, and the Directors first elected to Class III shall serve for a term expiring at the annual meeting of stockholders next following the end of the calendar year 2016. Each Director shall hold office until the annual meeting of stockholders at which such Director's term expires and, the foregoing notwithstanding, shall serve until his or her successor shall have been duly elected and qualified or until his or her earlier death, resignation or removal.</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expires as Directorships of another class in order to more nearly achieve equality of number of Directors among the classes.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any changes in the authorized number of Directors, each Director then continuing to serve shall nevertheless continue as a Director of the class of which he is a member until the expiration of his or her current term, or his or her prior death, resignation or removal. The Board shall specify the class to which a newly created Directorship shall be allocated.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Election of Directors need not be by written ballot unless the Bylaws shall so provide.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No Director of the Corporation shall be removed from office as a Director by vote or other action of the stockholders or otherwise except for cause, and then only by the affirmative vote of the holders of a majority of the voting power of all outstanding shares of capital stock of the Corporation generally entitled to vote in the election of Directors, voting together as a single class.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any requirements of law to the contrary, newly created Directorships resulting from any increase in the number of Directors and any vacancies on the Board resulting from death, resignation, removal or other cause shall be filled by the affirmative vote of a majority of the remaining Directors then in office, even though less than a quorum of the Board.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or until his or her earlier death, resignation or removal. No decrease in the number of Directors constituting the Board shall shorten the term of any incumbent Director.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Bylaws may be altered, amended or repealed and new Bylaws may be adopted by the Board in accordance with the Bylaws.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as otherwise provided in this Certificate of Incorporation, the Bylaws or by applicable law, the Corporation reserves the right at any time and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except as set forth in Article XI,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Seventh. Notwithstanding any other provision of this Certificate of Incorporation or the bylaws of the Corporation (and in addition to any other vote that may be required by law, this Certificate of Incorporation or the bylaws of the Corporation), the affirmative vote of the holders of least 66 2/3% in voting power of the outstanding shares of stock of the Corporation entitled to vote thereon, voting together as a single class, shall be required to amend, alter or repeal any provision of this Certificate of Incorporation.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must be taken at a duly held annual or special meeting of stockholders and may not be taken by any consent in writing of such stockholders.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ANTITAKEOVER STATUTE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Section 203 of the Delaware General Corporation Law shall not be applicable to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ANTI-DILUTION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holder of shares of capital stock of the Corporation shall have any preemptive or other right to purchase or subscribe for or receive any shares of capital stock of the Corporation, whether now or hereafter authorized, or any warrants, options, bonds or debentures exchangeable for or carrying any right to purchase any shares of capital stock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OF DIRECTORS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director of the Corporation shall be liable to the Corporation or its stockholders for monetary damages for breach of fiduciary duty as a director, except to the extent such exemption from liability or limitation thereof is not permitted under the DGCL as it now exists. In addition to the circumstances in which a director of the Corporation is not personally liable as set forth in the preceding sentence, a director of the Corporation shall not be liable to the fullest extent permitted by any amendment to the DGCL hereafter enacted that further limits the liability of a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employee or agent of the Corporation to the Corporation or the Corporation’s stockholders, (iii) any action asserting a claim against the Corporation arising pursuant to any provision of the DGCL, this Certificate of Incorporation or the Corporation’s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Twelfth.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 xml:space="preserve">IN WITNESS WHEREOF,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has caused this Amended and Restated Certificate of Incorporation to be signed by its President this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day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254635</wp:posOffset>
            </wp:positionV>
            <wp:extent cx="2657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07"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u w:val="single" w:color="auto"/>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337185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379730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DATED AS OF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309245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890270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334645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76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7760" w:type="dxa"/>
            <w:vAlign w:val="bottom"/>
            <w:vMerge w:val="restart"/>
          </w:tcPr>
          <w:p>
            <w:pPr>
              <w:jc w:val="center"/>
              <w:ind w:left="1310"/>
              <w:spacing w:after="0"/>
              <w:rPr>
                <w:sz w:val="20"/>
                <w:szCs w:val="20"/>
                <w:color w:val="auto"/>
              </w:rPr>
            </w:pPr>
            <w:r>
              <w:rPr>
                <w:rFonts w:ascii="Arial" w:cs="Arial" w:eastAsia="Arial" w:hAnsi="Arial"/>
                <w:sz w:val="18"/>
                <w:szCs w:val="18"/>
                <w:color w:val="auto"/>
                <w:w w:val="99"/>
              </w:rPr>
              <w:t>Article I</w:t>
            </w:r>
          </w:p>
        </w:tc>
        <w:tc>
          <w:tcPr>
            <w:tcW w:w="2560" w:type="dxa"/>
            <w:vAlign w:val="bottom"/>
            <w:gridSpan w:val="3"/>
          </w:tcPr>
          <w:p>
            <w:pPr>
              <w:ind w:left="218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776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760" w:type="dxa"/>
            <w:vAlign w:val="bottom"/>
          </w:tcPr>
          <w:p>
            <w:pPr>
              <w:jc w:val="center"/>
              <w:ind w:left="1290"/>
              <w:spacing w:after="0"/>
              <w:rPr>
                <w:sz w:val="20"/>
                <w:szCs w:val="20"/>
                <w:color w:val="auto"/>
              </w:rPr>
            </w:pPr>
            <w:r>
              <w:rPr>
                <w:rFonts w:ascii="Arial" w:cs="Arial" w:eastAsia="Arial" w:hAnsi="Arial"/>
                <w:sz w:val="18"/>
                <w:szCs w:val="18"/>
                <w:color w:val="auto"/>
                <w:w w:val="93"/>
              </w:rPr>
              <w:t>OFFICES AND RECORDS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7760" w:type="dxa"/>
            <w:vAlign w:val="bottom"/>
          </w:tcPr>
          <w:p>
            <w:pPr>
              <w:jc w:val="center"/>
              <w:ind w:left="1290"/>
              <w:spacing w:after="0"/>
              <w:rPr>
                <w:sz w:val="20"/>
                <w:szCs w:val="20"/>
                <w:color w:val="auto"/>
              </w:rPr>
            </w:pPr>
            <w:r>
              <w:rPr>
                <w:rFonts w:ascii="Arial" w:cs="Arial" w:eastAsia="Arial" w:hAnsi="Arial"/>
                <w:sz w:val="18"/>
                <w:szCs w:val="18"/>
                <w:color w:val="auto"/>
              </w:rPr>
              <w:t>Article II</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760" w:type="dxa"/>
            <w:vAlign w:val="bottom"/>
          </w:tcPr>
          <w:p>
            <w:pPr>
              <w:jc w:val="center"/>
              <w:ind w:left="1290"/>
              <w:spacing w:after="0"/>
              <w:rPr>
                <w:sz w:val="20"/>
                <w:szCs w:val="20"/>
                <w:color w:val="auto"/>
              </w:rPr>
            </w:pPr>
            <w:r>
              <w:rPr>
                <w:rFonts w:ascii="Arial" w:cs="Arial" w:eastAsia="Arial" w:hAnsi="Arial"/>
                <w:sz w:val="18"/>
                <w:szCs w:val="18"/>
                <w:color w:val="auto"/>
                <w:w w:val="95"/>
              </w:rPr>
              <w:t>STOCKHOLDERS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Annual Meeting</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2.2</w:t>
            </w:r>
          </w:p>
        </w:tc>
        <w:tc>
          <w:tcPr>
            <w:tcW w:w="7760" w:type="dxa"/>
            <w:vAlign w:val="bottom"/>
          </w:tcPr>
          <w:p>
            <w:pPr>
              <w:ind w:left="240"/>
              <w:spacing w:after="0"/>
              <w:rPr>
                <w:sz w:val="20"/>
                <w:szCs w:val="20"/>
                <w:color w:val="auto"/>
              </w:rPr>
            </w:pPr>
            <w:r>
              <w:rPr>
                <w:rFonts w:ascii="Arial" w:cs="Arial" w:eastAsia="Arial" w:hAnsi="Arial"/>
                <w:sz w:val="18"/>
                <w:szCs w:val="18"/>
                <w:color w:val="auto"/>
              </w:rPr>
              <w:t>Special Meeting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2.3</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Place of Meetings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2.4</w:t>
            </w:r>
          </w:p>
        </w:tc>
        <w:tc>
          <w:tcPr>
            <w:tcW w:w="7760" w:type="dxa"/>
            <w:vAlign w:val="bottom"/>
          </w:tcPr>
          <w:p>
            <w:pPr>
              <w:ind w:left="240"/>
              <w:spacing w:after="0"/>
              <w:rPr>
                <w:sz w:val="20"/>
                <w:szCs w:val="20"/>
                <w:color w:val="auto"/>
              </w:rPr>
            </w:pPr>
            <w:r>
              <w:rPr>
                <w:rFonts w:ascii="Arial" w:cs="Arial" w:eastAsia="Arial" w:hAnsi="Arial"/>
                <w:sz w:val="18"/>
                <w:szCs w:val="18"/>
                <w:color w:val="auto"/>
              </w:rPr>
              <w:t>Closing Of Transfer Books And Fixing Record Date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2.5</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Meeting</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2.6</w:t>
            </w:r>
          </w:p>
        </w:tc>
        <w:tc>
          <w:tcPr>
            <w:tcW w:w="7760" w:type="dxa"/>
            <w:vAlign w:val="bottom"/>
          </w:tcPr>
          <w:p>
            <w:pPr>
              <w:ind w:left="240"/>
              <w:spacing w:after="0"/>
              <w:rPr>
                <w:sz w:val="20"/>
                <w:szCs w:val="20"/>
                <w:color w:val="auto"/>
              </w:rPr>
            </w:pPr>
            <w:r>
              <w:rPr>
                <w:rFonts w:ascii="Arial" w:cs="Arial" w:eastAsia="Arial" w:hAnsi="Arial"/>
                <w:sz w:val="18"/>
                <w:szCs w:val="18"/>
                <w:color w:val="auto"/>
              </w:rPr>
              <w:t>Quorum and Adjournment; Voting</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2.7</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Proxies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2.8</w:t>
            </w:r>
          </w:p>
        </w:tc>
        <w:tc>
          <w:tcPr>
            <w:tcW w:w="7760" w:type="dxa"/>
            <w:vAlign w:val="bottom"/>
          </w:tcPr>
          <w:p>
            <w:pPr>
              <w:ind w:left="240"/>
              <w:spacing w:after="0"/>
              <w:rPr>
                <w:sz w:val="20"/>
                <w:szCs w:val="20"/>
                <w:color w:val="auto"/>
              </w:rPr>
            </w:pPr>
            <w:r>
              <w:rPr>
                <w:rFonts w:ascii="Arial" w:cs="Arial" w:eastAsia="Arial" w:hAnsi="Arial"/>
                <w:sz w:val="18"/>
                <w:szCs w:val="18"/>
                <w:color w:val="auto"/>
              </w:rPr>
              <w:t>List of Stockholders Entitled to Vote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2.9</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Stockholder Business and Nominations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7760" w:type="dxa"/>
            <w:vAlign w:val="bottom"/>
          </w:tcPr>
          <w:p>
            <w:pPr>
              <w:ind w:left="240"/>
              <w:spacing w:after="0"/>
              <w:rPr>
                <w:sz w:val="20"/>
                <w:szCs w:val="20"/>
                <w:color w:val="auto"/>
              </w:rPr>
            </w:pPr>
            <w:r>
              <w:rPr>
                <w:rFonts w:ascii="Arial" w:cs="Arial" w:eastAsia="Arial" w:hAnsi="Arial"/>
                <w:sz w:val="18"/>
                <w:szCs w:val="18"/>
                <w:color w:val="auto"/>
              </w:rPr>
              <w:t>Procedure for Election of Directors; Required Vote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Inspectors of Elections; Opening and Closing the Polls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776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Meetings by Remote Communication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760" w:type="dxa"/>
            <w:vAlign w:val="bottom"/>
          </w:tcPr>
          <w:p>
            <w:pPr>
              <w:jc w:val="center"/>
              <w:ind w:left="1310"/>
              <w:spacing w:after="0" w:line="201" w:lineRule="exact"/>
              <w:rPr>
                <w:sz w:val="20"/>
                <w:szCs w:val="20"/>
                <w:color w:val="auto"/>
              </w:rPr>
            </w:pPr>
            <w:r>
              <w:rPr>
                <w:rFonts w:ascii="Arial" w:cs="Arial" w:eastAsia="Arial" w:hAnsi="Arial"/>
                <w:sz w:val="18"/>
                <w:szCs w:val="18"/>
                <w:color w:val="auto"/>
              </w:rPr>
              <w:t>Article III</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760" w:type="dxa"/>
            <w:vAlign w:val="bottom"/>
          </w:tcPr>
          <w:p>
            <w:pPr>
              <w:jc w:val="center"/>
              <w:ind w:left="1290"/>
              <w:spacing w:after="0"/>
              <w:rPr>
                <w:sz w:val="20"/>
                <w:szCs w:val="20"/>
                <w:color w:val="auto"/>
              </w:rPr>
            </w:pPr>
            <w:r>
              <w:rPr>
                <w:rFonts w:ascii="Arial" w:cs="Arial" w:eastAsia="Arial" w:hAnsi="Arial"/>
                <w:sz w:val="18"/>
                <w:szCs w:val="18"/>
                <w:color w:val="auto"/>
                <w:w w:val="97"/>
              </w:rPr>
              <w:t>THE BOARD</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Powers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3.2</w:t>
            </w:r>
          </w:p>
        </w:tc>
        <w:tc>
          <w:tcPr>
            <w:tcW w:w="7760" w:type="dxa"/>
            <w:vAlign w:val="bottom"/>
          </w:tcPr>
          <w:p>
            <w:pPr>
              <w:ind w:left="240"/>
              <w:spacing w:after="0"/>
              <w:rPr>
                <w:sz w:val="20"/>
                <w:szCs w:val="20"/>
                <w:color w:val="auto"/>
              </w:rPr>
            </w:pPr>
            <w:r>
              <w:rPr>
                <w:rFonts w:ascii="Arial" w:cs="Arial" w:eastAsia="Arial" w:hAnsi="Arial"/>
                <w:sz w:val="18"/>
                <w:szCs w:val="18"/>
                <w:color w:val="auto"/>
              </w:rPr>
              <w:t>Number; Qualifications and Tenure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Regular Meetings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3.4</w:t>
            </w:r>
          </w:p>
        </w:tc>
        <w:tc>
          <w:tcPr>
            <w:tcW w:w="77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3.5</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Meetings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3.6</w:t>
            </w:r>
          </w:p>
        </w:tc>
        <w:tc>
          <w:tcPr>
            <w:tcW w:w="7760" w:type="dxa"/>
            <w:vAlign w:val="bottom"/>
          </w:tcPr>
          <w:p>
            <w:pPr>
              <w:ind w:left="240"/>
              <w:spacing w:after="0"/>
              <w:rPr>
                <w:sz w:val="20"/>
                <w:szCs w:val="20"/>
                <w:color w:val="auto"/>
              </w:rPr>
            </w:pPr>
            <w:r>
              <w:rPr>
                <w:rFonts w:ascii="Arial" w:cs="Arial" w:eastAsia="Arial" w:hAnsi="Arial"/>
                <w:sz w:val="18"/>
                <w:szCs w:val="18"/>
                <w:color w:val="auto"/>
              </w:rPr>
              <w:t>Action by Consent of Board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3.7</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Conference Telephone Meetings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3.8</w:t>
            </w:r>
          </w:p>
        </w:tc>
        <w:tc>
          <w:tcPr>
            <w:tcW w:w="7760" w:type="dxa"/>
            <w:vAlign w:val="bottom"/>
          </w:tcPr>
          <w:p>
            <w:pPr>
              <w:ind w:left="240"/>
              <w:spacing w:after="0"/>
              <w:rPr>
                <w:sz w:val="20"/>
                <w:szCs w:val="20"/>
                <w:color w:val="auto"/>
              </w:rPr>
            </w:pPr>
            <w:r>
              <w:rPr>
                <w:rFonts w:ascii="Arial" w:cs="Arial" w:eastAsia="Arial" w:hAnsi="Arial"/>
                <w:sz w:val="18"/>
                <w:szCs w:val="18"/>
                <w:color w:val="auto"/>
              </w:rPr>
              <w:t>Quorum</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3.9</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Vacancies; Increases in the Number of Directors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3.10</w:t>
            </w:r>
          </w:p>
        </w:tc>
        <w:tc>
          <w:tcPr>
            <w:tcW w:w="776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Removal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3.12</w:t>
            </w:r>
          </w:p>
        </w:tc>
        <w:tc>
          <w:tcPr>
            <w:tcW w:w="7760" w:type="dxa"/>
            <w:vAlign w:val="bottom"/>
          </w:tcPr>
          <w:p>
            <w:pPr>
              <w:ind w:left="240"/>
              <w:spacing w:after="0"/>
              <w:rPr>
                <w:sz w:val="20"/>
                <w:szCs w:val="20"/>
                <w:color w:val="auto"/>
              </w:rPr>
            </w:pPr>
            <w:r>
              <w:rPr>
                <w:rFonts w:ascii="Arial" w:cs="Arial" w:eastAsia="Arial" w:hAnsi="Arial"/>
                <w:sz w:val="18"/>
                <w:szCs w:val="18"/>
                <w:color w:val="auto"/>
              </w:rPr>
              <w:t>Records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5"/>
        </w:trPr>
        <w:tc>
          <w:tcPr>
            <w:tcW w:w="11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4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8400" w:type="dxa"/>
            <w:vAlign w:val="bottom"/>
          </w:tcPr>
          <w:p>
            <w:pPr>
              <w:jc w:val="center"/>
              <w:ind w:left="650"/>
              <w:spacing w:after="0"/>
              <w:rPr>
                <w:sz w:val="20"/>
                <w:szCs w:val="20"/>
                <w:color w:val="auto"/>
              </w:rPr>
            </w:pPr>
            <w:r>
              <w:rPr>
                <w:rFonts w:ascii="Arial" w:cs="Arial" w:eastAsia="Arial" w:hAnsi="Arial"/>
                <w:sz w:val="18"/>
                <w:szCs w:val="18"/>
                <w:color w:val="auto"/>
              </w:rPr>
              <w:t>Article IV</w:t>
            </w: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8400" w:type="dxa"/>
            <w:vAlign w:val="bottom"/>
          </w:tcPr>
          <w:p>
            <w:pPr>
              <w:jc w:val="center"/>
              <w:ind w:left="670"/>
              <w:spacing w:after="0"/>
              <w:rPr>
                <w:sz w:val="20"/>
                <w:szCs w:val="20"/>
                <w:color w:val="auto"/>
              </w:rPr>
            </w:pPr>
            <w:r>
              <w:rPr>
                <w:rFonts w:ascii="Arial" w:cs="Arial" w:eastAsia="Arial" w:hAnsi="Arial"/>
                <w:sz w:val="18"/>
                <w:szCs w:val="18"/>
                <w:color w:val="auto"/>
                <w:w w:val="92"/>
              </w:rPr>
              <w:t>OFFICERS</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Elected Officers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4.2</w:t>
            </w:r>
          </w:p>
        </w:tc>
        <w:tc>
          <w:tcPr>
            <w:tcW w:w="8400" w:type="dxa"/>
            <w:vAlign w:val="bottom"/>
          </w:tcPr>
          <w:p>
            <w:pPr>
              <w:ind w:left="240"/>
              <w:spacing w:after="0"/>
              <w:rPr>
                <w:sz w:val="20"/>
                <w:szCs w:val="20"/>
                <w:color w:val="auto"/>
              </w:rPr>
            </w:pPr>
            <w:r>
              <w:rPr>
                <w:rFonts w:ascii="Arial" w:cs="Arial" w:eastAsia="Arial" w:hAnsi="Arial"/>
                <w:sz w:val="18"/>
                <w:szCs w:val="18"/>
                <w:color w:val="auto"/>
              </w:rPr>
              <w:t>Election and Term of Office</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Chairman of the Board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4.4</w:t>
            </w:r>
          </w:p>
        </w:tc>
        <w:tc>
          <w:tcPr>
            <w:tcW w:w="84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4.6</w:t>
            </w:r>
          </w:p>
        </w:tc>
        <w:tc>
          <w:tcPr>
            <w:tcW w:w="8400" w:type="dxa"/>
            <w:vAlign w:val="bottom"/>
          </w:tcPr>
          <w:p>
            <w:pPr>
              <w:ind w:left="240"/>
              <w:spacing w:after="0"/>
              <w:rPr>
                <w:sz w:val="20"/>
                <w:szCs w:val="20"/>
                <w:color w:val="auto"/>
              </w:rPr>
            </w:pPr>
            <w:r>
              <w:rPr>
                <w:rFonts w:ascii="Arial" w:cs="Arial" w:eastAsia="Arial" w:hAnsi="Arial"/>
                <w:sz w:val="18"/>
                <w:szCs w:val="18"/>
                <w:color w:val="auto"/>
              </w:rPr>
              <w:t>Vice Presidents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4.7</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Treasurer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4.8</w:t>
            </w:r>
          </w:p>
        </w:tc>
        <w:tc>
          <w:tcPr>
            <w:tcW w:w="8400" w:type="dxa"/>
            <w:vAlign w:val="bottom"/>
          </w:tcPr>
          <w:p>
            <w:pPr>
              <w:ind w:left="240"/>
              <w:spacing w:after="0"/>
              <w:rPr>
                <w:sz w:val="20"/>
                <w:szCs w:val="20"/>
                <w:color w:val="auto"/>
              </w:rPr>
            </w:pPr>
            <w:r>
              <w:rPr>
                <w:rFonts w:ascii="Arial" w:cs="Arial" w:eastAsia="Arial" w:hAnsi="Arial"/>
                <w:sz w:val="18"/>
                <w:szCs w:val="18"/>
                <w:color w:val="auto"/>
              </w:rPr>
              <w:t>Secretary</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4.9</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Assistant Secretaries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8400" w:type="dxa"/>
            <w:vAlign w:val="bottom"/>
          </w:tcPr>
          <w:p>
            <w:pPr>
              <w:ind w:left="240"/>
              <w:spacing w:after="0"/>
              <w:rPr>
                <w:sz w:val="20"/>
                <w:szCs w:val="20"/>
                <w:color w:val="auto"/>
              </w:rPr>
            </w:pPr>
            <w:r>
              <w:rPr>
                <w:rFonts w:ascii="Arial" w:cs="Arial" w:eastAsia="Arial" w:hAnsi="Arial"/>
                <w:sz w:val="18"/>
                <w:szCs w:val="18"/>
                <w:color w:val="auto"/>
              </w:rPr>
              <w:t>Removal</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4.11</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Vacancies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8400" w:type="dxa"/>
            <w:vAlign w:val="bottom"/>
          </w:tcPr>
          <w:p>
            <w:pPr>
              <w:jc w:val="center"/>
              <w:ind w:left="670"/>
              <w:spacing w:after="0" w:line="201" w:lineRule="exact"/>
              <w:rPr>
                <w:sz w:val="20"/>
                <w:szCs w:val="20"/>
                <w:color w:val="auto"/>
              </w:rPr>
            </w:pPr>
            <w:r>
              <w:rPr>
                <w:rFonts w:ascii="Arial" w:cs="Arial" w:eastAsia="Arial" w:hAnsi="Arial"/>
                <w:sz w:val="18"/>
                <w:szCs w:val="18"/>
                <w:color w:val="auto"/>
              </w:rPr>
              <w:t>Article V</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8400" w:type="dxa"/>
            <w:vAlign w:val="bottom"/>
          </w:tcPr>
          <w:p>
            <w:pPr>
              <w:jc w:val="center"/>
              <w:ind w:left="650"/>
              <w:spacing w:after="0"/>
              <w:rPr>
                <w:sz w:val="20"/>
                <w:szCs w:val="20"/>
                <w:color w:val="auto"/>
              </w:rPr>
            </w:pPr>
            <w:r>
              <w:rPr>
                <w:rFonts w:ascii="Arial" w:cs="Arial" w:eastAsia="Arial" w:hAnsi="Arial"/>
                <w:sz w:val="18"/>
                <w:szCs w:val="18"/>
                <w:color w:val="auto"/>
                <w:w w:val="94"/>
              </w:rPr>
              <w:t>STOCK CERTIFICATES AND TRANSFERS</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Certificates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5.2</w:t>
            </w:r>
          </w:p>
        </w:tc>
        <w:tc>
          <w:tcPr>
            <w:tcW w:w="8400" w:type="dxa"/>
            <w:vAlign w:val="bottom"/>
          </w:tcPr>
          <w:p>
            <w:pPr>
              <w:ind w:left="240"/>
              <w:spacing w:after="0"/>
              <w:rPr>
                <w:sz w:val="20"/>
                <w:szCs w:val="20"/>
                <w:color w:val="auto"/>
              </w:rPr>
            </w:pPr>
            <w:r>
              <w:rPr>
                <w:rFonts w:ascii="Arial" w:cs="Arial" w:eastAsia="Arial" w:hAnsi="Arial"/>
                <w:sz w:val="18"/>
                <w:szCs w:val="18"/>
                <w:color w:val="auto"/>
              </w:rPr>
              <w:t>Transfers of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Lost, Stolen or Destroyed Certificates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8400" w:type="dxa"/>
            <w:vAlign w:val="bottom"/>
          </w:tcPr>
          <w:p>
            <w:pPr>
              <w:jc w:val="center"/>
              <w:ind w:left="650"/>
              <w:spacing w:after="0" w:line="201" w:lineRule="exact"/>
              <w:rPr>
                <w:sz w:val="20"/>
                <w:szCs w:val="20"/>
                <w:color w:val="auto"/>
              </w:rPr>
            </w:pPr>
            <w:r>
              <w:rPr>
                <w:rFonts w:ascii="Arial" w:cs="Arial" w:eastAsia="Arial" w:hAnsi="Arial"/>
                <w:sz w:val="18"/>
                <w:szCs w:val="18"/>
                <w:color w:val="auto"/>
              </w:rPr>
              <w:t>Article VI</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8400" w:type="dxa"/>
            <w:vAlign w:val="bottom"/>
          </w:tcPr>
          <w:p>
            <w:pPr>
              <w:jc w:val="center"/>
              <w:ind w:left="670"/>
              <w:spacing w:after="0"/>
              <w:rPr>
                <w:sz w:val="20"/>
                <w:szCs w:val="20"/>
                <w:color w:val="auto"/>
              </w:rPr>
            </w:pPr>
            <w:r>
              <w:rPr>
                <w:rFonts w:ascii="Arial" w:cs="Arial" w:eastAsia="Arial" w:hAnsi="Arial"/>
                <w:sz w:val="18"/>
                <w:szCs w:val="18"/>
                <w:color w:val="auto"/>
                <w:w w:val="96"/>
              </w:rPr>
              <w:t>INDEMNIFICATION OF DIRECTORS AND OFFICERS</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to Indemnification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6.2</w:t>
            </w:r>
          </w:p>
        </w:tc>
        <w:tc>
          <w:tcPr>
            <w:tcW w:w="8400" w:type="dxa"/>
            <w:vAlign w:val="bottom"/>
          </w:tcPr>
          <w:p>
            <w:pPr>
              <w:ind w:left="240"/>
              <w:spacing w:after="0"/>
              <w:rPr>
                <w:sz w:val="20"/>
                <w:szCs w:val="20"/>
                <w:color w:val="auto"/>
              </w:rPr>
            </w:pPr>
            <w:r>
              <w:rPr>
                <w:rFonts w:ascii="Arial" w:cs="Arial" w:eastAsia="Arial" w:hAnsi="Arial"/>
                <w:sz w:val="18"/>
                <w:szCs w:val="18"/>
                <w:color w:val="auto"/>
              </w:rPr>
              <w:t>Right of Claimant to Bring Suit</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Non-Exclusivity of Rights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6.4</w:t>
            </w:r>
          </w:p>
        </w:tc>
        <w:tc>
          <w:tcPr>
            <w:tcW w:w="84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6.5</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Severability</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8400" w:type="dxa"/>
            <w:vAlign w:val="bottom"/>
          </w:tcPr>
          <w:p>
            <w:pPr>
              <w:jc w:val="center"/>
              <w:ind w:left="670"/>
              <w:spacing w:after="0" w:line="201" w:lineRule="exact"/>
              <w:rPr>
                <w:sz w:val="20"/>
                <w:szCs w:val="20"/>
                <w:color w:val="auto"/>
              </w:rPr>
            </w:pPr>
            <w:r>
              <w:rPr>
                <w:rFonts w:ascii="Arial" w:cs="Arial" w:eastAsia="Arial" w:hAnsi="Arial"/>
                <w:sz w:val="18"/>
                <w:szCs w:val="18"/>
                <w:color w:val="auto"/>
              </w:rPr>
              <w:t>Article VII</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8400" w:type="dxa"/>
            <w:vAlign w:val="bottom"/>
          </w:tcPr>
          <w:p>
            <w:pPr>
              <w:jc w:val="center"/>
              <w:ind w:left="670"/>
              <w:spacing w:after="0"/>
              <w:rPr>
                <w:sz w:val="20"/>
                <w:szCs w:val="20"/>
                <w:color w:val="auto"/>
              </w:rPr>
            </w:pPr>
            <w:r>
              <w:rPr>
                <w:rFonts w:ascii="Arial" w:cs="Arial" w:eastAsia="Arial" w:hAnsi="Arial"/>
                <w:sz w:val="18"/>
                <w:szCs w:val="18"/>
                <w:color w:val="auto"/>
                <w:w w:val="96"/>
              </w:rPr>
              <w:t>MISCELLANEOUS PROVISIONS</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7.1</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Fiscal Year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7.2</w:t>
            </w:r>
          </w:p>
        </w:tc>
        <w:tc>
          <w:tcPr>
            <w:tcW w:w="840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7.3</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7.4</w:t>
            </w:r>
          </w:p>
        </w:tc>
        <w:tc>
          <w:tcPr>
            <w:tcW w:w="840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7.5</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Audits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7.6</w:t>
            </w:r>
          </w:p>
        </w:tc>
        <w:tc>
          <w:tcPr>
            <w:tcW w:w="840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7.7</w:t>
            </w:r>
          </w:p>
        </w:tc>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Electronic Transmissions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740"/>
        </w:trPr>
        <w:tc>
          <w:tcPr>
            <w:tcW w:w="11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140" w:type="dxa"/>
            <w:vAlign w:val="bottom"/>
            <w:shd w:val="clear" w:color="auto" w:fill="808080"/>
          </w:tcPr>
          <w:p>
            <w:pPr>
              <w:spacing w:after="0"/>
              <w:rPr>
                <w:sz w:val="5"/>
                <w:szCs w:val="5"/>
                <w:color w:val="auto"/>
              </w:rPr>
            </w:pPr>
          </w:p>
        </w:tc>
        <w:tc>
          <w:tcPr>
            <w:tcW w:w="84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57" w:right="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60" w:type="dxa"/>
            <w:vAlign w:val="bottom"/>
            <w:gridSpan w:val="2"/>
          </w:tcPr>
          <w:p>
            <w:pPr>
              <w:jc w:val="center"/>
              <w:ind w:right="3340"/>
              <w:spacing w:after="0"/>
              <w:rPr>
                <w:sz w:val="20"/>
                <w:szCs w:val="20"/>
                <w:color w:val="auto"/>
              </w:rPr>
            </w:pPr>
            <w:r>
              <w:rPr>
                <w:rFonts w:ascii="Arial" w:cs="Arial" w:eastAsia="Arial" w:hAnsi="Arial"/>
                <w:sz w:val="18"/>
                <w:szCs w:val="18"/>
                <w:color w:val="auto"/>
              </w:rPr>
              <w:t>Article VIII</w:t>
            </w:r>
          </w:p>
        </w:tc>
      </w:tr>
      <w:tr>
        <w:trPr>
          <w:trHeight w:val="230"/>
        </w:trPr>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60" w:type="dxa"/>
            <w:vAlign w:val="bottom"/>
            <w:gridSpan w:val="2"/>
          </w:tcPr>
          <w:p>
            <w:pPr>
              <w:jc w:val="center"/>
              <w:ind w:right="3340"/>
              <w:spacing w:after="0"/>
              <w:rPr>
                <w:sz w:val="20"/>
                <w:szCs w:val="20"/>
                <w:color w:val="auto"/>
              </w:rPr>
            </w:pPr>
            <w:r>
              <w:rPr>
                <w:rFonts w:ascii="Arial" w:cs="Arial" w:eastAsia="Arial" w:hAnsi="Arial"/>
                <w:sz w:val="18"/>
                <w:szCs w:val="18"/>
                <w:color w:val="auto"/>
                <w:w w:val="94"/>
              </w:rPr>
              <w:t>CONTRACTS, PROXIES, ETC.</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2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Contracts</w:t>
            </w:r>
          </w:p>
        </w:tc>
        <w:tc>
          <w:tcPr>
            <w:tcW w:w="8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Section 8.2</w:t>
            </w:r>
          </w:p>
        </w:tc>
        <w:tc>
          <w:tcPr>
            <w:tcW w:w="2200" w:type="dxa"/>
            <w:vAlign w:val="bottom"/>
          </w:tcPr>
          <w:p>
            <w:pPr>
              <w:ind w:left="280"/>
              <w:spacing w:after="0" w:line="201" w:lineRule="exact"/>
              <w:rPr>
                <w:sz w:val="20"/>
                <w:szCs w:val="20"/>
                <w:color w:val="auto"/>
              </w:rPr>
            </w:pPr>
            <w:r>
              <w:rPr>
                <w:rFonts w:ascii="Arial" w:cs="Arial" w:eastAsia="Arial" w:hAnsi="Arial"/>
                <w:sz w:val="18"/>
                <w:szCs w:val="18"/>
                <w:color w:val="auto"/>
              </w:rPr>
              <w:t>Proxies</w:t>
            </w:r>
          </w:p>
        </w:tc>
        <w:tc>
          <w:tcPr>
            <w:tcW w:w="812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c>
          <w:tcPr>
            <w:tcW w:w="4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60" w:type="dxa"/>
            <w:vAlign w:val="bottom"/>
            <w:gridSpan w:val="2"/>
          </w:tcPr>
          <w:p>
            <w:pPr>
              <w:jc w:val="center"/>
              <w:ind w:right="3340"/>
              <w:spacing w:after="0"/>
              <w:rPr>
                <w:sz w:val="20"/>
                <w:szCs w:val="20"/>
                <w:color w:val="auto"/>
              </w:rPr>
            </w:pPr>
            <w:r>
              <w:rPr>
                <w:rFonts w:ascii="Arial" w:cs="Arial" w:eastAsia="Arial" w:hAnsi="Arial"/>
                <w:sz w:val="18"/>
                <w:szCs w:val="18"/>
                <w:color w:val="auto"/>
              </w:rPr>
              <w:t>Article IX</w:t>
            </w:r>
          </w:p>
        </w:tc>
      </w:tr>
      <w:tr>
        <w:trPr>
          <w:trHeight w:val="230"/>
        </w:trPr>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60" w:type="dxa"/>
            <w:vAlign w:val="bottom"/>
            <w:gridSpan w:val="2"/>
          </w:tcPr>
          <w:p>
            <w:pPr>
              <w:jc w:val="center"/>
              <w:ind w:right="3340"/>
              <w:spacing w:after="0"/>
              <w:rPr>
                <w:sz w:val="20"/>
                <w:szCs w:val="20"/>
                <w:color w:val="auto"/>
              </w:rPr>
            </w:pPr>
            <w:r>
              <w:rPr>
                <w:rFonts w:ascii="Arial" w:cs="Arial" w:eastAsia="Arial" w:hAnsi="Arial"/>
                <w:sz w:val="18"/>
                <w:szCs w:val="18"/>
                <w:color w:val="auto"/>
                <w:w w:val="98"/>
              </w:rPr>
              <w:t>AMENDMENTS</w:t>
            </w:r>
          </w:p>
        </w:tc>
      </w:tr>
      <w:tr>
        <w:trPr>
          <w:trHeight w:val="740"/>
        </w:trPr>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100" w:type="dxa"/>
            <w:vAlign w:val="bottom"/>
            <w:shd w:val="clear" w:color="auto" w:fill="808080"/>
          </w:tcPr>
          <w:p>
            <w:pPr>
              <w:spacing w:after="0"/>
              <w:rPr>
                <w:sz w:val="5"/>
                <w:szCs w:val="5"/>
                <w:color w:val="auto"/>
              </w:rPr>
            </w:pPr>
          </w:p>
        </w:tc>
        <w:tc>
          <w:tcPr>
            <w:tcW w:w="2200" w:type="dxa"/>
            <w:vAlign w:val="bottom"/>
            <w:shd w:val="clear" w:color="auto" w:fill="808080"/>
          </w:tcPr>
          <w:p>
            <w:pPr>
              <w:spacing w:after="0"/>
              <w:rPr>
                <w:sz w:val="5"/>
                <w:szCs w:val="5"/>
                <w:color w:val="auto"/>
              </w:rPr>
            </w:pPr>
          </w:p>
        </w:tc>
        <w:tc>
          <w:tcPr>
            <w:tcW w:w="8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57"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These Amended and Restated Bylaws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(formerly known as OIS Accommodations SpinCo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were adopted by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on </w:t>
      </w:r>
      <w:r>
        <w:rPr>
          <w:rFonts w:ascii="Arial" w:cs="Arial" w:eastAsia="Arial" w:hAnsi="Arial"/>
          <w:sz w:val="18"/>
          <w:szCs w:val="18"/>
          <w:b w:val="1"/>
          <w:bCs w:val="1"/>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2014 and duly executed and acknowledged by the officers of the Corporation in accordance with Section 109 of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 AND RECORDS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Corporation shall maintain a registered office in Delaware and may maintain other offices and keep its books, documents and records at such places within or without Delaware as may, from time to time, be designated by the Board.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2.1 Annual Meeting</w:t>
      </w:r>
      <w:r>
        <w:rPr>
          <w:rFonts w:ascii="Arial" w:cs="Arial" w:eastAsia="Arial" w:hAnsi="Arial"/>
          <w:sz w:val="18"/>
          <w:szCs w:val="18"/>
          <w:color w:val="auto"/>
        </w:rPr>
        <w:t>. The annual meeting of the stockholders of the Corporation, for the election of directors to succeed those whose</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expire and for the transaction of other business as may properly come before the meeting, shall be held each year on a date and at a time as may be fixed by resolution of the Board and set forth in the notice of the meeting.</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2.2 Special Meeting</w:t>
      </w:r>
      <w:r>
        <w:rPr>
          <w:rFonts w:ascii="Arial" w:cs="Arial" w:eastAsia="Arial" w:hAnsi="Arial"/>
          <w:sz w:val="18"/>
          <w:szCs w:val="18"/>
          <w:color w:val="auto"/>
        </w:rPr>
        <w:t>. Except as otherwise required by law and subject to the rights of the holders of any class or series of stock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 over the Common Stock, as defined in the Amended and Restated Certificate of Incorporation of the Corporation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 as to dividends or upon liquidation, special meetings of the stockholders of the Corporation for any purpose or purposes may be called only by:</w:t>
      </w:r>
    </w:p>
    <w:p>
      <w:pPr>
        <w:spacing w:after="0" w:line="211" w:lineRule="exact"/>
        <w:rPr>
          <w:sz w:val="20"/>
          <w:szCs w:val="20"/>
          <w:color w:val="auto"/>
        </w:rPr>
      </w:pPr>
    </w:p>
    <w:p>
      <w:pPr>
        <w:ind w:left="1720" w:hanging="41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pursuant to a resolution stating the purpose or purposes thereof approved by a majority of the Board, or</w:t>
      </w:r>
    </w:p>
    <w:p>
      <w:pPr>
        <w:spacing w:after="0" w:line="252" w:lineRule="exact"/>
        <w:rPr>
          <w:rFonts w:ascii="Arial" w:cs="Arial" w:eastAsia="Arial" w:hAnsi="Arial"/>
          <w:sz w:val="18"/>
          <w:szCs w:val="18"/>
          <w:color w:val="auto"/>
        </w:rPr>
      </w:pPr>
    </w:p>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business other than that stated in the notice shall be transacted at any special meeting.</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2.3 Place of Meetings</w:t>
      </w:r>
      <w:r>
        <w:rPr>
          <w:rFonts w:ascii="Arial" w:cs="Arial" w:eastAsia="Arial" w:hAnsi="Arial"/>
          <w:sz w:val="18"/>
          <w:szCs w:val="18"/>
          <w:color w:val="auto"/>
        </w:rPr>
        <w:t>. The Board or the Chairman of the Board, as the case may be, may designate the place of meeting for any annual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of the stockholders. If no designation is made, the place of meeting shall be the principal office of the Corporation. In lieu of holding a meeting of stockholders at a designated place, the Board may, in its sole discretion, determine that any meeting of stockholders may be held solely by means of remote communication.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b w:val="1"/>
          <w:bCs w:val="1"/>
          <w:color w:val="auto"/>
        </w:rPr>
        <w:t>Section 2.4 Closing Of Transfer Books And Fixing Record Date</w:t>
      </w:r>
      <w:r>
        <w:rPr>
          <w:rFonts w:ascii="Arial" w:cs="Arial" w:eastAsia="Arial" w:hAnsi="Arial"/>
          <w:sz w:val="16"/>
          <w:szCs w:val="16"/>
          <w:color w:val="auto"/>
        </w:rPr>
        <w:t>. For the purpose of determining stockholders entitled to notice of, or to vote at,</w:t>
      </w:r>
      <w:r>
        <w:rPr>
          <w:rFonts w:ascii="Arial" w:cs="Arial" w:eastAsia="Arial" w:hAnsi="Arial"/>
          <w:sz w:val="16"/>
          <w:szCs w:val="16"/>
          <w:b w:val="1"/>
          <w:bCs w:val="1"/>
          <w:color w:val="auto"/>
        </w:rPr>
        <w:t xml:space="preserve"> </w:t>
      </w:r>
      <w:r>
        <w:rPr>
          <w:rFonts w:ascii="Arial" w:cs="Arial" w:eastAsia="Arial" w:hAnsi="Arial"/>
          <w:sz w:val="16"/>
          <w:szCs w:val="16"/>
          <w:color w:val="auto"/>
        </w:rPr>
        <w:t>any meeting of stockholders or any adjournment thereof, or stockholders entitled to receive a distribution by the Corporation (other than a distribution involving a purchase or redemption by the Corporation of any of its own shares) or a share dividend, or in order to make a determination of stockholders for any other proper purpose, the Board may provide that the stock transfer books shall be closed for a stated period in no case to exceed 60 days. If the stock transfer books are closed for the purpose of determining stockholders entitled to notice of or to vote at a meeting of stockholders, the books shall be closed for at least 10 days immediately preceding the meeting. In lieu of closing the stock transfer books, the Board may fix in advance a date as the record date for any such determination of stockholders, such date in no case to be more than 60 days nor, in the case of a meeting of stockholders, less than 10 days prior to the date on which the particular action requiring the determination of stockholders is to be taken. If the stock transfer books are not closed and no record date is fixed: (a) the record date for determining stockholders entitled to notice of or to vote at a meeting of stockholders shall be at the close of business on the day next preceding the day on which notice is given, or, if in accordance with these Bylaws notice is waived, at the close of business on the day next preceding the day on which the meeting is held; and (b) the record date for determining stockholders for any other purpose shall be at the close of business on the day on which the Board adopts the resolution relating thereto. When a determination of stockholders entitled to vote at any meeting of stockholders has been made, as provided in this Section, the determination shall apply to any adjournment thereof except where the determination has been made through the closing of stock transfer books and the stated period of closing has expired.</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2.5 Notice of Meeting</w:t>
      </w:r>
      <w:r>
        <w:rPr>
          <w:rFonts w:ascii="Arial" w:cs="Arial" w:eastAsia="Arial" w:hAnsi="Arial"/>
          <w:sz w:val="17"/>
          <w:szCs w:val="17"/>
          <w:color w:val="auto"/>
        </w:rPr>
        <w:t>. All notices of meetings of stockholders shall be sent or otherwise given by the Corporation not less than 10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calendar days nor more than 60 calendar days before the date of the meeting to each stockholder of record entitled to vote at the meeting. The notice shall specify the place, if any, date, hour of the meeting, the means of remote communications, if any, by which stockholders and proxy holders may be deemed to be present in person and vote at the meeting, and, in the case of a special meeting, the purpose or purposes for which the meeting is called. Holders of Preferred Stock, as defined in the Certificate of Incorporation, are not entitled to receive notice of any meeting of stockholders at which they are not entitled to vote. Without limiting the manner by which notice may otherwise be given effectively to stockholders, any notice to stockholders may be given by electronic transmission in the manner provided in the DGCL. If mailed, notice to stockholders shall be deemed to be given when deposited in the United States mail with postage thereon prepaid, addressed to the stockholder at such person’s address as it appears on the records of the Corporation. An affidavit of the Secretary or Assistant Secretary, proxy solicitor hired by the Corporation or of the transfer agent of the Corporation that the notice has been given shall, in the absence of fraud, be prima facie evidence of the facts stated therein. Only such business shall be conducted at a special meeting of stockholders as was included in the Corporation’s notice of meeting. Meetings may be held without notice if all stockholders entitled to vote are present, or if notice is waived by those not present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these Bylaws. Any previously scheduled meeting of the stockholders may be postponed, and any special meeting of the stockholders may be canceled, by resolution of the Board upon public notice given prior to the date previously scheduled for the meeting of stockholders.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jc w:val="both"/>
        <w:ind w:firstLine="648"/>
        <w:spacing w:after="0" w:line="272" w:lineRule="auto"/>
        <w:rPr>
          <w:sz w:val="20"/>
          <w:szCs w:val="20"/>
          <w:color w:val="auto"/>
        </w:rPr>
      </w:pPr>
      <w:r>
        <w:rPr>
          <w:rFonts w:ascii="Arial" w:cs="Arial" w:eastAsia="Arial" w:hAnsi="Arial"/>
          <w:sz w:val="17"/>
          <w:szCs w:val="17"/>
          <w:b w:val="1"/>
          <w:bCs w:val="1"/>
          <w:color w:val="auto"/>
        </w:rPr>
        <w:t>Section 2.6 Quorum and Adjournment; Voting</w:t>
      </w:r>
      <w:r>
        <w:rPr>
          <w:rFonts w:ascii="Arial" w:cs="Arial" w:eastAsia="Arial" w:hAnsi="Arial"/>
          <w:sz w:val="17"/>
          <w:szCs w:val="17"/>
          <w:color w:val="auto"/>
        </w:rPr>
        <w:t>. Except as otherwise provided by law, the Certificate of Incorporation or these Bylaws,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 majority of the voting power of all outstanding shares of the Corporation entitled to vote generally in the election of Directors (as hereinafter defined) (the “</w:t>
      </w:r>
      <w:r>
        <w:rPr>
          <w:rFonts w:ascii="Arial" w:cs="Arial" w:eastAsia="Arial" w:hAnsi="Arial"/>
          <w:sz w:val="17"/>
          <w:szCs w:val="17"/>
          <w:u w:val="single" w:color="auto"/>
          <w:color w:val="auto"/>
        </w:rPr>
        <w:t>Voting Stock</w:t>
      </w:r>
      <w:r>
        <w:rPr>
          <w:rFonts w:ascii="Arial" w:cs="Arial" w:eastAsia="Arial" w:hAnsi="Arial"/>
          <w:sz w:val="17"/>
          <w:szCs w:val="17"/>
          <w:color w:val="auto"/>
        </w:rPr>
        <w:t>”), represented in person or by proxy, shall constitute a quorum at a meeting of stockholders, except that when specified business is to be voted on by a class or series of stock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Bylaws. The stockholders present in person or by proxy at a duly called meeting at which a quorum is present may continue to transact business until adjournment, notwithstanding the withdrawal of enough stockholders to leave less than a quorum.</w:t>
      </w:r>
    </w:p>
    <w:p>
      <w:pPr>
        <w:spacing w:after="0" w:line="1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2.7 Proxies</w:t>
      </w:r>
      <w:r>
        <w:rPr>
          <w:rFonts w:ascii="Arial" w:cs="Arial" w:eastAsia="Arial" w:hAnsi="Arial"/>
          <w:sz w:val="18"/>
          <w:szCs w:val="18"/>
          <w:color w:val="auto"/>
        </w:rPr>
        <w:t>. At all meetings of stockholders, a stockholder may vote by proxy executed in writing (or in such other manner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including electronic transmissions) by the stockholder or by the stockholder’s duly authorized attorney-in-fact.</w:t>
      </w:r>
    </w:p>
    <w:p>
      <w:pPr>
        <w:spacing w:after="0" w:line="18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List of Stockholders Entitled to Vote.</w:t>
      </w:r>
    </w:p>
    <w:p>
      <w:pPr>
        <w:spacing w:after="0" w:line="256" w:lineRule="exact"/>
        <w:rPr>
          <w:sz w:val="20"/>
          <w:szCs w:val="20"/>
          <w:color w:val="auto"/>
        </w:rPr>
      </w:pPr>
    </w:p>
    <w:p>
      <w:pPr>
        <w:jc w:val="both"/>
        <w:ind w:left="660" w:firstLine="645"/>
        <w:spacing w:after="0" w:line="276" w:lineRule="auto"/>
        <w:tabs>
          <w:tab w:leader="none" w:pos="1757"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the name of such stockholder, shall be open to the examination of any stockholder, for any purpose germane to the meeting, during ordinary business hours, for a period of at least 10 days prior to the meeting, (1) on a reasonably accessible electronic network, provided that the information required to gain access to the list is furnished with the notice of the meeting or (2) during ordinary business hours, at the principal place of business of the Corporation.</w:t>
      </w:r>
    </w:p>
    <w:p>
      <w:pPr>
        <w:spacing w:after="0" w:line="199" w:lineRule="exact"/>
        <w:rPr>
          <w:rFonts w:ascii="Arial" w:cs="Arial" w:eastAsia="Arial" w:hAnsi="Arial"/>
          <w:sz w:val="17"/>
          <w:szCs w:val="17"/>
          <w:color w:val="auto"/>
        </w:rPr>
      </w:pPr>
    </w:p>
    <w:p>
      <w:pPr>
        <w:jc w:val="both"/>
        <w:ind w:left="660" w:firstLine="645"/>
        <w:spacing w:after="0" w:line="293" w:lineRule="auto"/>
        <w:tabs>
          <w:tab w:leader="none" w:pos="1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If the Corporation determines to make the list available on an electronic network, the Corporation may take reasonable steps to ensure that the information is available only to stockholders. If the meeting is to be held at a place, then the list shall be produced and kept at the time and place of the meeting during the meeting and may be inspected by any stockholder who is present at that meeting. If the meeting is to be held solely by means of remote communication, then the list also shall be open to the examination of any stockholder during the meeting on a reasonably accessible electronic network, and the information required to access the list shall be provided with the notice of that meeting. Nothing contained in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require the Corporation to include electronic mail addresses or other electronic contact information on the list.</w:t>
      </w:r>
    </w:p>
    <w:p>
      <w:pPr>
        <w:spacing w:after="0" w:line="18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color w:val="auto"/>
        </w:rPr>
        <w:t>Notice of Stockholder Business and Nominations.</w:t>
      </w:r>
    </w:p>
    <w:p>
      <w:pPr>
        <w:spacing w:after="0" w:line="256" w:lineRule="exact"/>
        <w:rPr>
          <w:sz w:val="20"/>
          <w:szCs w:val="20"/>
          <w:color w:val="auto"/>
        </w:rPr>
      </w:pPr>
    </w:p>
    <w:p>
      <w:pPr>
        <w:ind w:left="1720" w:hanging="415"/>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Meetings of Stockholders.</w:t>
      </w:r>
    </w:p>
    <w:p>
      <w:pPr>
        <w:spacing w:after="0" w:line="252" w:lineRule="exact"/>
        <w:rPr>
          <w:rFonts w:ascii="Arial" w:cs="Arial" w:eastAsia="Arial" w:hAnsi="Arial"/>
          <w:sz w:val="18"/>
          <w:szCs w:val="18"/>
          <w:color w:val="auto"/>
        </w:rPr>
      </w:pPr>
    </w:p>
    <w:p>
      <w:pPr>
        <w:jc w:val="both"/>
        <w:ind w:left="1300" w:firstLine="653"/>
        <w:spacing w:after="0" w:line="302" w:lineRule="auto"/>
        <w:tabs>
          <w:tab w:leader="none" w:pos="2386"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and the proposal of business to be considered by the stockholders may be made at an annual meeting of stockholders (A) pursuant to the Corporation’s notice of meeting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these Bylaws, (B) by or at the direction of the Board, or (C) by any stockholder of the Corporation who was a stockholder of record at the time the notice was delivered, who is entitled to vote at the meeting and who complies with the notice procedures set forth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jc w:val="both"/>
        <w:ind w:left="100" w:firstLine="653"/>
        <w:spacing w:after="0" w:line="253" w:lineRule="auto"/>
        <w:tabs>
          <w:tab w:leader="none" w:pos="122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nominations or other business to be properly brought before an annual meeting by a stockholder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2.9(a)(i)</w:t>
      </w:r>
      <w:r>
        <w:rPr>
          <w:rFonts w:ascii="Arial" w:cs="Arial" w:eastAsia="Arial" w:hAnsi="Arial"/>
          <w:sz w:val="18"/>
          <w:szCs w:val="18"/>
          <w:color w:val="auto"/>
        </w:rPr>
        <w:t xml:space="preserve"> hereof, the stockholder must have given timely notice thereof in writing to the Secretary of the Corporation in accordance with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in the case of business other than nominations, such other business must otherwise be a proper matter for stockholder action under the DGCL. To be considered timely, a stockholder’s notice shall be delivered to the Secretary at the principal executive offices of the Corporation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stockholder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Corporation. In no event shall the public announcement of an adjournment of an annual meeting commence a new time period for the giving of a stockholder’s notice as described above.</w:t>
      </w:r>
    </w:p>
    <w:p>
      <w:pPr>
        <w:spacing w:after="0" w:line="219" w:lineRule="exact"/>
        <w:rPr>
          <w:rFonts w:ascii="Arial" w:cs="Arial" w:eastAsia="Arial" w:hAnsi="Arial"/>
          <w:sz w:val="18"/>
          <w:szCs w:val="18"/>
          <w:color w:val="auto"/>
        </w:rPr>
      </w:pPr>
    </w:p>
    <w:p>
      <w:pPr>
        <w:ind w:left="1240" w:hanging="48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stockholder’s notice shall set forth:</w:t>
      </w:r>
    </w:p>
    <w:p>
      <w:pPr>
        <w:spacing w:after="0" w:line="252" w:lineRule="exact"/>
        <w:rPr>
          <w:rFonts w:ascii="Arial" w:cs="Arial" w:eastAsia="Arial" w:hAnsi="Arial"/>
          <w:sz w:val="18"/>
          <w:szCs w:val="18"/>
          <w:color w:val="auto"/>
        </w:rPr>
      </w:pPr>
    </w:p>
    <w:p>
      <w:pPr>
        <w:jc w:val="both"/>
        <w:ind w:left="760" w:firstLine="641"/>
        <w:spacing w:after="0" w:line="279" w:lineRule="auto"/>
        <w:tabs>
          <w:tab w:leader="none" w:pos="1908"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each person whom the stockholder proposes to nominate for election or re-election as a director, all information relating to such person that is required to be disclosed in solicitations of proxies for election of directors pursuant to Regulation 14A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including such person’s written consent to being named in the proxy statement as a nominee and to serving as a director if elected;</w:t>
      </w:r>
    </w:p>
    <w:p>
      <w:pPr>
        <w:spacing w:after="0" w:line="198" w:lineRule="exact"/>
        <w:rPr>
          <w:rFonts w:ascii="Arial" w:cs="Arial" w:eastAsia="Arial" w:hAnsi="Arial"/>
          <w:sz w:val="17"/>
          <w:szCs w:val="17"/>
          <w:color w:val="auto"/>
        </w:rPr>
      </w:pPr>
    </w:p>
    <w:p>
      <w:pPr>
        <w:jc w:val="both"/>
        <w:ind w:left="760" w:firstLine="641"/>
        <w:spacing w:after="0" w:line="276" w:lineRule="auto"/>
        <w:tabs>
          <w:tab w:leader="none" w:pos="2008"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19" w:name="page20"/>
    <w:bookmarkEnd w:id="19"/>
    <w:p>
      <w:pPr>
        <w:jc w:val="both"/>
        <w:ind w:left="760" w:firstLine="641"/>
        <w:spacing w:after="0" w:line="291" w:lineRule="auto"/>
        <w:tabs>
          <w:tab w:leader="none" w:pos="1882" w:val="left"/>
        </w:tabs>
        <w:numPr>
          <w:ilvl w:val="1"/>
          <w:numId w:val="9"/>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(i) the name and address of such stockholder, as they appear on the Corporation’s books, and of such beneficial owner,</w:t>
      </w:r>
    </w:p>
    <w:p>
      <w:pPr>
        <w:jc w:val="both"/>
        <w:ind w:left="760" w:hanging="7"/>
        <w:spacing w:after="0" w:line="281" w:lineRule="auto"/>
        <w:tabs>
          <w:tab w:leader="none" w:pos="103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class or series and number of shares of stock of the Corporation held of record and beneficially by such stockholder and such beneficial owner, (iii) a description of any agreement, arrangement or understanding with respect to the nomination or proposal between or among such stockholder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owners, the effect or intent of which is to mitigate loss to, manage risk or benefit of share price changes for, or increase or decrease the voting power of, such stockholder or such beneficial owner, with respect to shares of stock of the Corporation, (v) the name in which all such shares of stock are registered on the stock transfer books of the Corporation,</w:t>
      </w:r>
    </w:p>
    <w:p>
      <w:pPr>
        <w:spacing w:after="0" w:line="6" w:lineRule="exact"/>
        <w:rPr>
          <w:rFonts w:ascii="Arial" w:cs="Arial" w:eastAsia="Arial" w:hAnsi="Arial"/>
          <w:sz w:val="16"/>
          <w:szCs w:val="16"/>
          <w:color w:val="auto"/>
        </w:rPr>
      </w:pPr>
    </w:p>
    <w:p>
      <w:pPr>
        <w:jc w:val="both"/>
        <w:ind w:left="760" w:hanging="7"/>
        <w:spacing w:after="0" w:line="252" w:lineRule="auto"/>
        <w:tabs>
          <w:tab w:leader="none" w:pos="10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Corporation entitled to vote at such meeting and intends to appear at the meeting in person or by proxy to submit the business or nomination specified in such notice, (vii)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from stockholders in support of such proposal or nomination, and (viii) all other information relating to the proposed business or nomination which may be required to be disclosed under applicable law.</w:t>
      </w:r>
    </w:p>
    <w:p>
      <w:pPr>
        <w:spacing w:after="0" w:line="220" w:lineRule="exact"/>
        <w:rPr>
          <w:sz w:val="20"/>
          <w:szCs w:val="20"/>
          <w:color w:val="auto"/>
        </w:rPr>
      </w:pPr>
    </w:p>
    <w:p>
      <w:pPr>
        <w:jc w:val="both"/>
        <w:ind w:left="100" w:firstLine="648"/>
        <w:spacing w:after="0" w:line="272" w:lineRule="auto"/>
        <w:rPr>
          <w:sz w:val="20"/>
          <w:szCs w:val="20"/>
          <w:color w:val="auto"/>
        </w:rPr>
      </w:pPr>
      <w:r>
        <w:rPr>
          <w:rFonts w:ascii="Arial" w:cs="Arial" w:eastAsia="Arial" w:hAnsi="Arial"/>
          <w:sz w:val="17"/>
          <w:szCs w:val="17"/>
          <w:color w:val="auto"/>
        </w:rPr>
        <w:t>In addition, a stockholder seeking to submit such business or nomination at the meeting shall promptly provide any other information reasonably requested by the Corporation. The foregoing notice requirements of this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-726440</wp:posOffset>
            </wp:positionV>
            <wp:extent cx="28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5" w:lineRule="exact"/>
        <w:rPr>
          <w:sz w:val="20"/>
          <w:szCs w:val="20"/>
          <w:color w:val="auto"/>
        </w:rPr>
      </w:pPr>
    </w:p>
    <w:p>
      <w:pPr>
        <w:jc w:val="both"/>
        <w:ind w:left="100" w:firstLine="653"/>
        <w:spacing w:after="0" w:line="293" w:lineRule="auto"/>
        <w:tabs>
          <w:tab w:leader="none" w:pos="12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of this Bylaw to the contrary, in the event that the number of Directors to be elected to the Board is increased and there is no public announcement by the Corporation naming all of the nominees for Director or specifying the size of the increased Board at least 120 calendar days prior to the first anniversary of the preceding year’s annual meeting, a stockholder’s notice required by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also be considered timely, but only with respect to nominees for any new positions created by such increase, if it is delivered to the Secretary at the principal executive offices of the Corporation not later than the close of business on the 10th calendar day following the day on which such public announcement is first made by the Corporation.</w:t>
      </w: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20" w:name="page21"/>
    <w:bookmarkEnd w:id="20"/>
    <w:p>
      <w:pPr>
        <w:jc w:val="both"/>
        <w:ind w:left="4" w:firstLine="645"/>
        <w:spacing w:after="0" w:line="288" w:lineRule="auto"/>
        <w:tabs>
          <w:tab w:leader="none" w:pos="1117"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Special Meetings of the Stockholders. Only such business shall be conducted at a special meeting of stockholders as shall have been brought before the meeting pursuant to the Corporation’s notice of meeting under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these Bylaws. Nominations of persons for election to the Board may be made at a special meeting of stockholders at which Directors are to be elected pursuant to the Corporation’s notice of meeting</w:t>
      </w:r>
    </w:p>
    <w:p>
      <w:pPr>
        <w:jc w:val="both"/>
        <w:ind w:left="4" w:hanging="4"/>
        <w:spacing w:after="0" w:line="287" w:lineRule="auto"/>
        <w:tabs>
          <w:tab w:leader="none" w:pos="2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provided that the Board has determined that Directors shall be elected at such meeting, or (ii) by any stockholder of the Corporation who is a stockholder of record at the time of giving of notice provided for in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who shall be entitled to vote at the meeting and who complies with the notice procedures set forth in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In the event the Corporation calls a special meeting of stockholders for the purpose of electing one or more Directors to the Board, any stockholder may nominate a person or persons (as the case may be) for election to such position(s) as specified in the Corporation’s notice of meeting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the stockholder’s notice required by </w:t>
      </w:r>
      <w:r>
        <w:rPr>
          <w:rFonts w:ascii="Arial" w:cs="Arial" w:eastAsia="Arial" w:hAnsi="Arial"/>
          <w:sz w:val="16"/>
          <w:szCs w:val="16"/>
          <w:u w:val="single" w:color="auto"/>
          <w:color w:val="auto"/>
        </w:rPr>
        <w:t>paragraphs</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is delivered to the Secretary at the principal executive offices of the Corporation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stockholder’s notice as described above.</w:t>
      </w:r>
    </w:p>
    <w:p>
      <w:pPr>
        <w:spacing w:after="0" w:line="193" w:lineRule="exact"/>
        <w:rPr>
          <w:rFonts w:ascii="Arial" w:cs="Arial" w:eastAsia="Arial" w:hAnsi="Arial"/>
          <w:sz w:val="16"/>
          <w:szCs w:val="16"/>
          <w:color w:val="auto"/>
        </w:rPr>
      </w:pPr>
    </w:p>
    <w:p>
      <w:pPr>
        <w:ind w:left="1064" w:hanging="415"/>
        <w:spacing w:after="0"/>
        <w:tabs>
          <w:tab w:leader="none" w:pos="10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General.</w:t>
      </w:r>
    </w:p>
    <w:p>
      <w:pPr>
        <w:spacing w:after="0" w:line="252" w:lineRule="exact"/>
        <w:rPr>
          <w:rFonts w:ascii="Arial" w:cs="Arial" w:eastAsia="Arial" w:hAnsi="Arial"/>
          <w:sz w:val="18"/>
          <w:szCs w:val="18"/>
          <w:color w:val="auto"/>
        </w:rPr>
      </w:pPr>
    </w:p>
    <w:p>
      <w:pPr>
        <w:jc w:val="both"/>
        <w:ind w:left="644" w:firstLine="653"/>
        <w:spacing w:after="0" w:line="255" w:lineRule="auto"/>
        <w:tabs>
          <w:tab w:leader="none" w:pos="1811" w:val="left"/>
        </w:tabs>
        <w:numPr>
          <w:ilvl w:val="2"/>
          <w:numId w:val="14"/>
        </w:numPr>
        <w:rPr>
          <w:rFonts w:ascii="Arial" w:cs="Arial" w:eastAsia="Arial" w:hAnsi="Arial"/>
          <w:sz w:val="18"/>
          <w:szCs w:val="18"/>
          <w:color w:val="auto"/>
        </w:rPr>
      </w:pPr>
      <w:r>
        <w:rPr>
          <w:rFonts w:ascii="Arial" w:cs="Arial" w:eastAsia="Arial" w:hAnsi="Arial"/>
          <w:sz w:val="18"/>
          <w:szCs w:val="18"/>
          <w:color w:val="auto"/>
        </w:rPr>
        <w:t xml:space="preserve">Only the persons who are nominated in accordance with the procedures set forth in this Bylaw are eligible to serve as Directors and only such business shall be conducted at a meeting of stockholders as shall have been brought before the meeting in accordance with the procedures set forth in this </w:t>
      </w:r>
      <w:r>
        <w:rPr>
          <w:rFonts w:ascii="Arial" w:cs="Arial" w:eastAsia="Arial" w:hAnsi="Arial"/>
          <w:sz w:val="18"/>
          <w:szCs w:val="18"/>
          <w:u w:val="single" w:color="auto"/>
          <w:color w:val="auto"/>
        </w:rPr>
        <w:t>Section 2.9</w:t>
      </w:r>
      <w:r>
        <w:rPr>
          <w:rFonts w:ascii="Arial" w:cs="Arial" w:eastAsia="Arial" w:hAnsi="Arial"/>
          <w:sz w:val="18"/>
          <w:szCs w:val="18"/>
          <w:color w:val="auto"/>
        </w:rPr>
        <w:t>.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in not in compliance with this Bylaw, to declare that the defective proposal or nomination will be disregarded.</w:t>
      </w:r>
    </w:p>
    <w:p>
      <w:pPr>
        <w:spacing w:after="0" w:line="216" w:lineRule="exact"/>
        <w:rPr>
          <w:rFonts w:ascii="Arial" w:cs="Arial" w:eastAsia="Arial" w:hAnsi="Arial"/>
          <w:sz w:val="18"/>
          <w:szCs w:val="18"/>
          <w:color w:val="auto"/>
        </w:rPr>
      </w:pPr>
    </w:p>
    <w:p>
      <w:pPr>
        <w:jc w:val="both"/>
        <w:ind w:left="644" w:firstLine="653"/>
        <w:spacing w:after="0" w:line="264" w:lineRule="auto"/>
        <w:tabs>
          <w:tab w:leader="none" w:pos="17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2.9</w:t>
      </w:r>
      <w:r>
        <w:rPr>
          <w:rFonts w:ascii="Arial" w:cs="Arial" w:eastAsia="Arial" w:hAnsi="Arial"/>
          <w:sz w:val="18"/>
          <w:szCs w:val="18"/>
          <w:color w:val="auto"/>
        </w:rPr>
        <w:t>,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611" w:right="239" w:bottom="1440" w:gutter="0" w:footer="0" w:header="0"/>
        </w:sectPr>
      </w:pPr>
    </w:p>
    <w:bookmarkStart w:id="21" w:name="page22"/>
    <w:bookmarkEnd w:id="21"/>
    <w:p>
      <w:pPr>
        <w:jc w:val="both"/>
        <w:ind w:left="1300" w:firstLine="653"/>
        <w:spacing w:after="0" w:line="257" w:lineRule="auto"/>
        <w:tabs>
          <w:tab w:leader="none" w:pos="24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a stockholder shall also comply with all applicable requirements of the Exchange Act and the rules and regulations thereunder with respect to the matters set forth in this . Nothing in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deemed to affect any rights (A) of stockholders to request inclusion of proposals in the Corporation’s proxy statement pursuant to Rule 14a-8 under the Exchange Act or (B) of the holders of any series of Preferred Stock to elect Directors under an applicable Preferred Stock Designation (as defined in the Certificate of Incorporation).</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2.10 Procedure for Election of Directors; Required Vote</w:t>
      </w:r>
      <w:r>
        <w:rPr>
          <w:rFonts w:ascii="Arial" w:cs="Arial" w:eastAsia="Arial" w:hAnsi="Arial"/>
          <w:sz w:val="18"/>
          <w:szCs w:val="18"/>
          <w:color w:val="auto"/>
        </w:rPr>
        <w:t>. Election of Directors at all meetings of the stockholders at which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to be elected need not be by written ballot unless otherwise determined by the Board prior to such meeting, and, subject to the rights of the holders of any series of Preferred Stock to elect Directors under an applicable Preferred Stock Designation, a plurality of the votes cast thereat shall elect Directors. Except as otherwise provided by law, the Certificate of Incorporation, any Preferred Stock Designation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2.11 Inspectors of Elections; Opening and Closing the Polls</w:t>
      </w:r>
      <w:r>
        <w:rPr>
          <w:rFonts w:ascii="Arial" w:cs="Arial" w:eastAsia="Arial" w:hAnsi="Arial"/>
          <w:sz w:val="16"/>
          <w:szCs w:val="16"/>
          <w:color w:val="auto"/>
        </w:rPr>
        <w:t>. The Board by resolution shall appoint, or shall authorize an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to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the stockholders,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stockholders will vote at a meeting.</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2.12 Conduct of Meetings</w:t>
      </w:r>
      <w:r>
        <w:rPr>
          <w:rFonts w:ascii="Arial" w:cs="Arial" w:eastAsia="Arial" w:hAnsi="Arial"/>
          <w:sz w:val="16"/>
          <w:szCs w:val="16"/>
          <w:color w:val="auto"/>
        </w:rPr>
        <w:t>. The Board may to the extent not prohibited by law adopt such rules and regulations for the conduct of</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stockholders as it shall deem appropriate. Except to the extent inconsistent with such rules and regulations as adopted by the Board,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The date and time of the opening and closing of the polls for each matter upon which the stockholders will vote at a meeting shall be announced at the meeting by the person presiding over the meeting. Unless and to the extent determined by the Board or the chairman of the meeting, meetings of stockholders are not required to be held in accordance with the rules of parliamentary procedure.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b w:val="1"/>
          <w:bCs w:val="1"/>
          <w:color w:val="auto"/>
        </w:rPr>
        <w:t>Section 2.13 Meetings by Remote Communication</w:t>
      </w:r>
      <w:r>
        <w:rPr>
          <w:rFonts w:ascii="Arial" w:cs="Arial" w:eastAsia="Arial" w:hAnsi="Arial"/>
          <w:sz w:val="16"/>
          <w:szCs w:val="16"/>
          <w:color w:val="auto"/>
        </w:rPr>
        <w:t>. If authorized by the Board, and subject to any guidelines and procedures that the Board may</w:t>
      </w:r>
      <w:r>
        <w:rPr>
          <w:rFonts w:ascii="Arial" w:cs="Arial" w:eastAsia="Arial" w:hAnsi="Arial"/>
          <w:sz w:val="16"/>
          <w:szCs w:val="16"/>
          <w:b w:val="1"/>
          <w:bCs w:val="1"/>
          <w:color w:val="auto"/>
        </w:rPr>
        <w:t xml:space="preserve"> </w:t>
      </w:r>
      <w:r>
        <w:rPr>
          <w:rFonts w:ascii="Arial" w:cs="Arial" w:eastAsia="Arial" w:hAnsi="Arial"/>
          <w:sz w:val="16"/>
          <w:szCs w:val="16"/>
          <w:color w:val="auto"/>
        </w:rPr>
        <w:t>adopt, stockholders and proxy holders not physically present at a meeting of stockholders may, by means of remote communication, participate in the meeting and be deemed present in person and vote at the meeting, whether the meeting is to be held in a designated place or solely by means of remote communication, provided that (a) the Corporation implements reasonable measures to verify that each person deemed present and permitted to vote at the meeting by means of remote communication is a stockholder or proxy holder; (b) the Corporation implements reasonable measures to provide stockholders and proxy holders a reasonable opportunity to participate in the meeting and to vote on matters submitted to the stockholders, including the opportunity to read or hear the proceedings in the meeting substantially concurrently with such proceedings; and (c) if the stockholder or proxy holder votes or takes other action at the meeting by means of remote communication, a record of the vote or other action is maintained by the Corporation.</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THE BOARD</w:t>
      </w:r>
    </w:p>
    <w:p>
      <w:pPr>
        <w:spacing w:after="0" w:line="2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3.1 General Powers</w:t>
      </w:r>
      <w:r>
        <w:rPr>
          <w:rFonts w:ascii="Arial" w:cs="Arial" w:eastAsia="Arial" w:hAnsi="Arial"/>
          <w:sz w:val="18"/>
          <w:szCs w:val="18"/>
          <w:color w:val="auto"/>
        </w:rPr>
        <w:t>. The business and affairs of the Corporation shall be managed under the direction of the Board.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authorities expressly conferred upon the Board by these Bylaws, the Board may exercise all such powers of the Corporation and do all such lawful acts and things as are not by statute, the Certificate of Incorporation or these Bylaws required to be exercised or done by the stockholders. Except as otherwise provided by law, these Bylaws or the Certificate of Incorporation, all decisions of the Board shall require the affirmative vote of a majority of the Directors present at a meeting at which a quorum is present.</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3.2 Number; Qualifications and Tenure</w:t>
      </w:r>
      <w:r>
        <w:rPr>
          <w:rFonts w:ascii="Arial" w:cs="Arial" w:eastAsia="Arial" w:hAnsi="Arial"/>
          <w:sz w:val="18"/>
          <w:szCs w:val="18"/>
          <w:color w:val="auto"/>
        </w:rPr>
        <w:t>. The number of the Directors constituting the entire Board shall be fixed form time to time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A Director need not be a stockholder of the Corporation. Any Director so chosen shall hold office for a term expiring at the annual meeting of stockholders at which the term of office of the class to which he or she has been elected expires and until the Director’s successor is duly elected and qualified or until his or her earlier resignation or removal. No decrease in the number of authorized Directors shall shorten the term of any incumbent director.</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3.3 Regular Meetings</w:t>
      </w:r>
      <w:r>
        <w:rPr>
          <w:rFonts w:ascii="Arial" w:cs="Arial" w:eastAsia="Arial" w:hAnsi="Arial"/>
          <w:sz w:val="18"/>
          <w:szCs w:val="18"/>
          <w:color w:val="auto"/>
        </w:rPr>
        <w:t>. The Board shall hold regular meetings on such dates and at such times and places as are determined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resolution of the Board.</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3.4 Special Meetings</w:t>
      </w:r>
      <w:r>
        <w:rPr>
          <w:rFonts w:ascii="Arial" w:cs="Arial" w:eastAsia="Arial" w:hAnsi="Arial"/>
          <w:sz w:val="18"/>
          <w:szCs w:val="18"/>
          <w:color w:val="auto"/>
        </w:rPr>
        <w:t>. A special meeting of the Board may be called at any time at the request of (a) the Chairman of the Board or (b) any</w:t>
      </w:r>
      <w:r>
        <w:rPr>
          <w:rFonts w:ascii="Arial" w:cs="Arial" w:eastAsia="Arial" w:hAnsi="Arial"/>
          <w:sz w:val="18"/>
          <w:szCs w:val="18"/>
          <w:b w:val="1"/>
          <w:bCs w:val="1"/>
          <w:color w:val="auto"/>
        </w:rPr>
        <w:t xml:space="preserve"> </w:t>
      </w:r>
      <w:r>
        <w:rPr>
          <w:rFonts w:ascii="Arial" w:cs="Arial" w:eastAsia="Arial" w:hAnsi="Arial"/>
          <w:sz w:val="18"/>
          <w:szCs w:val="18"/>
          <w:color w:val="auto"/>
        </w:rPr>
        <w:t>[four] Directors. The place of any special meeting shall be the corporate headquarters of the Corporation unless otherwise agreed by a majority of the Directors.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 w:name="page24"/>
    <w:bookmarkEnd w:id="23"/>
    <w:p>
      <w:pPr>
        <w:jc w:val="both"/>
        <w:ind w:firstLine="648"/>
        <w:spacing w:after="0" w:line="271" w:lineRule="auto"/>
        <w:rPr>
          <w:sz w:val="20"/>
          <w:szCs w:val="20"/>
          <w:color w:val="auto"/>
        </w:rPr>
      </w:pPr>
      <w:r>
        <w:rPr>
          <w:rFonts w:ascii="Arial" w:cs="Arial" w:eastAsia="Arial" w:hAnsi="Arial"/>
          <w:sz w:val="17"/>
          <w:szCs w:val="17"/>
          <w:b w:val="1"/>
          <w:bCs w:val="1"/>
          <w:color w:val="auto"/>
        </w:rPr>
        <w:t>Section 3.5 Notice of Meetings</w:t>
      </w:r>
      <w:r>
        <w:rPr>
          <w:rFonts w:ascii="Arial" w:cs="Arial" w:eastAsia="Arial" w:hAnsi="Arial"/>
          <w:sz w:val="17"/>
          <w:szCs w:val="17"/>
          <w:color w:val="auto"/>
        </w:rPr>
        <w:t>. Notice of the time and place of regular and special meetings shall be delivered in person or by telephone to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 or sent by first-class mail, addressed to each director at that director’s address as it is shown on the records of the Corporation, or electronic transmission. If the notice is mailed, it shall be deposited in the United States mail at least 7 days prior to any regular or special meeting. If the notice is delivered in person, by telephone or electronic transmission, it shall be delivered at least 3 days prior to any regular meeting and 24 hours prior to any special meeting. The notice for a special meeting need not specify the purpose or place of the meeting if the meeting is to be held at the corporate headquarters of the Corporation. Neither the business to be transacted at, nor the purpose of, any regular or special meeting of the Board need be specified in the notice of such meeting, except for amendments to these Bylaws, as provided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 meeting may be held at any time without notice if all the Directors are present or if those not present waive notice of the meeting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these Bylaws. As used in these Bylaws,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on which banks are generally open to conduct business in the State of Texas.</w:t>
      </w:r>
    </w:p>
    <w:p>
      <w:pPr>
        <w:spacing w:after="0" w:line="20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Section 3.6 Action by Consent of Board</w:t>
      </w:r>
      <w:r>
        <w:rPr>
          <w:rFonts w:ascii="Arial" w:cs="Arial" w:eastAsia="Arial" w:hAnsi="Arial"/>
          <w:sz w:val="17"/>
          <w:szCs w:val="17"/>
          <w:color w:val="auto"/>
        </w:rPr>
        <w:t>. To the extent permitted by applicable law, the Board and any committee thereof may act without a</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so long as all members of the Board or committee have executed a written consent with respect to any Board action taken in lieu of a meeting.</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3.7 Conference Telephone Meetings</w:t>
      </w:r>
      <w:r>
        <w:rPr>
          <w:rFonts w:ascii="Arial" w:cs="Arial" w:eastAsia="Arial" w:hAnsi="Arial"/>
          <w:sz w:val="18"/>
          <w:szCs w:val="18"/>
          <w:color w:val="auto"/>
        </w:rPr>
        <w:t>. Members of the Board or any committee thereof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3.8 Quorum</w:t>
      </w:r>
      <w:r>
        <w:rPr>
          <w:rFonts w:ascii="Arial" w:cs="Arial" w:eastAsia="Arial" w:hAnsi="Arial"/>
          <w:sz w:val="16"/>
          <w:szCs w:val="16"/>
          <w:color w:val="auto"/>
        </w:rPr>
        <w:t>. A majority of the entire Board present in person, participating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3.7</w:t>
      </w:r>
      <w:r>
        <w:rPr>
          <w:rFonts w:ascii="Arial" w:cs="Arial" w:eastAsia="Arial" w:hAnsi="Arial"/>
          <w:sz w:val="16"/>
          <w:szCs w:val="16"/>
          <w:b w:val="1"/>
          <w:bCs w:val="1"/>
          <w:color w:val="auto"/>
        </w:rPr>
        <w:t xml:space="preserve"> </w:t>
      </w:r>
      <w:r>
        <w:rPr>
          <w:rFonts w:ascii="Arial" w:cs="Arial" w:eastAsia="Arial" w:hAnsi="Arial"/>
          <w:sz w:val="16"/>
          <w:szCs w:val="16"/>
          <w:color w:val="auto"/>
        </w:rPr>
        <w:t>or represented by proxy,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quorum for the transaction of business, but if at any meeting of the Board there is less than a quorum present, a majority of the Directors present may adjourn the meeting from time to time without further notice. Subject to any provisions of any law, these Bylaws or the Certificate of Incorporation,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3.9 Vacancies; Increases in the Number of Directors</w:t>
      </w:r>
      <w:r>
        <w:rPr>
          <w:rFonts w:ascii="Arial" w:cs="Arial" w:eastAsia="Arial" w:hAnsi="Arial"/>
          <w:sz w:val="18"/>
          <w:szCs w:val="18"/>
          <w:color w:val="auto"/>
        </w:rPr>
        <w:t>. Except as otherwise provided in the Certificate of Incorporation, vacancies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newly created directorships resulting from any increase in the authorized number of Directors may be filled by a majority of the Directors then in office, although less than a quorum, or a sole remaining Director; and any Director so chosen shall hold office for a term expiring at the annual meeting of stockholders at which the term of office of the class to which he or she has been elected expires and until the Director’s successor is duly elected and qualified or until his or her earlier resignation or removal.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p>
      <w:pPr>
        <w:jc w:val="both"/>
        <w:ind w:firstLine="648"/>
        <w:spacing w:after="0" w:line="256" w:lineRule="auto"/>
        <w:rPr>
          <w:sz w:val="20"/>
          <w:szCs w:val="20"/>
          <w:color w:val="auto"/>
        </w:rPr>
      </w:pPr>
      <w:r>
        <w:rPr>
          <w:rFonts w:ascii="Arial" w:cs="Arial" w:eastAsia="Arial" w:hAnsi="Arial"/>
          <w:sz w:val="18"/>
          <w:szCs w:val="18"/>
          <w:b w:val="1"/>
          <w:bCs w:val="1"/>
          <w:color w:val="auto"/>
        </w:rPr>
        <w:t>Section 3.10 Committees</w:t>
      </w:r>
      <w:r>
        <w:rPr>
          <w:rFonts w:ascii="Arial" w:cs="Arial" w:eastAsia="Arial" w:hAnsi="Arial"/>
          <w:sz w:val="18"/>
          <w:szCs w:val="18"/>
          <w:color w:val="auto"/>
        </w:rPr>
        <w:t>. The Board may establish one or more committees and may delegate certain of its responsibilities to such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Unless the Board otherwise provides, a majority of the members of any committee may fix the time and place of its meetings and may determine its action. Notice of committee meetings shall be given to each member of the committee in the manner provided for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these Bylaws. The Board shall have power at any time to fill vacancies in, to change the membership of, or to dissolve any such committee. Nothing herein shall be deemed to prevent the Board from appointing one or more committees consisting in whole or in part of persons who are not Directors; provided, however, that no such committee shall have or may exercise any authority of the Board.</w:t>
      </w:r>
    </w:p>
    <w:p>
      <w:pPr>
        <w:spacing w:after="0" w:line="21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3.11 Removal</w:t>
      </w:r>
      <w:r>
        <w:rPr>
          <w:rFonts w:ascii="Arial" w:cs="Arial" w:eastAsia="Arial" w:hAnsi="Arial"/>
          <w:sz w:val="18"/>
          <w:szCs w:val="18"/>
          <w:color w:val="auto"/>
        </w:rPr>
        <w:t>. Except as otherwise provided by law, the Certificate of Incorporation or these Bylaws, any Director or the entire Board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removed, with or without cause, by the holders of a majority of the Voting Stock.</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3.12 Records</w:t>
      </w:r>
      <w:r>
        <w:rPr>
          <w:rFonts w:ascii="Arial" w:cs="Arial" w:eastAsia="Arial" w:hAnsi="Arial"/>
          <w:sz w:val="18"/>
          <w:szCs w:val="18"/>
          <w:color w:val="auto"/>
        </w:rPr>
        <w:t>. The Board shall cause to be kept a record containing the minutes of the proceedings of the meetings of the Board and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 appropriate stock books and registers and such books of records and accounts as may be necessary for the proper conduct of the business of the 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4.1 Elected Officers</w:t>
      </w:r>
      <w:r>
        <w:rPr>
          <w:rFonts w:ascii="Arial" w:cs="Arial" w:eastAsia="Arial" w:hAnsi="Arial"/>
          <w:sz w:val="16"/>
          <w:szCs w:val="16"/>
          <w:color w:val="auto"/>
        </w:rPr>
        <w:t>. The executive officers of the Corporation shall be selected by, and serve at the pleasure of, the Board. Such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authority and duties delegated to each of them, respectively, by the Board from time to time. The elected officers of the Corporation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Chairman of the Board, as the case may be.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4.2 Election and Term of Office</w:t>
      </w:r>
      <w:r>
        <w:rPr>
          <w:rFonts w:ascii="Arial" w:cs="Arial" w:eastAsia="Arial" w:hAnsi="Arial"/>
          <w:sz w:val="17"/>
          <w:szCs w:val="17"/>
          <w:color w:val="auto"/>
        </w:rPr>
        <w:t>. The elected officers of the Corporation shall be elected from time to time by the Board. If the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officers is not held at such meeting, the election shall be held as soon thereafter as convenient. Each officer shall hold office until such person’s successor is duly elected and qualified or until such person’s death or until he or she resigns or is removed pursuant to these Bylaws.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4.3 Chairman of the Board</w:t>
      </w:r>
      <w:r>
        <w:rPr>
          <w:rFonts w:ascii="Arial" w:cs="Arial" w:eastAsia="Arial" w:hAnsi="Arial"/>
          <w:sz w:val="18"/>
          <w:szCs w:val="18"/>
          <w:color w:val="auto"/>
        </w:rPr>
        <w:t>. The Chairman of the Board shall preside at all meetings of the stockholders and of the Board. He shall make</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to the Board and the stockholders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upon his or her absence or inability to act.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jc w:val="both"/>
        <w:ind w:firstLine="648"/>
        <w:spacing w:after="0" w:line="258" w:lineRule="auto"/>
        <w:rPr>
          <w:sz w:val="20"/>
          <w:szCs w:val="20"/>
          <w:color w:val="auto"/>
        </w:rPr>
      </w:pPr>
      <w:r>
        <w:rPr>
          <w:rFonts w:ascii="Arial" w:cs="Arial" w:eastAsia="Arial" w:hAnsi="Arial"/>
          <w:sz w:val="18"/>
          <w:szCs w:val="18"/>
          <w:b w:val="1"/>
          <w:bCs w:val="1"/>
          <w:color w:val="auto"/>
        </w:rPr>
        <w:t>Section 4.4 Chief Executive Officer</w:t>
      </w:r>
      <w:r>
        <w:rPr>
          <w:rFonts w:ascii="Arial" w:cs="Arial" w:eastAsia="Arial" w:hAnsi="Arial"/>
          <w:sz w:val="18"/>
          <w:szCs w:val="18"/>
          <w:color w:val="auto"/>
        </w:rPr>
        <w:t>. The Chief Executive Officer shall be responsible for the general management of the affairs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shall perform all duties incidental to such person’s office which may be required by law and all such other duties as are properly required of him by the Board. Unless the Board has elected a vice-chairman and such vice-chairman is able to act in the place of the Chairman, the Chief Executive Officer, if he is also a Director, shall, in the absence of or because of the inability to act of the Chairman, perform all duties of the Chairman of the Board and preside at all meetings of stockholders and the Board.</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4.5 President</w:t>
      </w:r>
      <w:r>
        <w:rPr>
          <w:rFonts w:ascii="Arial" w:cs="Arial" w:eastAsia="Arial" w:hAnsi="Arial"/>
          <w:sz w:val="18"/>
          <w:szCs w:val="18"/>
          <w:color w:val="auto"/>
        </w:rPr>
        <w:t>. The President shall act in a general executive capacity and shall assist the Chief Executive Officer in the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 of the Corporation’s business and general supervision of its policies and affairs. The President shall have such other powers and shall perform such other duties as are assigned to him by the Board or the Chairman of the Board.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4.6 Vice Presidents</w:t>
      </w:r>
      <w:r>
        <w:rPr>
          <w:rFonts w:ascii="Arial" w:cs="Arial" w:eastAsia="Arial" w:hAnsi="Arial"/>
          <w:sz w:val="18"/>
          <w:szCs w:val="18"/>
          <w:color w:val="auto"/>
        </w:rPr>
        <w:t>. Each Executive Vice President and Senior Vice President and any Vice President shall have such powers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such duties as are assigned to him by the Board or the Chairman of the Board.</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4.7 Treasurer</w:t>
      </w:r>
      <w:r>
        <w:rPr>
          <w:rFonts w:ascii="Arial" w:cs="Arial" w:eastAsia="Arial" w:hAnsi="Arial"/>
          <w:sz w:val="18"/>
          <w:szCs w:val="18"/>
          <w:color w:val="auto"/>
        </w:rPr>
        <w:t>. The Treasurer shall exercise general supervision over the receipt, custody and disbursement of corporate funds.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shall cause the funds of the Corporation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21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4.8 Secretary</w:t>
      </w:r>
      <w:r>
        <w:rPr>
          <w:rFonts w:ascii="Arial" w:cs="Arial" w:eastAsia="Arial" w:hAnsi="Arial"/>
          <w:sz w:val="16"/>
          <w:szCs w:val="16"/>
          <w:color w:val="auto"/>
        </w:rPr>
        <w:t>. The Secretary shall keep or cause to be kept, in one or more books provided for that purpose, the minutes of all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 the committees of the Board and the stockholders. The Secretary shall see that all notices are duly given in accordance with the provisions of these Bylaws and as required by law;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4.9 Assistant Secretaries</w:t>
      </w:r>
      <w:r>
        <w:rPr>
          <w:rFonts w:ascii="Arial" w:cs="Arial" w:eastAsia="Arial" w:hAnsi="Arial"/>
          <w:sz w:val="18"/>
          <w:szCs w:val="18"/>
          <w:color w:val="auto"/>
        </w:rPr>
        <w:t>. Assistant Secretaries shall have such of the authority and perform such of the duties of the Secretary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jc w:val="both"/>
        <w:ind w:firstLine="648"/>
        <w:spacing w:after="0" w:line="258" w:lineRule="auto"/>
        <w:rPr>
          <w:sz w:val="20"/>
          <w:szCs w:val="20"/>
          <w:color w:val="auto"/>
        </w:rPr>
      </w:pPr>
      <w:r>
        <w:rPr>
          <w:rFonts w:ascii="Arial" w:cs="Arial" w:eastAsia="Arial" w:hAnsi="Arial"/>
          <w:sz w:val="18"/>
          <w:szCs w:val="18"/>
          <w:b w:val="1"/>
          <w:bCs w:val="1"/>
          <w:color w:val="auto"/>
        </w:rPr>
        <w:t>Section 4.10 Removal</w:t>
      </w:r>
      <w:r>
        <w:rPr>
          <w:rFonts w:ascii="Arial" w:cs="Arial" w:eastAsia="Arial" w:hAnsi="Arial"/>
          <w:sz w:val="18"/>
          <w:szCs w:val="18"/>
          <w:color w:val="auto"/>
        </w:rPr>
        <w:t>. Any officer elected, or agent appointed, by the Board may be removed by the affirmative vote of a majority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or, except in the case of an officer chosen by the Board, by the Chairman of the Board or any other officer upon whom such power of removal may be conferred by the Board. No elected officer shall have any contractual rights against the Corporation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4.11 Vacancies</w:t>
      </w:r>
      <w:r>
        <w:rPr>
          <w:rFonts w:ascii="Arial" w:cs="Arial" w:eastAsia="Arial" w:hAnsi="Arial"/>
          <w:sz w:val="18"/>
          <w:szCs w:val="18"/>
          <w:color w:val="auto"/>
        </w:rPr>
        <w:t>. A newly created elected office and a vacancy in any elected office because of death, resignation or removal may be filled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the Corporation’s Chairman of the Board or any other officer upon whom such power may be conferred by the Board for the unexpired portion of the term.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 AND TRANSFERS</w:t>
      </w:r>
    </w:p>
    <w:p>
      <w:pPr>
        <w:spacing w:after="0" w:line="2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5.1 Stock Certificates</w:t>
      </w:r>
      <w:r>
        <w:rPr>
          <w:rFonts w:ascii="Arial" w:cs="Arial" w:eastAsia="Arial" w:hAnsi="Arial"/>
          <w:sz w:val="16"/>
          <w:szCs w:val="16"/>
          <w:color w:val="auto"/>
        </w:rPr>
        <w:t>. The interest of each stockholder of the Corporation shall be evidenced by certificates for shares of stock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form as the appropriate officers of the Corporation may from time to time prescribe. The certificates of stock shall be signed, countersigned and registered in such manner as the Board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Notwithstanding the foregoing provisions regarding share certificates, the proper officers of the Corporation may provide that some or all of any or all classes or series of the Corporation’s common or any preferred shares may be uncertificated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5.2 Transfers of Stock</w:t>
      </w:r>
      <w:r>
        <w:rPr>
          <w:rFonts w:ascii="Arial" w:cs="Arial" w:eastAsia="Arial" w:hAnsi="Arial"/>
          <w:sz w:val="18"/>
          <w:szCs w:val="18"/>
          <w:color w:val="auto"/>
        </w:rPr>
        <w:t>. Upon surrender to the Corporation or the transfer agent of the Corporation of a certificate for shares duly</w:t>
      </w:r>
      <w:r>
        <w:rPr>
          <w:rFonts w:ascii="Arial" w:cs="Arial" w:eastAsia="Arial" w:hAnsi="Arial"/>
          <w:sz w:val="18"/>
          <w:szCs w:val="18"/>
          <w:b w:val="1"/>
          <w:bCs w:val="1"/>
          <w:color w:val="auto"/>
        </w:rPr>
        <w:t xml:space="preserve"> </w:t>
      </w:r>
      <w:r>
        <w:rPr>
          <w:rFonts w:ascii="Arial" w:cs="Arial" w:eastAsia="Arial" w:hAnsi="Arial"/>
          <w:sz w:val="18"/>
          <w:szCs w:val="18"/>
          <w:color w:val="auto"/>
        </w:rPr>
        <w:t>endorsed or accompanied by proper evidence of succession, assignation or authority to transfer, it shall be the duty of the Corporation to issue a new certificate or evidence of the issuance of uncertificated shares to the person entitled thereto, cancel the old certificate, and record the transaction in the Corporation’s books.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receipt of proper transfer instructions from the registered owner of uncertificated shares, the uncertificated shares shall be cancelled, issuance of new equivalent uncertificated shares or certificated shares shall be made to the stockholder entitled thereto and the transaction shall be recorded upon the books of the Corporation. If the Corporation has a transfer agent or registrar acting on its behalf, the signature of any officer or representative thereof may be in facsimile.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The Board may appoint a transfer agent and one or more co-transfer agents and registrar and one or more co-registrars and may make or authorize the agent to make all rules and regulations deemed expedient concerning the issue, transfer and registration of shares of stock.</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5.3 Lost, Stolen or Destroyed Certificates</w:t>
      </w:r>
      <w:r>
        <w:rPr>
          <w:rFonts w:ascii="Arial" w:cs="Arial" w:eastAsia="Arial" w:hAnsi="Arial"/>
          <w:sz w:val="18"/>
          <w:szCs w:val="18"/>
          <w:color w:val="auto"/>
        </w:rPr>
        <w:t>. No new certificate for shares of stock or uncertificated shares of stock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issued in place of any previously issued certificate alleged to have been lost, destroyed or stolen, except on production of evidence of such loss, destruction or theft and on delivery to the Corporation of a bond of indemnity in such amount, upon such terms and secured by such surety, as the Board or any financial officer may in its or such officer’s discretion require.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6.1 Right to Indemnification</w:t>
      </w:r>
      <w:r>
        <w:rPr>
          <w:rFonts w:ascii="Arial" w:cs="Arial" w:eastAsia="Arial" w:hAnsi="Arial"/>
          <w:sz w:val="16"/>
          <w:szCs w:val="16"/>
          <w:color w:val="auto"/>
        </w:rPr>
        <w:t>. Each person who was or is made a party to or is threatened to be made a party to or is involved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by reason of the fact that such person, or a person of whom such person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DGCL, as the same exists or may hereafter be amended (but, in the case of any such amendment, to the fullest extent permitted by law,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the Corporation shall indemnify any such person seeking indemnification in connection with a proceeding (or part thereof) initiated by such person only if such proceeding (or part thereof) was authorized by the Board. The right to indemnification conferred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be a contract right and shall include the right to have the Corporation pay the expenses incurred in defending any such proceeding in advance of its final disposition, any advance payments to be paid by the Corporation within 20 calendar days after the receipt by the Corporation of a statement or statements from the claimant requesting such advance or advances from time to time; provided, however, that, if and to the extent the DGCL 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otherwise. The Corporation may, to the extent authorized from time to time by the Board, grant rights to indemnification, and rights to have the Corporation pay the expenses incurred in defending any proceeding in advance of its final disposition, to any employee or agent of the Corporation to the fullest extent of the provisions of this with respect to the indemnification and advancement of expenses of Directors and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-37465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7"/>
          <w:szCs w:val="17"/>
          <w:b w:val="1"/>
          <w:bCs w:val="1"/>
          <w:color w:val="auto"/>
        </w:rPr>
        <w:t>Section 6.2 Right of Claimant to Bring Suit</w:t>
      </w:r>
      <w:r>
        <w:rPr>
          <w:rFonts w:ascii="Arial" w:cs="Arial" w:eastAsia="Arial" w:hAnsi="Arial"/>
          <w:sz w:val="17"/>
          <w:szCs w:val="17"/>
          <w:color w:val="auto"/>
        </w:rPr>
        <w:t>. If a claim under of this is not paid in full by the Corporation within 60 calendar days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DGCL for the Corporation to indemnify the claimant for the amount claimed, but the burden of proving such defense shall be on the Corporation. Neither the failure of the Corporation (including its Board, independent legal counsel or its stockholders) to have made a determination prior to the circumstances that the claimant has met the applicable standard of conduct set forth in the DGCL, nor an actual determination by the Corporation (including its Board, independent legal counsel or its stockholders) that the claimant has not met such applicable standard of conduct, shall be a defense to the action or create a presumption that the claimant has not met the applicable standard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-1272540</wp:posOffset>
            </wp:positionV>
            <wp:extent cx="28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-1272540</wp:posOffset>
            </wp:positionV>
            <wp:extent cx="36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6.3 Non-Exclusivity of Rights</w:t>
      </w:r>
      <w:r>
        <w:rPr>
          <w:rFonts w:ascii="Arial" w:cs="Arial" w:eastAsia="Arial" w:hAnsi="Arial"/>
          <w:sz w:val="18"/>
          <w:szCs w:val="18"/>
          <w:color w:val="auto"/>
        </w:rPr>
        <w:t>. The right to indemnification and the payment of expenses incurred in defending a proceeding in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final disposition conferred in this is not exclusive of any other right which any person may have or hereafter acquire under any statute, provision of the Certificate of Incorporation, these Bylaws, agreement, vote of stockholders or disinterested Directors or otherwise. No repeal or modification of this shall in any way diminish or adversely affect the rights of any Director, officer, employee or agent of the Corporation hereunder in respect of any occurrence or matter arising prior to any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-445770</wp:posOffset>
            </wp:positionV>
            <wp:extent cx="28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-307975</wp:posOffset>
            </wp:positionV>
            <wp:extent cx="28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6.4 Insurance</w:t>
      </w:r>
      <w:r>
        <w:rPr>
          <w:rFonts w:ascii="Arial" w:cs="Arial" w:eastAsia="Arial" w:hAnsi="Arial"/>
          <w:sz w:val="18"/>
          <w:szCs w:val="18"/>
          <w:color w:val="auto"/>
        </w:rPr>
        <w:t>. The Corporation may maintain insurance, at its expense, to protect itself and any Director, officer, employee or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20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Section 6.5 Severability</w:t>
      </w:r>
      <w:r>
        <w:rPr>
          <w:rFonts w:ascii="Arial" w:cs="Arial" w:eastAsia="Arial" w:hAnsi="Arial"/>
          <w:sz w:val="18"/>
          <w:szCs w:val="18"/>
          <w:color w:val="auto"/>
        </w:rPr>
        <w:t>. If any provision or provisions of this is held to be invalid, illegal or unenforceable for any reason whatsoever: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validity, legality and enforceability of the remaining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without limitation, each portion of any paragraph of this containing any such provision held to be invalid, illegal or unenforceable, that is not itself held to be invalid, illegal or unenforceable) shall not in any way be affected or impaired thereby; and (b) to the fullest extent possible, the provisions of this (including, without limitation, each such portion of any paragraph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or provisions held invalid, illegal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-717550</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7214870</wp:posOffset>
            </wp:positionH>
            <wp:positionV relativeFrom="paragraph">
              <wp:posOffset>-580390</wp:posOffset>
            </wp:positionV>
            <wp:extent cx="28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-306070</wp:posOffset>
            </wp:positionV>
            <wp:extent cx="28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7.1 Fiscal Year</w:t>
      </w:r>
      <w:r>
        <w:rPr>
          <w:rFonts w:ascii="Arial" w:cs="Arial" w:eastAsia="Arial" w:hAnsi="Arial"/>
          <w:sz w:val="18"/>
          <w:szCs w:val="18"/>
          <w:color w:val="auto"/>
        </w:rPr>
        <w:t>. The fiscal year of the Corporation shall begin and end on such dates as the Board at any time shall determine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7.2 Dividends</w:t>
      </w:r>
      <w:r>
        <w:rPr>
          <w:rFonts w:ascii="Arial" w:cs="Arial" w:eastAsia="Arial" w:hAnsi="Arial"/>
          <w:sz w:val="18"/>
          <w:szCs w:val="18"/>
          <w:color w:val="auto"/>
        </w:rPr>
        <w:t>. The Board may from time to time declare, and the Corporation may pay, dividends on its outstanding shares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and upon the terms and conditions provided by law and the Certificate of Incorporation.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7.3 Seal</w:t>
      </w:r>
      <w:r>
        <w:rPr>
          <w:rFonts w:ascii="Arial" w:cs="Arial" w:eastAsia="Arial" w:hAnsi="Arial"/>
          <w:sz w:val="18"/>
          <w:szCs w:val="18"/>
          <w:color w:val="auto"/>
        </w:rPr>
        <w:t>. The corporate seal, if any, shall have inscribed thereon the words “Corporate Seal,” the year of incorporation and the word</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7.4 Waiver of Notice</w:t>
      </w:r>
      <w:r>
        <w:rPr>
          <w:rFonts w:ascii="Arial" w:cs="Arial" w:eastAsia="Arial" w:hAnsi="Arial"/>
          <w:sz w:val="18"/>
          <w:szCs w:val="18"/>
          <w:color w:val="auto"/>
        </w:rPr>
        <w:t>. Whenever any notice is required to be given to any stockholder or Director under the provisions of the DGCL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the Board or committee thereof need be specified in any waiver of notice of such meeting.</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7.5 Audits</w:t>
      </w:r>
      <w:r>
        <w:rPr>
          <w:rFonts w:ascii="Arial" w:cs="Arial" w:eastAsia="Arial" w:hAnsi="Arial"/>
          <w:sz w:val="18"/>
          <w:szCs w:val="18"/>
          <w:color w:val="auto"/>
        </w:rPr>
        <w:t>. The accounts, books and records of the Corporation shall be audited upon the conclusion of each fiscal year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certified public accountant selected by the Board or Board committee, and it shall be the duty of the Board or Board committee to cause such audit to be done annually.</w:t>
      </w: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7.6 Resignations</w:t>
      </w:r>
      <w:r>
        <w:rPr>
          <w:rFonts w:ascii="Arial" w:cs="Arial" w:eastAsia="Arial" w:hAnsi="Arial"/>
          <w:sz w:val="17"/>
          <w:szCs w:val="17"/>
          <w:color w:val="auto"/>
        </w:rPr>
        <w:t>. Any Director or any officer, whether elected or appointed, may resign at any time by giving notice in writing or by</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transmission of the resignation to the Corporation, and the resignation shall be deemed to be effective as of the close of business on the date the notice is received by the Corporation, or at such later time as is specified therein. No formal action is required by the Board or the stockholders to make the resignation effective, provided however that if such resignation is tendered by a Director to the Board or a committee of the Board solely to permit the Board or committee of the Board to consider the necessity of such resignation pursuant to any corporate governance guideline or policy of the Corporation, then such resignation will not be effective unless and until it is accepted by the Board or its designee.</w:t>
      </w:r>
    </w:p>
    <w:p>
      <w:pPr>
        <w:spacing w:after="0" w:line="2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7.7 Electronic Transmissions</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physical transmission of paper, that creates a record that may be retained, retrieved, and reviewed by a recipient, and that may be directly reproduced in paper form by that recipient through an automated process.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 PROXIES, ETC.</w:t>
      </w:r>
    </w:p>
    <w:p>
      <w:pPr>
        <w:spacing w:after="0" w:line="2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8.1 Contracts</w:t>
      </w:r>
      <w:r>
        <w:rPr>
          <w:rFonts w:ascii="Arial" w:cs="Arial" w:eastAsia="Arial" w:hAnsi="Arial"/>
          <w:sz w:val="16"/>
          <w:szCs w:val="16"/>
          <w:color w:val="auto"/>
        </w:rPr>
        <w:t>. Except as otherwise required by law, the Certificate of Incorporation, a Preferred Stock Designation or these Bylaws,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or other instruments may be executed and delivered in the name and on the behalf of the Corporation by an officer or officers of the Corporation as the Board may from time to time direct. Such authority may be general or confined to specific instances as the Board may determine.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Corporation. Subject to any restrictions imposed by the Board, the Chairman of the Board, the Chief Executive Officer, the President or any Executive Vice President, Senior Vice President or Vice President of the Corporation may delegate contractual powers to others under such person’s jurisdiction, it being understood, however, that any such delegation of power shall not relieve the officer of responsibility with respect to the exercise of the delegated power.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8.2 Proxies</w:t>
      </w:r>
      <w:r>
        <w:rPr>
          <w:rFonts w:ascii="Arial" w:cs="Arial" w:eastAsia="Arial" w:hAnsi="Arial"/>
          <w:sz w:val="18"/>
          <w:szCs w:val="18"/>
          <w:color w:val="auto"/>
        </w:rPr>
        <w:t>. Unless otherwise provided by resolution adopted by the Board, the Chief Executive Officer, the Chairman of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any Executive Vice President, Senior Vice President or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 or other securities may be held by the Corporation, at meetings of the holders of the stock or other securities of the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Bylaws, including this , may be altered, amended or repealed and new Bylaws may be adopted (a) at any annual or special meeting of stockholders by the affirmative vote of the holders of 66 2/3% of the voting power of the stock issued and outstanding and entitled to vote thereat or (b) by the affirmative vote of a majority of the Board; provided, however, that, in the case of any stockholder action at a special meeting of stockholders, notice of the proposed alteration, amendment, repeal or adoption of these Bylaws must be contained in the notice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-455930</wp:posOffset>
            </wp:positionV>
            <wp:extent cx="36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1" w:name="page32"/>
    <w:bookmarkEnd w:id="31"/>
    <w:p>
      <w:pPr>
        <w:jc w:val="center"/>
        <w:ind w:left="660"/>
        <w:spacing w:after="0"/>
        <w:rPr>
          <w:sz w:val="20"/>
          <w:szCs w:val="20"/>
          <w:color w:val="auto"/>
        </w:rPr>
      </w:pPr>
      <w:r>
        <w:rPr>
          <w:rFonts w:ascii="Arial" w:cs="Arial" w:eastAsia="Arial" w:hAnsi="Arial"/>
          <w:sz w:val="18"/>
          <w:szCs w:val="18"/>
          <w:b w:val="1"/>
          <w:bCs w:val="1"/>
          <w:color w:val="auto"/>
        </w:rPr>
        <w:t>CERTIFICATE BY SECRETARY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undersigned, being the Secretary of the Corporation, hereby certifies that the foregoing Amended and Restated Bylaws were duly approved and adopted by the Board effective 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WITNESS WHEREOF, I have signed this certification on this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day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2014.</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_______________________________________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Secretary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1420"/>
          </w:cols>
          <w:pgMar w:left="240" w:top="60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Oil States Stockholder:</w:t>
      </w:r>
    </w:p>
    <w:p>
      <w:pPr>
        <w:spacing w:after="0" w:line="252" w:lineRule="exact"/>
        <w:rPr>
          <w:sz w:val="20"/>
          <w:szCs w:val="20"/>
          <w:color w:val="auto"/>
        </w:rPr>
      </w:pPr>
    </w:p>
    <w:p>
      <w:pPr>
        <w:ind w:right="160" w:firstLine="324"/>
        <w:spacing w:after="0" w:line="299" w:lineRule="auto"/>
        <w:rPr>
          <w:sz w:val="20"/>
          <w:szCs w:val="20"/>
          <w:color w:val="auto"/>
        </w:rPr>
      </w:pPr>
      <w:r>
        <w:rPr>
          <w:rFonts w:ascii="Arial" w:cs="Arial" w:eastAsia="Arial" w:hAnsi="Arial"/>
          <w:sz w:val="16"/>
          <w:szCs w:val="16"/>
          <w:color w:val="auto"/>
        </w:rPr>
        <w:t>I am pleased to inform you that on , 2014, the board of directors of Oil States International, Inc. approved the spin-off of our Accommodations business as a separate, publicly traded company, which we have named OIS Accommodations SpinCo Inc. (“SpinCo”). Upon completion of the spin-off, Oil States stockholders will own 100% of the outstanding shares of common stock of SpinCo. We believe that this separation of SpinCo to form a new, independent,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company is in the best interests of Oil States, its stockholders and SpinCo.</w:t>
      </w:r>
    </w:p>
    <w:p>
      <w:pPr>
        <w:spacing w:after="0" w:line="266"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color w:val="auto"/>
        </w:rPr>
        <w:t>The spin-off will be completed by way of a pro rata distribution on , 2014, of SpinCo common stock to our stockholders of record as of the close of business on , 2014, the spin-off record date. Each Oil States stockholder will receive shares of SpinCo common stock for</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each share of Oil States common stock held by such stockholder on the record date. The distribution of these shares will be made in book-entry form, which means that no physical share certificates will be issued. Following the spin-off, stockholders may request that their shares of SpinCo common stock be transferred to a brokerage or other account at any time. No fractional shares of SpinCo common stock will be issued. If you would otherwise have been entitled to a fractional common share in the distribution, you will receive the net cash proceeds of the sale of such fractional share instead.</w:t>
      </w:r>
    </w:p>
    <w:p>
      <w:pPr>
        <w:spacing w:after="0" w:line="20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spin-off is subject to certain customary conditions. Stockholder approval of the distribution is not required, nor are you required to take any action to receive your shares of SpinCo common stock.</w:t>
      </w:r>
    </w:p>
    <w:p>
      <w:pPr>
        <w:spacing w:after="0" w:line="197" w:lineRule="exact"/>
        <w:rPr>
          <w:sz w:val="20"/>
          <w:szCs w:val="20"/>
          <w:color w:val="auto"/>
        </w:rPr>
      </w:pPr>
    </w:p>
    <w:p>
      <w:pPr>
        <w:jc w:val="both"/>
        <w:ind w:right="180" w:firstLine="324"/>
        <w:spacing w:after="0" w:line="342" w:lineRule="auto"/>
        <w:rPr>
          <w:sz w:val="20"/>
          <w:szCs w:val="20"/>
          <w:color w:val="auto"/>
        </w:rPr>
      </w:pPr>
      <w:r>
        <w:rPr>
          <w:rFonts w:ascii="Arial" w:cs="Arial" w:eastAsia="Arial" w:hAnsi="Arial"/>
          <w:sz w:val="16"/>
          <w:szCs w:val="16"/>
          <w:color w:val="auto"/>
        </w:rPr>
        <w:t>Immediately following the spin-off, you will own common stock in Oil States and SpinCo. Oil States’ common stock will continue to trade on the New York Stock Exchange under the symbol “OIS.” SpinCo’s common stock is expected to be traded on the New York Stock Exchange under the symbol “[●].”</w:t>
      </w:r>
    </w:p>
    <w:p>
      <w:pPr>
        <w:spacing w:after="0" w:line="15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Oil States is seeking a private letter ruling from the Internal Revenue Service to the effect that, among other things, the distribution of SpinCo’s common stock to Oil States stockholders, together with certain related transactions, will qualify as a transaction that is generally tax-free for U.S. federal income tax purposes. However, any cash that you receive in lieu of fractional shares generally will be taxable to you.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215"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The enclosed information statement, which is being mailed to all Oil States stockholders, describes the spin-off in detail and contains important information about SpinCo, including its consolidated financial statements. We urge you to read this information statement carefully.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want to thank you for your continued support of Oil States. We look forward to your support of SpinCo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Cindy B.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color w:val="auto"/>
        </w:rPr>
        <w:t>,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OIS Accommodations SpinCo Inc. Stockholder:</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It is our pleasure to welcome you as a stockholder of our company, OIS Accommodations SpinCo Inc. We are engaged in the business of providing remote site accommodations, logistics and facility management services to the global natural resource industry, with operations primarily focused in Canada, Australia and the United States.</w:t>
      </w:r>
    </w:p>
    <w:p>
      <w:pPr>
        <w:spacing w:after="0" w:line="20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SpinCo has a strong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assess new geographies and end markets. As an independent, publicly traded company, we believe we can more effectively focus on and enhance our strategic growth plans and deliver long-term stockholder returns.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to list SpinCo common stock on the New York Stock Exchange under the symbol “[●]” in connection with the distribution of SpinCo common stock by Oil States.</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invite you to learn more about SpinCo and our subsidiaries by reviewing the enclosed information statement. We look forward to our future as an independent, public company and to your support as a holder of SpinCo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OIS Accommodations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34" w:name="page35"/>
    <w:bookmarkEnd w:id="34"/>
    <w:p>
      <w:pPr>
        <w:ind w:left="20" w:right="440"/>
        <w:spacing w:after="0" w:line="313" w:lineRule="auto"/>
        <w:rPr>
          <w:sz w:val="20"/>
          <w:szCs w:val="20"/>
          <w:color w:val="auto"/>
        </w:rPr>
      </w:pPr>
      <w:r>
        <w:rPr>
          <w:rFonts w:ascii="Arial" w:cs="Arial" w:eastAsia="Arial" w:hAnsi="Arial"/>
          <w:sz w:val="17"/>
          <w:szCs w:val="17"/>
          <w:b w:val="1"/>
          <w:bCs w:val="1"/>
          <w:color w:val="FF0000"/>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95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0000"/>
        </w:rPr>
        <w:t>SUBJECT TO COMPLETION, DATED February 10,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STATEMENT</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OIS Accommodations SpinCo Inc.</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value $0.01 per share)</w:t>
      </w:r>
    </w:p>
    <w:p>
      <w:pPr>
        <w:spacing w:after="0" w:line="252"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This information statement is being sent to you in connection with the separation of OIS Accommodations SpinCo Inc. (“SpinCo”) from Oil States International, Inc. (“Oil States”), following which SpinCo will be an independent, publicly traded company. As part of the separation, Oil States will distribute all of the shares of SpinCo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except to the extent of cash received in lieu</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of fractional shares. Each Oil States stockholder will receive shares of SpinCo common stock for each share of Oil States common stock held by such stockholder as of the close of business on , 2014, the record date for the distribution. The distribution of shares will be made in book-</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entry form. Oil States will not distribute any fractional shares of SpinCo common stock. Instead, the distribution agent will aggregate fractional shares into whole shares, sell the whole shares in the open market at prevailing market prices and distribute the aggregate net cash proceeds from the sales pro rata to each holder who would otherwise have been entitled to receive a fractional share in the spin-off. See “The Spin-Off—Treatment of Fractional Shares.” As discussed under “The Spin-Off—Trading Prior to the Distribution Date,” if you sell your common shares of Oil States in the “regular-way” market after the record date and before the distribution date, you also will be selling your right to receive shares of our common stock in connection with the separation. The distribution will be effective as of 11:59 p.m., Eastern Time, on , 2014. Immediately after the distribution becomes effective, SpinCo will be an independent, publicly traded company.</w:t>
      </w:r>
    </w:p>
    <w:p>
      <w:pPr>
        <w:spacing w:after="0" w:line="2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No vote or further action of Oil States stockholders is required in connection with the spin-off. We are not asking you for a proxy</w:t>
      </w:r>
      <w:r>
        <w:rPr>
          <w:rFonts w:ascii="Arial" w:cs="Arial" w:eastAsia="Arial" w:hAnsi="Arial"/>
          <w:sz w:val="17"/>
          <w:szCs w:val="17"/>
          <w:color w:val="auto"/>
        </w:rPr>
        <w:t>. Oil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not be required to pay any consideration for the shares of SpinCo common stock they receive in the spin-off, and they will not be required to surrender or exchange shares of their Oil States common stock or take any other action in connection with the spin-off.</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All of the outstanding shares of SpinCo common stock are currently owned by Oil States. Accordingly, there is no current trading market for SpinCo common stock. We expect, however, that a limited trading market for SpinCo common stock, commonly known as a “when-issued” trading market, will develop on or shortly before the record date for the distribution, and we expect “regular-way” trading of SpinCo common stock will begin the first trading day after the distribution date. We intend to list SpinCo common stock on the New York Stock Exchange under the ticker symbol “[●].”</w:t>
      </w:r>
    </w:p>
    <w:p>
      <w:pPr>
        <w:spacing w:after="0" w:line="194"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“Risk Factors” beginning on page 18 of this information statement.</w:t>
      </w:r>
    </w:p>
    <w:p>
      <w:pPr>
        <w:spacing w:after="0" w:line="189" w:lineRule="exact"/>
        <w:rPr>
          <w:sz w:val="20"/>
          <w:szCs w:val="20"/>
          <w:color w:val="auto"/>
        </w:rPr>
      </w:pPr>
    </w:p>
    <w:p>
      <w:pPr>
        <w:ind w:right="8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is not an offer to sell, or a solicitation of an offer to buy, any securities.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ind w:left="3600"/>
              <w:spacing w:after="0"/>
              <w:rPr>
                <w:sz w:val="20"/>
                <w:szCs w:val="20"/>
                <w:color w:val="auto"/>
              </w:rPr>
            </w:pPr>
            <w:r>
              <w:rPr>
                <w:rFonts w:ascii="Arial" w:cs="Arial" w:eastAsia="Arial" w:hAnsi="Arial"/>
                <w:sz w:val="18"/>
                <w:szCs w:val="18"/>
                <w:color w:val="auto"/>
              </w:rPr>
              <w:t>The date of this information statement is</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 2014.</w:t>
            </w:r>
          </w:p>
        </w:tc>
        <w:tc>
          <w:tcPr>
            <w:tcW w:w="3120" w:type="dxa"/>
            <w:vAlign w:val="bottom"/>
          </w:tcPr>
          <w:p>
            <w:pPr>
              <w:spacing w:after="0"/>
              <w:rPr>
                <w:sz w:val="20"/>
                <w:szCs w:val="20"/>
                <w:color w:val="auto"/>
              </w:rPr>
            </w:pPr>
          </w:p>
        </w:tc>
      </w:tr>
      <w:tr>
        <w:trPr>
          <w:trHeight w:val="513"/>
        </w:trPr>
        <w:tc>
          <w:tcPr>
            <w:tcW w:w="8340" w:type="dxa"/>
            <w:vAlign w:val="bottom"/>
            <w:gridSpan w:val="2"/>
          </w:tcPr>
          <w:p>
            <w:pPr>
              <w:jc w:val="right"/>
              <w:ind w:right="270"/>
              <w:spacing w:after="0"/>
              <w:rPr>
                <w:sz w:val="20"/>
                <w:szCs w:val="20"/>
                <w:color w:val="auto"/>
              </w:rPr>
            </w:pPr>
            <w:r>
              <w:rPr>
                <w:rFonts w:ascii="Arial" w:cs="Arial" w:eastAsia="Arial" w:hAnsi="Arial"/>
                <w:sz w:val="18"/>
                <w:szCs w:val="18"/>
                <w:color w:val="auto"/>
              </w:rPr>
              <w:t>This information statement was first mailed to Oil States stockholders on or about</w:t>
            </w:r>
          </w:p>
        </w:tc>
        <w:tc>
          <w:tcPr>
            <w:tcW w:w="3120" w:type="dxa"/>
            <w:vAlign w:val="bottom"/>
          </w:tcPr>
          <w:p>
            <w:pPr>
              <w:jc w:val="right"/>
              <w:ind w:right="2170"/>
              <w:spacing w:after="0"/>
              <w:rPr>
                <w:sz w:val="20"/>
                <w:szCs w:val="20"/>
                <w:color w:val="auto"/>
              </w:rPr>
            </w:pPr>
            <w:r>
              <w:rPr>
                <w:rFonts w:ascii="Arial" w:cs="Arial" w:eastAsia="Arial" w:hAnsi="Arial"/>
                <w:sz w:val="18"/>
                <w:szCs w:val="18"/>
                <w:color w:val="auto"/>
              </w:rPr>
              <w:t>, 2014.</w:t>
            </w:r>
          </w:p>
        </w:tc>
      </w:tr>
      <w:tr>
        <w:trPr>
          <w:trHeight w:val="821"/>
        </w:trPr>
        <w:tc>
          <w:tcPr>
            <w:tcW w:w="6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61"/>
        </w:trPr>
        <w:tc>
          <w:tcPr>
            <w:tcW w:w="68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21" w:right="1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8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RISK FACTORS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SPIN-OFF</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TRADING MARKET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DIVIDEND POLICY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UNAUDITED PRO FORMA COMBINED FINANCIAL STATEMENTS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SELECTED HISTORICAL COMBINED FINANCIAL DATA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ARRANGEMENTS BETWEEN OIL STATES AND OUR COMPANY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 RELATED PARTY TRANSACTIONS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MATERIAL INDEBTEDNESS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INDEX TO FINANCIAL STATEMENTS, SUPPLEMENTARY DATA AND SCHEDULES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This information statement is being furnished solely to provide information to Oil States stockholders who will receive shares of SpinCo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and provides an overview of our company, our separation from Oil States and the distribution of SpinCo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2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Except where the context otherwise requires or where otherwise indicated, (1) all references to “Oil States” refer to Oil States International, Inc., our parent company, and its subsidiaries, other than us, and (2) all references to “SpinCo,” the “Company,” “we,” “us” and “our” refer to OIS Accommodations SpinCo Inc. and its subsidiaries. Except as otherwise indicated or unless the context otherwise requires, the information included in this information statement assumes the completion of the restructuring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integrated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268605</wp:posOffset>
            </wp:positionV>
            <wp:extent cx="3267075" cy="3053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6707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37" w:name="page38"/>
    <w:bookmarkEnd w:id="37"/>
    <w:p>
      <w:pPr>
        <w:ind w:right="140"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For the year ended December 31, 2012, we generated $1.1 billion in revenue and $352.9 million in operating income.</w:t>
      </w:r>
    </w:p>
    <w:p>
      <w:pPr>
        <w:spacing w:after="0" w:line="17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Develop, Own, Operate model with solutions that span the lifecycle of the customers’ projects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Own, Operate model provides accountability and a single-source counterparty that we believe is valued by our customers.</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Reputation and experience</w:t>
      </w:r>
    </w:p>
    <w:p>
      <w:pPr>
        <w:spacing w:after="0" w:line="25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Though our predecessor, our initial investment in large scale owned and operated accommodations in the oil sands in Canada and Australian mining regions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quality asset base in areas with long term visibility creates a more stable revenue base</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banking focus with a pipeline of approved developments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first-mover advantage as competitors may be less willing to speculatively build large-scale accommodation facilities without firm customer commitments.</w:t>
      </w:r>
    </w:p>
    <w:p>
      <w:pPr>
        <w:spacing w:after="0" w:line="200"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six undeveloped sites that have received the</w:t>
      </w:r>
    </w:p>
    <w:p>
      <w:pPr>
        <w:spacing w:after="0"/>
        <w:rPr>
          <w:sz w:val="20"/>
          <w:szCs w:val="20"/>
          <w:color w:val="auto"/>
        </w:rPr>
      </w:pPr>
      <w:r>
        <w:rPr>
          <w:rFonts w:ascii="Arial" w:cs="Arial" w:eastAsia="Arial" w:hAnsi="Arial"/>
          <w:sz w:val="18"/>
          <w:szCs w:val="18"/>
          <w:color w:val="auto"/>
        </w:rPr>
        <w:t>necessary permitting and regulatory approvals. We believe this will allow us to respond promptly to future room demand in emerging regions.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Significant operational and financial scale</w:t>
      </w:r>
    </w:p>
    <w:p>
      <w:pPr>
        <w:spacing w:after="0" w:line="27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three years, we have more than doubled our accommodations revenues to $1.1 billion in 2012. We are one of the largest global providers of accommodations services. We have spent $1.1 billion for capital expenditures in North America since Oil States’ IPO and $362.4 million in Australia since Oil States’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deliver premium services on their most substantial projects, reducing their project timing and counterparty risks.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 existing markets through existing and undeveloped locations</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current 21,299 rooms in operation. For the three years ended December 31, 2012, we spent $12.7 million on land banking and for the nine months ended September 30, 2013, we spent $11.4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 first-mover in regions with emerging accommodation demand.</w:t>
      </w:r>
    </w:p>
    <w:p>
      <w:pPr>
        <w:spacing w:after="0" w:line="179" w:lineRule="exact"/>
        <w:rPr>
          <w:sz w:val="20"/>
          <w:szCs w:val="20"/>
          <w:color w:val="auto"/>
        </w:rPr>
      </w:pPr>
    </w:p>
    <w:p>
      <w:pPr>
        <w:ind w:right="420" w:firstLine="324"/>
        <w:spacing w:after="0" w:line="292"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that expand our capacity in some of our base markets as well as properties that extend the reach of our offering.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discipline based on returns focused investment and flexible financial structure</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2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ind w:firstLine="324"/>
        <w:spacing w:after="0" w:line="299"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since grown the room count by 76% through the addition of 3,980 rooms and four villages to that portfolio while improving the business' profitability.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into new segments and sectors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2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SpinCo was incorporated under the laws of the State of Delaware in 2013. Our principal executive offices are located at Three Allen Center, 333 Clay Street, Suite 4620, Houston, Texas 77002. Our telephone number is (713) 652-0582. Our website address is [●].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5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Oil States will contribute to our capital all intercompany debt associated with growing our business over the last several years, and will contribute and transfer to us the assets and liabilities associated with our business. We will amend and restate our certificate of incorporation and bylaws. These transactions are collectively referred to as our “restructuring transactions” throughout this information statement.</w:t>
      </w:r>
    </w:p>
    <w:p>
      <w:pPr>
        <w:spacing w:after="0" w:line="20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1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distribution of SpinCo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SpinCo from Oil States. See “The Spin-Off—Conditions to the Spin-Off.”</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provides only a summary of the terms of the spin-off. For a more detailed description of the matters described below, see “The Spin-Off.”</w:t>
      </w:r>
    </w:p>
    <w:p>
      <w:pPr>
        <w:spacing w:after="0" w:line="275" w:lineRule="exact"/>
        <w:rPr>
          <w:sz w:val="20"/>
          <w:szCs w:val="20"/>
          <w:color w:val="auto"/>
        </w:rPr>
      </w:pPr>
    </w:p>
    <w:p>
      <w:pPr>
        <w:ind w:left="1200" w:hanging="621"/>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What is the spin-off?</w:t>
      </w:r>
    </w:p>
    <w:p>
      <w:pPr>
        <w:spacing w:after="0" w:line="225" w:lineRule="exact"/>
        <w:rPr>
          <w:sz w:val="20"/>
          <w:szCs w:val="20"/>
          <w:color w:val="auto"/>
        </w:rPr>
      </w:pPr>
    </w:p>
    <w:p>
      <w:pPr>
        <w:ind w:left="1200" w:right="760" w:hanging="621"/>
        <w:spacing w:after="0" w:line="259"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spin-off is the method by which SpinCo will separate from Oil States. To complete the spin-off, Oil States will distribute to its stockholders all of the shares of SpinCo common stock. Following the spin-off, SpinCo will be a separate company from Oil States, and Oil States will not retain any ownership interest in SpinCo. The number of shares of Oil States common stock you own will not change as a result of the spin-off.</w:t>
      </w:r>
    </w:p>
    <w:p>
      <w:pPr>
        <w:spacing w:after="0" w:line="187" w:lineRule="exact"/>
        <w:rPr>
          <w:sz w:val="20"/>
          <w:szCs w:val="20"/>
          <w:color w:val="auto"/>
        </w:rPr>
      </w:pPr>
    </w:p>
    <w:p>
      <w:pPr>
        <w:ind w:left="1200" w:hanging="621"/>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What will I receive in the spin-off?</w:t>
      </w:r>
    </w:p>
    <w:p>
      <w:pPr>
        <w:spacing w:after="0" w:line="225" w:lineRule="exact"/>
        <w:rPr>
          <w:sz w:val="20"/>
          <w:szCs w:val="20"/>
          <w:color w:val="auto"/>
        </w:rPr>
      </w:pPr>
    </w:p>
    <w:p>
      <w:pPr>
        <w:jc w:val="both"/>
        <w:ind w:left="1200" w:right="680" w:hanging="621"/>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holder of Oil States stock, you will retain your Oil States shares and will receive shares of SpinCo common stock for each share of Oil States common stock you hold as of the record date. Your proportionate interest in Oil States will not change as a result of the spin-off. For a more detailed description, see “The Spin-Off.”</w:t>
      </w:r>
    </w:p>
    <w:p>
      <w:pPr>
        <w:spacing w:after="0" w:line="181" w:lineRule="exact"/>
        <w:rPr>
          <w:sz w:val="20"/>
          <w:szCs w:val="20"/>
          <w:color w:val="auto"/>
        </w:rPr>
      </w:pPr>
    </w:p>
    <w:p>
      <w:pPr>
        <w:ind w:left="1200" w:hanging="62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What is SpinCo?</w:t>
      </w:r>
    </w:p>
    <w:p>
      <w:pPr>
        <w:spacing w:after="0" w:line="225" w:lineRule="exact"/>
        <w:rPr>
          <w:sz w:val="20"/>
          <w:szCs w:val="20"/>
          <w:color w:val="auto"/>
        </w:rPr>
      </w:pPr>
    </w:p>
    <w:p>
      <w:pPr>
        <w:ind w:left="1200" w:right="640" w:hanging="621"/>
        <w:spacing w:after="0" w:line="259"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SpinCo is currently a wholly-owned subsidiary of Oil States whose shares will be distributed to Oil States stockholders if the spin-off is completed. After the spin-off is completed, SpinCo will be a public company and will own and operate the accommodations business that was formerly a part of Oil States. That business is referred to as the “accommodations business” throughout this information statement.</w:t>
      </w:r>
    </w:p>
    <w:p>
      <w:pPr>
        <w:spacing w:after="0" w:line="187" w:lineRule="exact"/>
        <w:rPr>
          <w:sz w:val="20"/>
          <w:szCs w:val="20"/>
          <w:color w:val="auto"/>
        </w:rPr>
      </w:pPr>
    </w:p>
    <w:p>
      <w:pPr>
        <w:ind w:left="1200" w:hanging="621"/>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When is the record date for the distribution, and when will the distribution occur?</w:t>
      </w:r>
    </w:p>
    <w:p>
      <w:pPr>
        <w:sectPr>
          <w:pgSz w:w="11900" w:h="16838" w:orient="portrait"/>
          <w:cols w:equalWidth="0" w:num="1">
            <w:col w:w="11460"/>
          </w:cols>
          <w:pgMar w:left="240" w:top="607" w:right="199" w:bottom="1440" w:gutter="0" w:footer="0" w:header="0"/>
        </w:sectPr>
      </w:pPr>
    </w:p>
    <w:p>
      <w:pPr>
        <w:spacing w:after="0" w:line="225" w:lineRule="exact"/>
        <w:rPr>
          <w:sz w:val="20"/>
          <w:szCs w:val="20"/>
          <w:color w:val="auto"/>
        </w:rPr>
      </w:pPr>
    </w:p>
    <w:p>
      <w:pPr>
        <w:ind w:left="1200" w:right="220" w:hanging="619"/>
        <w:spacing w:after="0" w:line="277" w:lineRule="auto"/>
        <w:tabs>
          <w:tab w:leader="none" w:pos="1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record date will be the close of business of the New York Stock Exchange (the “NYSE”) on date of the spin-off is ,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w:t>
      </w:r>
    </w:p>
    <w:p>
      <w:pPr>
        <w:spacing w:after="0" w:line="463" w:lineRule="exact"/>
        <w:rPr>
          <w:sz w:val="20"/>
          <w:szCs w:val="20"/>
          <w:color w:val="auto"/>
        </w:rPr>
      </w:pPr>
    </w:p>
    <w:p>
      <w:pPr>
        <w:sectPr>
          <w:pgSz w:w="11900" w:h="16838" w:orient="portrait"/>
          <w:cols w:equalWidth="0" w:num="2">
            <w:col w:w="8360" w:space="720"/>
            <w:col w:w="2380"/>
          </w:cols>
          <w:pgMar w:left="240" w:top="607" w:right="199" w:bottom="1440" w:gutter="0" w:footer="0" w:header="0"/>
          <w:type w:val="continuous"/>
        </w:sectPr>
      </w:pPr>
    </w:p>
    <w:p>
      <w:pPr>
        <w:ind w:left="1200" w:hanging="621"/>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What are the reasons for and benefits of separating SpinCo from Oil States?</w:t>
      </w:r>
    </w:p>
    <w:p>
      <w:pPr>
        <w:spacing w:after="0" w:line="225" w:lineRule="exact"/>
        <w:rPr>
          <w:sz w:val="20"/>
          <w:szCs w:val="20"/>
          <w:color w:val="auto"/>
        </w:rPr>
      </w:pPr>
    </w:p>
    <w:p>
      <w:pPr>
        <w:jc w:val="both"/>
        <w:ind w:left="1200" w:right="620" w:hanging="621"/>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separation of SpinCo from Oil States and the distribution of SpinCo common stock are intended to provide you with equity investments in two separate companies, each of which will be able to focus on their respective businesses. For a more detailed discussion of the reasons for and benefits of the spin-off, see “The Spin-Off—Reasons for the Spin-Off.”</w:t>
      </w:r>
    </w:p>
    <w:p>
      <w:pPr>
        <w:spacing w:after="0" w:line="181" w:lineRule="exact"/>
        <w:rPr>
          <w:sz w:val="20"/>
          <w:szCs w:val="20"/>
          <w:color w:val="auto"/>
        </w:rPr>
      </w:pPr>
    </w:p>
    <w:p>
      <w:pPr>
        <w:ind w:left="1200" w:hanging="621"/>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Why is the separation of SpinCo structured as a spin-off as opposed to a sale?</w:t>
      </w:r>
    </w:p>
    <w:p>
      <w:pPr>
        <w:spacing w:after="0" w:line="225" w:lineRule="exact"/>
        <w:rPr>
          <w:sz w:val="20"/>
          <w:szCs w:val="20"/>
          <w:color w:val="auto"/>
        </w:rPr>
      </w:pPr>
    </w:p>
    <w:p>
      <w:pPr>
        <w:ind w:left="1200" w:right="900" w:hanging="621"/>
        <w:spacing w:after="0" w:line="264"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Oil States believes that a tax-free distribution of SpinCo common stock is an efficient way to separate SpinCo from Oil States in a manner that will improve flexibility, benefit both Oil States and the accommodations business and create long-term value for stockholders of both Oil States and SpinCo.</w:t>
      </w:r>
    </w:p>
    <w:p>
      <w:pPr>
        <w:spacing w:after="0" w:line="181" w:lineRule="exact"/>
        <w:rPr>
          <w:sz w:val="20"/>
          <w:szCs w:val="20"/>
          <w:color w:val="auto"/>
        </w:rPr>
      </w:pPr>
    </w:p>
    <w:p>
      <w:pPr>
        <w:ind w:left="1200" w:hanging="62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What is being distributed in the spin-off?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ind w:left="580"/>
              <w:spacing w:after="0"/>
              <w:rPr>
                <w:sz w:val="20"/>
                <w:szCs w:val="20"/>
                <w:color w:val="auto"/>
              </w:rPr>
            </w:pPr>
            <w:r>
              <w:rPr>
                <w:rFonts w:ascii="Arial" w:cs="Arial" w:eastAsia="Arial" w:hAnsi="Arial"/>
                <w:sz w:val="18"/>
                <w:szCs w:val="18"/>
                <w:color w:val="auto"/>
              </w:rPr>
              <w:t>A:</w:t>
            </w:r>
          </w:p>
        </w:tc>
        <w:tc>
          <w:tcPr>
            <w:tcW w:w="1800" w:type="dxa"/>
            <w:vAlign w:val="bottom"/>
          </w:tcPr>
          <w:p>
            <w:pPr>
              <w:ind w:left="220"/>
              <w:spacing w:after="0"/>
              <w:rPr>
                <w:sz w:val="20"/>
                <w:szCs w:val="20"/>
                <w:color w:val="auto"/>
              </w:rPr>
            </w:pPr>
            <w:r>
              <w:rPr>
                <w:rFonts w:ascii="Arial" w:cs="Arial" w:eastAsia="Arial" w:hAnsi="Arial"/>
                <w:sz w:val="18"/>
                <w:szCs w:val="18"/>
                <w:color w:val="auto"/>
              </w:rPr>
              <w:t>Approximately</w:t>
            </w:r>
          </w:p>
        </w:tc>
        <w:tc>
          <w:tcPr>
            <w:tcW w:w="8680" w:type="dxa"/>
            <w:vAlign w:val="bottom"/>
            <w:gridSpan w:val="2"/>
          </w:tcPr>
          <w:p>
            <w:pPr>
              <w:jc w:val="right"/>
              <w:ind w:right="590"/>
              <w:spacing w:after="0"/>
              <w:rPr>
                <w:sz w:val="20"/>
                <w:szCs w:val="20"/>
                <w:color w:val="auto"/>
              </w:rPr>
            </w:pPr>
            <w:r>
              <w:rPr>
                <w:rFonts w:ascii="Arial" w:cs="Arial" w:eastAsia="Arial" w:hAnsi="Arial"/>
                <w:sz w:val="18"/>
                <w:szCs w:val="18"/>
                <w:color w:val="auto"/>
                <w:w w:val="97"/>
              </w:rPr>
              <w:t>shares of SpinCo common stock will be distributed in the spin-off, based on the number of shares of Oil</w:t>
            </w:r>
          </w:p>
        </w:tc>
      </w:tr>
      <w:tr>
        <w:trPr>
          <w:trHeight w:val="216"/>
        </w:trPr>
        <w:tc>
          <w:tcPr>
            <w:tcW w:w="980" w:type="dxa"/>
            <w:vAlign w:val="bottom"/>
          </w:tcPr>
          <w:p>
            <w:pPr>
              <w:spacing w:after="0"/>
              <w:rPr>
                <w:sz w:val="18"/>
                <w:szCs w:val="18"/>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w w:val="97"/>
              </w:rPr>
              <w:t>States common stock expected to be outstanding as of the record date. The actual number of shares of SpinCo common stock to be</w:t>
            </w:r>
          </w:p>
        </w:tc>
      </w:tr>
      <w:tr>
        <w:trPr>
          <w:trHeight w:val="216"/>
        </w:trPr>
        <w:tc>
          <w:tcPr>
            <w:tcW w:w="98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distributed will be calculated on</w:t>
            </w:r>
          </w:p>
        </w:tc>
        <w:tc>
          <w:tcPr>
            <w:tcW w:w="7420" w:type="dxa"/>
            <w:vAlign w:val="bottom"/>
          </w:tcPr>
          <w:p>
            <w:pPr>
              <w:jc w:val="right"/>
              <w:ind w:right="710"/>
              <w:spacing w:after="0"/>
              <w:rPr>
                <w:sz w:val="20"/>
                <w:szCs w:val="20"/>
                <w:color w:val="auto"/>
              </w:rPr>
            </w:pPr>
            <w:r>
              <w:rPr>
                <w:rFonts w:ascii="Arial" w:cs="Arial" w:eastAsia="Arial" w:hAnsi="Arial"/>
                <w:sz w:val="18"/>
                <w:szCs w:val="18"/>
                <w:color w:val="auto"/>
                <w:w w:val="98"/>
              </w:rPr>
              <w:t>, 2014, the record date. The shares of SpinCo common stock to be distributed by Oil</w:t>
            </w:r>
          </w:p>
        </w:tc>
      </w:tr>
      <w:tr>
        <w:trPr>
          <w:trHeight w:val="216"/>
        </w:trPr>
        <w:tc>
          <w:tcPr>
            <w:tcW w:w="980" w:type="dxa"/>
            <w:vAlign w:val="bottom"/>
          </w:tcPr>
          <w:p>
            <w:pPr>
              <w:spacing w:after="0"/>
              <w:rPr>
                <w:sz w:val="18"/>
                <w:szCs w:val="18"/>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States will constitute all of the issued and outstanding shares of SpinCo common stock immediately prior to the distribution. For</w:t>
            </w:r>
          </w:p>
        </w:tc>
      </w:tr>
      <w:tr>
        <w:trPr>
          <w:trHeight w:val="230"/>
        </w:trPr>
        <w:tc>
          <w:tcPr>
            <w:tcW w:w="980" w:type="dxa"/>
            <w:vAlign w:val="bottom"/>
          </w:tcPr>
          <w:p>
            <w:pPr>
              <w:spacing w:after="0"/>
              <w:rPr>
                <w:sz w:val="20"/>
                <w:szCs w:val="20"/>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more information on the shares being distributed in the spin-off, see “Description of Capital Stock—Common Stock.”</w:t>
            </w:r>
          </w:p>
        </w:tc>
      </w:tr>
      <w:tr>
        <w:trPr>
          <w:trHeight w:val="729"/>
        </w:trPr>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20" w:type="dxa"/>
            <w:vAlign w:val="bottom"/>
          </w:tcPr>
          <w:p>
            <w:pPr>
              <w:jc w:val="right"/>
              <w:ind w:right="5610"/>
              <w:spacing w:after="0"/>
              <w:rPr>
                <w:sz w:val="20"/>
                <w:szCs w:val="20"/>
                <w:color w:val="auto"/>
              </w:rPr>
            </w:pPr>
            <w:r>
              <w:rPr>
                <w:rFonts w:ascii="Arial" w:cs="Arial" w:eastAsia="Arial" w:hAnsi="Arial"/>
                <w:sz w:val="18"/>
                <w:szCs w:val="18"/>
                <w:color w:val="auto"/>
              </w:rPr>
              <w:t>6</w:t>
            </w:r>
          </w:p>
        </w:tc>
      </w:tr>
      <w:tr>
        <w:trPr>
          <w:trHeight w:val="105"/>
        </w:trPr>
        <w:tc>
          <w:tcPr>
            <w:tcW w:w="9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420" w:type="dxa"/>
            <w:vAlign w:val="bottom"/>
          </w:tcPr>
          <w:p>
            <w:pPr>
              <w:spacing w:after="0"/>
              <w:rPr>
                <w:sz w:val="9"/>
                <w:szCs w:val="9"/>
                <w:color w:val="auto"/>
              </w:rPr>
            </w:pPr>
          </w:p>
        </w:tc>
      </w:tr>
      <w:tr>
        <w:trPr>
          <w:trHeight w:val="61"/>
        </w:trPr>
        <w:tc>
          <w:tcPr>
            <w:tcW w:w="98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7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type w:val="continuous"/>
        </w:sectPr>
      </w:pPr>
    </w:p>
    <w:bookmarkStart w:id="42" w:name="page43"/>
    <w:bookmarkEnd w:id="42"/>
    <w:p>
      <w:pPr>
        <w:ind w:left="621" w:hanging="621"/>
        <w:spacing w:after="0"/>
        <w:tabs>
          <w:tab w:leader="none" w:pos="62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How will options and other equity-based compensation awards held by Oil States employees be affected as a result of the spin-off?</w:t>
      </w:r>
    </w:p>
    <w:p>
      <w:pPr>
        <w:spacing w:after="0" w:line="248" w:lineRule="exact"/>
        <w:rPr>
          <w:sz w:val="20"/>
          <w:szCs w:val="20"/>
          <w:color w:val="auto"/>
        </w:rPr>
      </w:pPr>
    </w:p>
    <w:p>
      <w:pPr>
        <w:ind w:left="621" w:right="20" w:hanging="621"/>
        <w:spacing w:after="0" w:line="259"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treatment of outstanding Oil States options and other equity-based compensation awards has not been finally determined, and we will include information regarding the treatment in an amendment to this information statement. For more information on the treatment of equity-based compensation awards in the spin-off, see “The Spin-Off—Treatment of Stock-Based Plans for Current and Former Employees.”</w:t>
      </w:r>
    </w:p>
    <w:p>
      <w:pPr>
        <w:spacing w:after="0" w:line="187" w:lineRule="exact"/>
        <w:rPr>
          <w:sz w:val="20"/>
          <w:szCs w:val="20"/>
          <w:color w:val="auto"/>
        </w:rPr>
      </w:pPr>
    </w:p>
    <w:p>
      <w:pPr>
        <w:ind w:left="621" w:hanging="621"/>
        <w:spacing w:after="0"/>
        <w:tabs>
          <w:tab w:leader="none" w:pos="62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What do I have to do to participate in the spin-off?</w:t>
      </w:r>
    </w:p>
    <w:p>
      <w:pPr>
        <w:spacing w:after="0" w:line="225" w:lineRule="exact"/>
        <w:rPr>
          <w:sz w:val="20"/>
          <w:szCs w:val="20"/>
          <w:color w:val="auto"/>
        </w:rPr>
      </w:pPr>
    </w:p>
    <w:p>
      <w:pPr>
        <w:ind w:left="621" w:right="40" w:hanging="621"/>
        <w:spacing w:after="0" w:line="259"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SpinCo common stock. You will neither be required to pay anything for the new shares nor to surrender any shares of Oil States common stock to participate in the spin-off.</w:t>
      </w:r>
    </w:p>
    <w:p>
      <w:pPr>
        <w:spacing w:after="0" w:line="187" w:lineRule="exact"/>
        <w:rPr>
          <w:sz w:val="20"/>
          <w:szCs w:val="20"/>
          <w:color w:val="auto"/>
        </w:rPr>
      </w:pPr>
    </w:p>
    <w:p>
      <w:pPr>
        <w:ind w:left="621" w:hanging="621"/>
        <w:spacing w:after="0"/>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How will fractional shares be treated in the spin-off?</w:t>
      </w:r>
    </w:p>
    <w:p>
      <w:pPr>
        <w:spacing w:after="0" w:line="225" w:lineRule="exact"/>
        <w:rPr>
          <w:sz w:val="20"/>
          <w:szCs w:val="20"/>
          <w:color w:val="auto"/>
        </w:rPr>
      </w:pPr>
    </w:p>
    <w:p>
      <w:pPr>
        <w:ind w:left="621" w:right="60" w:hanging="621"/>
        <w:spacing w:after="0" w:line="272" w:lineRule="auto"/>
        <w:tabs>
          <w:tab w:leader="none" w:pos="6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Fractional shares of SpinCo common stock will not be distributed. Fractional shares of SpinCo common stock to which Oil States stockholders of record would otherwise be entitled will be aggregated and sold in the public market by the distribution agent. The aggregate net cash proceeds of the sales will be distributed ratably to those stockholders who would otherwise have received fractional shares of SpinCo common stock. Proceeds from these sales will generally result in a taxable gain or loss to those stockholders. Each stockholder entitled to receive cash proceeds from these shares should consult his, her or its own tax advisor as to such stockholder’s particular circumstances. The tax consequences of the distribution are described in more detail under “The Spin-Off—U.S. Federal Income Tax Consequences of the Spin-Off.”</w:t>
      </w:r>
    </w:p>
    <w:p>
      <w:pPr>
        <w:spacing w:after="0" w:line="178" w:lineRule="exact"/>
        <w:rPr>
          <w:sz w:val="20"/>
          <w:szCs w:val="20"/>
          <w:color w:val="auto"/>
        </w:rPr>
      </w:pPr>
    </w:p>
    <w:p>
      <w:pPr>
        <w:ind w:left="621" w:hanging="621"/>
        <w:spacing w:after="0"/>
        <w:tabs>
          <w:tab w:leader="none" w:pos="62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tax consequences of the spin-off?</w:t>
      </w:r>
    </w:p>
    <w:p>
      <w:pPr>
        <w:spacing w:after="0" w:line="225" w:lineRule="exact"/>
        <w:rPr>
          <w:sz w:val="20"/>
          <w:szCs w:val="20"/>
          <w:color w:val="auto"/>
        </w:rPr>
      </w:pPr>
    </w:p>
    <w:p>
      <w:pPr>
        <w:ind w:left="621" w:hanging="621"/>
        <w:spacing w:after="0" w:line="287" w:lineRule="auto"/>
        <w:tabs>
          <w:tab w:leader="none" w:pos="6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distribution is conditioned on the receipt by Oil States of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generally qualifies as a tax-free transaction under Section 355 and Section 368(a)(1)(D) of the Code. The distribution is further conditioned on Oil States’ tax counsel issuing an opinion in form and substance acceptable to Oil States, which will rely on the effectiveness of the private letter ruling, with respect to certain matters on which the IRS will not rule. See “The Spin-Off – Conditions to the Spin-Off.” Assuming that the contribution, distribution and related transactions will qualify as a tax-free transactions under Section 355 and/or Section 368(a)(1)(D) of the Code, for U.S. federal income tax purposes, except for gain realized on the receipt of cash paid in lieu of fractional shares, no gain or loss will generally be recognized by an Oil States shareholder, and no amount generally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1"/>
          </w:cols>
          <w:pgMar w:left="819" w:top="611" w:right="819" w:bottom="1440" w:gutter="0" w:footer="0" w:header="0"/>
        </w:sectPr>
      </w:pPr>
    </w:p>
    <w:bookmarkStart w:id="43" w:name="page44"/>
    <w:bookmarkEnd w:id="43"/>
    <w:p>
      <w:pPr>
        <w:ind w:left="621" w:hanging="621"/>
        <w:spacing w:after="0"/>
        <w:tabs>
          <w:tab w:leader="none" w:pos="62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Will the SpinCo common stock be listed on a stock exchange?</w:t>
      </w:r>
    </w:p>
    <w:p>
      <w:pPr>
        <w:spacing w:after="0" w:line="225" w:lineRule="exact"/>
        <w:rPr>
          <w:sz w:val="20"/>
          <w:szCs w:val="20"/>
          <w:color w:val="auto"/>
        </w:rPr>
      </w:pPr>
    </w:p>
    <w:p>
      <w:pPr>
        <w:ind w:left="621" w:right="40" w:hanging="621"/>
        <w:spacing w:after="0" w:line="291" w:lineRule="auto"/>
        <w:tabs>
          <w:tab w:leader="none" w:pos="621"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Although there is not currently a public market for SpinCo common stock, SpinCo has applied to list its common stock on the NYSE under the symbol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It is anticipated that trading of SpinCo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SpinCo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67" w:lineRule="exact"/>
        <w:rPr>
          <w:sz w:val="20"/>
          <w:szCs w:val="20"/>
          <w:color w:val="auto"/>
        </w:rPr>
      </w:pPr>
    </w:p>
    <w:p>
      <w:pPr>
        <w:ind w:left="621" w:hanging="621"/>
        <w:spacing w:after="0"/>
        <w:tabs>
          <w:tab w:leader="none" w:pos="62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Will my shares of Oil States common stock continue to trade?</w:t>
      </w:r>
    </w:p>
    <w:p>
      <w:pPr>
        <w:spacing w:after="0" w:line="225" w:lineRule="exact"/>
        <w:rPr>
          <w:sz w:val="20"/>
          <w:szCs w:val="20"/>
          <w:color w:val="auto"/>
        </w:rPr>
      </w:pPr>
    </w:p>
    <w:p>
      <w:pPr>
        <w:ind w:left="621" w:hanging="621"/>
        <w:spacing w:after="0"/>
        <w:tabs>
          <w:tab w:leader="none" w:pos="6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Yes. Oil States common stock will continue to be listed and traded on the NYSE under the symbol “OIS.”</w:t>
      </w:r>
    </w:p>
    <w:p>
      <w:pPr>
        <w:spacing w:after="0" w:line="225" w:lineRule="exact"/>
        <w:rPr>
          <w:sz w:val="20"/>
          <w:szCs w:val="20"/>
          <w:color w:val="auto"/>
        </w:rPr>
      </w:pPr>
    </w:p>
    <w:p>
      <w:pPr>
        <w:ind w:left="621" w:right="440" w:hanging="621"/>
        <w:spacing w:after="0" w:line="342" w:lineRule="auto"/>
        <w:tabs>
          <w:tab w:leader="none" w:pos="62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If I sell, on or before the distribution date, shares of Oil States common stock that I held on the record date, am I still entitled to receive shares of SpinCo common stock distributable with respect to the shares of Oil States common stock I sold?</w:t>
      </w:r>
    </w:p>
    <w:p>
      <w:pPr>
        <w:spacing w:after="0" w:line="124" w:lineRule="exact"/>
        <w:rPr>
          <w:sz w:val="20"/>
          <w:szCs w:val="20"/>
          <w:color w:val="auto"/>
        </w:rPr>
      </w:pPr>
    </w:p>
    <w:p>
      <w:pPr>
        <w:ind w:left="621" w:hanging="621"/>
        <w:spacing w:after="0" w:line="291" w:lineRule="auto"/>
        <w:tabs>
          <w:tab w:leader="none" w:pos="62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SpinCo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SpinCo common stock in the spin-off.</w:t>
      </w:r>
    </w:p>
    <w:p>
      <w:pPr>
        <w:spacing w:after="0" w:line="167" w:lineRule="exact"/>
        <w:rPr>
          <w:sz w:val="20"/>
          <w:szCs w:val="20"/>
          <w:color w:val="auto"/>
        </w:rPr>
      </w:pPr>
    </w:p>
    <w:p>
      <w:pPr>
        <w:ind w:left="621" w:hanging="621"/>
        <w:spacing w:after="0"/>
        <w:tabs>
          <w:tab w:leader="none" w:pos="62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Will the spin-off affect the trading price of my Oil States stock?</w:t>
      </w:r>
    </w:p>
    <w:p>
      <w:pPr>
        <w:spacing w:after="0" w:line="225" w:lineRule="exact"/>
        <w:rPr>
          <w:sz w:val="20"/>
          <w:szCs w:val="20"/>
          <w:color w:val="auto"/>
        </w:rPr>
      </w:pPr>
    </w:p>
    <w:p>
      <w:pPr>
        <w:ind w:left="621" w:right="240" w:hanging="621"/>
        <w:spacing w:after="0" w:line="259" w:lineRule="auto"/>
        <w:tabs>
          <w:tab w:leader="none" w:pos="6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Yes, the trading price of shares of Oil States common stock immediately following the distribution is expected to be lower than immediately prior to the distribution because of the shareholder dividend of SpinCo stock and the fact that its trading price will no longer reflect the value of the accommodations business. However, we cannot provide you with any assurance as to the price at which the Oil States shares will trade following the spin-off.</w:t>
      </w:r>
    </w:p>
    <w:p>
      <w:pPr>
        <w:spacing w:after="0" w:line="187" w:lineRule="exact"/>
        <w:rPr>
          <w:sz w:val="20"/>
          <w:szCs w:val="20"/>
          <w:color w:val="auto"/>
        </w:rPr>
      </w:pPr>
    </w:p>
    <w:p>
      <w:pPr>
        <w:ind w:left="621" w:hanging="621"/>
        <w:spacing w:after="0"/>
        <w:tabs>
          <w:tab w:leader="none" w:pos="62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What indebtedness will SpinCo have following the spin-off?</w:t>
      </w:r>
    </w:p>
    <w:p>
      <w:pPr>
        <w:spacing w:after="0" w:line="221" w:lineRule="exact"/>
        <w:rPr>
          <w:sz w:val="20"/>
          <w:szCs w:val="20"/>
          <w:color w:val="auto"/>
        </w:rPr>
      </w:pPr>
    </w:p>
    <w:p>
      <w:pPr>
        <w:ind w:left="621" w:right="140" w:hanging="621"/>
        <w:spacing w:after="0" w:line="261" w:lineRule="auto"/>
        <w:tabs>
          <w:tab w:leader="none" w:pos="6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closing of the spin-off, we expect to enter into a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-year credit facility. We have not obtained a financing commitment for the credit facility. Amounts outstanding under the credit facility are expected to bear interest at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We expect to pay customary fees with respect to the credit facility. See “Description of Material Indebtedness” for a more detailed description of these transactions.</w:t>
      </w:r>
    </w:p>
    <w:p>
      <w:pPr>
        <w:spacing w:after="0" w:line="184" w:lineRule="exact"/>
        <w:rPr>
          <w:sz w:val="20"/>
          <w:szCs w:val="20"/>
          <w:color w:val="auto"/>
        </w:rPr>
      </w:pPr>
    </w:p>
    <w:p>
      <w:pPr>
        <w:ind w:left="621" w:hanging="621"/>
        <w:spacing w:after="0"/>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What will the relationship be between Oil States and SpinCo after the spin-off?</w:t>
      </w:r>
    </w:p>
    <w:p>
      <w:pPr>
        <w:spacing w:after="0" w:line="225" w:lineRule="exact"/>
        <w:rPr>
          <w:sz w:val="20"/>
          <w:szCs w:val="20"/>
          <w:color w:val="auto"/>
        </w:rPr>
      </w:pPr>
    </w:p>
    <w:p>
      <w:pPr>
        <w:ind w:left="621" w:right="80" w:hanging="621"/>
        <w:spacing w:after="0" w:line="293" w:lineRule="auto"/>
        <w:tabs>
          <w:tab w:leader="none" w:pos="6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Following the spin-off, SpinCo will be an independent, publicly traded company and Oil States will have no continuing stock ownership interest in SpinCo. In connection with the spin-off, SpinCo will have entered into a separation and distribution agreement and several other agreements with Oil States for the purpose of allocating between SpinCo and Oil States various assets, liabilities and obligations. These agreements will also govern SpinCo’s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1"/>
          </w:cols>
          <w:pgMar w:left="819" w:top="611" w:right="839" w:bottom="1440" w:gutter="0" w:footer="0" w:header="0"/>
        </w:sectPr>
      </w:pPr>
    </w:p>
    <w:bookmarkStart w:id="44" w:name="page45"/>
    <w:bookmarkEnd w:id="44"/>
    <w:p>
      <w:pPr>
        <w:ind w:left="621" w:hanging="621"/>
        <w:spacing w:after="0"/>
        <w:tabs>
          <w:tab w:leader="none" w:pos="62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What will SpinCo’s dividend policy be after the spin-off?</w:t>
      </w:r>
    </w:p>
    <w:p>
      <w:pPr>
        <w:spacing w:after="0" w:line="225" w:lineRule="exact"/>
        <w:rPr>
          <w:sz w:val="20"/>
          <w:szCs w:val="20"/>
          <w:color w:val="auto"/>
        </w:rPr>
      </w:pPr>
    </w:p>
    <w:p>
      <w:pPr>
        <w:ind w:left="621" w:right="40" w:hanging="621"/>
        <w:spacing w:after="0" w:line="276" w:lineRule="auto"/>
        <w:tabs>
          <w:tab w:leader="none" w:pos="621"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Our ability to pay dividends on our common stock may be limited by the covenants of our revolving credit facility and may be further restricted by the terms of any future debt or preferred securities. See “Dividend Policy” and “Description of Material Indebtedness.”</w:t>
      </w:r>
    </w:p>
    <w:p>
      <w:pPr>
        <w:spacing w:after="0" w:line="173" w:lineRule="exact"/>
        <w:rPr>
          <w:sz w:val="20"/>
          <w:szCs w:val="20"/>
          <w:color w:val="auto"/>
        </w:rPr>
      </w:pPr>
    </w:p>
    <w:p>
      <w:pPr>
        <w:ind w:left="621" w:hanging="621"/>
        <w:spacing w:after="0"/>
        <w:tabs>
          <w:tab w:leader="none" w:pos="62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What are the anti-takeover effects of the spin-off?</w:t>
      </w:r>
    </w:p>
    <w:p>
      <w:pPr>
        <w:spacing w:after="0" w:line="225" w:lineRule="exact"/>
        <w:rPr>
          <w:sz w:val="20"/>
          <w:szCs w:val="20"/>
          <w:color w:val="auto"/>
        </w:rPr>
      </w:pPr>
    </w:p>
    <w:p>
      <w:pPr>
        <w:ind w:left="621" w:hanging="621"/>
        <w:spacing w:after="0" w:line="255" w:lineRule="auto"/>
        <w:tabs>
          <w:tab w:leader="none" w:pos="6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Some provisions of the restated certificate of incorporation of SpinCo, the restated bylaws of SpinCo and Delaware law may have the effect of making more difficult an acquisition of control of SpinCo in a transaction not approved by SpinCo’s board of directors. For example, SpinCo’s restated certificate of incorporation and bylaws will provide for a classified board, require advance notice for shareholder proposals and nominations, place limitations on convening shareholder meetings and authorize SpinCo’s board of directors to issue one or more series of preferred stock. See “Description of Capital Stock—Anti-Takeover Effects of Provisions of our Amended and Restated Certificate of Incorporation, our Amended and Restated Bylaws and Delaware Law” for more information.</w:t>
      </w:r>
    </w:p>
    <w:p>
      <w:pPr>
        <w:spacing w:after="0" w:line="189" w:lineRule="exact"/>
        <w:rPr>
          <w:sz w:val="20"/>
          <w:szCs w:val="20"/>
          <w:color w:val="auto"/>
        </w:rPr>
      </w:pPr>
    </w:p>
    <w:p>
      <w:pPr>
        <w:ind w:left="621" w:hanging="621"/>
        <w:spacing w:after="0"/>
        <w:tabs>
          <w:tab w:leader="none" w:pos="621"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What are the risks associated with the spin-off?</w:t>
      </w:r>
    </w:p>
    <w:p>
      <w:pPr>
        <w:spacing w:after="0" w:line="225" w:lineRule="exact"/>
        <w:rPr>
          <w:sz w:val="20"/>
          <w:szCs w:val="20"/>
          <w:color w:val="auto"/>
        </w:rPr>
      </w:pPr>
    </w:p>
    <w:p>
      <w:pPr>
        <w:ind w:left="621" w:right="60" w:hanging="621"/>
        <w:spacing w:after="0" w:line="277" w:lineRule="auto"/>
        <w:tabs>
          <w:tab w:leader="none" w:pos="6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a number of risks associated with the spin-off and resultant ownership of SpinCo common stock. These risks are discussed under “Risk Factors” beginning on page 18.</w:t>
      </w:r>
    </w:p>
    <w:p>
      <w:pPr>
        <w:spacing w:after="0" w:line="170" w:lineRule="exact"/>
        <w:rPr>
          <w:sz w:val="20"/>
          <w:szCs w:val="20"/>
          <w:color w:val="auto"/>
        </w:rPr>
      </w:pPr>
    </w:p>
    <w:p>
      <w:pPr>
        <w:ind w:left="621" w:hanging="621"/>
        <w:spacing w:after="0"/>
        <w:tabs>
          <w:tab w:leader="none" w:pos="62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Where can I get more information?</w:t>
      </w:r>
    </w:p>
    <w:p>
      <w:pPr>
        <w:spacing w:after="0" w:line="225" w:lineRule="exact"/>
        <w:rPr>
          <w:sz w:val="20"/>
          <w:szCs w:val="20"/>
          <w:color w:val="auto"/>
        </w:rPr>
      </w:pPr>
    </w:p>
    <w:p>
      <w:pPr>
        <w:ind w:left="621" w:hanging="621"/>
        <w:spacing w:after="0"/>
        <w:tabs>
          <w:tab w:leader="none" w:pos="6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have any questions relating to the mechanics of the distribution, you should contact the distribution agent at:</w:t>
      </w:r>
    </w:p>
    <w:p>
      <w:pPr>
        <w:spacing w:after="0" w:line="225"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Computershare Trust Company, N.A.</w:t>
      </w:r>
    </w:p>
    <w:p>
      <w:pPr>
        <w:spacing w:after="0" w:line="23" w:lineRule="exact"/>
        <w:rPr>
          <w:rFonts w:ascii="Arial" w:cs="Arial" w:eastAsia="Arial" w:hAnsi="Arial"/>
          <w:sz w:val="18"/>
          <w:szCs w:val="18"/>
          <w:color w:val="auto"/>
        </w:rPr>
      </w:pPr>
    </w:p>
    <w:p>
      <w:pPr>
        <w:ind w:left="621" w:right="7440"/>
        <w:spacing w:after="0" w:line="255" w:lineRule="auto"/>
        <w:rPr>
          <w:rFonts w:ascii="Arial" w:cs="Arial" w:eastAsia="Arial" w:hAnsi="Arial"/>
          <w:sz w:val="18"/>
          <w:szCs w:val="18"/>
          <w:color w:val="auto"/>
        </w:rPr>
      </w:pPr>
      <w:r>
        <w:rPr>
          <w:rFonts w:ascii="Arial" w:cs="Arial" w:eastAsia="Arial" w:hAnsi="Arial"/>
          <w:sz w:val="18"/>
          <w:szCs w:val="18"/>
          <w:color w:val="auto"/>
        </w:rPr>
        <w:t>100 Crescent Court, Suite 700 Dallas, Texas 75201 Phone: (214) 808-3264</w:t>
      </w:r>
    </w:p>
    <w:p>
      <w:pPr>
        <w:spacing w:after="0" w:line="190"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Before the spin-off, if you have any questions relating to the spin-off, you should contact Oil States at:</w:t>
      </w:r>
    </w:p>
    <w:p>
      <w:pPr>
        <w:spacing w:after="0" w:line="225" w:lineRule="exact"/>
        <w:rPr>
          <w:rFonts w:ascii="Arial" w:cs="Arial" w:eastAsia="Arial" w:hAnsi="Arial"/>
          <w:sz w:val="18"/>
          <w:szCs w:val="18"/>
          <w:color w:val="auto"/>
        </w:rPr>
      </w:pPr>
    </w:p>
    <w:p>
      <w:pPr>
        <w:ind w:left="621" w:right="7580"/>
        <w:spacing w:after="0" w:line="288" w:lineRule="auto"/>
        <w:rPr>
          <w:rFonts w:ascii="Arial" w:cs="Arial" w:eastAsia="Arial" w:hAnsi="Arial"/>
          <w:sz w:val="18"/>
          <w:szCs w:val="18"/>
          <w:color w:val="auto"/>
        </w:rPr>
      </w:pPr>
      <w:r>
        <w:rPr>
          <w:rFonts w:ascii="Arial" w:cs="Arial" w:eastAsia="Arial" w:hAnsi="Arial"/>
          <w:sz w:val="16"/>
          <w:szCs w:val="16"/>
          <w:color w:val="auto"/>
        </w:rPr>
        <w:t>Oil States International, Inc. Attn: Investor Relations Three Allen Center</w:t>
      </w:r>
    </w:p>
    <w:p>
      <w:pPr>
        <w:ind w:left="621" w:right="7640"/>
        <w:spacing w:after="0" w:line="295" w:lineRule="auto"/>
        <w:rPr>
          <w:rFonts w:ascii="Arial" w:cs="Arial" w:eastAsia="Arial" w:hAnsi="Arial"/>
          <w:sz w:val="18"/>
          <w:szCs w:val="18"/>
          <w:color w:val="auto"/>
        </w:rPr>
      </w:pPr>
      <w:r>
        <w:rPr>
          <w:rFonts w:ascii="Arial" w:cs="Arial" w:eastAsia="Arial" w:hAnsi="Arial"/>
          <w:sz w:val="16"/>
          <w:szCs w:val="16"/>
          <w:color w:val="auto"/>
        </w:rPr>
        <w:t xml:space="preserve">333 Clay Street, Suite 4620 Houston, Texas 77002 Phone: (713) 652-0582 </w:t>
      </w:r>
      <w:r>
        <w:rPr>
          <w:rFonts w:ascii="Arial" w:cs="Arial" w:eastAsia="Arial" w:hAnsi="Arial"/>
          <w:sz w:val="16"/>
          <w:szCs w:val="16"/>
          <w:u w:val="single" w:color="auto"/>
          <w:color w:val="auto"/>
        </w:rPr>
        <w:t>www.oilstatesintl.com</w:t>
      </w:r>
    </w:p>
    <w:p>
      <w:pPr>
        <w:spacing w:after="0" w:line="161"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After the spin-off, if you have any questions relating to SpinCo, you should contact SpinCo at:</w:t>
      </w:r>
    </w:p>
    <w:p>
      <w:pPr>
        <w:spacing w:after="0" w:line="225" w:lineRule="exact"/>
        <w:rPr>
          <w:rFonts w:ascii="Arial" w:cs="Arial" w:eastAsia="Arial" w:hAnsi="Arial"/>
          <w:sz w:val="18"/>
          <w:szCs w:val="18"/>
          <w:color w:val="auto"/>
        </w:rPr>
      </w:pPr>
    </w:p>
    <w:p>
      <w:pPr>
        <w:ind w:left="621" w:right="7120"/>
        <w:spacing w:after="0" w:line="258" w:lineRule="auto"/>
        <w:rPr>
          <w:rFonts w:ascii="Arial" w:cs="Arial" w:eastAsia="Arial" w:hAnsi="Arial"/>
          <w:sz w:val="18"/>
          <w:szCs w:val="18"/>
          <w:color w:val="auto"/>
        </w:rPr>
      </w:pPr>
      <w:r>
        <w:rPr>
          <w:rFonts w:ascii="Arial" w:cs="Arial" w:eastAsia="Arial" w:hAnsi="Arial"/>
          <w:sz w:val="18"/>
          <w:szCs w:val="18"/>
          <w:color w:val="auto"/>
        </w:rPr>
        <w:t>OIS Accommodations SpinCo Inc. Attn: Investor Relations</w:t>
      </w:r>
    </w:p>
    <w:p>
      <w:pPr>
        <w:spacing w:after="0" w:line="1"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Three Allen Center</w:t>
      </w:r>
    </w:p>
    <w:p>
      <w:pPr>
        <w:spacing w:after="0" w:line="9" w:lineRule="exact"/>
        <w:rPr>
          <w:rFonts w:ascii="Arial" w:cs="Arial" w:eastAsia="Arial" w:hAnsi="Arial"/>
          <w:sz w:val="18"/>
          <w:szCs w:val="18"/>
          <w:color w:val="auto"/>
        </w:rPr>
      </w:pPr>
    </w:p>
    <w:p>
      <w:pPr>
        <w:ind w:left="621" w:right="7640"/>
        <w:spacing w:after="0" w:line="302" w:lineRule="auto"/>
        <w:rPr>
          <w:rFonts w:ascii="Arial" w:cs="Arial" w:eastAsia="Arial" w:hAnsi="Arial"/>
          <w:sz w:val="18"/>
          <w:szCs w:val="18"/>
          <w:color w:val="auto"/>
        </w:rPr>
      </w:pPr>
      <w:r>
        <w:rPr>
          <w:rFonts w:ascii="Arial" w:cs="Arial" w:eastAsia="Arial" w:hAnsi="Arial"/>
          <w:sz w:val="16"/>
          <w:szCs w:val="16"/>
          <w:color w:val="auto"/>
        </w:rPr>
        <w:t>333 Clay Street, Suite 4620 Houston, Texas 77002 Phone: (713) 652-0582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1"/>
          </w:cols>
          <w:pgMar w:left="819" w:top="611" w:right="8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660" w:type="dxa"/>
            <w:vAlign w:val="bottom"/>
            <w:gridSpan w:val="2"/>
          </w:tcPr>
          <w:p>
            <w:pPr>
              <w:ind w:left="1980"/>
              <w:spacing w:after="0"/>
              <w:rPr>
                <w:sz w:val="20"/>
                <w:szCs w:val="20"/>
                <w:color w:val="auto"/>
              </w:rPr>
            </w:pPr>
            <w:r>
              <w:rPr>
                <w:rFonts w:ascii="Arial" w:cs="Arial" w:eastAsia="Arial" w:hAnsi="Arial"/>
                <w:sz w:val="18"/>
                <w:szCs w:val="18"/>
                <w:b w:val="1"/>
                <w:bCs w:val="1"/>
                <w:color w:val="auto"/>
              </w:rPr>
              <w:t>Summary of the Spin-Off</w:t>
            </w:r>
          </w:p>
        </w:tc>
        <w:tc>
          <w:tcPr>
            <w:tcW w:w="2900" w:type="dxa"/>
            <w:vAlign w:val="bottom"/>
          </w:tcPr>
          <w:p>
            <w:pPr>
              <w:spacing w:after="0"/>
              <w:rPr>
                <w:sz w:val="20"/>
                <w:szCs w:val="20"/>
                <w:color w:val="auto"/>
              </w:rPr>
            </w:pPr>
          </w:p>
        </w:tc>
      </w:tr>
      <w:tr>
        <w:trPr>
          <w:trHeight w:val="904"/>
        </w:trPr>
        <w:tc>
          <w:tcPr>
            <w:tcW w:w="2760" w:type="dxa"/>
            <w:vAlign w:val="bottom"/>
          </w:tcPr>
          <w:p>
            <w:pPr>
              <w:spacing w:after="0"/>
              <w:rPr>
                <w:sz w:val="20"/>
                <w:szCs w:val="20"/>
                <w:color w:val="auto"/>
              </w:rPr>
            </w:pPr>
            <w:r>
              <w:rPr>
                <w:rFonts w:ascii="Arial" w:cs="Arial" w:eastAsia="Arial" w:hAnsi="Arial"/>
                <w:sz w:val="18"/>
                <w:szCs w:val="18"/>
                <w:color w:val="auto"/>
              </w:rPr>
              <w:t>Distributing Company</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5"/>
              </w:rPr>
              <w:t>Oil States International, Inc., a Delaware corporation. After the distribution, Oil States will not own any</w:t>
            </w:r>
          </w:p>
        </w:tc>
      </w:tr>
      <w:tr>
        <w:trPr>
          <w:trHeight w:val="230"/>
        </w:trPr>
        <w:tc>
          <w:tcPr>
            <w:tcW w:w="2760" w:type="dxa"/>
            <w:vAlign w:val="bottom"/>
          </w:tcPr>
          <w:p>
            <w:pPr>
              <w:spacing w:after="0"/>
              <w:rPr>
                <w:sz w:val="20"/>
                <w:szCs w:val="20"/>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shares of SpinCo common stock.</w:t>
            </w:r>
          </w:p>
        </w:tc>
        <w:tc>
          <w:tcPr>
            <w:tcW w:w="192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Distributed Company</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3"/>
              </w:rPr>
              <w:t>OIS Accommodations SpinCo Inc., a Delaware corporation and a wholly-owned subsidiary of Oil States.</w:t>
            </w:r>
          </w:p>
        </w:tc>
      </w:tr>
      <w:tr>
        <w:trPr>
          <w:trHeight w:val="230"/>
        </w:trPr>
        <w:tc>
          <w:tcPr>
            <w:tcW w:w="276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rPr>
              <w:t>After the spin-off, SpinCo will be an independent, publicly owned company.</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Distributed Securities</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4"/>
              </w:rPr>
              <w:t>All of the shares of SpinCo common stock owned by Oil States, which will be 100% of SpinCo common</w:t>
            </w:r>
          </w:p>
        </w:tc>
      </w:tr>
      <w:tr>
        <w:trPr>
          <w:trHeight w:val="230"/>
        </w:trPr>
        <w:tc>
          <w:tcPr>
            <w:tcW w:w="2760" w:type="dxa"/>
            <w:vAlign w:val="bottom"/>
          </w:tcPr>
          <w:p>
            <w:pPr>
              <w:spacing w:after="0"/>
              <w:rPr>
                <w:sz w:val="20"/>
                <w:szCs w:val="20"/>
                <w:color w:val="auto"/>
              </w:rPr>
            </w:pPr>
          </w:p>
        </w:tc>
        <w:tc>
          <w:tcPr>
            <w:tcW w:w="5660" w:type="dxa"/>
            <w:vAlign w:val="bottom"/>
            <w:gridSpan w:val="2"/>
          </w:tcPr>
          <w:p>
            <w:pPr>
              <w:ind w:left="820"/>
              <w:spacing w:after="0"/>
              <w:rPr>
                <w:sz w:val="20"/>
                <w:szCs w:val="20"/>
                <w:color w:val="auto"/>
              </w:rPr>
            </w:pPr>
            <w:r>
              <w:rPr>
                <w:rFonts w:ascii="Arial" w:cs="Arial" w:eastAsia="Arial" w:hAnsi="Arial"/>
                <w:sz w:val="18"/>
                <w:szCs w:val="18"/>
                <w:color w:val="auto"/>
                <w:w w:val="92"/>
              </w:rPr>
              <w:t>stock issued and outstanding immediately prior to the distribution.</w:t>
            </w:r>
          </w:p>
        </w:tc>
        <w:tc>
          <w:tcPr>
            <w:tcW w:w="2900" w:type="dxa"/>
            <w:vAlign w:val="bottom"/>
          </w:tcPr>
          <w:p>
            <w:pPr>
              <w:spacing w:after="0"/>
              <w:rPr>
                <w:sz w:val="20"/>
                <w:szCs w:val="20"/>
                <w:color w:val="auto"/>
              </w:rPr>
            </w:pP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Record Date</w:t>
            </w:r>
          </w:p>
        </w:tc>
        <w:tc>
          <w:tcPr>
            <w:tcW w:w="5660" w:type="dxa"/>
            <w:vAlign w:val="bottom"/>
            <w:gridSpan w:val="2"/>
          </w:tcPr>
          <w:p>
            <w:pPr>
              <w:ind w:left="820"/>
              <w:spacing w:after="0"/>
              <w:rPr>
                <w:sz w:val="20"/>
                <w:szCs w:val="20"/>
                <w:color w:val="auto"/>
              </w:rPr>
            </w:pPr>
            <w:r>
              <w:rPr>
                <w:rFonts w:ascii="Arial" w:cs="Arial" w:eastAsia="Arial" w:hAnsi="Arial"/>
                <w:sz w:val="18"/>
                <w:szCs w:val="18"/>
                <w:color w:val="auto"/>
                <w:w w:val="98"/>
              </w:rPr>
              <w:t>The record date for the distribution is the close of business on</w:t>
            </w:r>
          </w:p>
        </w:tc>
        <w:tc>
          <w:tcPr>
            <w:tcW w:w="2900" w:type="dxa"/>
            <w:vAlign w:val="bottom"/>
          </w:tcPr>
          <w:p>
            <w:pPr>
              <w:jc w:val="right"/>
              <w:ind w:right="1330"/>
              <w:spacing w:after="0"/>
              <w:rPr>
                <w:sz w:val="20"/>
                <w:szCs w:val="20"/>
                <w:color w:val="auto"/>
              </w:rPr>
            </w:pPr>
            <w:r>
              <w:rPr>
                <w:rFonts w:ascii="Arial" w:cs="Arial" w:eastAsia="Arial" w:hAnsi="Arial"/>
                <w:sz w:val="18"/>
                <w:szCs w:val="18"/>
                <w:color w:val="auto"/>
              </w:rPr>
              <w:t>, 2014.</w:t>
            </w: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Distribution Date</w:t>
            </w:r>
          </w:p>
        </w:tc>
        <w:tc>
          <w:tcPr>
            <w:tcW w:w="3740" w:type="dxa"/>
            <w:vAlign w:val="bottom"/>
          </w:tcPr>
          <w:p>
            <w:pPr>
              <w:ind w:left="820"/>
              <w:spacing w:after="0"/>
              <w:rPr>
                <w:sz w:val="20"/>
                <w:szCs w:val="20"/>
                <w:color w:val="auto"/>
              </w:rPr>
            </w:pPr>
            <w:r>
              <w:rPr>
                <w:rFonts w:ascii="Arial" w:cs="Arial" w:eastAsia="Arial" w:hAnsi="Arial"/>
                <w:sz w:val="18"/>
                <w:szCs w:val="18"/>
                <w:color w:val="auto"/>
              </w:rPr>
              <w:t>The distribution date is</w:t>
            </w:r>
          </w:p>
        </w:tc>
        <w:tc>
          <w:tcPr>
            <w:tcW w:w="1920" w:type="dxa"/>
            <w:vAlign w:val="bottom"/>
          </w:tcPr>
          <w:p>
            <w:pPr>
              <w:jc w:val="right"/>
              <w:ind w:right="1290"/>
              <w:spacing w:after="0"/>
              <w:rPr>
                <w:sz w:val="20"/>
                <w:szCs w:val="20"/>
                <w:color w:val="auto"/>
              </w:rPr>
            </w:pPr>
            <w:r>
              <w:rPr>
                <w:rFonts w:ascii="Arial" w:cs="Arial" w:eastAsia="Arial" w:hAnsi="Arial"/>
                <w:sz w:val="18"/>
                <w:szCs w:val="18"/>
                <w:color w:val="auto"/>
                <w:w w:val="94"/>
              </w:rPr>
              <w:t>, 2014.</w:t>
            </w:r>
          </w:p>
        </w:tc>
        <w:tc>
          <w:tcPr>
            <w:tcW w:w="2900" w:type="dxa"/>
            <w:vAlign w:val="bottom"/>
          </w:tcPr>
          <w:p>
            <w:pPr>
              <w:spacing w:after="0"/>
              <w:rPr>
                <w:sz w:val="24"/>
                <w:szCs w:val="24"/>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Restructuring Transactions</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1"/>
              </w:rPr>
              <w:t>As part of the spin-off, Oil States will contribute and transfer to us the assets and liabilities associated with</w:t>
            </w:r>
          </w:p>
        </w:tc>
      </w:tr>
      <w:tr>
        <w:trPr>
          <w:trHeight w:val="216"/>
        </w:trPr>
        <w:tc>
          <w:tcPr>
            <w:tcW w:w="276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2"/>
              </w:rPr>
              <w:t>our business and will contribute to our capital all intercompany debt associated with growing our business</w:t>
            </w:r>
          </w:p>
        </w:tc>
      </w:tr>
      <w:tr>
        <w:trPr>
          <w:trHeight w:val="230"/>
        </w:trPr>
        <w:tc>
          <w:tcPr>
            <w:tcW w:w="276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5"/>
              </w:rPr>
              <w:t>over the last several years, and we will amend and restate our certificate of incorporation and bylaws.</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Indebtedness</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2"/>
              </w:rPr>
              <w:t>Upon the closing of the spin-off, we expect to enter into a $[●] million, [●]-year credit facility. We have not</w:t>
            </w:r>
          </w:p>
        </w:tc>
      </w:tr>
      <w:tr>
        <w:trPr>
          <w:trHeight w:val="216"/>
        </w:trPr>
        <w:tc>
          <w:tcPr>
            <w:tcW w:w="276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4"/>
              </w:rPr>
              <w:t>obtained a financing commitment for the credit facility. Amounts outstanding under the credit facility are</w:t>
            </w:r>
          </w:p>
        </w:tc>
      </w:tr>
      <w:tr>
        <w:trPr>
          <w:trHeight w:val="216"/>
        </w:trPr>
        <w:tc>
          <w:tcPr>
            <w:tcW w:w="276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4"/>
              </w:rPr>
              <w:t>initially expected to bear variable-rate interest at [●]%. See “Description of Material Indebtedness” for a</w:t>
            </w:r>
          </w:p>
        </w:tc>
      </w:tr>
      <w:tr>
        <w:trPr>
          <w:trHeight w:val="230"/>
        </w:trPr>
        <w:tc>
          <w:tcPr>
            <w:tcW w:w="2760" w:type="dxa"/>
            <w:vAlign w:val="bottom"/>
          </w:tcPr>
          <w:p>
            <w:pPr>
              <w:spacing w:after="0"/>
              <w:rPr>
                <w:sz w:val="20"/>
                <w:szCs w:val="20"/>
                <w:color w:val="auto"/>
              </w:rPr>
            </w:pPr>
          </w:p>
        </w:tc>
        <w:tc>
          <w:tcPr>
            <w:tcW w:w="5660" w:type="dxa"/>
            <w:vAlign w:val="bottom"/>
            <w:gridSpan w:val="2"/>
          </w:tcPr>
          <w:p>
            <w:pPr>
              <w:ind w:left="820"/>
              <w:spacing w:after="0"/>
              <w:rPr>
                <w:sz w:val="20"/>
                <w:szCs w:val="20"/>
                <w:color w:val="auto"/>
              </w:rPr>
            </w:pPr>
            <w:r>
              <w:rPr>
                <w:rFonts w:ascii="Arial" w:cs="Arial" w:eastAsia="Arial" w:hAnsi="Arial"/>
                <w:sz w:val="18"/>
                <w:szCs w:val="18"/>
                <w:color w:val="auto"/>
              </w:rPr>
              <w:t>more detailed description of these transactions.</w:t>
            </w:r>
          </w:p>
        </w:tc>
        <w:tc>
          <w:tcPr>
            <w:tcW w:w="290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Distribution Ratio</w:t>
            </w:r>
          </w:p>
        </w:tc>
        <w:tc>
          <w:tcPr>
            <w:tcW w:w="3740" w:type="dxa"/>
            <w:vAlign w:val="bottom"/>
          </w:tcPr>
          <w:p>
            <w:pPr>
              <w:ind w:left="820"/>
              <w:spacing w:after="0"/>
              <w:rPr>
                <w:sz w:val="20"/>
                <w:szCs w:val="20"/>
                <w:color w:val="auto"/>
              </w:rPr>
            </w:pPr>
            <w:r>
              <w:rPr>
                <w:rFonts w:ascii="Arial" w:cs="Arial" w:eastAsia="Arial" w:hAnsi="Arial"/>
                <w:sz w:val="18"/>
                <w:szCs w:val="18"/>
                <w:color w:val="auto"/>
                <w:w w:val="92"/>
              </w:rPr>
              <w:t>Each Oil States stockholder will receive</w:t>
            </w: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shares of SpinCo common stock for each share of</w:t>
            </w:r>
          </w:p>
        </w:tc>
      </w:tr>
      <w:tr>
        <w:trPr>
          <w:trHeight w:val="230"/>
        </w:trPr>
        <w:tc>
          <w:tcPr>
            <w:tcW w:w="2760" w:type="dxa"/>
            <w:vAlign w:val="bottom"/>
          </w:tcPr>
          <w:p>
            <w:pPr>
              <w:spacing w:after="0"/>
              <w:rPr>
                <w:sz w:val="20"/>
                <w:szCs w:val="20"/>
                <w:color w:val="auto"/>
              </w:rPr>
            </w:pPr>
          </w:p>
        </w:tc>
        <w:tc>
          <w:tcPr>
            <w:tcW w:w="5660" w:type="dxa"/>
            <w:vAlign w:val="bottom"/>
            <w:gridSpan w:val="2"/>
          </w:tcPr>
          <w:p>
            <w:pPr>
              <w:ind w:left="820"/>
              <w:spacing w:after="0"/>
              <w:rPr>
                <w:sz w:val="20"/>
                <w:szCs w:val="20"/>
                <w:color w:val="auto"/>
              </w:rPr>
            </w:pPr>
            <w:r>
              <w:rPr>
                <w:rFonts w:ascii="Arial" w:cs="Arial" w:eastAsia="Arial" w:hAnsi="Arial"/>
                <w:sz w:val="18"/>
                <w:szCs w:val="18"/>
                <w:color w:val="auto"/>
              </w:rPr>
              <w:t>Oil States common stock held by such stockholder on</w:t>
            </w:r>
          </w:p>
        </w:tc>
        <w:tc>
          <w:tcPr>
            <w:tcW w:w="2900" w:type="dxa"/>
            <w:vAlign w:val="bottom"/>
          </w:tcPr>
          <w:p>
            <w:pPr>
              <w:jc w:val="right"/>
              <w:ind w:right="2250"/>
              <w:spacing w:after="0"/>
              <w:rPr>
                <w:sz w:val="20"/>
                <w:szCs w:val="20"/>
                <w:color w:val="auto"/>
              </w:rPr>
            </w:pPr>
            <w:r>
              <w:rPr>
                <w:rFonts w:ascii="Arial" w:cs="Arial" w:eastAsia="Arial" w:hAnsi="Arial"/>
                <w:sz w:val="18"/>
                <w:szCs w:val="18"/>
                <w:color w:val="auto"/>
                <w:w w:val="98"/>
              </w:rPr>
              <w:t>, 2014.</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Distribution Method</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4"/>
              </w:rPr>
              <w:t>SpinCo common stock will be issued only by direct registration in book-entry form. Registration in book</w:t>
            </w:r>
          </w:p>
        </w:tc>
      </w:tr>
      <w:tr>
        <w:trPr>
          <w:trHeight w:val="216"/>
        </w:trPr>
        <w:tc>
          <w:tcPr>
            <w:tcW w:w="276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5"/>
              </w:rPr>
              <w:t>entry form is a method of recording stock ownership when no physical paper certificates are issued to</w:t>
            </w:r>
          </w:p>
        </w:tc>
      </w:tr>
      <w:tr>
        <w:trPr>
          <w:trHeight w:val="230"/>
        </w:trPr>
        <w:tc>
          <w:tcPr>
            <w:tcW w:w="2760" w:type="dxa"/>
            <w:vAlign w:val="bottom"/>
          </w:tcPr>
          <w:p>
            <w:pPr>
              <w:spacing w:after="0"/>
              <w:rPr>
                <w:sz w:val="20"/>
                <w:szCs w:val="20"/>
                <w:color w:val="auto"/>
              </w:rPr>
            </w:pPr>
          </w:p>
        </w:tc>
        <w:tc>
          <w:tcPr>
            <w:tcW w:w="5660" w:type="dxa"/>
            <w:vAlign w:val="bottom"/>
            <w:gridSpan w:val="2"/>
          </w:tcPr>
          <w:p>
            <w:pPr>
              <w:ind w:left="820"/>
              <w:spacing w:after="0"/>
              <w:rPr>
                <w:sz w:val="20"/>
                <w:szCs w:val="20"/>
                <w:color w:val="auto"/>
              </w:rPr>
            </w:pPr>
            <w:r>
              <w:rPr>
                <w:rFonts w:ascii="Arial" w:cs="Arial" w:eastAsia="Arial" w:hAnsi="Arial"/>
                <w:sz w:val="18"/>
                <w:szCs w:val="18"/>
                <w:color w:val="auto"/>
              </w:rPr>
              <w:t>stockholders, as is the case in this distribution.</w:t>
            </w:r>
          </w:p>
        </w:tc>
        <w:tc>
          <w:tcPr>
            <w:tcW w:w="290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Fractional Shares</w:t>
            </w: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7"/>
              </w:rPr>
              <w:t>The distribution agent will not distribute any fractional shares of SpinCo common stock to Oil States</w:t>
            </w:r>
          </w:p>
        </w:tc>
      </w:tr>
      <w:tr>
        <w:trPr>
          <w:trHeight w:val="230"/>
        </w:trPr>
        <w:tc>
          <w:tcPr>
            <w:tcW w:w="276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Arial" w:cs="Arial" w:eastAsia="Arial" w:hAnsi="Arial"/>
                <w:sz w:val="18"/>
                <w:szCs w:val="18"/>
                <w:color w:val="auto"/>
                <w:w w:val="91"/>
              </w:rPr>
              <w:t>stockholders. Fractional shares of SpinCo common stock to which Oil States stockholders of record would</w:t>
            </w:r>
          </w:p>
        </w:tc>
      </w:tr>
    </w:tbl>
    <w:p>
      <w:pPr>
        <w:ind w:left="3580"/>
        <w:spacing w:after="0" w:line="269" w:lineRule="auto"/>
        <w:rPr>
          <w:sz w:val="20"/>
          <w:szCs w:val="20"/>
          <w:color w:val="auto"/>
        </w:rPr>
      </w:pPr>
      <w:r>
        <w:rPr>
          <w:rFonts w:ascii="Arial" w:cs="Arial" w:eastAsia="Arial" w:hAnsi="Arial"/>
          <w:sz w:val="17"/>
          <w:szCs w:val="17"/>
          <w:color w:val="auto"/>
        </w:rPr>
        <w:t>otherwise be entitled will be aggregated and sold in the public market by the distribution agent. The aggregate net cash proceeds of the sales will be distributed ratably to those stockholders who would otherwise have received fractional shares of SpinCo common stock. Proceeds from these sales will generally result in a taxable gain or loss to those stockholders. Each stockholder entitled to receive cash proceeds from these shares should consult his, her or its own tax advisor as to such stockholder’s particular circumstances. The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Conditions to the Spin-Off</w:t>
            </w: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The spin-off is subject to the satisfaction or waiver by Oil States of the following conditions, as well as other</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conditions described in this information statement in “The Spin-Off—Conditions to the Spin-Off”:</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8"/>
              </w:rPr>
              <w:t>●   the Securities and Exchange Commission (the “SEC”) will have declared effective our registration</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2"/>
              </w:rPr>
              <w:t>statement on Form 10, of which this information statement is a part, under the Securities Exchange Act</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of 1934, as amended (the “Exchange Act”), no stop order suspending the effectiveness of the</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registration statement shall be in effect, and no proceedings for such purpose shall be pending before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threatened by the SEC;</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   any required actions and filings with regard to state securities and blue sky laws of the United States</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(and any comparable laws under any foreign jurisdiction) will have been taken and, where applicable,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have become effective or been accepted;</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   the SpinCo common stock will have been authorized for listing on the NYSE or another national</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securities exchange approved by Oil States, subject to official notice of issuance;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9"/>
              </w:rPr>
              <w:t>●   prior to the spin-off, this information statement will have been mailed to the holders of Oil States</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common stock as of the record date;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   Oil States shall have received a private letter ruling to the effect that, among other things, the spin-off</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will qualify as a transaction that is tax-free for U.S. federal income tax purposes under Sections 355 and</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368(a)(1)(D) of the Code, and such private letter ruling shall not have been revoked or modified in any</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material respect;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Oil States shall have received an opinion from tax counsel, in form and substance acceptable to Oil</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States and which shall remain in full force and effect, as to certain matters affecting the tax treatment of</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the spin-off on which the IRS will not rule;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no order, injunction, decree or regulation issued by any court or agency of competent jurisdiction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other legal restraint or prohibition preventing the consummation of the spin-off will be in effect;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   any government approvals and other material consents necessary to consummate the spin-off will have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been obtained and be in full force and effect.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The fulfillment of the foregoing conditions does not create any obligations on Oil States’ part to effect the</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spin-off, and the Oil States board of directors has reserved the right, in its sole discretion, to abandon,</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modify or change the terms of the spin-off, including by accelerating or delaying the timing of the</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consummation of all or part of the spin-off, at any time prior to the distribution date.</w:t>
            </w:r>
          </w:p>
        </w:tc>
      </w:tr>
      <w:tr>
        <w:trPr>
          <w:trHeight w:val="702"/>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11</w:t>
            </w:r>
          </w:p>
        </w:tc>
      </w:tr>
      <w:tr>
        <w:trPr>
          <w:trHeight w:val="105"/>
        </w:trPr>
        <w:tc>
          <w:tcPr>
            <w:tcW w:w="2760" w:type="dxa"/>
            <w:vAlign w:val="bottom"/>
          </w:tcPr>
          <w:p>
            <w:pPr>
              <w:spacing w:after="0"/>
              <w:rPr>
                <w:sz w:val="9"/>
                <w:szCs w:val="9"/>
                <w:color w:val="auto"/>
              </w:rPr>
            </w:pPr>
          </w:p>
        </w:tc>
        <w:tc>
          <w:tcPr>
            <w:tcW w:w="870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8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47" w:name="page48"/>
    <w:bookmarkEnd w:id="47"/>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Trading Market and 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States after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Spin-Off</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We have filed an application to list SpinCo common stock on the NYSE under the ticker symbol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We anticipate that, on or shortly before the record date, trading of shares of SpinCo common stock will begin on a “when-issued” basis and will continue up to and including the distribution date, and we expect “regular-way” trading of SpinCo common stock will begin the first trading day after the distribution date. We also anticipate that, on or shortly before the record date, there will be two markets in Oil States common stock: a regular-way market on which shares of Oil States common stock will trade with an entitlement to shares of SpinCo common stock to be distributed pursuant to the distribution, and an “ex-distribution” market on which shares of Oil States common stock will trade without an entitlement to shares of SpinCo common stock. For more information, see “Trading Market.”</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distribution is conditioned on the receipt by Oil States of a private letter ruling from the IRS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 355 and Section 368(a)(1)(D) of the Code. The distribution is further conditioned on Oil States’ tax counsel issuing an opinion in form and substance acceptable to Oil States, which will rely on the effectiveness of the private letter ruling, with respect to certain matters on which the IRS will not rule.</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Assuming that the contribution, distribution and related transactions will qualify as a tax-free transactions under Section 355 and/or Section 368(a)(1)(D) of the Code, for U.S. federal income tax purposes, except for gain realized on the receipt of cash paid in lieu of fractional shares, no gain or loss will generally be recognized by an Oil States shareholder, and no amount generally will be included in such Oil States shareholder’s taxable income, as a result of the spin-off.</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more detailed description of the U.S. federal income tax consequences of the spin-off, see “The Spin-Off—U.S. Federal Income Tax Consequences of the Spin-Off.”</w:t>
      </w:r>
    </w:p>
    <w:p>
      <w:pPr>
        <w:spacing w:after="0" w:line="19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Each stockholder is urged to consult his, her or its tax advisor as to the specific tax consequences of the spin-off to such stockholder, including the effect of any state, local or non-U.S. tax laws and of changes in applicable tax laws.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will enter into a separation and distribution agreement and other ancillary agreements with Oil States related to the spin-off. These agreements will govern the relationship between us and Oil States after completion of the spin-off and provide for the allocation between us and Oil States of various assets, liabilities and obligations. We intend to enter into a transition services agreement with Oil States pursuant to which certain services will be provided on an interim basis following the distribution. We also intend to enter into an employee matters agreement that will set forth the agreements between Oil States and us concerning certain employee compensation and benefit matters. Further, we intend to enter into a tax sharing agreement with Oil States regarding the respective rights, responsibilities, and obligations of Oil States and us with respect to the payment of taxes, filing of tax returns, reimbursements of taxes, control of audits and other tax proceedings, liability for taxes that may be triggered as a result of the spin-off and other matters regarding taxes. We describe these arrangements in greater detail under “Arrangements Between Oil States and Our Company,” and describe some of the risks of these arrangements under “Risk Factors—Risks Related to the Spin-Off.”</w:t>
      </w:r>
    </w:p>
    <w:p>
      <w:pPr>
        <w:spacing w:after="0" w:line="200" w:lineRule="exact"/>
        <w:rPr>
          <w:sz w:val="20"/>
          <w:szCs w:val="20"/>
          <w:color w:val="auto"/>
        </w:rPr>
      </w:pPr>
    </w:p>
    <w:p>
      <w:pPr>
        <w:spacing w:after="0" w:line="25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2860" w:space="720"/>
            <w:col w:w="7820"/>
          </w:cols>
          <w:pgMar w:left="240" w:top="607"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Indemnities</w:t>
            </w: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We will indemnify Oil States under the tax sharing agreement for taxes incurred as a result of the failure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the spin-off to qualify as tax-free under Section 355 and Section 368(a)(1)(D) of the Code, to the extent</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0"/>
              </w:rPr>
              <w:t>caused by our breach of any representations or covenants made in the tax sharing agreement, the separation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and distribution agreement, or made in connection with the private letter ruling and the tax opinion or by any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other action taken by us. See “Arrangements Between Oil States and Our Company—Tax Sharing</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Agreement.” In addition, under the separation and distribution agreement and indemnification and release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agreement, we will also indemnify Oil States and its remaining subsidiaries against various claims and</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liabilities relating to the past operation of our business. In addition, we have agreed to pay 50% of any taxes</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arising from the spin-off to the extent that the tax is not attributable to the fault of either party. See</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“Arrangements Between Oil States and Our Company.”</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Dividend Policy</w:t>
            </w:r>
          </w:p>
        </w:tc>
        <w:tc>
          <w:tcPr>
            <w:tcW w:w="9080" w:type="dxa"/>
            <w:vAlign w:val="bottom"/>
          </w:tcPr>
          <w:p>
            <w:pPr>
              <w:ind w:left="1200"/>
              <w:spacing w:after="0"/>
              <w:rPr>
                <w:sz w:val="20"/>
                <w:szCs w:val="20"/>
                <w:color w:val="auto"/>
              </w:rPr>
            </w:pPr>
            <w:r>
              <w:rPr>
                <w:rFonts w:ascii="Arial" w:cs="Arial" w:eastAsia="Arial" w:hAnsi="Arial"/>
                <w:sz w:val="18"/>
                <w:szCs w:val="18"/>
                <w:color w:val="auto"/>
                <w:w w:val="98"/>
              </w:rPr>
              <w:t>Following the spin-off, we intend to commence the payment of cash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subject to our compliance with applicable law, and depending on, among other things, our results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operations, financial condition, level of indebtedness, capital requirements, business prospects and other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factors that our board of directors may deem relevant. Our ability to pay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may be limited by the covenants of our revolving credit facility and may be further restricted by the terms of</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any future debt or preferred securities. See “Dividend Policy” and “Description of Material Indebtedness.”</w:t>
            </w:r>
          </w:p>
        </w:tc>
      </w:tr>
      <w:tr>
        <w:trPr>
          <w:trHeight w:val="459"/>
        </w:trPr>
        <w:tc>
          <w:tcPr>
            <w:tcW w:w="2380" w:type="dxa"/>
            <w:vAlign w:val="bottom"/>
          </w:tcPr>
          <w:p>
            <w:pPr>
              <w:spacing w:after="0"/>
              <w:rPr>
                <w:sz w:val="20"/>
                <w:szCs w:val="20"/>
                <w:color w:val="auto"/>
              </w:rPr>
            </w:pPr>
            <w:r>
              <w:rPr>
                <w:rFonts w:ascii="Arial" w:cs="Arial" w:eastAsia="Arial" w:hAnsi="Arial"/>
                <w:sz w:val="18"/>
                <w:szCs w:val="18"/>
                <w:color w:val="auto"/>
              </w:rPr>
              <w:t>Transfer Agent</w:t>
            </w:r>
          </w:p>
        </w:tc>
        <w:tc>
          <w:tcPr>
            <w:tcW w:w="9080" w:type="dxa"/>
            <w:vAlign w:val="bottom"/>
          </w:tcPr>
          <w:p>
            <w:pPr>
              <w:ind w:left="1200"/>
              <w:spacing w:after="0"/>
              <w:rPr>
                <w:sz w:val="20"/>
                <w:szCs w:val="20"/>
                <w:color w:val="auto"/>
              </w:rPr>
            </w:pPr>
            <w:r>
              <w:rPr>
                <w:rFonts w:ascii="Arial" w:cs="Arial" w:eastAsia="Arial" w:hAnsi="Arial"/>
                <w:sz w:val="18"/>
                <w:szCs w:val="18"/>
                <w:color w:val="auto"/>
              </w:rPr>
              <w:t>Computershare Trust Company, N.A.</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Risk Factors</w:t>
            </w: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We face both general and specific risks and uncertainties relating to our business and our being an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independent, publicly owned company. We also are subject to risks related to the spin-off. You should</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carefully read “Risk Factors” beginning on page 18 of this information statement.</w:t>
            </w:r>
          </w:p>
        </w:tc>
      </w:tr>
      <w:tr>
        <w:trPr>
          <w:trHeight w:val="945"/>
        </w:trPr>
        <w:tc>
          <w:tcPr>
            <w:tcW w:w="238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13</w:t>
            </w:r>
          </w:p>
        </w:tc>
      </w:tr>
      <w:tr>
        <w:trPr>
          <w:trHeight w:val="105"/>
        </w:trPr>
        <w:tc>
          <w:tcPr>
            <w:tcW w:w="2380" w:type="dxa"/>
            <w:vAlign w:val="bottom"/>
          </w:tcPr>
          <w:p>
            <w:pPr>
              <w:spacing w:after="0"/>
              <w:rPr>
                <w:sz w:val="9"/>
                <w:szCs w:val="9"/>
                <w:color w:val="auto"/>
              </w:rPr>
            </w:pPr>
          </w:p>
        </w:tc>
        <w:tc>
          <w:tcPr>
            <w:tcW w:w="9080" w:type="dxa"/>
            <w:vAlign w:val="bottom"/>
          </w:tcPr>
          <w:p>
            <w:pPr>
              <w:spacing w:after="0"/>
              <w:rPr>
                <w:sz w:val="9"/>
                <w:szCs w:val="9"/>
                <w:color w:val="auto"/>
              </w:rPr>
            </w:pPr>
          </w:p>
        </w:tc>
      </w:tr>
      <w:tr>
        <w:trPr>
          <w:trHeight w:val="61"/>
        </w:trPr>
        <w:tc>
          <w:tcPr>
            <w:tcW w:w="238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face both general and specific risks and uncertainties relating to our business and our being an independent, publicly owned company. We also are subject to risks related to the spin-off. You should carefully read “Risk Factors” beginning on page 18 of this information statement. In particular: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left="1080" w:hanging="640"/>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customer expenditure levels will adversely affect our results of operations.</w:t>
      </w:r>
    </w:p>
    <w:p>
      <w:pPr>
        <w:spacing w:after="0" w:line="225" w:lineRule="exact"/>
        <w:rPr>
          <w:rFonts w:ascii="Arial" w:cs="Arial" w:eastAsia="Arial" w:hAnsi="Arial"/>
          <w:sz w:val="18"/>
          <w:szCs w:val="18"/>
          <w:color w:val="auto"/>
        </w:rPr>
      </w:pPr>
    </w:p>
    <w:p>
      <w:pPr>
        <w:ind w:left="1080" w:right="340" w:hanging="640"/>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6" w:lineRule="exact"/>
        <w:rPr>
          <w:rFonts w:ascii="Arial" w:cs="Arial" w:eastAsia="Arial" w:hAnsi="Arial"/>
          <w:sz w:val="17"/>
          <w:szCs w:val="17"/>
          <w:color w:val="auto"/>
        </w:rPr>
      </w:pPr>
    </w:p>
    <w:p>
      <w:pPr>
        <w:ind w:left="1080" w:right="6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Exchange rate fluctuations could adversely affect our U.S. reported results of operations and financial position and could impact our ability to pay dividends.</w:t>
      </w:r>
    </w:p>
    <w:p>
      <w:pPr>
        <w:spacing w:after="0" w:line="170" w:lineRule="exact"/>
        <w:rPr>
          <w:rFonts w:ascii="Arial" w:cs="Arial" w:eastAsia="Arial" w:hAnsi="Arial"/>
          <w:sz w:val="18"/>
          <w:szCs w:val="18"/>
          <w:color w:val="auto"/>
        </w:rPr>
      </w:pPr>
    </w:p>
    <w:p>
      <w:pPr>
        <w:ind w:left="1080" w:right="22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failure to retain our current customers, renew our existing customer contracts and obtain new customer contracts could adversely affect our business.</w:t>
      </w:r>
    </w:p>
    <w:p>
      <w:pPr>
        <w:spacing w:after="0" w:line="170" w:lineRule="exact"/>
        <w:rPr>
          <w:rFonts w:ascii="Arial" w:cs="Arial" w:eastAsia="Arial" w:hAnsi="Arial"/>
          <w:sz w:val="18"/>
          <w:szCs w:val="18"/>
          <w:color w:val="auto"/>
        </w:rPr>
      </w:pPr>
    </w:p>
    <w:p>
      <w:pPr>
        <w:ind w:left="1080" w:right="4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do business in Canada and Australia, whose political and regulatory environments and compliance regimes differ from those in the United States.</w:t>
      </w:r>
    </w:p>
    <w:p>
      <w:pPr>
        <w:spacing w:after="0" w:line="170"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major Canadian lodges are located on land subject to leases; if we are unable to renew a lease, we could be materially and adversely affected.</w:t>
      </w:r>
    </w:p>
    <w:p>
      <w:pPr>
        <w:spacing w:after="0" w:line="170" w:lineRule="exact"/>
        <w:rPr>
          <w:rFonts w:ascii="Arial" w:cs="Arial" w:eastAsia="Arial" w:hAnsi="Arial"/>
          <w:sz w:val="18"/>
          <w:szCs w:val="18"/>
          <w:color w:val="auto"/>
        </w:rPr>
      </w:pPr>
    </w:p>
    <w:p>
      <w:pPr>
        <w:ind w:left="1080" w:right="70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incur incremental U.S. income taxes if we elect to repatriate our foreign earnings.</w:t>
      </w:r>
    </w:p>
    <w:p>
      <w:pPr>
        <w:spacing w:after="0" w:line="225" w:lineRule="exact"/>
        <w:rPr>
          <w:rFonts w:ascii="Arial" w:cs="Arial" w:eastAsia="Arial" w:hAnsi="Arial"/>
          <w:sz w:val="18"/>
          <w:szCs w:val="18"/>
          <w:color w:val="auto"/>
        </w:rPr>
      </w:pPr>
    </w:p>
    <w:p>
      <w:pPr>
        <w:ind w:left="1080" w:right="80" w:hanging="640"/>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 of permanent infrastructure in the Canadian oil sands region, regions of Australia or various U.S. locations where we locate our assets could negatively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ind w:left="1080" w:hanging="640"/>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not realize the potential benefits from our separation from Oil States.</w:t>
      </w:r>
    </w:p>
    <w:p>
      <w:pPr>
        <w:spacing w:after="0" w:line="252"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combined value of Oil States and SpinCo shares after the spin-off may not equal or exceed the value of Oil States shares prior to the spin-off.</w:t>
      </w:r>
    </w:p>
    <w:p>
      <w:pPr>
        <w:spacing w:after="0" w:line="197" w:lineRule="exact"/>
        <w:rPr>
          <w:rFonts w:ascii="Arial" w:cs="Arial" w:eastAsia="Arial" w:hAnsi="Arial"/>
          <w:sz w:val="18"/>
          <w:szCs w:val="18"/>
          <w:color w:val="auto"/>
        </w:rPr>
      </w:pPr>
    </w:p>
    <w:p>
      <w:pPr>
        <w:ind w:left="1080" w:hanging="640"/>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large number of our shares are or will be eligible for future sale, which may cause the market price for our common stock to decline.</w:t>
      </w:r>
    </w:p>
    <w:p>
      <w:pPr>
        <w:spacing w:after="0" w:line="290" w:lineRule="exact"/>
        <w:rPr>
          <w:rFonts w:ascii="Arial" w:cs="Arial" w:eastAsia="Arial" w:hAnsi="Arial"/>
          <w:sz w:val="17"/>
          <w:szCs w:val="17"/>
          <w:color w:val="auto"/>
        </w:rPr>
      </w:pPr>
    </w:p>
    <w:p>
      <w:pPr>
        <w:ind w:left="1080" w:right="100" w:hanging="640"/>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Because significant amounts of our common stock are held by oilfield services and other stock indices there is the possibility that our shareholder base will change following the spin-off. If significant amounts of our common stock are sold in the open market, any such shares sold may not meet with offsetting new demand.</w:t>
      </w:r>
    </w:p>
    <w:p>
      <w:pPr>
        <w:spacing w:after="0" w:line="208"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may not be representative of the results we would have achieved as a stand-alone public company and may not be a reliable indicator of our future results.</w:t>
      </w:r>
    </w:p>
    <w:p>
      <w:pPr>
        <w:spacing w:after="0" w:line="197" w:lineRule="exact"/>
        <w:rPr>
          <w:rFonts w:ascii="Arial" w:cs="Arial" w:eastAsia="Arial" w:hAnsi="Arial"/>
          <w:sz w:val="18"/>
          <w:szCs w:val="18"/>
          <w:color w:val="auto"/>
        </w:rPr>
      </w:pPr>
    </w:p>
    <w:p>
      <w:pPr>
        <w:ind w:left="1080" w:right="580" w:hanging="640"/>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costs will increase as a result of operating as a public company, and our management will be required to devote substantial time to complying with public company regulations.</w:t>
      </w:r>
    </w:p>
    <w:p>
      <w:pPr>
        <w:spacing w:after="0" w:line="197" w:lineRule="exact"/>
        <w:rPr>
          <w:rFonts w:ascii="Arial" w:cs="Arial" w:eastAsia="Arial" w:hAnsi="Arial"/>
          <w:sz w:val="18"/>
          <w:szCs w:val="18"/>
          <w:color w:val="auto"/>
        </w:rPr>
      </w:pPr>
    </w:p>
    <w:p>
      <w:pPr>
        <w:ind w:left="1080" w:right="300" w:hanging="640"/>
        <w:spacing w:after="0" w:line="286"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92" w:lineRule="exact"/>
        <w:rPr>
          <w:rFonts w:ascii="Arial" w:cs="Arial" w:eastAsia="Arial" w:hAnsi="Arial"/>
          <w:sz w:val="17"/>
          <w:szCs w:val="17"/>
          <w:color w:val="auto"/>
        </w:rPr>
      </w:pPr>
    </w:p>
    <w:p>
      <w:pPr>
        <w:ind w:left="1080" w:hanging="64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potentially could have received better terms from unaffiliated third parties than the terms we receive in our agreements with Oil States.</w:t>
      </w:r>
    </w:p>
    <w:p>
      <w:pPr>
        <w:spacing w:after="0" w:line="302" w:lineRule="exact"/>
        <w:rPr>
          <w:rFonts w:ascii="Arial" w:cs="Arial" w:eastAsia="Arial" w:hAnsi="Arial"/>
          <w:sz w:val="16"/>
          <w:szCs w:val="16"/>
          <w:color w:val="auto"/>
        </w:rPr>
      </w:pPr>
    </w:p>
    <w:p>
      <w:pPr>
        <w:ind w:left="1080" w:right="60" w:hanging="640"/>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increase our debt or raise additional capital in the future, which could affect our financial condition, may decrease our profitability or could dilute our shareholders.</w:t>
      </w:r>
    </w:p>
    <w:p>
      <w:pPr>
        <w:spacing w:after="0" w:line="197" w:lineRule="exact"/>
        <w:rPr>
          <w:rFonts w:ascii="Arial" w:cs="Arial" w:eastAsia="Arial" w:hAnsi="Arial"/>
          <w:sz w:val="18"/>
          <w:szCs w:val="18"/>
          <w:color w:val="auto"/>
        </w:rPr>
      </w:pPr>
    </w:p>
    <w:p>
      <w:pPr>
        <w:ind w:left="1080" w:right="160" w:hanging="640"/>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tax sharing agreement with Oil States may limit our ability to take certain actions, including strategic transactions and may require us to indemnify Oil States for significant tax liabilities.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1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1080" w:hanging="640"/>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market currently exists for our common stock. We cannot assure you that an active trading market will develop for our common stock.</w:t>
      </w:r>
    </w:p>
    <w:p>
      <w:pPr>
        <w:spacing w:after="0" w:line="263" w:lineRule="exact"/>
        <w:rPr>
          <w:rFonts w:ascii="Arial" w:cs="Arial" w:eastAsia="Arial" w:hAnsi="Arial"/>
          <w:sz w:val="17"/>
          <w:szCs w:val="17"/>
          <w:color w:val="auto"/>
        </w:rPr>
      </w:pPr>
    </w:p>
    <w:p>
      <w:pPr>
        <w:ind w:left="1080" w:hanging="640"/>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 price and trading volume of our common stock may be volatile and you may not be able to resell your shares at or above the initial market price of our common stock following the spin-off.</w:t>
      </w:r>
    </w:p>
    <w:p>
      <w:pPr>
        <w:spacing w:after="0" w:line="197" w:lineRule="exact"/>
        <w:rPr>
          <w:rFonts w:ascii="Arial" w:cs="Arial" w:eastAsia="Arial" w:hAnsi="Arial"/>
          <w:sz w:val="18"/>
          <w:szCs w:val="18"/>
          <w:color w:val="auto"/>
        </w:rPr>
      </w:pPr>
    </w:p>
    <w:p>
      <w:pPr>
        <w:ind w:left="1080" w:hanging="640"/>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sales, or the perception of future sales, of our common stock may depress the price of our common stock.</w:t>
      </w:r>
    </w:p>
    <w:p>
      <w:pPr>
        <w:spacing w:after="0" w:line="252" w:lineRule="exact"/>
        <w:rPr>
          <w:rFonts w:ascii="Arial" w:cs="Arial" w:eastAsia="Arial" w:hAnsi="Arial"/>
          <w:sz w:val="18"/>
          <w:szCs w:val="18"/>
          <w:color w:val="auto"/>
        </w:rPr>
      </w:pPr>
    </w:p>
    <w:p>
      <w:pPr>
        <w:ind w:left="1080" w:right="600" w:hanging="640"/>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3" w:lineRule="exact"/>
        <w:rPr>
          <w:rFonts w:ascii="Arial" w:cs="Arial" w:eastAsia="Arial" w:hAnsi="Arial"/>
          <w:sz w:val="17"/>
          <w:szCs w:val="17"/>
          <w:color w:val="auto"/>
        </w:rPr>
      </w:pPr>
    </w:p>
    <w:p>
      <w:pPr>
        <w:ind w:left="1080" w:right="200" w:hanging="640"/>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cannot assure you that we will pay dividends on our common stock, and our indebtedness could limit our ability to pay dividends on our common stock.</w:t>
      </w:r>
    </w:p>
    <w:p>
      <w:pPr>
        <w:spacing w:after="0" w:line="197" w:lineRule="exact"/>
        <w:rPr>
          <w:rFonts w:ascii="Arial" w:cs="Arial" w:eastAsia="Arial" w:hAnsi="Arial"/>
          <w:sz w:val="18"/>
          <w:szCs w:val="18"/>
          <w:color w:val="auto"/>
        </w:rPr>
      </w:pPr>
    </w:p>
    <w:p>
      <w:pPr>
        <w:ind w:left="1080" w:right="260" w:hanging="640"/>
        <w:spacing w:after="0" w:line="34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SUMMARY COMBINED HISTORICAL FINANCIAL DATA</w:t>
      </w:r>
    </w:p>
    <w:p>
      <w:pPr>
        <w:spacing w:after="0" w:line="25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2012 and 2011 and the statements of income and cash flows for each of the years ended December 31, 2012, 2011 and 2010 are derived from our audited combined financial statements included elsewhere in this information statement. The balance sheet data as of September 30, 2013 and the statements of income and cash flows for the nine months ended September 30, 2013 and September 30, 2012 are derived from our unaudited interim combined financial statements included elsewhere in this information statement.</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ind w:left="48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782,627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836,101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1,108,875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864,701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352,929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242,159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Accommodations Business of Oil States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International,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136,423</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198,306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244,721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168,505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494,193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234,794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314,047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348,504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823,893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609,729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Average available lodge/villages rooms</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20,333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18,421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14,997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RevPAR </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w:t>
            </w:r>
          </w:p>
        </w:tc>
      </w:tr>
      <w:tr>
        <w:trPr>
          <w:trHeight w:val="191"/>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2,097,280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2,132,925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1,799,894</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350,530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6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126,972</w:t>
            </w:r>
          </w:p>
        </w:tc>
      </w:tr>
    </w:tbl>
    <w:p>
      <w:pPr>
        <w:spacing w:after="0" w:line="241" w:lineRule="exact"/>
        <w:rPr>
          <w:sz w:val="20"/>
          <w:szCs w:val="20"/>
          <w:color w:val="auto"/>
        </w:rPr>
      </w:pPr>
    </w:p>
    <w:p>
      <w:pPr>
        <w:ind w:left="500" w:right="20" w:hanging="492"/>
        <w:spacing w:after="0" w:line="270"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 EBITDA as defined consists of net income plus interest expense, net,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52" w:name="page53"/>
    <w:bookmarkEnd w:id="52"/>
    <w:p>
      <w:pPr>
        <w:ind w:left="52"/>
        <w:spacing w:after="0"/>
        <w:rPr>
          <w:sz w:val="20"/>
          <w:szCs w:val="20"/>
          <w:color w:val="auto"/>
        </w:rPr>
      </w:pPr>
      <w:r>
        <w:rPr>
          <w:rFonts w:ascii="Arial" w:cs="Arial" w:eastAsia="Arial" w:hAnsi="Arial"/>
          <w:sz w:val="18"/>
          <w:szCs w:val="18"/>
          <w:color w:val="auto"/>
        </w:rPr>
        <w:t>The following table reconciles EBITDA as defined with our net income, as derived from our financial information (in thousands):</w:t>
      </w:r>
    </w:p>
    <w:p>
      <w:pPr>
        <w:spacing w:after="0" w:line="14" w:lineRule="exact"/>
        <w:rPr>
          <w:sz w:val="20"/>
          <w:szCs w:val="20"/>
          <w:color w:val="auto"/>
        </w:rPr>
      </w:pPr>
    </w:p>
    <w:tbl>
      <w:tblPr>
        <w:tblLayout w:type="fixed"/>
        <w:tblInd w:w="852"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7"/>
                <w:szCs w:val="17"/>
                <w:color w:val="auto"/>
              </w:rPr>
            </w:pPr>
          </w:p>
        </w:tc>
        <w:tc>
          <w:tcPr>
            <w:tcW w:w="25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For the year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73"/>
              </w:rPr>
              <w:t>(Unaudited)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Business of Oil States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Inc.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136,423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198,306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244,721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124,510</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97,805</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139,047</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110,708</w:t>
            </w:r>
          </w:p>
        </w:tc>
        <w:tc>
          <w:tcPr>
            <w:tcW w:w="2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45,691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18,906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43,350</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65,974</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84,266</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55,110</w:t>
            </w:r>
          </w:p>
        </w:tc>
        <w:tc>
          <w:tcPr>
            <w:tcW w:w="2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41,663</w:t>
            </w:r>
          </w:p>
        </w:tc>
      </w:tr>
      <w:tr>
        <w:trPr>
          <w:trHeight w:val="290"/>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as defined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321,854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380,991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494,193</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354,341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186,062</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 w:hanging="492"/>
        <w:spacing w:after="0" w:line="277"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RevPAR is defined as lodge/village revenue divided by the product of (a) average available rooms and (b) days in the period. An available room is defined as a calendar day during which the room is available for occupancy.</w:t>
      </w:r>
    </w:p>
    <w:p>
      <w:pPr>
        <w:spacing w:after="0" w:line="200" w:lineRule="exact"/>
        <w:rPr>
          <w:sz w:val="20"/>
          <w:szCs w:val="20"/>
          <w:color w:val="auto"/>
        </w:rPr>
      </w:pPr>
    </w:p>
    <w:p>
      <w:pPr>
        <w:spacing w:after="0" w:line="26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32"/>
          </w:cols>
          <w:pgMar w:left="248" w:top="611" w:right="619" w:bottom="1440" w:gutter="0" w:footer="0" w:header="0"/>
        </w:sectPr>
      </w:pPr>
    </w:p>
    <w:bookmarkStart w:id="53" w:name="page54"/>
    <w:bookmarkEnd w:id="53"/>
    <w:p>
      <w:pPr>
        <w:ind w:left="5380"/>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700" w:firstLine="324"/>
        <w:spacing w:after="0" w:line="324" w:lineRule="auto"/>
        <w:rPr>
          <w:sz w:val="20"/>
          <w:szCs w:val="20"/>
          <w:color w:val="auto"/>
        </w:rPr>
      </w:pPr>
      <w:r>
        <w:rPr>
          <w:rFonts w:ascii="Arial" w:cs="Arial" w:eastAsia="Arial" w:hAnsi="Arial"/>
          <w:sz w:val="18"/>
          <w:szCs w:val="18"/>
          <w:i w:val="1"/>
          <w:iCs w:val="1"/>
          <w:color w:val="auto"/>
        </w:rPr>
        <w:t>You should carefully consider the information included in this information statement, including the matters addressed under “Forward-Looking Statements,” and the following risks.</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customer expenditure levels will adversely affect our results of operations.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20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demand, particularly from China, for coal and other natural resources produced in Australia;</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development;</w:t>
      </w:r>
    </w:p>
    <w:p>
      <w:pPr>
        <w:spacing w:after="0" w:line="197"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and coal, refining capacity and shifts in end-customer preferences toward fuel efficiency and the use of natural gas;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52"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54" w:name="page55"/>
    <w:bookmarkEnd w:id="54"/>
    <w:p>
      <w:pPr>
        <w:ind w:right="340"/>
        <w:spacing w:after="0" w:line="308"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7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20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Exchange rate fluctuations could adversely affect our U.S. reported results of operations and financial position and could impact our ability to pay dividends.</w:t>
      </w:r>
    </w:p>
    <w:p>
      <w:pPr>
        <w:spacing w:after="0" w:line="17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With respect to our potential exposure to foreign currency fluctuations and devaluations, for the year ended December 31, 2012, approximately 90% of our revenues originated from subsidiaries outside of the U.S. and were denominated in the Canadian dollar and the Australian dollar. As a result, a material decrease in the value of these currencies relative to the U.S. dollar may have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flows into U.S. dollars in order to pay our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5" w:name="page56"/>
    <w:bookmarkEnd w:id="55"/>
    <w:p>
      <w:pPr>
        <w:ind w:right="68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could adversely affect our business.</w:t>
      </w:r>
    </w:p>
    <w:p>
      <w:pPr>
        <w:spacing w:after="0" w:line="19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 States.</w:t>
      </w:r>
    </w:p>
    <w:p>
      <w:pPr>
        <w:spacing w:after="0" w:line="2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 significant portion of our revenue is attributable to operations in Canada and Australia. These activities accounted for 90% of our consolidated revenue in the year ended December 31, 2012 and 93% of our consolidated revenue in the nine months ended September 30, 2013. Risks associated with our operations in Canada and Australia include, but are not limited to:</w:t>
      </w:r>
    </w:p>
    <w:p>
      <w:pPr>
        <w:spacing w:after="0" w:line="181" w:lineRule="exact"/>
        <w:rPr>
          <w:sz w:val="20"/>
          <w:szCs w:val="20"/>
          <w:color w:val="auto"/>
        </w:rPr>
      </w:pPr>
    </w:p>
    <w:p>
      <w:pPr>
        <w:ind w:left="880" w:hanging="426"/>
        <w:spacing w:after="0"/>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taxation;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repatriate earnings or capital in a tax efficient manner;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changing foreign and domestic monetary policies;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2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 In addition, if we were to lose the right to use a property due to non-renewal of the lease, we would be unable to derive income from such property, which could materially and adversely affect us.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w:t>
      </w:r>
    </w:p>
    <w:p>
      <w:pPr>
        <w:spacing w:after="0" w:line="25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advisable in the future in order to fund dividends, allow for U.S. expansion or to repay debt.</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5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9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domestic and international pricing and demand for the natural resource being produced at a given project (or proposed project);</w:t>
      </w:r>
    </w:p>
    <w:p>
      <w:pPr>
        <w:spacing w:after="0" w:line="252"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water or food quality or safety issues;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52" w:lineRule="exact"/>
        <w:rPr>
          <w:rFonts w:ascii="Arial" w:cs="Arial" w:eastAsia="Arial" w:hAnsi="Arial"/>
          <w:sz w:val="18"/>
          <w:szCs w:val="18"/>
          <w:color w:val="auto"/>
        </w:rPr>
      </w:pPr>
    </w:p>
    <w:p>
      <w:pPr>
        <w:ind w:left="660" w:right="140" w:hanging="652"/>
        <w:spacing w:after="0" w:line="286"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92" w:lineRule="exact"/>
        <w:rPr>
          <w:rFonts w:ascii="Arial" w:cs="Arial" w:eastAsia="Arial" w:hAnsi="Arial"/>
          <w:sz w:val="17"/>
          <w:szCs w:val="17"/>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58" w:name="page59"/>
    <w:bookmarkEnd w:id="58"/>
    <w:p>
      <w:pPr>
        <w:ind w:right="20"/>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2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9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22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20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land banking strategy is focused on investing early in land in order to gain a strategic, first-mover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215" w:lineRule="exact"/>
        <w:rPr>
          <w:sz w:val="20"/>
          <w:szCs w:val="20"/>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regions in which we invest may not develop adequate customer demand;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820" w:right="320" w:hanging="461"/>
        <w:spacing w:after="0" w:line="277"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ectPr>
          <w:pgSz w:w="11900" w:h="16838" w:orient="portrait"/>
          <w:cols w:equalWidth="0" w:num="1">
            <w:col w:w="11420"/>
          </w:cols>
          <w:pgMar w:left="240" w:top="611"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0" w:name="page61"/>
    <w:bookmarkEnd w:id="60"/>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9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8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9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5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20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75" w:lineRule="exact"/>
        <w:rPr>
          <w:rFonts w:ascii="Arial" w:cs="Arial" w:eastAsia="Arial" w:hAnsi="Arial"/>
          <w:sz w:val="16"/>
          <w:szCs w:val="16"/>
          <w:color w:val="auto"/>
        </w:rPr>
      </w:pPr>
    </w:p>
    <w:p>
      <w:pPr>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208"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208"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objections aired by aboriginal or community interest, environment and/or neighborhood groups which may cause delays in the granting or approvals and/or the overall progress of a project;</w:t>
      </w:r>
    </w:p>
    <w:p>
      <w:pPr>
        <w:spacing w:after="0" w:line="197"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97"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cyclical nature of our business and a severe prolonged downturn could negatively affect the value of our goodwill.</w:t>
      </w:r>
    </w:p>
    <w:p>
      <w:pPr>
        <w:spacing w:after="0" w:line="25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 of December 31, 2012, goodwill represented approximately 14%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8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global economic conditions deteriorate;</w:t>
      </w:r>
    </w:p>
    <w:p>
      <w:pPr>
        <w:spacing w:after="0" w:line="252" w:lineRule="exact"/>
        <w:rPr>
          <w:rFonts w:ascii="Arial" w:cs="Arial" w:eastAsia="Arial" w:hAnsi="Arial"/>
          <w:sz w:val="18"/>
          <w:szCs w:val="18"/>
          <w:color w:val="auto"/>
        </w:rPr>
      </w:pPr>
    </w:p>
    <w:p>
      <w:pPr>
        <w:ind w:left="660" w:right="20" w:hanging="652"/>
        <w:spacing w:after="0" w:line="31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73" w:lineRule="exact"/>
        <w:rPr>
          <w:rFonts w:ascii="Arial" w:cs="Arial" w:eastAsia="Arial" w:hAnsi="Arial"/>
          <w:sz w:val="16"/>
          <w:szCs w:val="16"/>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5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2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214"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52" w:lineRule="exact"/>
        <w:rPr>
          <w:sz w:val="20"/>
          <w:szCs w:val="20"/>
          <w:color w:val="auto"/>
        </w:rPr>
      </w:pPr>
    </w:p>
    <w:p>
      <w:pPr>
        <w:jc w:val="both"/>
        <w:ind w:right="28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62" w:name="page63"/>
    <w:bookmarkEnd w:id="62"/>
    <w:p>
      <w:pPr>
        <w:ind w:right="340"/>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9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214"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We also face the following other risks related to our insurance coverage:</w:t>
      </w:r>
    </w:p>
    <w:p>
      <w:pPr>
        <w:spacing w:after="0" w:line="193"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equipment or assets.</w:t>
      </w:r>
    </w:p>
    <w:p>
      <w:pPr>
        <w:spacing w:after="0" w:line="25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208"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obtained commitments under our new revolving credit facility</w:t>
      </w:r>
      <w:r>
        <w:rPr>
          <w:rFonts w:ascii="Arial" w:cs="Arial" w:eastAsia="Arial" w:hAnsi="Arial"/>
          <w:sz w:val="18"/>
          <w:szCs w:val="18"/>
          <w:color w:val="auto"/>
        </w:rPr>
        <w:t>.</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Upon the closing of the spin-off, we expect to enter into a revolving credit facility. However, we have not obtained any financing commitments for the credit facility and may be unable to enter into a credit facility or other debt financing arrangement on terms acceptable to us, if at all. If we are unable to enter into a revolving credit facility or other debt financing arrangement, we will be forced to find other alternatives to meet our liquidity needs or reduce our capital expenditures, which could negatively impact our financial results and growth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52"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2012, we are party to collective bargaining agreements covering 1,692 employees in Canada and 574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our separation from Oil States.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not realize the benefits that we anticipate from our separation from Oil States. These benefits include the following:</w:t>
      </w:r>
    </w:p>
    <w:p>
      <w:pPr>
        <w:spacing w:after="0" w:line="252" w:lineRule="exact"/>
        <w:rPr>
          <w:sz w:val="20"/>
          <w:szCs w:val="20"/>
          <w:color w:val="auto"/>
        </w:rPr>
      </w:pPr>
    </w:p>
    <w:p>
      <w:pPr>
        <w:ind w:left="660" w:right="60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enhancing corporate growth and efficiency by enabling each management team to focus its attention on the development and execution of its respective business;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improving access to capital to fund internal and external expansion;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enhancing SpinCo’s market recognition with investors because of more focused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an acquisition currency for SpinCo;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enhancing our ability to attract and retain key employees.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356" w:gutter="0" w:footer="0" w:header="0"/>
        </w:sectPr>
      </w:pPr>
    </w:p>
    <w:bookmarkStart w:id="64" w:name="page65"/>
    <w:bookmarkEnd w:id="64"/>
    <w:p>
      <w:pPr>
        <w:ind w:right="80" w:firstLine="324"/>
        <w:spacing w:after="0" w:line="254" w:lineRule="auto"/>
        <w:rPr>
          <w:sz w:val="20"/>
          <w:szCs w:val="20"/>
          <w:color w:val="auto"/>
        </w:rPr>
      </w:pPr>
      <w:r>
        <w:rPr>
          <w:rFonts w:ascii="Arial" w:cs="Arial" w:eastAsia="Arial" w:hAnsi="Arial"/>
          <w:sz w:val="18"/>
          <w:szCs w:val="18"/>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value of Oil States and SpinCo shares after the spin-off may not equal or exceed the value of Oil States shares prior to the spin-off.</w:t>
      </w:r>
    </w:p>
    <w:p>
      <w:pPr>
        <w:spacing w:after="0" w:line="2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After the spin-off, Oil States’ common stock will continue to be listed and traded on the NYSE under the symbol “OIS.” We have applied to list our common stock authorized on the NYSE under the symbol “[●].” We cannot assure you that the combined trading prices of Oil States common stock and SpinCo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SpinCo common stock trades may fluctuate significantly.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for our common stock to decline.</w:t>
      </w:r>
    </w:p>
    <w:p>
      <w:pPr>
        <w:spacing w:after="0" w:line="26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will have an aggregate of approximately [●] shares of our common stock outstanding.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 144. We estimate that our directors and executive officers, who may be considered “affiliates” for purposes of Rule 144, will beneficially own approximately [●] shares of our common stock immediately following the distribution.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210" w:lineRule="exact"/>
        <w:rPr>
          <w:sz w:val="20"/>
          <w:szCs w:val="20"/>
          <w:color w:val="auto"/>
        </w:rPr>
      </w:pPr>
    </w:p>
    <w:p>
      <w:pPr>
        <w:ind w:right="120"/>
        <w:spacing w:after="0" w:line="328" w:lineRule="auto"/>
        <w:rPr>
          <w:sz w:val="20"/>
          <w:szCs w:val="20"/>
          <w:color w:val="auto"/>
        </w:rPr>
      </w:pPr>
      <w:r>
        <w:rPr>
          <w:rFonts w:ascii="Arial" w:cs="Arial" w:eastAsia="Arial" w:hAnsi="Arial"/>
          <w:sz w:val="15"/>
          <w:szCs w:val="15"/>
          <w:b w:val="1"/>
          <w:bCs w:val="1"/>
          <w:i w:val="1"/>
          <w:iCs w:val="1"/>
          <w:color w:val="auto"/>
        </w:rPr>
        <w:t>Because significant amounts of our common stock are currently held by oilfield services and other stock indices there is the possibility that our shareholder base will change following the spin-off. If significant amounts of our common are sold in the open market, any such shares sold may not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 with offsetting new demand.</w:t>
      </w:r>
    </w:p>
    <w:p>
      <w:pPr>
        <w:spacing w:after="0" w:line="2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5" w:name="page66"/>
    <w:bookmarkEnd w:id="65"/>
    <w:p>
      <w:pPr>
        <w:ind w:right="240"/>
        <w:spacing w:after="0" w:line="277"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9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costs will increase as a result of operating as a public company, and our management will be required to devote substantial time to complying with public company regulations.</w:t>
      </w:r>
    </w:p>
    <w:p>
      <w:pPr>
        <w:spacing w:after="0" w:line="1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20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66" w:name="page67"/>
    <w:bookmarkEnd w:id="66"/>
    <w:p>
      <w:pPr>
        <w:ind w:right="140"/>
        <w:spacing w:after="0" w:line="286" w:lineRule="auto"/>
        <w:rPr>
          <w:sz w:val="20"/>
          <w:szCs w:val="20"/>
          <w:color w:val="auto"/>
        </w:rPr>
      </w:pPr>
      <w:r>
        <w:rPr>
          <w:rFonts w:ascii="Arial" w:cs="Arial" w:eastAsia="Arial" w:hAnsi="Arial"/>
          <w:sz w:val="17"/>
          <w:szCs w:val="17"/>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6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increase our debt or raise additional capital in the future, which could affect our financial condition, may decrease our profitability or could dilute our shareholders.</w:t>
      </w:r>
    </w:p>
    <w:p>
      <w:pPr>
        <w:spacing w:after="0" w:line="19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9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“Arrangements Between Oil States and Our Company—Tax Sharing Agreement.”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7" w:name="page68"/>
    <w:bookmarkEnd w:id="67"/>
    <w:p>
      <w:pPr>
        <w:ind w:firstLine="324"/>
        <w:spacing w:after="0" w:line="292" w:lineRule="auto"/>
        <w:rPr>
          <w:sz w:val="20"/>
          <w:szCs w:val="20"/>
          <w:color w:val="auto"/>
        </w:rPr>
      </w:pPr>
      <w:r>
        <w:rPr>
          <w:rFonts w:ascii="Arial" w:cs="Arial" w:eastAsia="Arial" w:hAnsi="Arial"/>
          <w:sz w:val="16"/>
          <w:szCs w:val="16"/>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tax is not attributable to the fault of either party.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22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21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spin-off is conditioned on Oil States’ receipt of an opinion of its outside tax advisor reasonably acceptable to the Oil States board of directors regarding certain aspects of the spin-off transaction on which the IRS will not rule, except for cash payments made to stockholders in lieu of fractional shares of SpinCo common stock that such stockholders would otherwise receive in the distribution.</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8" w:name="page69"/>
    <w:bookmarkEnd w:id="68"/>
    <w:p>
      <w:pPr>
        <w:ind w:right="20" w:firstLine="324"/>
        <w:spacing w:after="0" w:line="268" w:lineRule="auto"/>
        <w:rPr>
          <w:sz w:val="20"/>
          <w:szCs w:val="20"/>
          <w:color w:val="auto"/>
        </w:rPr>
      </w:pPr>
      <w:r>
        <w:rPr>
          <w:rFonts w:ascii="Arial" w:cs="Arial" w:eastAsia="Arial" w:hAnsi="Arial"/>
          <w:sz w:val="17"/>
          <w:szCs w:val="17"/>
          <w:color w:val="auto"/>
        </w:rPr>
        <w:t>Oil States expects to receive an opinion from its outside tax advisor to such effect. In addition, Oil States expects to receive a private letter ruling from the IRS regarding certain aspects of the spin-off transaction on which the IRS will not rule, except for cash payments made to stockholders in lieu of fractional shares of SpinCo Common Stock that such stockholders would otherwise receive in the distribution. The private letter ruling and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 States and Our Company— Tax Sharing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22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Following the spin-off, we expect our board of directors to consider converting us to a REIT. If we qualify as a REIT, compliance with REIT requirements could have adverse consequences to us.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expect our board of directors to consider converting us to a real estate investment trust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 maximize profits. For example, we may be required to pay distributions to shareholders at disadvantageous times or when we do not have funds readily available for distribution.</w:t>
      </w:r>
    </w:p>
    <w:p>
      <w:pPr>
        <w:spacing w:after="0" w:line="22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may not be able to qualify as a REIT.</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spin-off, we expect our board of directors to consider the viability of an election by SpinCo to qualify and be taxed as a REIT for U.S. federal income tax purposes.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 lose our REIT status, we will not receive the tax and other benefits associated with qualifying as a REIT.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21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20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 Separation and Distribution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market currently exists for our common stock. We cannot assure you that an active trading market will develop for our common stock.</w:t>
      </w:r>
    </w:p>
    <w:p>
      <w:pPr>
        <w:spacing w:after="0" w:line="26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0" w:name="page71"/>
    <w:bookmarkEnd w:id="70"/>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market price of our stock may be influenced by many factors, some of which are beyond our control, including those described above in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Business” and the following:</w:t>
      </w:r>
    </w:p>
    <w:p>
      <w:pPr>
        <w:spacing w:after="0" w:line="238"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 or changes in financial estimates by analysts;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252"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Upon completion of the spin-off, we will have approximately [●] million shares of common stock outstanding.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20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71" w:name="page72"/>
    <w:bookmarkEnd w:id="71"/>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9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9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We expect that our revolving credit facility will contain, and the terms of any future indebtedness we or our subsidiaries incur may contain, limitations on our ability to pay dividends. For more information, see “Dividend Policy.” There can be no assurance that we will pay a dividend in the future or continue to pay any dividend if we do commence paying dividends.</w:t>
      </w:r>
    </w:p>
    <w:p>
      <w:pPr>
        <w:spacing w:after="0" w:line="20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1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Provisions contained in our certificate of incorporation and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See “Description of Capital Stock—Anti-Takeover Effects of Provisions of our Amended and Restated Certificate of Incorporation, our Amended and Restated Bylaws and Delaware Law.”</w:t>
      </w:r>
    </w:p>
    <w:p>
      <w:pPr>
        <w:spacing w:after="0" w:line="2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1"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w:t>
      </w:r>
    </w:p>
    <w:p>
      <w:pPr>
        <w:spacing w:after="0" w:line="147" w:lineRule="exact"/>
        <w:rPr>
          <w:sz w:val="20"/>
          <w:szCs w:val="20"/>
          <w:color w:val="auto"/>
        </w:rPr>
      </w:pPr>
    </w:p>
    <w:p>
      <w:pPr>
        <w:ind w:left="1080" w:hanging="640"/>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080" w:hanging="640"/>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pacing w:after="0" w:line="275" w:lineRule="exact"/>
        <w:rPr>
          <w:rFonts w:ascii="Arial" w:cs="Arial" w:eastAsia="Arial" w:hAnsi="Arial"/>
          <w:sz w:val="16"/>
          <w:szCs w:val="16"/>
          <w:color w:val="auto"/>
        </w:rPr>
      </w:pPr>
    </w:p>
    <w:p>
      <w:pPr>
        <w:ind w:left="1080" w:right="400" w:hanging="640"/>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(the “DGCL”), our amended and restated certificate of incorporation or our bylaws, or</w:t>
      </w:r>
    </w:p>
    <w:p>
      <w:pPr>
        <w:spacing w:after="0" w:line="197" w:lineRule="exact"/>
        <w:rPr>
          <w:rFonts w:ascii="Arial" w:cs="Arial" w:eastAsia="Arial" w:hAnsi="Arial"/>
          <w:sz w:val="18"/>
          <w:szCs w:val="18"/>
          <w:color w:val="auto"/>
        </w:rPr>
      </w:pPr>
    </w:p>
    <w:p>
      <w:pPr>
        <w:ind w:left="1080" w:right="300" w:hanging="640"/>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5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815" w:gutter="0" w:footer="0" w:header="0"/>
        </w:sectPr>
      </w:pPr>
    </w:p>
    <w:bookmarkStart w:id="72" w:name="page73"/>
    <w:bookmarkEnd w:id="72"/>
    <w:p>
      <w:pPr>
        <w:ind w:left="448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information in this information statement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20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214"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and other minerals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drilling</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recovery from the recent recession;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other factors identified under the caption “Risk Factors” beginning on page 18 of this information statement.</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73" w:name="page74"/>
    <w:bookmarkEnd w:id="73"/>
    <w:p>
      <w:pPr>
        <w:ind w:left="5420"/>
        <w:spacing w:after="0"/>
        <w:rPr>
          <w:sz w:val="20"/>
          <w:szCs w:val="20"/>
          <w:color w:val="auto"/>
        </w:rPr>
      </w:pPr>
      <w:r>
        <w:rPr>
          <w:rFonts w:ascii="Arial" w:cs="Arial" w:eastAsia="Arial" w:hAnsi="Arial"/>
          <w:sz w:val="18"/>
          <w:szCs w:val="18"/>
          <w:b w:val="1"/>
          <w:bCs w:val="1"/>
          <w:color w:val="auto"/>
        </w:rPr>
        <w:t>THE SPIN-OFF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w:t>
      </w:r>
    </w:p>
    <w:p>
      <w:pPr>
        <w:ind w:right="20"/>
        <w:spacing w:after="0" w:line="265" w:lineRule="auto"/>
        <w:rPr>
          <w:sz w:val="20"/>
          <w:szCs w:val="20"/>
          <w:color w:val="auto"/>
        </w:rPr>
      </w:pPr>
      <w:r>
        <w:rPr>
          <w:rFonts w:ascii="Arial" w:cs="Arial" w:eastAsia="Arial" w:hAnsi="Arial"/>
          <w:sz w:val="17"/>
          <w:szCs w:val="17"/>
          <w:color w:val="auto"/>
        </w:rPr>
        <w:t>standalone, publicly traded company. On , 2014, Oil States announced that its board of directors had unanimously approved the spin-off and the distribution of all of the stock of the new company to Oil States’ shareholders as of the record date of , 2014. This authorization is subject to final</w:t>
      </w:r>
    </w:p>
    <w:p>
      <w:pPr>
        <w:ind w:right="280"/>
        <w:spacing w:after="0" w:line="261" w:lineRule="auto"/>
        <w:rPr>
          <w:sz w:val="20"/>
          <w:szCs w:val="20"/>
          <w:color w:val="auto"/>
        </w:rPr>
      </w:pPr>
      <w:r>
        <w:rPr>
          <w:rFonts w:ascii="Arial" w:cs="Arial" w:eastAsia="Arial" w:hAnsi="Arial"/>
          <w:sz w:val="18"/>
          <w:szCs w:val="18"/>
          <w:color w:val="auto"/>
        </w:rPr>
        <w:t>approval by the Oil States board of directors, which approval is subject to, among other things, the conditions described below under “—Conditions to the Spin-Off.”</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Following our spin-off from Oil States, we will be an independent, publicly owned company. As part of the spin-off, Oil States has contributed to our capital all intercompany debt associated with our business and will contribute and transfer to us the assets and liabilities associated with our business, and we will amend and restate our certificate of incorporation and bylaws.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complete the spin-off, Oil States will, following the restructuring transactions, distribute to its stockholders all of the shares of our common stock. The</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distribution will occur on the distribution date, which is , 2014. Each holder of Oil States common stock will receive shares of our common stock for each share of Oil States common stock held by such stockholder at the close of business on , 2014, the record date. After completion of the spin-off, we will own and operate the accommodations business as an independent publicly traded company.</w:t>
      </w:r>
    </w:p>
    <w:p>
      <w:pPr>
        <w:spacing w:after="0" w:line="21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SpinCo’s market recognition with investors because of more focused operations; (4) establishing an acquisition currency for SpinCo and (5) enhancing our ability to attract and retain key employees.</w:t>
      </w:r>
    </w:p>
    <w:p>
      <w:pPr>
        <w:spacing w:after="0" w:line="21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7"/>
          <w:szCs w:val="17"/>
          <w:color w:val="auto"/>
        </w:rPr>
        <w:t>. Our accommodations business and the oilfield services business of Oil States have different financial and operating characteristics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74" w:name="page75"/>
    <w:bookmarkEnd w:id="74"/>
    <w:p>
      <w:pPr>
        <w:ind w:right="60" w:firstLine="324"/>
        <w:spacing w:after="0" w:line="255" w:lineRule="auto"/>
        <w:rPr>
          <w:sz w:val="20"/>
          <w:szCs w:val="20"/>
          <w:color w:val="auto"/>
        </w:rPr>
      </w:pPr>
      <w:r>
        <w:rPr>
          <w:rFonts w:ascii="Arial" w:cs="Arial" w:eastAsia="Arial" w:hAnsi="Arial"/>
          <w:sz w:val="18"/>
          <w:szCs w:val="18"/>
          <w:color w:val="auto"/>
        </w:rPr>
        <w:t>As separate public companies, Oil States and we will be able to provide incentive compensation including stock related compensation, to key management and employees that is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220"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i w:val="1"/>
          <w:iCs w:val="1"/>
          <w:color w:val="auto"/>
        </w:rPr>
        <w:t>Improving access to capital to fund internal and external expansion</w:t>
      </w:r>
      <w:r>
        <w:rPr>
          <w:rFonts w:ascii="Arial" w:cs="Arial" w:eastAsia="Arial" w:hAnsi="Arial"/>
          <w:sz w:val="16"/>
          <w:szCs w:val="16"/>
          <w:color w:val="auto"/>
        </w:rPr>
        <w:t>. As a separate public company, we will no longer need to compete with Oil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businesses for capital resources. 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9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Enhancing our market recognition with investors because of more focused operations</w:t>
      </w:r>
      <w:r>
        <w:rPr>
          <w:rFonts w:ascii="Arial" w:cs="Arial" w:eastAsia="Arial" w:hAnsi="Arial"/>
          <w:sz w:val="16"/>
          <w:szCs w:val="16"/>
          <w:color w:val="auto"/>
        </w:rPr>
        <w:t>. Oil States’ management and financial advisors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characteristics of the 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SpinCo’s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Establishing an acquisition currency for SpinCo</w:t>
      </w:r>
      <w:r>
        <w:rPr>
          <w:rFonts w:ascii="Arial" w:cs="Arial" w:eastAsia="Arial" w:hAnsi="Arial"/>
          <w:sz w:val="17"/>
          <w:szCs w:val="17"/>
          <w:color w:val="auto"/>
        </w:rPr>
        <w:t>. As a standalone accommodations company, we will be better positioned to use our equity securities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pursuing merger and 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This limitation is necessary in order to maintain the tax-free treatment of our separation from Oil States.</w:t>
      </w:r>
    </w:p>
    <w:p>
      <w:pPr>
        <w:spacing w:after="0" w:line="20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i w:val="1"/>
          <w:iCs w:val="1"/>
          <w:color w:val="auto"/>
        </w:rPr>
        <w:t>Enhancing our ability to attract and retain key employees</w:t>
      </w:r>
      <w:r>
        <w:rPr>
          <w:rFonts w:ascii="Arial" w:cs="Arial" w:eastAsia="Arial" w:hAnsi="Arial"/>
          <w:sz w:val="18"/>
          <w:szCs w:val="18"/>
          <w:color w:val="auto"/>
        </w:rPr>
        <w:t>. We believe that separating the oilfield services business from the accommodations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improve both businesses ability to attract key employees with specialized skill sets. As a result of the spin-off, Oil States and SpinCo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SpinCo will be better able to attract management from the hospitality, real estate and business services sectors as a separate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terms and conditions relating to the spin-off will be set forth in a separation and distribution agreement between us and Oil States. Under the</w:t>
      </w:r>
    </w:p>
    <w:p>
      <w:pPr>
        <w:spacing w:after="0" w:line="46"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separation and distribution agreement, the distribution will be effective as of 11:59 p.m., Eastern Time, on , 2014, the distribution date. As a result of the spin-off, on the distribution date, each holder of Oil States common stock will receive shares of our common stock for each 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Oil States common stock owned. In order to receive shares of our common stock in the spin-off, an Oil States stockholder must be stockholder at the close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of business of the NYSE on</w:t>
            </w:r>
          </w:p>
        </w:tc>
        <w:tc>
          <w:tcPr>
            <w:tcW w:w="8900" w:type="dxa"/>
            <w:vAlign w:val="bottom"/>
          </w:tcPr>
          <w:p>
            <w:pPr>
              <w:jc w:val="right"/>
              <w:ind w:right="6630"/>
              <w:spacing w:after="0"/>
              <w:rPr>
                <w:sz w:val="20"/>
                <w:szCs w:val="20"/>
                <w:color w:val="auto"/>
              </w:rPr>
            </w:pPr>
            <w:r>
              <w:rPr>
                <w:rFonts w:ascii="Arial" w:cs="Arial" w:eastAsia="Arial" w:hAnsi="Arial"/>
                <w:sz w:val="18"/>
                <w:szCs w:val="18"/>
                <w:color w:val="auto"/>
              </w:rPr>
              <w:t>, 2014, the record date.</w:t>
            </w:r>
          </w:p>
        </w:tc>
      </w:tr>
      <w:tr>
        <w:trPr>
          <w:trHeight w:val="688"/>
        </w:trPr>
        <w:tc>
          <w:tcPr>
            <w:tcW w:w="2560" w:type="dxa"/>
            <w:vAlign w:val="bottom"/>
          </w:tcPr>
          <w:p>
            <w:pPr>
              <w:spacing w:after="0"/>
              <w:rPr>
                <w:sz w:val="24"/>
                <w:szCs w:val="24"/>
                <w:color w:val="auto"/>
              </w:rPr>
            </w:pPr>
          </w:p>
        </w:tc>
        <w:tc>
          <w:tcPr>
            <w:tcW w:w="8900" w:type="dxa"/>
            <w:vAlign w:val="bottom"/>
          </w:tcPr>
          <w:p>
            <w:pPr>
              <w:jc w:val="right"/>
              <w:ind w:right="5570"/>
              <w:spacing w:after="0"/>
              <w:rPr>
                <w:sz w:val="20"/>
                <w:szCs w:val="20"/>
                <w:color w:val="auto"/>
              </w:rPr>
            </w:pPr>
            <w:r>
              <w:rPr>
                <w:rFonts w:ascii="Arial" w:cs="Arial" w:eastAsia="Arial" w:hAnsi="Arial"/>
                <w:sz w:val="18"/>
                <w:szCs w:val="18"/>
                <w:color w:val="auto"/>
              </w:rPr>
              <w:t>38</w:t>
            </w:r>
          </w:p>
        </w:tc>
      </w:tr>
      <w:tr>
        <w:trPr>
          <w:trHeight w:val="105"/>
        </w:trPr>
        <w:tc>
          <w:tcPr>
            <w:tcW w:w="2560" w:type="dxa"/>
            <w:vAlign w:val="bottom"/>
          </w:tcPr>
          <w:p>
            <w:pPr>
              <w:spacing w:after="0"/>
              <w:rPr>
                <w:sz w:val="9"/>
                <w:szCs w:val="9"/>
                <w:color w:val="auto"/>
              </w:rPr>
            </w:pPr>
          </w:p>
        </w:tc>
        <w:tc>
          <w:tcPr>
            <w:tcW w:w="8900" w:type="dxa"/>
            <w:vAlign w:val="bottom"/>
          </w:tcPr>
          <w:p>
            <w:pPr>
              <w:spacing w:after="0"/>
              <w:rPr>
                <w:sz w:val="9"/>
                <w:szCs w:val="9"/>
                <w:color w:val="auto"/>
              </w:rPr>
            </w:pPr>
          </w:p>
        </w:tc>
      </w:tr>
      <w:tr>
        <w:trPr>
          <w:trHeight w:val="61"/>
        </w:trPr>
        <w:tc>
          <w:tcPr>
            <w:tcW w:w="2560" w:type="dxa"/>
            <w:vAlign w:val="bottom"/>
            <w:shd w:val="clear" w:color="auto" w:fill="808080"/>
          </w:tcPr>
          <w:p>
            <w:pPr>
              <w:spacing w:after="0"/>
              <w:rPr>
                <w:sz w:val="5"/>
                <w:szCs w:val="5"/>
                <w:color w:val="auto"/>
              </w:rPr>
            </w:pPr>
          </w:p>
        </w:tc>
        <w:tc>
          <w:tcPr>
            <w:tcW w:w="8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75" w:name="page76"/>
    <w:bookmarkEnd w:id="75"/>
    <w:p>
      <w:pPr>
        <w:ind w:firstLine="324"/>
        <w:spacing w:after="0" w:line="269" w:lineRule="auto"/>
        <w:rPr>
          <w:sz w:val="20"/>
          <w:szCs w:val="20"/>
          <w:color w:val="auto"/>
        </w:rPr>
      </w:pPr>
      <w:r>
        <w:rPr>
          <w:rFonts w:ascii="Arial" w:cs="Arial" w:eastAsia="Arial" w:hAnsi="Arial"/>
          <w:sz w:val="17"/>
          <w:szCs w:val="17"/>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As further discussed below, we will not issue fractional shares of our common stock in the distribution. Following the spin-off, stockholders whose shares are held in book-entry form may request that their shares of our common stock be transferred to a brokerage or other account at any time.</w:t>
      </w:r>
    </w:p>
    <w:p>
      <w:pPr>
        <w:spacing w:after="0" w:line="210"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25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distribution agent will not distribute any fractional shares of our common stock to Oil States stockholders. Instead, as soon as practicable on or after the distribution date, the distribution agent will aggregate fractional shares of our common stock held by holders of record into whole shares, sell them in the open market at the prevailing market prices and then distribute the aggregate net sale proceeds ratably to Oil States stockholders who would otherwise have been entitled to receive fractional shares of our common stock. The amount of this payment will depend on the prices at which the distribution agent sells the aggregated fractional shares of our common stock in the open market shortly after the distribution date. We will be responsible for any payment of brokerage fees. The amount of these brokerage fees is not expected to be material to us. The receipt of cash in lieu of fractional shares of our common stock will generally result in a taxable gain or loss to the recipient stockholder. Each stockholder entitled to receive cash proceeds from these shares should consult his, her or its own tax advisor as to the stockholder’s particular circumstances. The tax consequences of the distribution are described in more detail under “— U.S. Federal Income Tax Consequences of the Spin-Off.”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25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19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74"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660" w:right="22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6" w:name="page77"/>
    <w:bookmarkEnd w:id="76"/>
    <w:p>
      <w:pPr>
        <w:ind w:firstLine="324"/>
        <w:spacing w:after="0" w:line="277" w:lineRule="auto"/>
        <w:rPr>
          <w:sz w:val="20"/>
          <w:szCs w:val="20"/>
          <w:color w:val="auto"/>
        </w:rPr>
      </w:pPr>
      <w:r>
        <w:rPr>
          <w:rFonts w:ascii="Arial" w:cs="Arial" w:eastAsia="Arial" w:hAnsi="Arial"/>
          <w:sz w:val="18"/>
          <w:szCs w:val="18"/>
          <w:color w:val="auto"/>
        </w:rPr>
        <w:t>A non-U.S. holder is a beneficial owner (other than an entity treated as a partnership or other pass-through entity for U.S. federal income tax purposes) of shares of Oil States common stock who is not a U.S. holder.</w:t>
      </w:r>
    </w:p>
    <w:p>
      <w:pPr>
        <w:spacing w:after="0" w:line="19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74"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or grantor trusts;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52"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who acquired our common stock pursuant to the exercise of employee stock options or otherwise as compensation;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who are subject to alternative minimum tax consequences;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in such entities.</w:t>
      </w:r>
    </w:p>
    <w:p>
      <w:pPr>
        <w:spacing w:after="0" w:line="25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51"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7" w:name="page78"/>
    <w:bookmarkEnd w:id="77"/>
    <w:p>
      <w:pPr>
        <w:ind w:right="80"/>
        <w:spacing w:after="0" w:line="261" w:lineRule="auto"/>
        <w:rPr>
          <w:sz w:val="20"/>
          <w:szCs w:val="20"/>
          <w:color w:val="auto"/>
        </w:rPr>
      </w:pPr>
      <w:r>
        <w:rPr>
          <w:rFonts w:ascii="Arial" w:cs="Arial" w:eastAsia="Arial" w:hAnsi="Arial"/>
          <w:sz w:val="18"/>
          <w:szCs w:val="18"/>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Tax-free Status of the Distribution</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Oil States has requested (i) a private letter ruling substantially to the effect that, among other things, the distribution will qualify under Section 355 of the Code as a tax-free distribution and (ii) an opinion from its tax counsel regarding certain aspects of the spin-off transaction on which the IRS will not rule. Assuming that the distribution qualifies as a tax-free distribution,</w:t>
      </w:r>
    </w:p>
    <w:p>
      <w:pPr>
        <w:spacing w:after="0" w:line="208" w:lineRule="exact"/>
        <w:rPr>
          <w:sz w:val="20"/>
          <w:szCs w:val="20"/>
          <w:color w:val="auto"/>
        </w:rPr>
      </w:pPr>
    </w:p>
    <w:p>
      <w:pPr>
        <w:ind w:left="660" w:right="30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Oil States stockholders upon their receipt of shares of our common stock in the distribution;</w:t>
      </w:r>
    </w:p>
    <w:p>
      <w:pPr>
        <w:spacing w:after="0" w:line="197" w:lineRule="exact"/>
        <w:rPr>
          <w:rFonts w:ascii="Arial" w:cs="Arial" w:eastAsia="Arial" w:hAnsi="Arial"/>
          <w:sz w:val="18"/>
          <w:szCs w:val="18"/>
          <w:color w:val="auto"/>
        </w:rPr>
      </w:pPr>
    </w:p>
    <w:p>
      <w:pPr>
        <w:ind w:left="660" w:right="46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208"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w:t>
      </w:r>
    </w:p>
    <w:p>
      <w:pPr>
        <w:spacing w:after="0" w:line="150" w:lineRule="exact"/>
        <w:rPr>
          <w:rFonts w:ascii="Arial" w:cs="Arial" w:eastAsia="Arial" w:hAnsi="Arial"/>
          <w:sz w:val="16"/>
          <w:szCs w:val="16"/>
          <w:color w:val="auto"/>
        </w:rPr>
      </w:pPr>
    </w:p>
    <w:p>
      <w:pPr>
        <w:ind w:left="660" w:right="4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Oil States stockholder that receives cash in lieu of a fractional share of our common stock generally should recognize taxable gain or loss equal to the difference between the amount of cash received for such fractional share of our common stock and the tax basis allocable to such fractional share interests in our common stock (determined as described above) and such gain will be capital gain or loss if the Oil States common stock on which the distribution is made is held as a capital asset on the distribution date; and</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gain or loss will be recognized by Oil States upon the distribution of our common stock.</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private letter ruling and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21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the distribution otherwise qualifies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U.S. 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discussion above under “—Tax-Free Status of the Distribution” applies to U.S. holders if the distribution qualifies as tax-free under Section 355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8" w:name="page79"/>
    <w:bookmarkEnd w:id="78"/>
    <w:p>
      <w:pPr>
        <w:jc w:val="both"/>
        <w:ind w:right="40" w:firstLine="324"/>
        <w:spacing w:after="0" w:line="312" w:lineRule="auto"/>
        <w:rPr>
          <w:sz w:val="20"/>
          <w:szCs w:val="20"/>
          <w:color w:val="auto"/>
        </w:rPr>
      </w:pPr>
      <w:r>
        <w:rPr>
          <w:rFonts w:ascii="Arial" w:cs="Arial" w:eastAsia="Arial" w:hAnsi="Arial"/>
          <w:sz w:val="16"/>
          <w:szCs w:val="16"/>
          <w:color w:val="auto"/>
        </w:rPr>
        <w:t>If the distribution of shares of our common stock does not qualify under Section 355, then each U.S. holder of Oil States receiving shares of our common stock in the distribution generally would be treated as receiving a distribution in an amount equal to the fair market value of such shares (including fractional shares in lieu of which such holder receives cash) of our common stock. This generally would result in the following consequences to the U.S. holder:</w:t>
      </w:r>
    </w:p>
    <w:p>
      <w:pPr>
        <w:spacing w:after="0" w:line="174"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first, a taxable dividend to the extent of such U.S. holder’s pro rata share of Oil States’ current and accumulated earnings and profits;</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second, any amount that exceeds Oil States’ earnings and profits would be treated as a nontaxable return of capital to the extent of such U.S. holder’s tax basis in its shares of Oil States’ common stock;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third, any remaining amount would be taxed as capital gain.</w:t>
      </w:r>
    </w:p>
    <w:p>
      <w:pPr>
        <w:spacing w:after="0" w:line="25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Company—Tax Sharing Agreement.”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5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Assuming the distribution qualifies as a tax-free distribution for U.S. federal income tax purposes, a U.S. holder who receives cash in lieu of our common stock in connection with the distribution generally will recognize capital gain or loss measured by the difference between the cash received for such fractional share of our common stock and the holder’s tax basis that would be allocated to such fractional share. Any such capital gain would be long term capital gain, assuming that the U.S. holder has held all of its Oil States common stock for more than one year. If the distribution does not qualify as a tax-free distribution, then the same rule will apply, but the U.S. holder’s basis in the fractional share of our stock will be its fair market value at the time of the distribution.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U.S. holder that receives a taxable distribution of our common stock or payment of cash in lieu of a fractional share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Non-U.S. 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5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Provided that the distribution qualifies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 established securities market for U.S. federal income tax purposes.</w:t>
      </w:r>
    </w:p>
    <w:p>
      <w:pPr>
        <w:spacing w:after="0" w:line="20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expect to be a USRPHC immediately after the distribution. However, because the determination of whether we are a USRPHC turns on the relative fair market value of our United States real property interests and our other assets, and because the USRPHC rules are complex, we can give no assurance that we will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9" w:name="page80"/>
    <w:bookmarkEnd w:id="79"/>
    <w:p>
      <w:pPr>
        <w:ind w:right="80" w:firstLine="324"/>
        <w:spacing w:after="0" w:line="264" w:lineRule="auto"/>
        <w:rPr>
          <w:sz w:val="20"/>
          <w:szCs w:val="20"/>
          <w:color w:val="auto"/>
        </w:rPr>
      </w:pPr>
      <w:r>
        <w:rPr>
          <w:rFonts w:ascii="Arial" w:cs="Arial" w:eastAsia="Arial" w:hAnsi="Arial"/>
          <w:sz w:val="18"/>
          <w:szCs w:val="18"/>
          <w:color w:val="auto"/>
        </w:rPr>
        <w:t>If the distribution does not qualify as a tax-free distribution for U.S. federal income tax purposes, then each non-U.S. holder receiving shares of our common stock in the distribution (including fractional shares in lieu of which such holder receives cash) would be subject to U.S. federal income tax at a rate of 30 percent of the gross amount of any such distribution that is treated as a dividend, unless:</w:t>
      </w:r>
    </w:p>
    <w:p>
      <w:pPr>
        <w:spacing w:after="0" w:line="208" w:lineRule="exact"/>
        <w:rPr>
          <w:sz w:val="20"/>
          <w:szCs w:val="20"/>
          <w:color w:val="auto"/>
        </w:rPr>
      </w:pPr>
    </w:p>
    <w:p>
      <w:pPr>
        <w:ind w:right="240" w:firstLine="332"/>
        <w:spacing w:after="0" w:line="277" w:lineRule="auto"/>
        <w:tabs>
          <w:tab w:leader="none" w:pos="7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197" w:lineRule="exact"/>
        <w:rPr>
          <w:rFonts w:ascii="Arial" w:cs="Arial" w:eastAsia="Arial" w:hAnsi="Arial"/>
          <w:sz w:val="18"/>
          <w:szCs w:val="18"/>
          <w:color w:val="auto"/>
        </w:rPr>
      </w:pPr>
    </w:p>
    <w:p>
      <w:pPr>
        <w:ind w:left="760" w:hanging="428"/>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non-U.S. holder is entitled to a reduced tax rate with respect to dividends pursuant to an applicable income tax treaty.</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21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subject to the same exceptions described below under “—Cash In Lieu of Fractional Shares,” and generally is not subject to U.S. withholding tax subject to the same exception described above for a nontaxable return of capital.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Assuming the distribution qualifies as a tax-free distribution, non-U.S. holders generally will not be subject to regular U.S. federal income or withholding tax on gain realized on the receipt of cash in lieu of fractional shares of our common stock received in the distribution, unless:</w:t>
      </w:r>
    </w:p>
    <w:p>
      <w:pPr>
        <w:spacing w:after="0" w:line="197" w:lineRule="exact"/>
        <w:rPr>
          <w:sz w:val="20"/>
          <w:szCs w:val="20"/>
          <w:color w:val="auto"/>
        </w:rPr>
      </w:pPr>
    </w:p>
    <w:p>
      <w:pPr>
        <w:ind w:right="240" w:firstLine="332"/>
        <w:spacing w:after="0" w:line="277" w:lineRule="auto"/>
        <w:tabs>
          <w:tab w:leader="none" w:pos="7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gain is effectively connected with a United States trade or business of the non-U.S. holder or, if an income tax treaty applies, attributable to a permanent establishment or fixed base maintained by the non-U.S. holder within the United States;</w:t>
      </w:r>
    </w:p>
    <w:p>
      <w:pPr>
        <w:spacing w:after="0" w:line="197" w:lineRule="exact"/>
        <w:rPr>
          <w:rFonts w:ascii="Arial" w:cs="Arial" w:eastAsia="Arial" w:hAnsi="Arial"/>
          <w:sz w:val="18"/>
          <w:szCs w:val="18"/>
          <w:color w:val="auto"/>
        </w:rPr>
      </w:pPr>
    </w:p>
    <w:p>
      <w:pPr>
        <w:ind w:right="340" w:firstLine="332"/>
        <w:spacing w:after="0" w:line="277" w:lineRule="auto"/>
        <w:tabs>
          <w:tab w:leader="none" w:pos="7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distribution occurs and certain other conditions are met; or</w:t>
      </w:r>
    </w:p>
    <w:p>
      <w:pPr>
        <w:spacing w:after="0" w:line="197" w:lineRule="exact"/>
        <w:rPr>
          <w:rFonts w:ascii="Arial" w:cs="Arial" w:eastAsia="Arial" w:hAnsi="Arial"/>
          <w:sz w:val="18"/>
          <w:szCs w:val="18"/>
          <w:color w:val="auto"/>
        </w:rPr>
      </w:pPr>
    </w:p>
    <w:p>
      <w:pPr>
        <w:ind w:right="280" w:firstLine="332"/>
        <w:spacing w:after="0" w:line="264" w:lineRule="auto"/>
        <w:tabs>
          <w:tab w:leader="none" w:pos="7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treated as a USRPHC immediately after the distribution, and (i) our common stock is not regularly traded on an established securities market (which we do not believe to be the case), or (ii) if our common stock were regularly traded on an established securities market, the non-U.S. holder beneficially owned more than five percent of our common stock under the rules described above.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0" w:name="page81"/>
    <w:bookmarkEnd w:id="80"/>
    <w:p>
      <w:pPr>
        <w:ind w:right="20" w:firstLine="324"/>
        <w:spacing w:after="0" w:line="268" w:lineRule="auto"/>
        <w:rPr>
          <w:sz w:val="20"/>
          <w:szCs w:val="20"/>
          <w:color w:val="auto"/>
        </w:rPr>
      </w:pPr>
      <w:r>
        <w:rPr>
          <w:rFonts w:ascii="Arial" w:cs="Arial" w:eastAsia="Arial" w:hAnsi="Arial"/>
          <w:sz w:val="17"/>
          <w:szCs w:val="17"/>
          <w:color w:val="auto"/>
        </w:rPr>
        <w:t>If one of the above clauses (1) through (3) applies, the non-U.S. holder generally will recognize capital gain or loss measured by the difference between the cash received for the fractional share of our common stock and the holder’s tax basis that would be allocated to such fractional share. Gains realized by a non-U.S. holder described in clause (1) above that are effectively connected with the conduct of a trade or business, or, if an income tax treaty applies, are attributable to a permanent establishment or a fixed base maintained by the non-U.S. holder within the United States generally will be taxed on a net income basis at the graduated rates that are applicable to U.S. persons. In the case of a non-U.S. holder that is a corporation, such income may also be subject to the U.S. federal branch profits tax, which generally is imposed on a foreign corporation upon the deemed repatriation from the United States of effectively connected earnings and profits, currently at a 30 percent rate, unless the rate is reduced or eliminated by an applicable income tax treaty and the non-U.S. holder is a qualified resident of the treaty country. Gains realized by a non-U.S. holder described in clause (2) above generally will be subject to a 30 percent tax from the receipt of cash in lieu of fractional shares (or a lower treaty rate, if applicable), with such gains eligible to be offset by certain U.S.-source capital losses recognized in the same taxable year of the distribution. Non-U.S. holders that meet the circumstances in clause (3) should consult their tax advisors regarding the determination of the amount of gain (if any) that would be subject to U.S. federal income tax. If the distribution does not qualify as a tax-free distribution, then the same rule will apply, but the non-U.S. holder’s basis in the fractional share of our stock will be its fair market value at the time of the distribution.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for Significant Stockholders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2"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In addition, we have agreed to pay 50% of any taxes arising from the spin-off to the extent that the tax is not attributable to the fault of either party. See “Arrangements Between Oil States and Our Company—Tax Sharing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After the spin-off, we will be an independent, publicly owned company. Immediately following the spin-off, we expect to have approximately [●] holders of shares of our common stock and approximately [●]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220"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1" w:name="page82"/>
    <w:bookmarkEnd w:id="81"/>
    <w:p>
      <w:pPr>
        <w:ind w:right="100" w:firstLine="324"/>
        <w:spacing w:after="0" w:line="259" w:lineRule="auto"/>
        <w:rPr>
          <w:sz w:val="20"/>
          <w:szCs w:val="20"/>
          <w:color w:val="auto"/>
        </w:rPr>
      </w:pPr>
      <w:r>
        <w:rPr>
          <w:rFonts w:ascii="Arial" w:cs="Arial" w:eastAsia="Arial" w:hAnsi="Arial"/>
          <w:sz w:val="18"/>
          <w:szCs w:val="18"/>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Prior to the Distribution Date</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20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Following the distribution date, we expect shares of our common stock to be listed on the NYSE under the ticker symbol “[●]” We will announce the when-issued ticker symbol when and if it becomes available.</w:t>
      </w:r>
    </w:p>
    <w:p>
      <w:pPr>
        <w:spacing w:after="0" w:line="19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Stock-Based Plans for Current and Former Employees</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treatment of outstanding Oil States options and other equity-based compensation awards has not been finally determined, and we will include information regarding the treatment in an amendment to this information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256" w:lineRule="exact"/>
        <w:rPr>
          <w:sz w:val="20"/>
          <w:szCs w:val="20"/>
          <w:color w:val="auto"/>
        </w:rPr>
      </w:pPr>
    </w:p>
    <w:p>
      <w:pPr>
        <w:ind w:right="300" w:firstLine="324"/>
        <w:spacing w:after="0" w:line="308" w:lineRule="auto"/>
        <w:rPr>
          <w:sz w:val="20"/>
          <w:szCs w:val="20"/>
          <w:color w:val="auto"/>
        </w:rPr>
      </w:pPr>
      <w:r>
        <w:rPr>
          <w:rFonts w:ascii="Arial" w:cs="Arial" w:eastAsia="Arial" w:hAnsi="Arial"/>
          <w:sz w:val="16"/>
          <w:szCs w:val="16"/>
          <w:color w:val="auto"/>
        </w:rPr>
        <w:t>Upon the closing of the spin-off, we expect to enter into a $[●] million, [●]-year credit facility. We have not obtained a financing commitment for the credit facility. Amounts outstanding under the credit facility are initially expected to bear variable-rate interest at [●]%. See “Description of Material</w:t>
      </w:r>
    </w:p>
    <w:p>
      <w:pPr>
        <w:spacing w:after="0"/>
        <w:rPr>
          <w:sz w:val="20"/>
          <w:szCs w:val="20"/>
          <w:color w:val="auto"/>
        </w:rPr>
      </w:pPr>
      <w:r>
        <w:rPr>
          <w:rFonts w:ascii="Arial" w:cs="Arial" w:eastAsia="Arial" w:hAnsi="Arial"/>
          <w:sz w:val="18"/>
          <w:szCs w:val="18"/>
          <w:color w:val="auto"/>
        </w:rPr>
        <w:t>Indebtedness.”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Conditions to the Spin-Off</w:t>
      </w:r>
    </w:p>
    <w:p>
      <w:pPr>
        <w:sectPr>
          <w:pgSz w:w="11900" w:h="16838" w:orient="portrait"/>
          <w:cols w:equalWidth="0" w:num="1">
            <w:col w:w="11340"/>
          </w:cols>
          <w:pgMar w:left="240" w:top="607" w:right="319" w:bottom="1440" w:gutter="0" w:footer="0" w:header="0"/>
        </w:sectPr>
      </w:pP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expect that the spin-off will be effective as of 11:59 p.m., Eastern Time, on conditions shall have been satisfied or waived by Oil States: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 date, provided that the following</w:t>
      </w:r>
    </w:p>
    <w:p>
      <w:pPr>
        <w:spacing w:after="0" w:line="490" w:lineRule="exact"/>
        <w:rPr>
          <w:sz w:val="20"/>
          <w:szCs w:val="20"/>
          <w:color w:val="auto"/>
        </w:rPr>
      </w:pPr>
    </w:p>
    <w:p>
      <w:pPr>
        <w:sectPr>
          <w:pgSz w:w="11900" w:h="16838" w:orient="portrait"/>
          <w:cols w:equalWidth="0" w:num="2">
            <w:col w:w="6500" w:space="720"/>
            <w:col w:w="4120"/>
          </w:cols>
          <w:pgMar w:left="240" w:top="607" w:right="319" w:bottom="1440" w:gutter="0" w:footer="0" w:header="0"/>
          <w:type w:val="continuous"/>
        </w:sectPr>
      </w:pPr>
    </w:p>
    <w:p>
      <w:pPr>
        <w:ind w:left="660" w:right="100" w:hanging="652"/>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208" w:lineRule="exact"/>
        <w:rPr>
          <w:rFonts w:ascii="Arial" w:cs="Arial" w:eastAsia="Arial" w:hAnsi="Arial"/>
          <w:sz w:val="18"/>
          <w:szCs w:val="18"/>
          <w:color w:val="auto"/>
        </w:rPr>
      </w:pPr>
    </w:p>
    <w:p>
      <w:pPr>
        <w:ind w:left="660" w:right="86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97"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SpinCo common stock will have been authorized for listing on the NYSE, or another national securities exchange approved by SpinCo, subject to official notice of issuance;</w:t>
      </w:r>
    </w:p>
    <w:p>
      <w:pPr>
        <w:spacing w:after="0" w:line="197"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208"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197"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order, injunction, decree or regulation issued by any court or agency of competent jurisdiction or other legal restraint or prohibition preventing consummation of the distribution will be in effect;</w:t>
      </w:r>
    </w:p>
    <w:p>
      <w:pPr>
        <w:spacing w:after="0" w:line="197"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distribution will have been obtained and be in full force and effect.</w:t>
      </w:r>
    </w:p>
    <w:p>
      <w:pPr>
        <w:spacing w:after="0" w:line="19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TRADING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5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intend to list our common stock on the NYSE under the ticker symbol “[●]” We will announce our when-issued trading symbol when and if it becomes available.</w:t>
      </w:r>
    </w:p>
    <w:p>
      <w:pPr>
        <w:spacing w:after="0" w:line="20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of Our Common Stock</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We estimate that our directors and executive officers, who may be considered “affiliates” for purposes of Rule 144, will beneficially own approximately [●] shares of our common stock immediately following the distribution. See “Security Ownership of Certain Beneficial Owners and Management” included elsewhere in this information statement for more information. Our affiliates may sell shares of our common stock received in the distribution only:</w:t>
      </w:r>
    </w:p>
    <w:p>
      <w:pPr>
        <w:spacing w:after="0" w:line="192"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4" w:name="page85"/>
    <w:bookmarkEnd w:id="84"/>
    <w:p>
      <w:pPr>
        <w:ind w:firstLine="324"/>
        <w:spacing w:after="0" w:line="264"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20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 of our common stock then outstanding; or</w:t>
      </w:r>
    </w:p>
    <w:p>
      <w:pPr>
        <w:spacing w:after="0" w:line="25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NYSE during the four calendar weeks preceding the filing of a notice on Form 144 with respect to the sale.</w:t>
      </w:r>
    </w:p>
    <w:p>
      <w:pPr>
        <w:spacing w:after="0" w:line="19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Sales may not be made under Rule 144 unless certain information about us is publicly available.</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21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85" w:name="page86"/>
    <w:bookmarkEnd w:id="85"/>
    <w:p>
      <w:pPr>
        <w:jc w:val="center"/>
        <w:ind w:left="660"/>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 See “Description of Material Indebtedness.”</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86" w:name="page87"/>
    <w:bookmarkEnd w:id="86"/>
    <w:p>
      <w:pPr>
        <w:jc w:val="center"/>
        <w:ind w:left="660"/>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table sets forth (i) our historical capitalization as of September 30, 2013, and (ii) our adjusted capitalization assuming the distribution, the incurrence of debt and other matters (as discussed in “The Spin-Off”) was effective as of September 30,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As of September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6"/>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Outstanding</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Oil States International, Inc. net investment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Net Investment/Stockholders’ Equity</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1,889.9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portion of the distribution adjustment to additional paid-in capital will be allocated to common stock once the distribution ratio has been determined.</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7" w:name="page88"/>
    <w:bookmarkEnd w:id="87"/>
    <w:p>
      <w:pPr>
        <w:ind w:left="324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5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unaudited pro forma combined financial statements of the Accommodations Business of Oil States consist of the unaudited pro forma combined statements of income for the nine months ended September 30, 2013 and for the year ended December 31, 2012 and an unaudited pro forma combined balance sheet as of September 30, 2013. The unaudited pro forma combined financial statements should be read in conjunction with “Capitalization,” “Selected Historical Combined Financial Data,” “Management’s Discussion and Analysis of Financial Condition and Results of Operations,” “Other Related Party Transactions” and our historical combined financial statements included elsewhere in this Information Statement.</w:t>
      </w:r>
    </w:p>
    <w:p>
      <w:pPr>
        <w:spacing w:after="0" w:line="20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94"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unaudited pro forma combined statements of income for the nine months ended September 30, 2013 and for the year ended December 31, 2012 reflects our results as if the spin-off and related transactions described below had occurred on January 1, 2012. The unaudited pro forma combined balance sheet as of September 30, 2013 reflects our results as if the spin-off and related transactions described below had occurred as of such date.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52"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contribution by Oil States to us, pursuant to the spin-off, of all the assets and liabilities that comprise our business;</w:t>
      </w:r>
    </w:p>
    <w:p>
      <w:pPr>
        <w:spacing w:after="0" w:line="252"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anticipated post-spin-off capital structure, including (i) the issuance of up to approximately [●] million shares of our common stock to holders of Oil States common shares (this number of shares is based upon the number of Oil States common shares outstanding on September 30, 2013 and an assumed distribution ratio of [●] shares of OIS Accommodations SpinCo Inc. common stock for every one share of Oil States common stock held on the record date) and (ii) the incurrence of $771.0 million of indebtedness to fund an estimated transfer to Oil States of $750.0 million through a return of capital and/or a dividend. We anticipate that the cash distribution to Oil States will be within a range of $650.0 million to $850.0 million and have used the mid-point of that range for the purposes of the pro forma adjustment. The final distribution amount has not yet been determined; and</w:t>
      </w:r>
    </w:p>
    <w:p>
      <w:pPr>
        <w:spacing w:after="0" w:line="216"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settlement of intercompany account balances between us and Oil States including the contribution to us of our existing long term debt to affiliates, which is currently held by Oil States.</w:t>
      </w:r>
    </w:p>
    <w:p>
      <w:pPr>
        <w:spacing w:after="0" w:line="197"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In connection with the spin-off, we expect to enter into a transition services agreement, tax sharing agreement and employee matters agreement with Oil States. See “Arrangements Between Oil States and Our Company.” We do not expect that the incremental costs associated with the agreements will be materially higher than the allocations described above, as such, no further pro forma adjustment have been made. However, the unaudited pro forma condensed combined financial statements do not reflect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 of the costs of operating as a stand-alone public company which are estimated to be in the range of $17.0 million to $20.0 million, before-tax, annually.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88" w:name="page89"/>
    <w:bookmarkEnd w:id="88"/>
    <w:p>
      <w:pPr>
        <w:ind w:firstLine="324"/>
        <w:spacing w:after="0" w:line="299" w:lineRule="auto"/>
        <w:rPr>
          <w:sz w:val="20"/>
          <w:szCs w:val="20"/>
          <w:color w:val="auto"/>
        </w:rPr>
      </w:pPr>
      <w:r>
        <w:rPr>
          <w:rFonts w:ascii="Arial" w:cs="Arial" w:eastAsia="Arial" w:hAnsi="Arial"/>
          <w:sz w:val="16"/>
          <w:szCs w:val="16"/>
          <w:color w:val="auto"/>
        </w:rPr>
        <w:t>We currently estimate that Oil States will incur $15.0 million to $20.0 million of transaction costs related to the spin-off, excluding refinancing costs. As of December 31, 2013, Oil States had already incurred approximately $5.0 million of these transaction costs. We have not adjusted the accompanying unaudited pro forma combined statements of income for these estimated costs as the costs are not expected to be allocated to us or to have an ongoing impact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our operating results. We expect all of these costs to be paid for and expensed by Oil States.</w:t>
      </w:r>
    </w:p>
    <w:p>
      <w:pPr>
        <w:spacing w:after="0" w:line="2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anticipate that SpinCo will also incur transition costs related to becoming a separate, public company within 18 months of the spin-off. These costs primarily relate to the following:</w:t>
      </w:r>
    </w:p>
    <w:p>
      <w:pPr>
        <w:spacing w:after="0" w:line="224"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accounting, tax, legal and other professional costs pertaining to the spin-off and establishing us as a stand-alone public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compensation, such as modifications to certain bonus and equity awards, upon completion of the spin-off;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relocation costs;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recruiting and relocation costs associated with hiring key senior management personnel new to our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costs related to establishing our new brand in the marketplace;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costs to separate information systems.</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Due to the scope and complexity of these activities, the amount of these costs could increase or decrease materially and the timing of incurrence could change.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Pro Forma for</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Financing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93"/>
              </w:rPr>
              <w:t>Distribution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the Financing</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4"/>
              </w:rPr>
              <w:t>and Other</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Historical(a)</w:t>
            </w: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for Distribution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89"/>
              </w:rPr>
              <w:t>Adjustments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 (e)  $</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181.1</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1,353.4</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2,113.5</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6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Long-term debt to affiliates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50"/>
              <w:spacing w:after="0"/>
              <w:rPr>
                <w:sz w:val="20"/>
                <w:szCs w:val="20"/>
                <w:color w:val="auto"/>
              </w:rPr>
            </w:pPr>
            <w:r>
              <w:rPr>
                <w:rFonts w:ascii="Arial" w:cs="Arial" w:eastAsia="Arial" w:hAnsi="Arial"/>
                <w:sz w:val="18"/>
                <w:szCs w:val="18"/>
                <w:color w:val="auto"/>
              </w:rPr>
              <w:t>(346.6) (f)</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to third-parties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771.0</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771.0</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978.4</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 (g)</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1,136.8* (g)</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1,136.8</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Parent company investment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(4.8) (c)</w:t>
            </w:r>
          </w:p>
        </w:tc>
        <w:tc>
          <w:tcPr>
            <w:tcW w:w="100" w:type="dxa"/>
            <w:vAlign w:val="bottom"/>
          </w:tcPr>
          <w:p>
            <w:pPr>
              <w:spacing w:after="0"/>
              <w:rPr>
                <w:sz w:val="18"/>
                <w:szCs w:val="18"/>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(1,540.2) (g)</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 Parent company equity</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1,133.7</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 noncontrolling interests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1,135.1</w:t>
            </w: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2,113.5</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accompanying Notes to the Unaudited Pro Forma Combined Financial Statements</w:t>
      </w:r>
    </w:p>
    <w:p>
      <w:pPr>
        <w:spacing w:after="0" w:line="240" w:lineRule="exact"/>
        <w:rPr>
          <w:sz w:val="20"/>
          <w:szCs w:val="20"/>
          <w:color w:val="auto"/>
        </w:rPr>
      </w:pPr>
    </w:p>
    <w:p>
      <w:pPr>
        <w:jc w:val="center"/>
        <w:ind w:left="5620" w:right="40" w:hanging="5612"/>
        <w:spacing w:after="0" w:line="841"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portion of the distribution adjustment to additional paid-in capital will be allocated to common stock once the distribution ratio has been determined.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Pro Forma for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Financing</w:t>
            </w:r>
          </w:p>
        </w:tc>
        <w:tc>
          <w:tcPr>
            <w:tcW w:w="48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Distribution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the Financing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Adjustments for</w:t>
            </w:r>
          </w:p>
        </w:tc>
        <w:tc>
          <w:tcPr>
            <w:tcW w:w="480" w:type="dxa"/>
            <w:vAlign w:val="bottom"/>
          </w:tcPr>
          <w:p>
            <w:pPr>
              <w:spacing w:after="0"/>
              <w:rPr>
                <w:sz w:val="18"/>
                <w:szCs w:val="18"/>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Historical(a)</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Adjustments(b)</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5"/>
          </w:tcPr>
          <w:p>
            <w:pPr>
              <w:ind w:left="700"/>
              <w:spacing w:after="0"/>
              <w:rPr>
                <w:sz w:val="20"/>
                <w:szCs w:val="20"/>
                <w:color w:val="auto"/>
              </w:rPr>
            </w:pPr>
            <w:r>
              <w:rPr>
                <w:rFonts w:ascii="Arial" w:cs="Arial" w:eastAsia="Arial" w:hAnsi="Arial"/>
                <w:sz w:val="18"/>
                <w:szCs w:val="18"/>
                <w:b w:val="1"/>
                <w:bCs w:val="1"/>
                <w:color w:val="auto"/>
              </w:rPr>
              <w:t>(in millions, except per share data)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415.1</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195.8</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9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14.3  (f)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Borders>
              <w:top w:val="single" w:sz="8" w:color="CCEEFF"/>
            </w:tcBorders>
            <w:shd w:val="clear" w:color="auto" w:fill="CCEEFF"/>
          </w:tcPr>
          <w:p>
            <w:pPr>
              <w:spacing w:after="0"/>
              <w:rPr>
                <w:sz w:val="24"/>
                <w:szCs w:val="24"/>
                <w:color w:val="auto"/>
              </w:rPr>
            </w:pPr>
          </w:p>
        </w:tc>
        <w:tc>
          <w:tcPr>
            <w:tcW w:w="12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1"/>
              </w:rPr>
              <w:t>Net income attributable to Accommodations Business</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of Oil States International, Inc.</w:t>
            </w:r>
          </w:p>
        </w:tc>
        <w:tc>
          <w:tcPr>
            <w:tcW w:w="22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2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-2220595</wp:posOffset>
            </wp:positionV>
            <wp:extent cx="7246620" cy="22212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22123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Financing</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Pro Forma for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Adjustments</w:t>
            </w: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the Financing</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for</w:t>
            </w: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Other</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Historical(a)</w:t>
            </w:r>
          </w:p>
        </w:tc>
        <w:tc>
          <w:tcPr>
            <w:tcW w:w="18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Distribution</w:t>
            </w: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Adjustments(b)</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Distribution</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(unaudited)</w:t>
            </w:r>
          </w:p>
        </w:tc>
        <w:tc>
          <w:tcPr>
            <w:tcW w:w="66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4"/>
          </w:tcPr>
          <w:p>
            <w:pPr>
              <w:ind w:left="280"/>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&amp; administrative expenses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203.6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(25.1) (d)</w:t>
            </w:r>
          </w:p>
        </w:tc>
        <w:tc>
          <w:tcPr>
            <w:tcW w:w="1620" w:type="dxa"/>
            <w:vAlign w:val="bottom"/>
            <w:gridSpan w:val="2"/>
          </w:tcPr>
          <w:p>
            <w:pPr>
              <w:ind w:left="860"/>
              <w:spacing w:after="0"/>
              <w:rPr>
                <w:sz w:val="20"/>
                <w:szCs w:val="20"/>
                <w:color w:val="auto"/>
              </w:rPr>
            </w:pPr>
            <w:r>
              <w:rPr>
                <w:rFonts w:ascii="Arial" w:cs="Arial" w:eastAsia="Arial" w:hAnsi="Arial"/>
                <w:sz w:val="18"/>
                <w:szCs w:val="18"/>
                <w:color w:val="auto"/>
              </w:rPr>
              <w:t>20.5 (f)</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330.2</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325.6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 (h)</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Arial" w:cs="Arial" w:eastAsia="Arial" w:hAnsi="Arial"/>
                <w:sz w:val="18"/>
                <w:szCs w:val="18"/>
                <w:b w:val="1"/>
                <w:bCs w:val="1"/>
                <w:color w:val="auto"/>
                <w:w w:val="96"/>
              </w:rPr>
              <w:t>Net income attributable to Accommodations Business of Oil</w:t>
            </w:r>
          </w:p>
        </w:tc>
        <w:tc>
          <w:tcPr>
            <w:tcW w:w="340" w:type="dxa"/>
            <w:vAlign w:val="bottom"/>
            <w:vMerge w:val="restart"/>
          </w:tcPr>
          <w:p>
            <w:pPr>
              <w:jc w:val="right"/>
              <w:ind w:right="180"/>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244.7</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248.9</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ind w:left="160"/>
              <w:spacing w:after="0" w:line="194" w:lineRule="exact"/>
              <w:rPr>
                <w:sz w:val="20"/>
                <w:szCs w:val="20"/>
                <w:color w:val="auto"/>
              </w:rPr>
            </w:pPr>
            <w:r>
              <w:rPr>
                <w:rFonts w:ascii="Arial" w:cs="Arial" w:eastAsia="Arial" w:hAnsi="Arial"/>
                <w:sz w:val="18"/>
                <w:szCs w:val="18"/>
                <w:b w:val="1"/>
                <w:bCs w:val="1"/>
                <w:color w:val="auto"/>
              </w:rPr>
              <w:t>States International, Inc.</w:t>
            </w: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2" w:name="page93"/>
    <w:bookmarkEnd w:id="92"/>
    <w:p>
      <w:pPr>
        <w:jc w:val="center"/>
        <w:ind w:right="-31"/>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56" w:lineRule="exact"/>
        <w:rPr>
          <w:sz w:val="20"/>
          <w:szCs w:val="20"/>
          <w:color w:val="auto"/>
        </w:rPr>
      </w:pPr>
    </w:p>
    <w:p>
      <w:pPr>
        <w:ind w:left="652" w:right="80" w:hanging="328"/>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historical combined financial statements reflect the historical financial position and results of operations of the accommodations business of Oil States.</w:t>
      </w:r>
    </w:p>
    <w:p>
      <w:pPr>
        <w:spacing w:after="0" w:line="197" w:lineRule="exact"/>
        <w:rPr>
          <w:rFonts w:ascii="Arial" w:cs="Arial" w:eastAsia="Arial" w:hAnsi="Arial"/>
          <w:sz w:val="18"/>
          <w:szCs w:val="18"/>
          <w:color w:val="auto"/>
        </w:rPr>
      </w:pPr>
    </w:p>
    <w:p>
      <w:pPr>
        <w:ind w:left="652" w:hanging="328"/>
        <w:spacing w:after="0" w:line="286" w:lineRule="auto"/>
        <w:tabs>
          <w:tab w:leader="none" w:pos="652"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Reflects incurrence of $771.0 million of indebtedness, which consists of borrowings under our anticipated revolving credit facility. The expected debt balance at the time of the distribution was determined by senior management based on a review of a number of factors including expected credit ratings, forecasted liquidity and capital requirements, expected operating results and general economic conditions.</w:t>
      </w:r>
    </w:p>
    <w:p>
      <w:pPr>
        <w:spacing w:after="0" w:line="207"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indebtedness at September 30, 2013</w:t>
            </w:r>
          </w:p>
        </w:tc>
        <w:tc>
          <w:tcPr>
            <w:tcW w:w="22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Cash payments for debt issuance costs (footnote c)</w:t>
            </w: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ind w:left="652" w:right="220" w:hanging="328"/>
        <w:spacing w:after="0" w:line="257"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assumes the capitalization of debt issuance costs of $21.0 million which will be amortized on a straight-line basis over the term of the credit facility, which approximates the effective interest method. Included in the historical combined balance sheet are historical deferred debt issuance costs related to existing revolving credit facilities in Australia and Canada as of September 30, 2013 totaling $4.8 million which are assumed to be expensed as we expect to replace these existing facilities in connection with the spin-off. The resulting net adjustment is $16.2 million.</w:t>
      </w:r>
    </w:p>
    <w:p>
      <w:pPr>
        <w:spacing w:after="0" w:line="215" w:lineRule="exact"/>
        <w:rPr>
          <w:rFonts w:ascii="Arial" w:cs="Arial" w:eastAsia="Arial" w:hAnsi="Arial"/>
          <w:sz w:val="18"/>
          <w:szCs w:val="18"/>
          <w:color w:val="auto"/>
        </w:rPr>
      </w:pPr>
    </w:p>
    <w:p>
      <w:pPr>
        <w:ind w:left="652" w:hanging="328"/>
        <w:spacing w:after="0" w:line="257" w:lineRule="auto"/>
        <w:tabs>
          <w:tab w:leader="none" w:pos="6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the incremental interest expense related to the additional debt expected to be incurred upon the spin-off, assuming an annual interest rate of 3.0% on total indebtedness of $771.0 million. The interest rates for pro forma purposes are based on assumptions of the rates to be effective on the completion of the spin-off. A one-eighth percent change in assumed interest rates for our additional debt would have a pro forma impact of $1.0 million annually and a $0.7 million impact on the nine month period. The following chart provides the detail for the pro forma adjustment to interest expense for the financing adjustments.</w:t>
      </w:r>
    </w:p>
    <w:p>
      <w:pPr>
        <w:sectPr>
          <w:pgSz w:w="11900" w:h="16838" w:orient="portrait"/>
          <w:cols w:equalWidth="0" w:num="1">
            <w:col w:w="11392"/>
          </w:cols>
          <w:pgMar w:left="248" w:top="607"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12" w:right="200" w:hanging="161"/>
        <w:spacing w:after="0" w:line="258" w:lineRule="auto"/>
        <w:rPr>
          <w:sz w:val="20"/>
          <w:szCs w:val="20"/>
          <w:color w:val="auto"/>
        </w:rPr>
      </w:pPr>
      <w:r>
        <w:rPr>
          <w:rFonts w:ascii="Arial" w:cs="Arial" w:eastAsia="Arial" w:hAnsi="Arial"/>
          <w:sz w:val="18"/>
          <w:szCs w:val="18"/>
          <w:color w:val="auto"/>
        </w:rPr>
        <w:t>Interest expense related to new debt ($771.0 million of indebtedness at an assumed annual interest rate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-273050</wp:posOffset>
            </wp:positionV>
            <wp:extent cx="579755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312" w:hanging="161"/>
        <w:spacing w:after="0" w:line="250" w:lineRule="auto"/>
        <w:rPr>
          <w:sz w:val="20"/>
          <w:szCs w:val="20"/>
          <w:color w:val="auto"/>
        </w:rPr>
      </w:pPr>
      <w:r>
        <w:rPr>
          <w:rFonts w:ascii="Arial" w:cs="Arial" w:eastAsia="Arial" w:hAnsi="Arial"/>
          <w:sz w:val="18"/>
          <w:szCs w:val="18"/>
          <w:color w:val="auto"/>
        </w:rPr>
        <w:t>Non-cash interest expense related to amortization of pro forma deferred debt issuance costs (footnote c)</w:t>
      </w:r>
    </w:p>
    <w:p>
      <w:pPr>
        <w:spacing w:after="0" w:line="1" w:lineRule="exact"/>
        <w:rPr>
          <w:sz w:val="20"/>
          <w:szCs w:val="20"/>
          <w:color w:val="auto"/>
        </w:rPr>
      </w:pPr>
    </w:p>
    <w:p>
      <w:pPr>
        <w:ind w:left="1312" w:right="320" w:hanging="161"/>
        <w:spacing w:after="0" w:line="261" w:lineRule="auto"/>
        <w:rPr>
          <w:sz w:val="20"/>
          <w:szCs w:val="20"/>
          <w:color w:val="auto"/>
        </w:rPr>
      </w:pPr>
      <w:r>
        <w:rPr>
          <w:rFonts w:ascii="Arial" w:cs="Arial" w:eastAsia="Arial" w:hAnsi="Arial"/>
          <w:sz w:val="18"/>
          <w:szCs w:val="18"/>
          <w:color w:val="auto"/>
        </w:rPr>
        <w:t>Eliminate non-cash interest expense related to pre spin-off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-285115</wp:posOffset>
            </wp:positionV>
            <wp:extent cx="579755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312"/>
        <w:spacing w:after="0"/>
        <w:rPr>
          <w:sz w:val="20"/>
          <w:szCs w:val="20"/>
          <w:color w:val="auto"/>
        </w:rPr>
      </w:pPr>
      <w:r>
        <w:rPr>
          <w:rFonts w:ascii="Arial" w:cs="Arial" w:eastAsia="Arial" w:hAnsi="Arial"/>
          <w:sz w:val="18"/>
          <w:szCs w:val="18"/>
          <w:color w:val="auto"/>
        </w:rPr>
        <w:t>Total adjustment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Nine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60" w:type="dxa"/>
            <w:vAlign w:val="bottom"/>
          </w:tcPr>
          <w:p>
            <w:pPr>
              <w:spacing w:after="0"/>
              <w:rPr>
                <w:sz w:val="20"/>
                <w:szCs w:val="20"/>
                <w:color w:val="auto"/>
              </w:rPr>
            </w:pPr>
          </w:p>
        </w:tc>
      </w:tr>
      <w:tr>
        <w:trPr>
          <w:trHeight w:val="642"/>
        </w:trPr>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419"/>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52" w:space="260"/>
            <w:col w:w="4480"/>
          </w:cols>
          <w:pgMar w:left="248" w:top="607" w:right="259" w:bottom="0" w:gutter="0" w:footer="0" w:header="0"/>
          <w:type w:val="continuous"/>
        </w:sectPr>
      </w:pPr>
    </w:p>
    <w:p>
      <w:pPr>
        <w:spacing w:after="0" w:line="272" w:lineRule="exact"/>
        <w:rPr>
          <w:sz w:val="20"/>
          <w:szCs w:val="20"/>
          <w:color w:val="auto"/>
        </w:rPr>
      </w:pPr>
    </w:p>
    <w:p>
      <w:pPr>
        <w:ind w:left="652" w:right="40" w:hanging="328"/>
        <w:spacing w:after="0" w:line="264"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estimated cash distribution to Oil States of $750.0 million. We anticipate that the cash distribution to Oil States will be within a range of $650.0 million to $850.0 million and have used the mid-point of that range for the purposes of the pro forma adjustment. The final distribution amount has not yet been determined.</w:t>
      </w:r>
    </w:p>
    <w:p>
      <w:pPr>
        <w:spacing w:after="0" w:line="208" w:lineRule="exact"/>
        <w:rPr>
          <w:rFonts w:ascii="Arial" w:cs="Arial" w:eastAsia="Arial" w:hAnsi="Arial"/>
          <w:sz w:val="18"/>
          <w:szCs w:val="18"/>
          <w:color w:val="auto"/>
        </w:rPr>
      </w:pPr>
    </w:p>
    <w:p>
      <w:pPr>
        <w:ind w:left="652" w:hanging="328"/>
        <w:spacing w:after="0" w:line="259"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contribution of debt to affiliates in connection with the spin-off. The associated interest expense to affiliates of $14.3 million for the nine month period ending September 30, 2013 and $20.5 million for the year ended December 31, 2012 is eliminated in the pro forma combined statements of income as a distribution adjustment. The elimination of interest expense to affiliates does not have an impact on the pro forma consolidated tax provision.</w:t>
      </w:r>
    </w:p>
    <w:p>
      <w:pPr>
        <w:spacing w:after="0" w:line="213" w:lineRule="exact"/>
        <w:rPr>
          <w:rFonts w:ascii="Arial" w:cs="Arial" w:eastAsia="Arial" w:hAnsi="Arial"/>
          <w:sz w:val="18"/>
          <w:szCs w:val="18"/>
          <w:color w:val="auto"/>
        </w:rPr>
      </w:pPr>
    </w:p>
    <w:p>
      <w:pPr>
        <w:ind w:left="652" w:right="280" w:hanging="328"/>
        <w:spacing w:after="0" w:line="255"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Adjustment reflects the pro forma recapitalization of our equity. As of the Distribution Date, Oil States’ net investment in our business will be exchanged to reflect the spin-off of our common stock to Oil States’ shareholders and to reflect the par value of approximately [●] million outstanding shares of common stock having a par value of $0.01 per share. We have assumed the number of outstanding shares of common stock based on the number of Oil States common shares outstanding at [●], which would result in approximately [●] million shares being distributed to holders of Oil States common shares, at an assumed distribution ratio of [●] shares of SpinCo common stock for every one share of Oil States common stock held on the record date.</w:t>
      </w:r>
    </w:p>
    <w:p>
      <w:pPr>
        <w:sectPr>
          <w:pgSz w:w="11900" w:h="16838" w:orient="portrait"/>
          <w:cols w:equalWidth="0" w:num="1">
            <w:col w:w="11392"/>
          </w:cols>
          <w:pgMar w:left="248" w:top="607" w:right="259" w:bottom="0" w:gutter="0" w:footer="0" w:header="0"/>
          <w:type w:val="continuous"/>
        </w:sectPr>
      </w:pPr>
    </w:p>
    <w:p>
      <w:pPr>
        <w:spacing w:after="0" w:line="22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Parent company investment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-121920</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Write off of historical debt issuance costs (footnote c)</w:t>
      </w:r>
    </w:p>
    <w:p>
      <w:pPr>
        <w:spacing w:after="0" w:line="23" w:lineRule="exact"/>
        <w:rPr>
          <w:sz w:val="20"/>
          <w:szCs w:val="20"/>
          <w:color w:val="auto"/>
        </w:rPr>
      </w:pPr>
    </w:p>
    <w:p>
      <w:pPr>
        <w:ind w:left="1132"/>
        <w:spacing w:after="0"/>
        <w:rPr>
          <w:sz w:val="20"/>
          <w:szCs w:val="20"/>
          <w:color w:val="auto"/>
        </w:rPr>
      </w:pPr>
      <w:r>
        <w:rPr>
          <w:rFonts w:ascii="Arial" w:cs="Arial" w:eastAsia="Arial" w:hAnsi="Arial"/>
          <w:sz w:val="16"/>
          <w:szCs w:val="16"/>
          <w:color w:val="auto"/>
        </w:rPr>
        <w:t>Net adjustment to “Parent company investment” associated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-116205</wp:posOffset>
            </wp:positionV>
            <wp:extent cx="57975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2"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Contribution by Oil States of affiliated debt (footnote f)</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Distribution to Oil States (footnote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-130810</wp:posOffset>
            </wp:positionV>
            <wp:extent cx="57975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32"/>
        <w:spacing w:after="0"/>
        <w:rPr>
          <w:sz w:val="20"/>
          <w:szCs w:val="20"/>
          <w:color w:val="auto"/>
        </w:rPr>
      </w:pPr>
      <w:r>
        <w:rPr>
          <w:rFonts w:ascii="Arial" w:cs="Arial" w:eastAsia="Arial" w:hAnsi="Arial"/>
          <w:sz w:val="18"/>
          <w:szCs w:val="18"/>
          <w:color w:val="auto"/>
        </w:rPr>
        <w:t>Adjustment for par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14605</wp:posOffset>
            </wp:positionV>
            <wp:extent cx="579755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Adjustment to 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20" w:hanging="1015"/>
        <w:spacing w:after="0"/>
        <w:tabs>
          <w:tab w:leader="none" w:pos="10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1,545.0</w:t>
      </w:r>
    </w:p>
    <w:p>
      <w:pPr>
        <w:spacing w:after="0" w:line="34"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6"/>
          <w:szCs w:val="16"/>
          <w:color w:val="auto"/>
        </w:rPr>
        <w:t>(4.8)</w:t>
      </w:r>
    </w:p>
    <w:p>
      <w:pPr>
        <w:spacing w:after="0" w:line="32"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9861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346.6</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(750.0)</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20" w:hanging="1015"/>
        <w:spacing w:after="0"/>
        <w:tabs>
          <w:tab w:leader="none" w:pos="10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1,136.8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986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912" w:space="720"/>
            <w:col w:w="2760"/>
          </w:cols>
          <w:pgMar w:left="248" w:top="607" w:right="259" w:bottom="0" w:gutter="0" w:footer="0" w:header="0"/>
          <w:type w:val="continuous"/>
        </w:sectPr>
      </w:pPr>
    </w:p>
    <w:p>
      <w:pPr>
        <w:spacing w:after="0" w:line="52" w:lineRule="exact"/>
        <w:rPr>
          <w:sz w:val="20"/>
          <w:szCs w:val="20"/>
          <w:color w:val="auto"/>
        </w:rPr>
      </w:pPr>
    </w:p>
    <w:p>
      <w:pPr>
        <w:ind w:left="652" w:right="760" w:hanging="652"/>
        <w:spacing w:after="0" w:line="277" w:lineRule="auto"/>
        <w:tabs>
          <w:tab w:leader="none" w:pos="6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portion of the distribution adjustment to additional paid-in capital will be allocated to common stock once the distribution ratio has been determined</w:t>
      </w:r>
    </w:p>
    <w:p>
      <w:pPr>
        <w:spacing w:after="0" w:line="197" w:lineRule="exact"/>
        <w:rPr>
          <w:rFonts w:ascii="Arial" w:cs="Arial" w:eastAsia="Arial" w:hAnsi="Arial"/>
          <w:sz w:val="18"/>
          <w:szCs w:val="18"/>
          <w:color w:val="auto"/>
        </w:rPr>
      </w:pPr>
    </w:p>
    <w:p>
      <w:pPr>
        <w:ind w:left="652" w:right="20" w:hanging="328"/>
        <w:spacing w:after="0" w:line="302" w:lineRule="auto"/>
        <w:tabs>
          <w:tab w:leader="none" w:pos="6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statutory rates in Canada and Australia are 25% and 30%, respectively. The pro forma adjustments were determined assuming U.S. borrowings and using the statutory rate for the U.S. of 35% in the respective tax periods presented.</w:t>
      </w:r>
    </w:p>
    <w:p>
      <w:pPr>
        <w:sectPr>
          <w:pgSz w:w="11900" w:h="16838" w:orient="portrait"/>
          <w:cols w:equalWidth="0" w:num="1">
            <w:col w:w="11392"/>
          </w:cols>
          <w:pgMar w:left="248" w:top="607" w:right="259" w:bottom="0" w:gutter="0" w:footer="0" w:header="0"/>
          <w:type w:val="continuous"/>
        </w:sectPr>
      </w:pPr>
    </w:p>
    <w:bookmarkStart w:id="93" w:name="page94"/>
    <w:bookmarkEnd w:id="93"/>
    <w:p>
      <w:pPr>
        <w:jc w:val="both"/>
        <w:ind w:left="328" w:hanging="328"/>
        <w:spacing w:after="0" w:line="286" w:lineRule="auto"/>
        <w:tabs>
          <w:tab w:leader="none" w:pos="3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Pro forma basic earnings per share and pro forma weighted-average basic shares outstanding are based on the weighted average number of Oil States common shares outstanding in the first nine months of 2013 and for the year ended December 31, 2012, adjusted for an assumed distribution ratio of [●] shares of SpinCo common stock for every one share of Oil States common stock held on the record date</w:t>
      </w:r>
    </w:p>
    <w:p>
      <w:pPr>
        <w:spacing w:after="0" w:line="200" w:lineRule="exact"/>
        <w:rPr>
          <w:sz w:val="20"/>
          <w:szCs w:val="20"/>
          <w:color w:val="auto"/>
        </w:rPr>
      </w:pPr>
    </w:p>
    <w:p>
      <w:pPr>
        <w:spacing w:after="0" w:line="23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125" w:right="259" w:bottom="1440" w:gutter="0" w:footer="0" w:header="0"/>
        </w:sectPr>
      </w:pPr>
    </w:p>
    <w:bookmarkStart w:id="94" w:name="page95"/>
    <w:bookmarkEnd w:id="94"/>
    <w:p>
      <w:pPr>
        <w:ind w:left="328" w:hanging="328"/>
        <w:spacing w:after="0" w:line="312" w:lineRule="auto"/>
        <w:tabs>
          <w:tab w:leader="none" w:pos="3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Pro forma diluted earnings per share and pro forma weighted-average diluted shares outstanding reflect potential common shares from Oil States equity participation plan in which our employees participate based on the distribution ratio. While the actual future impact will depend on various factors, we believe the estimate yields a reasonable approximation of the future diluted impact of the accommodations business equity plans.</w:t>
      </w:r>
    </w:p>
    <w:p>
      <w:pPr>
        <w:spacing w:after="0" w:line="200" w:lineRule="exact"/>
        <w:rPr>
          <w:sz w:val="20"/>
          <w:szCs w:val="20"/>
          <w:color w:val="auto"/>
        </w:rPr>
      </w:pPr>
    </w:p>
    <w:p>
      <w:pPr>
        <w:spacing w:after="0" w:line="217"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28"/>
          </w:cols>
          <w:pgMar w:left="572" w:top="611" w:right="49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56"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2012 and 2011 and the statement of income data for each of the years ended December 31, 2012, 2011 and 2010 are derived from our audited financial statements included elsewhere in this information statement. The balance sheet data as of September 30, 2013 and the statement of income data for the nine months ended September 30, 2013 and September 30, 2012 are derived from our unaudited interim financial statements included elsewhere in this information statement. The balance sheet data as of December 31, 2010, 2009 and 2008 and the statement of income data for each of the years ended December 31, 2009 and 2008 are derived from our accounting records.</w:t>
      </w:r>
    </w:p>
    <w:p>
      <w:pPr>
        <w:spacing w:after="0" w:line="19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selected historical combined financial information presented below should be read in conjunction with our combined financial statements and accompanying notes,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9"/>
              </w:rPr>
              <w:t>Nine Months Ended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14"/>
          </w:tcPr>
          <w:p>
            <w:pPr>
              <w:ind w:left="80"/>
              <w:spacing w:after="0"/>
              <w:rPr>
                <w:sz w:val="20"/>
                <w:szCs w:val="20"/>
                <w:color w:val="auto"/>
              </w:rPr>
            </w:pPr>
            <w:r>
              <w:rPr>
                <w:rFonts w:ascii="Arial" w:cs="Arial" w:eastAsia="Arial" w:hAnsi="Arial"/>
                <w:sz w:val="18"/>
                <w:szCs w:val="18"/>
                <w:b w:val="1"/>
                <w:bCs w:val="1"/>
                <w:color w:val="auto"/>
                <w:w w:val="95"/>
              </w:rPr>
              <w:t>For the year ended December 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3"/>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1,108,875</w:t>
            </w: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864,701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537,690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481,402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195,777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281,937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352,929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242,159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141,459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138,106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Accommodations Business of Oil States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Inc.</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198,306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244,721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168,505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97,514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98,047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w w:val="90"/>
              </w:rPr>
              <w:t>As of December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8"/>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2,097,280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2,132,925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1,799,894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1,487,462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573,699</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346,614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350,530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230,944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123,497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126,972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183,822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34" w:right="1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jc w:val="center"/>
        <w:ind w:right="300"/>
        <w:spacing w:after="0" w:line="299" w:lineRule="auto"/>
        <w:rPr>
          <w:sz w:val="20"/>
          <w:szCs w:val="20"/>
          <w:color w:val="auto"/>
        </w:rPr>
      </w:pPr>
      <w:r>
        <w:rPr>
          <w:rFonts w:ascii="Arial" w:cs="Arial" w:eastAsia="Arial" w:hAnsi="Arial"/>
          <w:sz w:val="16"/>
          <w:szCs w:val="16"/>
          <w:color w:val="auto"/>
        </w:rPr>
        <w:t>Management’s Discussion and Analysis contains “forward-looking statements”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analysis together with our Combined Financial Statements and the notes to those statements included elsewhere in this information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Spin-Off</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SpinCo common stock to the Oil States shareholders as of the record date of the spin-off. Upon completion of the spin-off, Oil States and SpinCo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20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transactions between SpinCo and Oil States and all material intercompany accounts within SpinCo have been eliminated. Historically, Oil States has provided services to and funded certain expenses for SpinCo.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SpinCo been an independent, stand-alone company during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00" w:lineRule="exact"/>
        <w:rPr>
          <w:sz w:val="20"/>
          <w:szCs w:val="20"/>
          <w:color w:val="auto"/>
        </w:rPr>
      </w:pPr>
    </w:p>
    <w:p>
      <w:pPr>
        <w:spacing w:after="0" w:line="245" w:lineRule="exact"/>
        <w:rPr>
          <w:sz w:val="20"/>
          <w:szCs w:val="20"/>
          <w:color w:val="auto"/>
        </w:rPr>
      </w:pPr>
    </w:p>
    <w:p>
      <w:pPr>
        <w:ind w:right="60" w:firstLine="243"/>
        <w:spacing w:after="0" w:line="272" w:lineRule="auto"/>
        <w:rPr>
          <w:sz w:val="20"/>
          <w:szCs w:val="20"/>
          <w:color w:val="auto"/>
        </w:rPr>
      </w:pPr>
      <w:r>
        <w:rPr>
          <w:rFonts w:ascii="Arial" w:cs="Arial" w:eastAsia="Arial" w:hAnsi="Arial"/>
          <w:sz w:val="17"/>
          <w:szCs w:val="17"/>
          <w:color w:val="auto"/>
        </w:rPr>
        <w:t>We provide workforce accommodation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178" w:lineRule="exact"/>
        <w:rPr>
          <w:sz w:val="20"/>
          <w:szCs w:val="20"/>
          <w:color w:val="auto"/>
        </w:rPr>
      </w:pPr>
    </w:p>
    <w:p>
      <w:pPr>
        <w:ind w:right="80" w:firstLine="243"/>
        <w:spacing w:after="0" w:line="288"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the third quarter of 2013 averaged $83.10 per barrel compared to $76.10 per barrel in the third quarter of 2012. However, the WCS Basis Differential widened substantially from below $15 per barrel to $26 per barrel as of February 7, 2014, as production increased and demand from U.S. refineries declined due to maintenance requirements. Should the price of WTI decline or the WCS Basis Differential widen further, our oil sands customers’ may delay additional investments or reduce their spending in the oil sands region.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7" w:name="page98"/>
    <w:bookmarkEnd w:id="97"/>
    <w:p>
      <w:pPr>
        <w:ind w:right="60" w:firstLine="243"/>
        <w:spacing w:after="0" w:line="290" w:lineRule="auto"/>
        <w:rPr>
          <w:sz w:val="20"/>
          <w:szCs w:val="20"/>
          <w:color w:val="auto"/>
        </w:rPr>
      </w:pPr>
      <w:r>
        <w:rPr>
          <w:rFonts w:ascii="Arial" w:cs="Arial" w:eastAsia="Arial" w:hAnsi="Arial"/>
          <w:sz w:val="16"/>
          <w:szCs w:val="16"/>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66"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Natural gas prices and WTI crude oil pricing, discussed above, have an impact on the demand for our U.S. accommodations. Prices for natural gas in the United States improved during the first nine months of 2013,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 natural gas and lower natural gas prices could have a positive impact on this activity in Canada. Natural gas prices traded at $3.38 per Mcf as of February 7, 2014.</w:t>
      </w:r>
    </w:p>
    <w:p>
      <w:pPr>
        <w:spacing w:after="0" w:line="18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the first nine months of 2013 compared to the first nine months of 2012. Met coal prices have decreased materially from over $200/metric ton at the beginning of 2012 to approximately $150/metric ton at September 30, 2013.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suggesting a favorable outlook for Chinese steel production and met coal demand over a longer horizon.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color w:val="auto"/>
        </w:rPr>
        <w:t>Recent WTI crude, WCS crude, Queensland hard coking coal and natural gas pricing trends are as follows: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rPr>
              <w:t>Hard</w:t>
            </w:r>
          </w:p>
        </w:tc>
        <w:tc>
          <w:tcPr>
            <w:tcW w:w="260" w:type="dxa"/>
            <w:vAlign w:val="bottom"/>
          </w:tcPr>
          <w:p>
            <w:pPr>
              <w:spacing w:after="0"/>
              <w:rPr>
                <w:sz w:val="16"/>
                <w:szCs w:val="16"/>
                <w:color w:val="auto"/>
              </w:rPr>
            </w:pPr>
          </w:p>
        </w:tc>
        <w:tc>
          <w:tcPr>
            <w:tcW w:w="15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Henry Hub</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7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rPr>
              <w:t>WTI Crude</w:t>
            </w:r>
          </w:p>
        </w:tc>
        <w:tc>
          <w:tcPr>
            <w:tcW w:w="260" w:type="dxa"/>
            <w:vAlign w:val="bottom"/>
          </w:tcPr>
          <w:p>
            <w:pPr>
              <w:spacing w:after="0"/>
              <w:rPr>
                <w:sz w:val="9"/>
                <w:szCs w:val="9"/>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WCS Crude</w:t>
            </w:r>
          </w:p>
        </w:tc>
        <w:tc>
          <w:tcPr>
            <w:tcW w:w="260" w:type="dxa"/>
            <w:vAlign w:val="bottom"/>
          </w:tcPr>
          <w:p>
            <w:pPr>
              <w:spacing w:after="0"/>
              <w:rPr>
                <w:sz w:val="9"/>
                <w:szCs w:val="9"/>
                <w:color w:val="auto"/>
              </w:rPr>
            </w:pPr>
          </w:p>
        </w:tc>
        <w:tc>
          <w:tcPr>
            <w:tcW w:w="180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1"/>
              </w:rPr>
              <w:t>Coking Coal</w:t>
            </w:r>
          </w:p>
        </w:tc>
        <w:tc>
          <w:tcPr>
            <w:tcW w:w="260" w:type="dxa"/>
            <w:vAlign w:val="bottom"/>
          </w:tcPr>
          <w:p>
            <w:pPr>
              <w:spacing w:after="0"/>
              <w:rPr>
                <w:sz w:val="9"/>
                <w:szCs w:val="9"/>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4"/>
              </w:rPr>
              <w:t>Natural Gas</w:t>
            </w:r>
          </w:p>
        </w:tc>
        <w:tc>
          <w:tcPr>
            <w:tcW w:w="0" w:type="dxa"/>
            <w:vAlign w:val="bottom"/>
          </w:tcPr>
          <w:p>
            <w:pPr>
              <w:spacing w:after="0"/>
              <w:rPr>
                <w:sz w:val="1"/>
                <w:szCs w:val="1"/>
                <w:color w:val="auto"/>
              </w:rPr>
            </w:pPr>
          </w:p>
        </w:tc>
      </w:tr>
      <w:tr>
        <w:trPr>
          <w:trHeight w:val="108"/>
        </w:trPr>
        <w:tc>
          <w:tcPr>
            <w:tcW w:w="2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6"/>
              </w:rPr>
              <w:t>ended</w:t>
            </w:r>
          </w:p>
        </w:tc>
        <w:tc>
          <w:tcPr>
            <w:tcW w:w="2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4"/>
              </w:rPr>
              <w:t>(per bbl)</w:t>
            </w:r>
          </w:p>
        </w:tc>
        <w:tc>
          <w:tcPr>
            <w:tcW w:w="260" w:type="dxa"/>
            <w:vAlign w:val="bottom"/>
          </w:tcPr>
          <w:p>
            <w:pPr>
              <w:spacing w:after="0"/>
              <w:rPr>
                <w:sz w:val="10"/>
                <w:szCs w:val="10"/>
                <w:color w:val="auto"/>
              </w:rPr>
            </w:pPr>
          </w:p>
        </w:tc>
        <w:tc>
          <w:tcPr>
            <w:tcW w:w="17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(per bbl)</w:t>
            </w:r>
          </w:p>
        </w:tc>
        <w:tc>
          <w:tcPr>
            <w:tcW w:w="260" w:type="dxa"/>
            <w:vAlign w:val="bottom"/>
          </w:tcPr>
          <w:p>
            <w:pPr>
              <w:spacing w:after="0"/>
              <w:rPr>
                <w:sz w:val="10"/>
                <w:szCs w:val="10"/>
                <w:color w:val="auto"/>
              </w:rPr>
            </w:pPr>
          </w:p>
        </w:tc>
        <w:tc>
          <w:tcPr>
            <w:tcW w:w="180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3"/>
              </w:rPr>
              <w:t>(per ton)</w:t>
            </w:r>
          </w:p>
        </w:tc>
        <w:tc>
          <w:tcPr>
            <w:tcW w:w="260" w:type="dxa"/>
            <w:vAlign w:val="bottom"/>
          </w:tcPr>
          <w:p>
            <w:pPr>
              <w:spacing w:after="0"/>
              <w:rPr>
                <w:sz w:val="10"/>
                <w:szCs w:val="10"/>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(per mcf)</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9/30/2013</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4"/>
              </w:rPr>
              <w:t>83.10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94.05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77.48</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149.94</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94.33</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66.86</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167.71</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88.01</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61.34</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156.79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92.17</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76.75</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187.88</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93.38</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73.53</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216.49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102.85</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75.82</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8"/>
              </w:rPr>
              <w:t>12/31/2011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94.03</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81.56</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236.69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89.71</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75.05</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102.51</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84.72</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315.74</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93.93</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72.43</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327.03</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238" w:lineRule="exact"/>
        <w:rPr>
          <w:sz w:val="20"/>
          <w:szCs w:val="20"/>
          <w:color w:val="auto"/>
        </w:rPr>
      </w:pPr>
    </w:p>
    <w:p>
      <w:pPr>
        <w:ind w:right="260" w:firstLine="98"/>
        <w:spacing w:after="0" w:line="277" w:lineRule="auto"/>
        <w:tabs>
          <w:tab w:leader="none" w:pos="5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5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9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expanded our Australian room capacity in 2012 and the first nine months of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9" w:name="page100"/>
    <w:bookmarkEnd w:id="99"/>
    <w:p>
      <w:pPr>
        <w:ind w:right="80" w:firstLine="324"/>
        <w:spacing w:after="0" w:line="291"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However during 2013, particularly at year end, we saw a strengthening U.S. dollar compared to both the Canadian and Australian dollars. During 2013, the Canadian and Australian dollars weakened 7% and 15%, respectively, relative to the U.S. dollar. A strong U.S. dollar is generally viewed positively for our Australian customers as they typically receive U.S. dollar denominated payment for their commodities with expenses denominated in Australian dollars.</w:t>
      </w:r>
    </w:p>
    <w:p>
      <w:pPr>
        <w:spacing w:after="0" w:line="1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While global demand for oil and natural gas are significant factors influencing our business generally, certain other factors also influence our business, such as the pace of worldwide economic growth.</w:t>
      </w:r>
    </w:p>
    <w:p>
      <w:pPr>
        <w:spacing w:after="0" w:line="19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and operations of our customers in order to plan our business. Our capital expenditures in 2012 totaled $314 million compared to 2011 capital expenditures of $349 million.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Consolidated Results of Operations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Twelve Months Ended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b w:val="1"/>
                <w:bCs w:val="1"/>
                <w:color w:val="auto"/>
                <w:w w:val="93"/>
              </w:rPr>
              <w:t>Variance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Variance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Variance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5"/>
              </w:rPr>
              <w:t>2013 vs. 2012</w:t>
            </w:r>
          </w:p>
        </w:tc>
        <w:tc>
          <w:tcPr>
            <w:tcW w:w="120" w:type="dxa"/>
            <w:vAlign w:val="bottom"/>
          </w:tcPr>
          <w:p>
            <w:pPr>
              <w:spacing w:after="0"/>
              <w:rPr>
                <w:sz w:val="20"/>
                <w:szCs w:val="20"/>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6"/>
              </w:rPr>
              <w:t>2012 vs. 2011</w:t>
            </w:r>
          </w:p>
        </w:tc>
        <w:tc>
          <w:tcPr>
            <w:tcW w:w="140" w:type="dxa"/>
            <w:vAlign w:val="bottom"/>
          </w:tcPr>
          <w:p>
            <w:pPr>
              <w:spacing w:after="0"/>
              <w:rPr>
                <w:sz w:val="20"/>
                <w:szCs w:val="20"/>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5"/>
              </w:rPr>
              <w:t>2011 vs.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535.8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535.7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&lt;1%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717.2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579.9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line="210" w:lineRule="exact"/>
              <w:rPr>
                <w:sz w:val="20"/>
                <w:szCs w:val="20"/>
                <w:color w:val="auto"/>
              </w:rPr>
            </w:pPr>
            <w:r>
              <w:rPr>
                <w:rFonts w:ascii="Arial" w:cs="Arial" w:eastAsia="Arial" w:hAnsi="Arial"/>
                <w:sz w:val="14"/>
                <w:szCs w:val="14"/>
                <w:color w:val="auto"/>
              </w:rPr>
              <w:t>(6%</w:t>
            </w:r>
            <w:r>
              <w:rPr>
                <w:rFonts w:ascii="Arial" w:cs="Arial" w:eastAsia="Arial" w:hAnsi="Arial"/>
                <w:sz w:val="24"/>
                <w:szCs w:val="24"/>
                <w:color w:val="auto"/>
                <w:vertAlign w:val="superscript"/>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283.9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334.4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52.5</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251.8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245.5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line="210" w:lineRule="exact"/>
              <w:rPr>
                <w:sz w:val="20"/>
                <w:szCs w:val="20"/>
                <w:color w:val="auto"/>
              </w:rPr>
            </w:pPr>
            <w:r>
              <w:rPr>
                <w:rFonts w:ascii="Arial" w:cs="Arial" w:eastAsia="Arial" w:hAnsi="Arial"/>
                <w:sz w:val="14"/>
                <w:szCs w:val="14"/>
                <w:color w:val="auto"/>
              </w:rPr>
              <w:t>(14%</w:t>
            </w:r>
            <w:r>
              <w:rPr>
                <w:rFonts w:ascii="Arial" w:cs="Arial" w:eastAsia="Arial" w:hAnsi="Arial"/>
                <w:sz w:val="24"/>
                <w:szCs w:val="24"/>
                <w:color w:val="auto"/>
                <w:vertAlign w:val="superscript"/>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176.5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(92%)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281.9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line="210" w:lineRule="exact"/>
              <w:rPr>
                <w:sz w:val="20"/>
                <w:szCs w:val="20"/>
                <w:color w:val="auto"/>
              </w:rPr>
            </w:pPr>
            <w:r>
              <w:rPr>
                <w:rFonts w:ascii="Arial" w:cs="Arial" w:eastAsia="Arial" w:hAnsi="Arial"/>
                <w:sz w:val="14"/>
                <w:szCs w:val="14"/>
                <w:color w:val="auto"/>
              </w:rPr>
              <w:t>(31%</w:t>
            </w:r>
            <w:r>
              <w:rPr>
                <w:rFonts w:ascii="Arial" w:cs="Arial" w:eastAsia="Arial" w:hAnsi="Arial"/>
                <w:sz w:val="24"/>
                <w:szCs w:val="24"/>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242.2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2013 COMPARED TO NINE MONTHS ENDED SEPTEMBER 30, 2012</w:t>
      </w:r>
    </w:p>
    <w:p>
      <w:pPr>
        <w:spacing w:after="0" w:line="229"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We reported net income for the nine months ended September 30, 2013 of $136.4 million. These results compare to net income of $198.3 million reported for the nine months ended September 30, 2012, including a gain of $17.9 million from a favorable contract settlement reported in our U.S. accommodations segment.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decreased $53.5 million, or 6%, in the first nine months of 2013 compared to the first nine months of 2012.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0" w:name="page101"/>
    <w:bookmarkEnd w:id="100"/>
    <w:p>
      <w:pPr>
        <w:ind w:right="40" w:firstLine="324"/>
        <w:spacing w:after="0" w:line="312" w:lineRule="auto"/>
        <w:rPr>
          <w:sz w:val="20"/>
          <w:szCs w:val="20"/>
          <w:color w:val="auto"/>
        </w:rPr>
      </w:pPr>
      <w:r>
        <w:rPr>
          <w:rFonts w:ascii="Arial" w:cs="Arial" w:eastAsia="Arial" w:hAnsi="Arial"/>
          <w:sz w:val="16"/>
          <w:szCs w:val="16"/>
          <w:color w:val="auto"/>
        </w:rPr>
        <w:t>Our Canadian segment reported revenues in the first nine months of 2013 that were $0.1 million above the first nine months of 2012. The increase in Canadian accommodations revenue primarily resulted from a 9% increase in the average number of available lodge rooms and was offset by a 2% weakening of the Canadian dollar relative to the U.S. over the time frame and a 7% reduction in Revenue per Available Rooms (RevPAR) in our lodges.</w:t>
      </w:r>
    </w:p>
    <w:p>
      <w:pPr>
        <w:spacing w:after="0" w:line="1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Australian segment reported revenues in the first nine months of 2013 that were $14.0 million, or 7%, below the first nine months of 2012. Increased revenue at our Coppabella and Narrabri villages due to room additions as well as contributions from our new Karratha village were offset by lower utilization at our Middlemount and Calliope villages. Additionally, the exchange rate between the U.S. dollar and Australian dollar resulted in a 5% year over year reduction in revenue; and the Australian dollar has weakened 5% further since September 30, 2013. Within Australia, the average number of available rooms increased by 18%, but unfavorable exchange rate movements and reduced utilization of our rooms in Calliope, Kambalda and Middlemount contributed to a decrease in RevPAR of 19%.</w:t>
      </w:r>
    </w:p>
    <w:p>
      <w:pPr>
        <w:spacing w:after="0" w:line="22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U.S. segment reported revenues in the first nine months of 2013 that were $39.6 million, or 42%, below the first nine months of 2012. The decrease in U.S. accommodations revenue primarily resulted from poor weather in the Bakken region, a weaker U.S. land drilling market, which is served by our mobile accommodations assets, as well as a surplus of available room capacity in the U.S. market. Additionally, 2012 results included $18.3 million in revenue from a favorable contract settlement reported during the first quarter of 2012.</w:t>
      </w:r>
    </w:p>
    <w:p>
      <w:pPr>
        <w:spacing w:after="0" w:line="210"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 xml:space="preserve">Cost of Sales and Service. </w:t>
      </w:r>
      <w:r>
        <w:rPr>
          <w:rFonts w:ascii="Arial" w:cs="Arial" w:eastAsia="Arial" w:hAnsi="Arial"/>
          <w:sz w:val="17"/>
          <w:szCs w:val="17"/>
          <w:color w:val="auto"/>
        </w:rPr>
        <w:t>Our combined cost of sales increased $6.5 million, or 2%, in the first nine months of 2013 compared to the first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of 2012 primarily due to increased room capacity in Canada, partially offset by lower manufacturing costs. Our gross margin as a percentage of revenues decreased from 51% in the first nine months of 2012 to 47% in the first nine months of 2013 primarily due to the favorable contract settlement reported in our U.S. accommodations segment in the first nine months of 2012. Excluding the favorable contract settlement, our gross margin as a percentage of revenues would have been 50% in the first nine months of 2012. The decrease in gross margin as a percentage of revenues from the adjusted 50% in the first nine months of 2012 to 47% in the first nine months of 2013 was primarily due to lower contracted rates in Canada.</w:t>
      </w:r>
    </w:p>
    <w:p>
      <w:pPr>
        <w:spacing w:after="0" w:line="20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Our Canadian segment cost of sales increased $17.9 million, or 6%, in the first nine months of 2013 compared to the first nine months of 2012 due primarily to increased room capacity at Henday and Conklin lodges as well as the start-up of Anzac Lodge. Our Canadian segment gross margin as a percentage of revenues fell from 47% in the first nine months of 2012 to 44% in the first nine months of 2013.</w:t>
      </w:r>
    </w:p>
    <w:p>
      <w:pPr>
        <w:spacing w:after="0" w:line="19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Australian segment cost of sales decreased $4.3 million, or 6%, in the first nine months of 2013 compared to the first nine months of 2012 primarily due to a weaker Australian dollar and lower occupancy partially offset by an increased room capacity of 17%. Our Australian accommodations segment gross margin as a percentage of revenues was flat at 62% in the first nine months of 2013 compared to the first nine months of 2012.</w:t>
      </w:r>
    </w:p>
    <w:p>
      <w:pPr>
        <w:spacing w:after="0" w:line="193"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Our U.S. segment cost of sales decreased $7.1 million, or 15%, in the first nine months of 2013 compared to the first nine months of 2012 primarily due to lower revenues in the segment. Our U.S. accommodations segment gross margin as a percentage of revenues decreased from 50% in the first nine months of 2012, which was heavily influenced by $17.9 million in gross profit due to a favorable contract settlement, to 28% in the first nine months of 2013.</w:t>
      </w:r>
    </w:p>
    <w:p>
      <w:pPr>
        <w:ind w:right="60"/>
        <w:spacing w:after="0" w:line="302" w:lineRule="auto"/>
        <w:rPr>
          <w:sz w:val="20"/>
          <w:szCs w:val="20"/>
          <w:color w:val="auto"/>
        </w:rPr>
      </w:pPr>
      <w:r>
        <w:rPr>
          <w:rFonts w:ascii="Arial" w:cs="Arial" w:eastAsia="Arial" w:hAnsi="Arial"/>
          <w:sz w:val="16"/>
          <w:szCs w:val="16"/>
          <w:color w:val="auto"/>
        </w:rPr>
        <w:t>Excluding the settlement, gross margin for the first nine months in the U.S. would have been 39%. The year over year variance is primarily due to lower utilization of our rooms due to a reduced rig count and weather related issues in the Bakken as well as reduced pricing due to high levels of competition. U.S. accommodations are driven by shorter-term and spot contracts and, therefore, have more exposure to reduced activity due to commodity price changes.</w:t>
      </w:r>
    </w:p>
    <w:p>
      <w:pPr>
        <w:spacing w:after="0" w:line="205"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$3.0 million, or 6%, in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2013 compared to the first nine months of 2012 primarily due to increased bad debt expense, professional fees, rent, employee-related costs and advertising and trade show expenses, partially offset by the weakening of the Australian and Canadian dollars to U.S. dollar exchange rates in 2013 compared to 2012.</w:t>
      </w:r>
    </w:p>
    <w:p>
      <w:pPr>
        <w:spacing w:after="0" w:line="207" w:lineRule="exact"/>
        <w:rPr>
          <w:sz w:val="20"/>
          <w:szCs w:val="20"/>
          <w:color w:val="auto"/>
        </w:rPr>
      </w:pPr>
    </w:p>
    <w:p>
      <w:pPr>
        <w:ind w:right="120" w:firstLine="324"/>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increased $26.7 million, or 27%, in the first nine months of 2013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nine months in 2012 primarily due to capital expenditures made in Canadian lodges and Australian villages during 2012 and 2013.</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1" w:name="page102"/>
    <w:bookmarkEnd w:id="101"/>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$86.1 million, or 31%, in the first nine months of 2013 compared to the first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of 2012 primarily due to the favorable contract settlement reported in our U.S. accommodations segment in 2012, the lower RevPAR in Canada, lower occupancy levels in Australia, increased depreciation expense on accommodations assets and lower utilization for our U.S. accommodations assets, partially offset by the increase in average available rooms in 2013 compared to 2012 and the gain of $4.0 million from a reduction in the fair value of a liability associated with contingent acquisition consideration in our U.S. accommodations segment.</w:t>
      </w:r>
    </w:p>
    <w:p>
      <w:pPr>
        <w:spacing w:after="0" w:line="22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w:t>
      </w:r>
      <w:r>
        <w:rPr>
          <w:rFonts w:ascii="Arial" w:cs="Arial" w:eastAsia="Arial" w:hAnsi="Arial"/>
          <w:sz w:val="18"/>
          <w:szCs w:val="18"/>
          <w:color w:val="auto"/>
        </w:rPr>
        <w:t>Net interest expense, including interest expense and income to/from affiliates, decreased by $1.3 million, or 7%,</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nine months of 2013 compared to the first nine months of 2012 primarily due to decreased interest expense on the Canadian dollar-denominated long-term debt with affiliates as a result of the weakening of the Canadian dollar to U.S. dollar exchange rate in 2013 compared to 2012. Interest income increased as a result of increased cash balances in interest bearing accounts.</w:t>
      </w:r>
    </w:p>
    <w:p>
      <w:pPr>
        <w:spacing w:after="0" w:line="207" w:lineRule="exact"/>
        <w:rPr>
          <w:sz w:val="20"/>
          <w:szCs w:val="20"/>
          <w:color w:val="auto"/>
        </w:rPr>
      </w:pPr>
    </w:p>
    <w:p>
      <w:pPr>
        <w:ind w:right="140" w:firstLine="324"/>
        <w:spacing w:after="0" w:line="313" w:lineRule="auto"/>
        <w:rPr>
          <w:sz w:val="20"/>
          <w:szCs w:val="20"/>
          <w:color w:val="auto"/>
        </w:rPr>
      </w:pPr>
      <w:r>
        <w:rPr>
          <w:rFonts w:ascii="Arial" w:cs="Arial" w:eastAsia="Arial" w:hAnsi="Arial"/>
          <w:sz w:val="17"/>
          <w:szCs w:val="17"/>
          <w:b w:val="1"/>
          <w:bCs w:val="1"/>
          <w:color w:val="auto"/>
        </w:rPr>
        <w:t xml:space="preserve">Loss on Extinguishment of Debt. </w:t>
      </w:r>
      <w:r>
        <w:rPr>
          <w:rFonts w:ascii="Arial" w:cs="Arial" w:eastAsia="Arial" w:hAnsi="Arial"/>
          <w:sz w:val="17"/>
          <w:szCs w:val="17"/>
          <w:color w:val="auto"/>
        </w:rPr>
        <w:t>During the second quarter of 2013, $1.2 million of deferred financing costs, representing the remaining unamortized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of deferred financing costs associated with our Canadian term loan, was expensed due to its repayment in full.</w:t>
      </w:r>
    </w:p>
    <w:p>
      <w:pPr>
        <w:spacing w:after="0" w:line="165" w:lineRule="exact"/>
        <w:rPr>
          <w:sz w:val="20"/>
          <w:szCs w:val="20"/>
          <w:color w:val="auto"/>
        </w:rPr>
      </w:pPr>
    </w:p>
    <w:p>
      <w:pPr>
        <w:ind w:right="180" w:firstLine="324"/>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the first nine months of 2013 totaled $43.4 million, or 24% of pretax income, compared to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expense of $65.9 million, or 25% of pretax income, for the same period in 2012. The effective tax rates for the nine months ended September 30, 2013 and 2012, respectively, are lower than U.S. statutory rates due to a lower proportion of U.S. income which is taxed at higher statutory rates. Statutory corporate, federal tax rates in Canada and Australia were 25% and 30%, respectively, in both 2013 and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256" w:lineRule="exact"/>
        <w:rPr>
          <w:sz w:val="20"/>
          <w:szCs w:val="20"/>
          <w:color w:val="auto"/>
        </w:rPr>
      </w:pPr>
    </w:p>
    <w:p>
      <w:pPr>
        <w:jc w:val="both"/>
        <w:ind w:right="400" w:firstLine="324"/>
        <w:spacing w:after="0" w:line="342" w:lineRule="auto"/>
        <w:rPr>
          <w:sz w:val="20"/>
          <w:szCs w:val="20"/>
          <w:color w:val="auto"/>
        </w:rPr>
      </w:pPr>
      <w:r>
        <w:rPr>
          <w:rFonts w:ascii="Arial" w:cs="Arial" w:eastAsia="Arial" w:hAnsi="Arial"/>
          <w:sz w:val="16"/>
          <w:szCs w:val="16"/>
          <w:color w:val="auto"/>
        </w:rPr>
        <w:t>We reported net income for the year ended December 31, 2012 of $244.7 million including a pre-tax gain of $17.9 million from a favorable contract settlement reported in our U.S. accommodations segment. These results compare to net income for the year ended December 31, 2011 of $168.5 million.</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revenues in 2012 that were $244.2 million, or 28%, above 2011. The increase in revenue primarily resulted from expanded room capacity in Canada and Australia along with $17.9 million in revenue from a favorable contract settlement reported in our U.S. accommodations segment during the first quarter of 2012. Revenues, average available rooms and RevPAR for our lodges and villages increased 35%, 23% and 10%, respectively, in 2012 compared to 2011.</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$244.2 million, or 28%, in 2012 compared to 2011.</w:t>
      </w:r>
    </w:p>
    <w:p>
      <w:pPr>
        <w:spacing w:after="0" w:line="25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20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20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increased $96.0 million, or 21%, in 2012 compared to 2011. This cost of sales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increase in available 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02" w:name="page103"/>
    <w:bookmarkEnd w:id="102"/>
    <w:p>
      <w:pPr>
        <w:ind w:firstLine="324"/>
        <w:spacing w:after="0" w:line="259" w:lineRule="auto"/>
        <w:rPr>
          <w:sz w:val="20"/>
          <w:szCs w:val="20"/>
          <w:color w:val="auto"/>
        </w:rPr>
      </w:pPr>
      <w:r>
        <w:rPr>
          <w:rFonts w:ascii="Arial" w:cs="Arial" w:eastAsia="Arial" w:hAnsi="Arial"/>
          <w:sz w:val="18"/>
          <w:szCs w:val="18"/>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21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204"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$9.8 million, or 18%, in 2012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2011 primarily due to increased employee-related costs related to higher total headcount.</w:t>
      </w:r>
    </w:p>
    <w:p>
      <w:pPr>
        <w:spacing w:after="0" w:line="189" w:lineRule="exact"/>
        <w:rPr>
          <w:sz w:val="20"/>
          <w:szCs w:val="20"/>
          <w:color w:val="auto"/>
        </w:rPr>
      </w:pPr>
    </w:p>
    <w:p>
      <w:pPr>
        <w:ind w:right="240" w:firstLine="324"/>
        <w:spacing w:after="0" w:line="31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expense increased $28.3 million, or 26%, in 2012 compared to 2011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made during 2011 and 2012 largely related to investments in our Canadian and Australian lodges and villages.</w:t>
      </w:r>
    </w:p>
    <w:p>
      <w:pPr>
        <w:spacing w:after="0" w:line="165" w:lineRule="exact"/>
        <w:rPr>
          <w:sz w:val="20"/>
          <w:szCs w:val="20"/>
          <w:color w:val="auto"/>
        </w:rPr>
      </w:pPr>
    </w:p>
    <w:p>
      <w:pPr>
        <w:jc w:val="both"/>
        <w:ind w:right="20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$110.7 million, or 46%, in 2012 compared to 2011 primarily as a result of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from our Canadian operations of $64.1 million, or 40%, due to expanded room capacity and higher Australian operating income of $36.0 million, or 57%, along with the favorable contract settlement reported in our U.S. accommodations segment.</w:t>
      </w:r>
    </w:p>
    <w:p>
      <w:pPr>
        <w:spacing w:after="0" w:line="1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$6.1 million, or 31%, in</w:t>
      </w:r>
      <w:r>
        <w:rPr>
          <w:rFonts w:ascii="Arial" w:cs="Arial" w:eastAsia="Arial" w:hAnsi="Arial"/>
          <w:sz w:val="18"/>
          <w:szCs w:val="18"/>
          <w:b w:val="1"/>
          <w:bCs w:val="1"/>
          <w:color w:val="auto"/>
        </w:rPr>
        <w:t xml:space="preserve"> </w:t>
      </w:r>
      <w:r>
        <w:rPr>
          <w:rFonts w:ascii="Arial" w:cs="Arial" w:eastAsia="Arial" w:hAnsi="Arial"/>
          <w:sz w:val="18"/>
          <w:szCs w:val="18"/>
          <w:color w:val="auto"/>
        </w:rPr>
        <w:t>2012 compared to 2011 primarily due to increased outstanding debt levels with affiliates. Interest income decreased as a result of lower interest rates, partially offset by increased cash balances in interest bearing accounts.</w:t>
      </w:r>
    </w:p>
    <w:p>
      <w:pPr>
        <w:spacing w:after="0" w:line="203" w:lineRule="exact"/>
        <w:rPr>
          <w:sz w:val="20"/>
          <w:szCs w:val="20"/>
          <w:color w:val="auto"/>
        </w:rPr>
      </w:pPr>
    </w:p>
    <w:p>
      <w:pPr>
        <w:ind w:right="200" w:firstLine="243"/>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2012 totaled $84.3 million, or 26% of pretax income, compared to income tax expense of $55.1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25% of pretax income, for 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reported net income for the year ended December 31, 2011 of $168.5 million. These results compare to net income of $97.5 million reported for the year ended December 31, 2010.</w:t>
      </w:r>
    </w:p>
    <w:p>
      <w:pPr>
        <w:spacing w:after="0" w:line="193"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$327.0 million, or 61%, in 2011 compared to 2010. The increase in the combined revenues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from the acquisition of The MAC, completed in December 2010, totaling $197.1 million. Excluding The MAC, revenue in 2011 increased $129.9 million, or 24% from 2010.</w:t>
      </w:r>
    </w:p>
    <w:p>
      <w:pPr>
        <w:spacing w:after="0" w:line="20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Canadian segment reported revenues in 2011 that were $83.9 million, or 17%, above 2010. The increase in accommodations revenue primarily resulted from increased revenues from expanded room capacity at our Wapasu Creek lodge. Average available rooms and RevPAR for our lodges increased 30% and 8%, respectively, in 2011 compared to 2010.</w:t>
      </w:r>
    </w:p>
    <w:p>
      <w:pPr>
        <w:spacing w:after="0" w:line="20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U.S. segment reported revenues in 2011 that were $46.0 million, or 52%, above 2010. The increase in accommodations revenue primarily resulted from contributions from the acquisition of Mountain West, completed in December 2010.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3" w:name="page104"/>
    <w:bookmarkEnd w:id="103"/>
    <w:p>
      <w:pPr>
        <w:ind w:right="160" w:firstLine="324"/>
        <w:spacing w:after="0" w:line="303" w:lineRule="auto"/>
        <w:rPr>
          <w:sz w:val="20"/>
          <w:szCs w:val="20"/>
          <w:color w:val="auto"/>
        </w:rPr>
      </w:pPr>
      <w:r>
        <w:rPr>
          <w:rFonts w:ascii="Arial" w:cs="Arial" w:eastAsia="Arial" w:hAnsi="Arial"/>
          <w:sz w:val="16"/>
          <w:szCs w:val="16"/>
          <w:b w:val="1"/>
          <w:bCs w:val="1"/>
          <w:color w:val="auto"/>
        </w:rPr>
        <w:t xml:space="preserve">Cost of Sales and Service. </w:t>
      </w:r>
      <w:r>
        <w:rPr>
          <w:rFonts w:ascii="Arial" w:cs="Arial" w:eastAsia="Arial" w:hAnsi="Arial"/>
          <w:sz w:val="16"/>
          <w:szCs w:val="16"/>
          <w:color w:val="auto"/>
        </w:rPr>
        <w:t>Our consolidated cost of sales increased $142.0 million, or 45%, in 2011 compared to 2010. This cost of sales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related to the increase in revenue and related costs from the acquisition of The MAC and Mountain West. Our consolidated gross margin as a percentage of revenues increased from 42% in 2010 to 47% in 2011 primarily due to contributions from The MAC and an increase in RevPAR for lodges in 2011 compared to 2010. The increase in the RevPAR in 2011 compared to 2010 was primarily due to increased occupancy levels.</w:t>
      </w:r>
    </w:p>
    <w:p>
      <w:pPr>
        <w:spacing w:after="0" w:line="18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Our Canadian segment cost of sales increased $35.9 million, or 12%, in 2011 compared to 2010 primarily due to increased revenues and room capacity our Wapasu Creek lodge. Our Canadian segment gross margin as a percentage of revenues increased from 41% in 2010 to 42% in 2011 primarily due to an 8% increase in RevPAR for lodges in 2011 compared to 2010.</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$32.1 million, or 202%, in 2011 compared to 2010 primarily due to contributions from our acquisition of Mountain West completed in late 2010. Our U.S. accommodations segment gross margin as a percentage of revenues decreased slightly in 2011 to 45% from 46% in 2010.</w:t>
      </w:r>
    </w:p>
    <w:p>
      <w:pPr>
        <w:spacing w:after="0" w:line="204" w:lineRule="exact"/>
        <w:rPr>
          <w:sz w:val="20"/>
          <w:szCs w:val="20"/>
          <w:color w:val="auto"/>
        </w:rPr>
      </w:pPr>
    </w:p>
    <w:p>
      <w:pPr>
        <w:jc w:val="both"/>
        <w:ind w:right="620" w:firstLine="324"/>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$24.9 million, or 85%, in 2011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2010 primarily due to increased contributions from the acquisition of The MAC and Mountain West. In addition, the increase was due to employee-related costs related to an increase in total headcount and office expenses.</w:t>
      </w:r>
    </w:p>
    <w:p>
      <w:pPr>
        <w:spacing w:after="0" w:line="203"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increased $65.0 million, or 142%, in 2011 compared to 2010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made during 2011 and contributions related to the acquisitions of The MAC and Mountain West.</w:t>
      </w:r>
    </w:p>
    <w:p>
      <w:pPr>
        <w:spacing w:after="0" w:line="18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$100.7 million, or 71%, in 2011 compared to 2010 primarily as a result of a $63.2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operating income from our acquisition of The MAC. The remaining increase of $37.5 million was due to expanded room capacity, contributions from the expansion of our Wapasu Creek site in Canada and contributions related to the acquisition of Mountain West.</w:t>
      </w:r>
    </w:p>
    <w:p>
      <w:pPr>
        <w:spacing w:after="0" w:line="18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by $18.8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1,577%, in 2011 compared to 2010 primarily due to increased outstanding debt levels with affiliates related to the acquisition of The MAC, along with increased interest expense on our Canadian and Australian revolvers and Canadian term loan. Interest income increased as a result of lower interest rates, partially offset by increased cash balances in interest bearing accounts.</w:t>
      </w:r>
    </w:p>
    <w:p>
      <w:pPr>
        <w:spacing w:after="0" w:line="207" w:lineRule="exact"/>
        <w:rPr>
          <w:sz w:val="20"/>
          <w:szCs w:val="20"/>
          <w:color w:val="auto"/>
        </w:rPr>
      </w:pPr>
    </w:p>
    <w:p>
      <w:pPr>
        <w:ind w:right="140" w:firstLine="243"/>
        <w:spacing w:after="0" w:line="277"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2011 totaled $55.1 million, or 25% of pretax income, compared to income tax expense of $41.7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30% of pretax income, for 2010. The effective tax rates for the years ended December 31, 2011 and 2010, respectively, are comparable and are lower than U.S. statutory rates because of lower foreign tax rates. The effective tax rates in 2011 decreased from 2010 due to higher foreign-sourced income which is taxed at lower statutory rates. Statutory corporate, federal tax rates in Canada were 26% and 28%, respectively, in 2011 and 2010. The statutory corporate, federal tax rate in Australia was 30% in both 2011 and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9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Cash totaling $432.7 million was provided by operations during the year ended December 31, 2012 compared to cash totaling $283.5 million provided by operations during the year ended December 31, 2011. The increase in operating cash flow in 2012 was primarily due to increases in average available rooms and higher occupancy levels in both Canada and Australia. During the year ended December 31, 2012, changes in working capital generated $33.0 million of cash flow compared to $15.1 million used to fund working capital for the year ended December 31, 2011. Cash totaling $263.8 million was provided by operations during the nine month period ended September 30, 2013 compared to cash totaling $299.8 million provided by operations during the nine months ended September 30, 2012. During the first nine months of 2013 and 2012, $9.0 million and $9.5 million, respectively, was used to fund working capital.</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Cash was used in investing activities during the years ended December 31, 2012 and 2011 in the amounts of $305.7 million and $346.7 million, respectively. Capital expenditures totaled $314.0 million and $348.5 million during the years ended December 31, 2012 and 2011, respectively. Capital expenditures in both years consisted principally of construction and installation of assets for our lodges and villages primarily in support of Canadian oil sands projects and Australian mining production and development projects. Cash was used in investing activities during the nine months ended September 30, 2013 and September 30, 2012 in the amounts of $228.4 million and $204.6 million, respectively. Capital expenditures totaled $234.8 million and $208.2 million during the nine months ended September 30, 2013 and 2012, respectively. Capital expenditures in both years consisted principally of construction and installation of assets for our lodges and villages primarily in support of Canadian oil sands projects and Australian mining production and development.</w:t>
      </w:r>
    </w:p>
    <w:p>
      <w:pPr>
        <w:spacing w:after="0" w:line="194"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04" w:name="page105"/>
    <w:bookmarkEnd w:id="104"/>
    <w:p>
      <w:pPr>
        <w:ind w:right="260" w:firstLine="243"/>
        <w:spacing w:after="0" w:line="308" w:lineRule="auto"/>
        <w:rPr>
          <w:sz w:val="20"/>
          <w:szCs w:val="20"/>
          <w:color w:val="auto"/>
        </w:rPr>
      </w:pPr>
      <w:r>
        <w:rPr>
          <w:rFonts w:ascii="Arial" w:cs="Arial" w:eastAsia="Arial" w:hAnsi="Arial"/>
          <w:sz w:val="17"/>
          <w:szCs w:val="17"/>
          <w:color w:val="auto"/>
        </w:rPr>
        <w:t>Based on management’s judgment of asset classifications, we believe the following table represents the components of capital expenditures for the nine months ended September 30, 2013 and 2012 as well as the years ended December 31, 2012, 2011 and 2010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Land banking</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Mobile/open camp</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243"/>
        <w:spacing w:after="0" w:line="291" w:lineRule="auto"/>
        <w:rPr>
          <w:sz w:val="20"/>
          <w:szCs w:val="20"/>
          <w:color w:val="auto"/>
        </w:rPr>
      </w:pPr>
      <w:r>
        <w:rPr>
          <w:rFonts w:ascii="Arial" w:cs="Arial" w:eastAsia="Arial" w:hAnsi="Arial"/>
          <w:sz w:val="16"/>
          <w:szCs w:val="16"/>
          <w:color w:val="auto"/>
        </w:rPr>
        <w:t>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 Development capital expenditures in 2011 were primarily related to the expansion of Wapasu Creek Lodge and initial construction of the Henday Lodge, both located in Canada. Development spending in Australia, included expansion at the Coppabella, Dysart, Moranbah and Middlemount villages and commencement of the initial construction of the Karratha, Narrabri and Calliope villages. Development spending in 2013 was primarily related to the expansion of the Beaver River and Conklin lodges, and completion of the initial rooms at Anzac lodge in Canada. In 2013, we also completed the initial phase of construction at Boggabri village in Australia.</w:t>
      </w:r>
    </w:p>
    <w:p>
      <w:pPr>
        <w:spacing w:after="0" w:line="167" w:lineRule="exact"/>
        <w:rPr>
          <w:sz w:val="20"/>
          <w:szCs w:val="20"/>
          <w:color w:val="auto"/>
        </w:rPr>
      </w:pPr>
    </w:p>
    <w:p>
      <w:pPr>
        <w:ind w:right="300" w:firstLine="243"/>
        <w:spacing w:after="0" w:line="302" w:lineRule="auto"/>
        <w:rPr>
          <w:sz w:val="20"/>
          <w:szCs w:val="20"/>
          <w:color w:val="auto"/>
        </w:rPr>
      </w:pPr>
      <w:r>
        <w:rPr>
          <w:rFonts w:ascii="Arial" w:cs="Arial" w:eastAsia="Arial" w:hAnsi="Arial"/>
          <w:sz w:val="16"/>
          <w:szCs w:val="16"/>
          <w:color w:val="auto"/>
        </w:rPr>
        <w:t>Capital spending on mobile camp units and open camps in 2012 was primarily related to additions to our well site and Canadian mobile camp assets as well as our open camp locations in Three Rivers, Texas; Estevan, Saskatchewan; and Red Earth, Alberta. Mobile and open camp spending in 2011 was primarily related to additions to our Canadian mobile camp assets. Open and mobile camp spending in 2013 was primarily related to additions to our Canadian mobile camp assets as well as spending on our Boundary open camp in Saskatchewan and open camp locations in Killdeer, ND and Pecos, TX.</w:t>
      </w:r>
    </w:p>
    <w:p>
      <w:pPr>
        <w:spacing w:after="0" w:line="154" w:lineRule="exact"/>
        <w:rPr>
          <w:sz w:val="20"/>
          <w:szCs w:val="20"/>
          <w:color w:val="auto"/>
        </w:rPr>
      </w:pPr>
    </w:p>
    <w:p>
      <w:pPr>
        <w:ind w:firstLine="243"/>
        <w:spacing w:after="0" w:line="268" w:lineRule="auto"/>
        <w:rPr>
          <w:sz w:val="20"/>
          <w:szCs w:val="20"/>
          <w:color w:val="auto"/>
        </w:rPr>
      </w:pPr>
      <w:r>
        <w:rPr>
          <w:rFonts w:ascii="Arial" w:cs="Arial" w:eastAsia="Arial" w:hAnsi="Arial"/>
          <w:sz w:val="17"/>
          <w:szCs w:val="17"/>
          <w:color w:val="auto"/>
        </w:rPr>
        <w:t>We primarily utilize our internal manufacturing capabilities to construct our accommodations properties. We capitalize direct construction, engineering and installation costs and related overhead costs for these assets. In addition, we capitalize interest expense depending on the size and duration of a construction project. Interest expense on the combined statements of income is net of capitalized interest of $3.5 million, $5.1 million and less than $0.1 million, respectively, for the years ended December 31, 2012, 2011 and 2010. Capitalized interest varies year-to-year due to the level of development spending and debt levels outstanding. Interest expense on the combined statements of income is net of capitalized interest of $0.8 million and $3.2 million, respectively, for the nine months ended September 30, 2013 and 2012. We currently expect to spend a total of approximately $100 million to $125 million for capital expenditures during the remainder of 2013 primarily to expand our Canadian lodges and Australian villages, to develop our lodges and villages and to purchase land for our land banking strategy. We expect to fund these capital expenditures with cash available,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 We currently expect to spend a total of approximately $100 million to $125 million for capital expenditures during the remainder of 2013 primarily to expand our Canadian and Australian lodges and villages, to develop our lodges and villages and to purchase land for our land banking strategy. We expect to fund these capital expenditures with cash available, internally generated funds and borrowings under U.S., Canadian and Australian credit facilities.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21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Net cash of $1.5 million was generated from financing activities during the year ended December 30, 2012, primarily as a result of $15.3 million of contributions from Oil States, partially offset by $14.1 million of term loan and other debt repayments. Net cash of $69.4 million was generated from financing activities during the year ended December 30, 2012, primarily as a result of $132.0 million of borrowings from Oil States, partially offset by $38.1 million of repayments of revolving credit facilities and $17.2 million of distributions to Oil States. Net cash of $27.0 million was used in financing activities during the nine months ended September 30, 2013, primarily as a result of the repayment of all amounts outstanding under our Canadian term loan and repayments under our Australian credit facility, partially offset by contributions from Oil States. Net cash of $9.0 million was used in financing activities during the nine months ended September 30, 2012, primarily as a result of repayments on our Canadian term loan and Australian credit facility, payment of financing costs related to the Australian credit facility and the repayment of the remaining outstanding balance of a note with the former owners of Mountain West, partially offset by contributions from Oil States.</w:t>
      </w:r>
    </w:p>
    <w:p>
      <w:pPr>
        <w:spacing w:after="0" w:line="20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provide us with additional liquidity following the spin-off, we anticipate that we will enter into a credit facility with availability in Canada, Australia and the U.S, as further described below. Upon the closing of the spin-off, we expect to enter into a $[●] million, [●]-year credit facility. Borrowings under our credit facility are expected to fund the anticipated cash distribution of $750.0 million to Oil States at closing as well as for general corporate purposes. We believe that cash on hand, cash flow from operations and available borrowings under our new credit facility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202" w:lineRule="exact"/>
        <w:rPr>
          <w:sz w:val="20"/>
          <w:szCs w:val="20"/>
          <w:color w:val="auto"/>
        </w:rPr>
      </w:pPr>
    </w:p>
    <w:p>
      <w:pPr>
        <w:ind w:right="60" w:firstLine="324"/>
        <w:spacing w:after="0" w:line="276" w:lineRule="auto"/>
        <w:rPr>
          <w:sz w:val="20"/>
          <w:szCs w:val="20"/>
          <w:color w:val="auto"/>
        </w:rPr>
      </w:pPr>
      <w:r>
        <w:rPr>
          <w:rFonts w:ascii="Arial" w:cs="Arial" w:eastAsia="Arial" w:hAnsi="Arial"/>
          <w:sz w:val="18"/>
          <w:szCs w:val="18"/>
          <w:b w:val="1"/>
          <w:bCs w:val="1"/>
          <w:color w:val="auto"/>
        </w:rPr>
        <w:t xml:space="preserve">Credit Facilities and Long Term Debt. </w:t>
      </w:r>
      <w:r>
        <w:rPr>
          <w:rFonts w:ascii="Arial" w:cs="Arial" w:eastAsia="Arial" w:hAnsi="Arial"/>
          <w:sz w:val="21"/>
          <w:szCs w:val="21"/>
          <w:color w:val="auto"/>
        </w:rPr>
        <w:t>We have historically relied on Oil States for financial support and cash management.</w:t>
      </w:r>
      <w:r>
        <w:rPr>
          <w:rFonts w:ascii="Arial" w:cs="Arial" w:eastAsia="Arial" w:hAnsi="Arial"/>
          <w:sz w:val="18"/>
          <w:szCs w:val="18"/>
          <w:b w:val="1"/>
          <w:bCs w:val="1"/>
          <w:color w:val="auto"/>
        </w:rPr>
        <w:t xml:space="preserve"> </w:t>
      </w:r>
      <w:r>
        <w:rPr>
          <w:rFonts w:ascii="Arial" w:cs="Arial" w:eastAsia="Arial" w:hAnsi="Arial"/>
          <w:sz w:val="21"/>
          <w:szCs w:val="21"/>
          <w:color w:val="auto"/>
        </w:rPr>
        <w:t>Following the spin-off, our capital structure and sources of liquidity will change. Upon the closing of the spin-off, we expect to enter into a $[●] million, [●]-year credit facility. We have not yet obtained a financing commitment for the credit facility. Amounts outstanding under the credit facility are initially expected to bear variable-rate interest at [●]%. We expect to pay certain customary fees with respect to the credit facility</w:t>
      </w:r>
      <w:r>
        <w:rPr>
          <w:rFonts w:ascii="Arial" w:cs="Arial" w:eastAsia="Arial" w:hAnsi="Arial"/>
          <w:sz w:val="18"/>
          <w:szCs w:val="18"/>
          <w:color w:val="auto"/>
        </w:rPr>
        <w:t>.</w:t>
      </w:r>
    </w:p>
    <w:p>
      <w:pPr>
        <w:sectPr>
          <w:pgSz w:w="11900" w:h="16838" w:orient="portrait"/>
          <w:cols w:equalWidth="0" w:num="1">
            <w:col w:w="11420"/>
          </w:cols>
          <w:pgMar w:left="240" w:top="611" w:right="239" w:bottom="60" w:gutter="0" w:footer="0" w:header="0"/>
        </w:sectPr>
      </w:pPr>
    </w:p>
    <w:bookmarkStart w:id="105" w:name="page106"/>
    <w:bookmarkEnd w:id="105"/>
    <w:p>
      <w:pPr>
        <w:jc w:val="both"/>
        <w:ind w:firstLine="324"/>
        <w:spacing w:after="0" w:line="263" w:lineRule="auto"/>
        <w:rPr>
          <w:sz w:val="20"/>
          <w:szCs w:val="20"/>
          <w:color w:val="auto"/>
        </w:rPr>
      </w:pPr>
      <w:r>
        <w:rPr>
          <w:rFonts w:ascii="Arial" w:cs="Arial" w:eastAsia="Arial" w:hAnsi="Arial"/>
          <w:sz w:val="22"/>
          <w:szCs w:val="22"/>
          <w:color w:val="auto"/>
        </w:rPr>
        <w:t>We expect that the credit facility will contain customary affirmative and negative covenants that, among other things, will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Following the spin-off, we intend to commence the payment of cash dividends on our common stock, subject to our</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w:t>
      </w:r>
      <w:r>
        <w:rPr>
          <w:rFonts w:ascii="Arial" w:cs="Arial" w:eastAsia="Arial" w:hAnsi="Arial"/>
          <w:sz w:val="16"/>
          <w:szCs w:val="16"/>
          <w:color w:val="auto"/>
        </w:rPr>
        <w:t>, and we may incur incremental taxes in the United States if we repatriate foreign earnings to pay such dividends. Please see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 Matters.”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6" w:name="page107"/>
    <w:bookmarkEnd w:id="106"/>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summarizes our contractual obligations at December 31, 2012, and the effect such obligations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our liquidity and cash flow over the next five years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1 - 3 years</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0"/>
              </w:rPr>
              <w:t>3 - 5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Arial" w:cs="Arial" w:eastAsia="Arial" w:hAnsi="Arial"/>
                <w:sz w:val="14"/>
                <w:szCs w:val="14"/>
                <w:color w:val="auto"/>
              </w:rPr>
              <w:t>Total debt, including capital leases</w:t>
            </w:r>
            <w:r>
              <w:rPr>
                <w:rFonts w:ascii="Arial" w:cs="Arial" w:eastAsia="Arial" w:hAnsi="Arial"/>
                <w:sz w:val="25"/>
                <w:szCs w:val="25"/>
                <w:color w:val="auto"/>
                <w:vertAlign w:val="superscript"/>
              </w:rPr>
              <w:t>(1)</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571,611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142,444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18,947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Asset retirement obligations - expected cash payments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490"/>
        <w:spacing w:after="0" w:line="25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interest on fixed-rate debt, but excludes interest on variable-rate debt. Since, we cannot predict with any certainty the amount of interest due on our variable-rate debt due to the expected variability of interest rates and, in the case of our revolving credit facilities, principal amounts outstanding, we do not include this in our obligations. If we assume interest payment amounts are calculated using the outstanding principal balances, interest rates and foreign currency exchange rates as of December 31, 2012 and include applicable commitment fees, estimated interest payments on our variable-rate debt would be $17.6 million “due in less than one year”, $34.1 million “due in one to three years”, $10.5 million “due in three to five years” and $31.4 million “due in more than five years.” In the case of our outstanding term loans, applicable principal pay down amounts have been reflected in the interest payment calculations. See Note 8 to the Combined Financial Statements included in this information statement for additional information on our credit facilities.</w:t>
      </w:r>
    </w:p>
    <w:p>
      <w:pPr>
        <w:spacing w:after="0" w:line="2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debt obligations at December 31, 2012 are included in our combined balance sheet, which is a part of our Combined Financial Statements included in this Form 10. We have not entered into any material leases subsequent to December 31, 2012.</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2012, we are unable to make reasonably reliable estimates of the period of cash settlement with the respective taxing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2012, we had no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primary deferred tax assets at December 31, 2012, are related to deductible goodwill and other intangibles, our asset retirement obligation and foreign tax credit carryforwards. The foreign tax credits will expire in varying amounts after 2019.</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9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i w:val="1"/>
          <w:iCs w:val="1"/>
          <w:color w:val="auto"/>
        </w:rPr>
        <w:t>Accounting for Contingencies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Tangible and Intangible Assets, including Goodwill</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goodwill totaled $295.1 million, or 14%, of our total assets, as of December 31, 2012. Our other intangible assets totaled $97.6 million, or 5%, of our total assets, as of December 31, 2012.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193"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2012,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2012, our quantitative assessment indicated that the fair value of each of our reporting units is greater than its carrying amount.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8" w:name="page109"/>
    <w:bookmarkEnd w:id="108"/>
    <w:p>
      <w:pPr>
        <w:ind w:left="340"/>
        <w:spacing w:after="0"/>
        <w:rPr>
          <w:sz w:val="20"/>
          <w:szCs w:val="20"/>
          <w:color w:val="auto"/>
        </w:rPr>
      </w:pPr>
      <w:r>
        <w:rPr>
          <w:rFonts w:ascii="Arial" w:cs="Arial" w:eastAsia="Arial" w:hAnsi="Arial"/>
          <w:sz w:val="18"/>
          <w:szCs w:val="18"/>
          <w:i w:val="1"/>
          <w:iCs w:val="1"/>
          <w:color w:val="auto"/>
        </w:rPr>
        <w:t>Revenue and Cost Recognition</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revenue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1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Allowances</w:t>
      </w:r>
    </w:p>
    <w:p>
      <w:pPr>
        <w:spacing w:after="0" w:line="25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Estimation of Useful Lives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9" w:name="page110"/>
    <w:bookmarkEnd w:id="109"/>
    <w:p>
      <w:pPr>
        <w:ind w:left="34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20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20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w:t>
      </w:r>
    </w:p>
    <w:p>
      <w:pPr>
        <w:spacing w:after="0" w:line="35"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auto"/>
        </w:rPr>
        <w:t>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5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integrated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135890</wp:posOffset>
            </wp:positionV>
            <wp:extent cx="3267075" cy="2992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6707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production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2012, we generated $1.1 billion in revenue and $352.9 million in operating income.</w:t>
      </w:r>
    </w:p>
    <w:p>
      <w:pPr>
        <w:spacing w:after="0" w:line="20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have long-standing relationships with many of our customers, many of whom are large investment grade energy and mining companies. This customer profile provides us with a stable and recurring revenue base.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11" w:name="page112"/>
    <w:bookmarkEnd w:id="111"/>
    <w:p>
      <w:pPr>
        <w:ind w:firstLine="324"/>
        <w:spacing w:after="0" w:line="270"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(1) the development or construction phase and (2) the operations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mines, sustaining and maintenance capital spending on existing producing assets, including operational turnarounds, and continued development and expansion of natural resource production. This development and expansion includes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regions that we believe are critical to our customers’ operations with long-duration production horizons that we believe will generate strong returns on our deployed capital.</w:t>
      </w:r>
    </w:p>
    <w:p>
      <w:pPr>
        <w:spacing w:after="0" w:line="18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For the nine months ended September 30, 2013, we generated $782.6 million in revenues and $195.8 million in operating income. For the twelve months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approximately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Twelve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 (1)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417.2</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Lodge/Village Revenue</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Revenue</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Lodge/Village Rooms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Lodge/Village Rooms</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RevPAR</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Exchange Rate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Canadian dollar to US dollar</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0.9773</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0.9980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Australian dollar to US dollar</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(1) Note: Includes revenue related to rooms as well as the fees associated with catering, laundry and other services including facilities management.</w:t>
      </w:r>
    </w:p>
    <w:p>
      <w:pPr>
        <w:spacing w:after="0" w:line="26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grown our average available room count by 194% since 2010 through our acquisition of The MAC as well as a disciplined capital expenditure program. Over the same period, we have more than doubled our revenue related to major villages and lodges.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Develop, Own, Operate model with solutions that span the lifecycle of the customers’ projects</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00" w:lineRule="exact"/>
        <w:rPr>
          <w:sz w:val="20"/>
          <w:szCs w:val="20"/>
          <w:color w:val="auto"/>
        </w:rPr>
      </w:pPr>
    </w:p>
    <w:p>
      <w:pPr>
        <w:spacing w:after="0" w:line="24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Through our predecessor, our initial investment in large scale owned and operated accommodations in the oil sands in Canada and Australian mining regions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recurring revenue base</w:t>
      </w:r>
    </w:p>
    <w:p>
      <w:pPr>
        <w:spacing w:after="0" w:line="2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production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20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production. These premium facilities and services are targeted towards the larger, more stable resource companies and their contractors. We are well positioned to serve multi-year resource production projects, providing, for our industry, longer-term visibility and stability to our operations. We seek a customer base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providing good revenue visibility and stability.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Land banking focus with a strong pipeline of approved developments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believe there are real cost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incumbency advantage as competitors are less willing to speculatively build large-scale accommodation facilities without firm customer commitments.</w:t>
      </w:r>
    </w:p>
    <w:p>
      <w:pPr>
        <w:spacing w:after="0" w:line="15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based on market and customer demands grow and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six undeveloped sites that have received the necessary permitting and regulatory approvals. We believe this will allow us to respond promptly to future room demand in emerging regions.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three years, we have more than doubled our accommodations revenues to $1.1 billion in 2012. We are one of the largest global providers of accommodations services. We have spent $1.1 billion for capital expenditures in North America since Oil States’ IPO and $362.4 million in Australia since Oil States’ acquisition of The MAC in 2010. Our largest lodge, Wapasu Creek Lodge, has over 5,000 rooms which we believe is the second largest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current 21,299 rooms in operation. For the three years ended December 31, 2012, we spent $12.7 million on land banking and for the nine months ended September 30, 2013, we spent $11.4 million on land banking. However, we are under no obligation to develop these sites and cannot provide any assurance that these properties will be developed. See “Risk Factors – Our land banking strategy may not be successful.” With our integrated business model, this pipeline of permitted developments provides us with the ability to respond quickly to customer project approvals and be a first-mover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regions with emerging accommodation demand.</w:t>
      </w:r>
    </w:p>
    <w:p>
      <w:pPr>
        <w:spacing w:after="0" w:line="239" w:lineRule="exact"/>
        <w:rPr>
          <w:sz w:val="20"/>
          <w:szCs w:val="20"/>
          <w:color w:val="auto"/>
        </w:rPr>
      </w:pPr>
    </w:p>
    <w:p>
      <w:pPr>
        <w:ind w:right="120" w:firstLine="324"/>
        <w:spacing w:after="0" w:line="292"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some of our base markets as well as properties that extend the reach of our offering.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215" w:lineRule="exact"/>
        <w:rPr>
          <w:sz w:val="20"/>
          <w:szCs w:val="20"/>
          <w:color w:val="auto"/>
        </w:rPr>
      </w:pPr>
    </w:p>
    <w:p>
      <w:pPr>
        <w:ind w:right="80" w:firstLine="324"/>
        <w:spacing w:after="0" w:line="299" w:lineRule="auto"/>
        <w:rPr>
          <w:sz w:val="20"/>
          <w:szCs w:val="20"/>
          <w:color w:val="auto"/>
        </w:rPr>
      </w:pPr>
      <w:r>
        <w:rPr>
          <w:rFonts w:ascii="Arial" w:cs="Arial" w:eastAsia="Arial" w:hAnsi="Arial"/>
          <w:sz w:val="16"/>
          <w:szCs w:val="16"/>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 capital throughout industry cycles.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5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8" w:lineRule="exact"/>
        <w:rPr>
          <w:sz w:val="20"/>
          <w:szCs w:val="20"/>
          <w:color w:val="auto"/>
        </w:rPr>
      </w:pPr>
    </w:p>
    <w:p>
      <w:pPr>
        <w:ind w:right="20" w:firstLine="324"/>
        <w:spacing w:after="0" w:line="299"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since grown the room count by 76% through the addition of 3,980 rooms and four villages to that portfolio while improving the business profitability.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52" w:lineRule="exact"/>
        <w:rPr>
          <w:sz w:val="20"/>
          <w:szCs w:val="20"/>
          <w:color w:val="auto"/>
        </w:rPr>
      </w:pPr>
    </w:p>
    <w:p>
      <w:pPr>
        <w:ind w:right="60" w:firstLine="324"/>
        <w:spacing w:after="0" w:line="299" w:lineRule="auto"/>
        <w:rPr>
          <w:sz w:val="20"/>
          <w:szCs w:val="20"/>
          <w:color w:val="auto"/>
        </w:rPr>
      </w:pPr>
      <w:r>
        <w:rPr>
          <w:rFonts w:ascii="Arial" w:cs="Arial" w:eastAsia="Arial" w:hAnsi="Arial"/>
          <w:sz w:val="16"/>
          <w:szCs w:val="16"/>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tenured projects, with some in remote locations.</w:t>
      </w:r>
    </w:p>
    <w:p>
      <w:pPr>
        <w:spacing w:after="0" w:line="2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an expert in remote workforce logistics, we could have an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6" w:name="page117"/>
    <w:bookmarkEnd w:id="116"/>
    <w:p>
      <w:pPr>
        <w:ind w:right="2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2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205"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5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services is highly sensitive to current and expected commodity prices.</w:t>
      </w:r>
    </w:p>
    <w:p>
      <w:pPr>
        <w:spacing w:after="0" w:line="266"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 over 80% of our 2012 revenues were generated by activity in these two regions.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7" w:name="page118"/>
    <w:bookmarkEnd w:id="117"/>
    <w:p>
      <w:pPr>
        <w:ind w:right="40" w:firstLine="324"/>
        <w:spacing w:after="0" w:line="299" w:lineRule="auto"/>
        <w:rPr>
          <w:sz w:val="20"/>
          <w:szCs w:val="20"/>
          <w:color w:val="auto"/>
        </w:rPr>
      </w:pPr>
      <w:r>
        <w:rPr>
          <w:rFonts w:ascii="Arial" w:cs="Arial" w:eastAsia="Arial" w:hAnsi="Arial"/>
          <w:sz w:val="16"/>
          <w:szCs w:val="16"/>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ten years, customers have moved away from the insourcing business model recognizing that accommodations are non-core investments for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SpinCo is one of the few accommodations providers that service the entire value chain from site identification to long-term facility management. We believe that our existing industry divides accommodations into three primary types: lodges and villages, open camps and mobile assets. SpinCo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2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Sodexho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also an owner operator, such as Hyatt or Starwood.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During the year ended December 31, 2012, we generated approximately 65% of our revenue and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5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8" w:name="page119"/>
    <w:bookmarkEnd w:id="118"/>
    <w:p>
      <w:pPr>
        <w:ind w:right="120" w:firstLine="324"/>
        <w:spacing w:after="0" w:line="276" w:lineRule="auto"/>
        <w:rPr>
          <w:sz w:val="20"/>
          <w:szCs w:val="20"/>
          <w:color w:val="auto"/>
        </w:rPr>
      </w:pPr>
      <w:r>
        <w:rPr>
          <w:rFonts w:ascii="Arial" w:cs="Arial" w:eastAsia="Arial" w:hAnsi="Arial"/>
          <w:sz w:val="17"/>
          <w:szCs w:val="17"/>
          <w:color w:val="auto"/>
        </w:rPr>
        <w:t>The Athabasca oil sands are located in northern Alberta, an area that is very remote with a limited local labor supply. Of Canada’s 33.5 million residents, nearly half of the population lives in ten cities, less than 1% live within 100 km of the oil sands and only 10% of the population lives in Alberta.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20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Activity in the Athabasca oil sands region generated over three-fourths of our Canadian revenue in 2012.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and pipeline expansion activity. Reserves requiring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498850" cy="2470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gridSpan w:val="3"/>
          </w:tcPr>
          <w:p>
            <w:pPr>
              <w:ind w:left="320"/>
              <w:spacing w:after="0"/>
              <w:rPr>
                <w:sz w:val="20"/>
                <w:szCs w:val="20"/>
                <w:color w:val="auto"/>
              </w:rPr>
            </w:pPr>
            <w:r>
              <w:rPr>
                <w:rFonts w:ascii="Arial" w:cs="Arial" w:eastAsia="Arial" w:hAnsi="Arial"/>
                <w:sz w:val="18"/>
                <w:szCs w:val="18"/>
                <w:i w:val="1"/>
                <w:iCs w:val="1"/>
                <w:color w:val="auto"/>
              </w:rPr>
              <w:t>Rooms in our Canadian Lodges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Pr>
          <w:p>
            <w:pPr>
              <w:spacing w:after="0"/>
              <w:rPr>
                <w:sz w:val="24"/>
                <w:szCs w:val="24"/>
                <w:color w:val="auto"/>
              </w:rPr>
            </w:pPr>
          </w:p>
        </w:tc>
        <w:tc>
          <w:tcPr>
            <w:tcW w:w="154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9"/>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ind w:left="500"/>
              <w:spacing w:after="0"/>
              <w:rPr>
                <w:sz w:val="20"/>
                <w:szCs w:val="20"/>
                <w:color w:val="auto"/>
              </w:rPr>
            </w:pPr>
            <w:r>
              <w:rPr>
                <w:rFonts w:ascii="Arial" w:cs="Arial" w:eastAsia="Arial" w:hAnsi="Arial"/>
                <w:sz w:val="18"/>
                <w:szCs w:val="18"/>
                <w:b w:val="1"/>
                <w:bCs w:val="1"/>
                <w:color w:val="auto"/>
                <w:w w:val="99"/>
              </w:rPr>
              <w:t>Extraction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Lodges</w:t>
            </w:r>
          </w:p>
        </w:tc>
        <w:tc>
          <w:tcPr>
            <w:tcW w:w="120" w:type="dxa"/>
            <w:vAlign w:val="bottom"/>
          </w:tcPr>
          <w:p>
            <w:pPr>
              <w:spacing w:after="0"/>
              <w:rPr>
                <w:sz w:val="18"/>
                <w:szCs w:val="18"/>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Region</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5"/>
              </w:rPr>
              <w:t>Technique</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5,174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Athabasca</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1,725</w:t>
            </w:r>
          </w:p>
        </w:tc>
        <w:tc>
          <w:tcPr>
            <w:tcW w:w="1160" w:type="dxa"/>
            <w:vAlign w:val="bottom"/>
          </w:tcPr>
          <w:p>
            <w:pPr>
              <w:jc w:val="right"/>
              <w:spacing w:after="0"/>
              <w:rPr>
                <w:sz w:val="20"/>
                <w:szCs w:val="20"/>
                <w:color w:val="auto"/>
              </w:rPr>
            </w:pPr>
            <w:r>
              <w:rPr>
                <w:rFonts w:ascii="Arial" w:cs="Arial" w:eastAsia="Arial" w:hAnsi="Arial"/>
                <w:sz w:val="18"/>
                <w:szCs w:val="18"/>
                <w:color w:val="auto"/>
              </w:rPr>
              <w:t>1,877</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1,776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Henday</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Beaver River</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1,094</w:t>
            </w: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Conklin</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1,036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Anzac</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S.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 situ</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526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Lakeside</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w:t>
            </w:r>
          </w:p>
        </w:tc>
        <w:tc>
          <w:tcPr>
            <w:tcW w:w="5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11,763</w:t>
            </w:r>
          </w:p>
        </w:tc>
        <w:tc>
          <w:tcPr>
            <w:tcW w:w="1160" w:type="dxa"/>
            <w:vAlign w:val="bottom"/>
          </w:tcPr>
          <w:p>
            <w:pPr>
              <w:jc w:val="right"/>
              <w:spacing w:after="0"/>
              <w:rPr>
                <w:sz w:val="20"/>
                <w:szCs w:val="20"/>
                <w:color w:val="auto"/>
              </w:rPr>
            </w:pPr>
            <w:r>
              <w:rPr>
                <w:rFonts w:ascii="Arial" w:cs="Arial" w:eastAsia="Arial" w:hAnsi="Arial"/>
                <w:sz w:val="18"/>
                <w:szCs w:val="18"/>
                <w:color w:val="auto"/>
              </w:rPr>
              <w:t>11,083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9,896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119" w:name="page120"/>
    <w:bookmarkEnd w:id="119"/>
    <w:p>
      <w:pPr>
        <w:ind w:right="20" w:firstLine="324"/>
        <w:spacing w:after="0" w:line="287" w:lineRule="auto"/>
        <w:rPr>
          <w:sz w:val="20"/>
          <w:szCs w:val="20"/>
          <w:color w:val="auto"/>
        </w:rPr>
      </w:pPr>
      <w:r>
        <w:rPr>
          <w:rFonts w:ascii="Arial" w:cs="Arial" w:eastAsia="Arial" w:hAnsi="Arial"/>
          <w:sz w:val="16"/>
          <w:szCs w:val="16"/>
          <w:color w:val="auto"/>
        </w:rPr>
        <w:t>Our oil sands lodges support construction and operating personnel for maintenance and expansionary projects as well as ongoing operations associated with surface mining and in situ oil sands projects generally under medium-term contracts (two to three years). All of our lodge properties are located on land with leases obtained from the province of Alberta with initial terms of ten years. Our leases have expiration dates that range from 2015 to 2026. Currently, only 33% of our Canadian lodge rooms are on land with leases expiring prior to December 31, 2017. Thus far, we have successfully renewed or extended all expiring land leases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2012, we added 1,187 rooms (net of retirements) to our major oil sands lodges by expanding our Athabasca, Beaver River, Henday and Conklin Lodges. Our Wapasu Creek Lodge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is equivalent in size to the largest hotels in North America.</w:t>
      </w:r>
    </w:p>
    <w:p>
      <w:pPr>
        <w:spacing w:after="0" w:line="266"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Over 75% of our Canadian revenue in 2012 was generated by six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Open Camps</w:t>
      </w:r>
    </w:p>
    <w:p>
      <w:pPr>
        <w:spacing w:after="0" w:line="252"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Waskada and Redvers, which are on leased land. We are currently working to renew these leases, which expire in 2014.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portion of “Other Revenue” in our Canadian segment.</w:t>
      </w:r>
    </w:p>
    <w:p>
      <w:pPr>
        <w:spacing w:after="0" w:line="2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in situ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Rooms in our Canadian Open Camps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Pr>
          <w:p>
            <w:pPr>
              <w:spacing w:after="0"/>
              <w:rPr>
                <w:sz w:val="18"/>
                <w:szCs w:val="18"/>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Open Camps</w:t>
            </w:r>
          </w:p>
        </w:tc>
        <w:tc>
          <w:tcPr>
            <w:tcW w:w="120" w:type="dxa"/>
            <w:vAlign w:val="bottom"/>
          </w:tcPr>
          <w:p>
            <w:pPr>
              <w:spacing w:after="0"/>
              <w:rPr>
                <w:sz w:val="18"/>
                <w:szCs w:val="18"/>
                <w:color w:val="auto"/>
              </w:rPr>
            </w:pPr>
          </w:p>
        </w:tc>
        <w:tc>
          <w:tcPr>
            <w:tcW w:w="3760" w:type="dxa"/>
            <w:vAlign w:val="bottom"/>
          </w:tcPr>
          <w:p>
            <w:pPr>
              <w:ind w:left="1540"/>
              <w:spacing w:after="0"/>
              <w:rPr>
                <w:sz w:val="20"/>
                <w:szCs w:val="20"/>
                <w:color w:val="auto"/>
              </w:rPr>
            </w:pPr>
            <w:r>
              <w:rPr>
                <w:rFonts w:ascii="Arial" w:cs="Arial" w:eastAsia="Arial" w:hAnsi="Arial"/>
                <w:sz w:val="18"/>
                <w:szCs w:val="18"/>
                <w:b w:val="1"/>
                <w:bCs w:val="1"/>
                <w:color w:val="auto"/>
              </w:rPr>
              <w:t>Province</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Mariana Lake</w:t>
            </w:r>
          </w:p>
        </w:tc>
        <w:tc>
          <w:tcPr>
            <w:tcW w:w="120" w:type="dxa"/>
            <w:vAlign w:val="bottom"/>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Boundary</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Saskatchewan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Manitoba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Red Earth</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Alberta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Redvers</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Saskatchewan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Geetla</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British Columbia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Alberta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5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0" w:name="page121"/>
    <w:bookmarkEnd w:id="120"/>
    <w:p>
      <w:pPr>
        <w:ind w:firstLine="324"/>
        <w:spacing w:after="0" w:line="264"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year ended December 31, 2012, we generated 25% of our revenue and 28% of our operating income from our Australian operations. As of September 30, 2013, we had 9,190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2012, we added 1,305 rooms (net of retirements) to our Australian accommodations segment by expanding existing villages and by constructing one new village, Karratha Village, our first village serving the northwest region of Australia. During the first nine months of 2013, we added 572 rooms. In the third quarter of 2013, we opened our new Boggabri Village to serve the Gunnedah Basin. The first phase of the village will consist of 508 rooms when fully operational.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21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21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five villages in the Bowen Basin of central Queensland generated 83% of our Australian revenue in 2012.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The region has 47 operating mines that produced 116 million tons of saleable metallurgical coal in 2012, making Australia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21" w:name="page122"/>
    <w:bookmarkEnd w:id="121"/>
    <w:p>
      <w:pPr>
        <w:ind w:right="20" w:firstLine="324"/>
        <w:spacing w:after="0" w:line="299" w:lineRule="auto"/>
        <w:rPr>
          <w:sz w:val="20"/>
          <w:szCs w:val="20"/>
          <w:color w:val="auto"/>
        </w:rPr>
      </w:pPr>
      <w:r>
        <w:rPr>
          <w:rFonts w:ascii="Arial" w:cs="Arial" w:eastAsia="Arial" w:hAnsi="Arial"/>
          <w:sz w:val="16"/>
          <w:szCs w:val="16"/>
          <w:color w:val="auto"/>
        </w:rPr>
        <w:t>Beyond the Bowen Basin, we serve several emerging markets with our five additional villages. At the end of 2013, we had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related to gold mining, iron ore port expansions and LNG facilities operations on the Northwest Shelf through our Kambalda and Karratha villages.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498850" cy="2470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80" w:type="dxa"/>
            <w:vAlign w:val="bottom"/>
            <w:gridSpan w:val="3"/>
          </w:tcPr>
          <w:p>
            <w:pPr>
              <w:ind w:left="320"/>
              <w:spacing w:after="0"/>
              <w:rPr>
                <w:sz w:val="20"/>
                <w:szCs w:val="20"/>
                <w:color w:val="auto"/>
              </w:rPr>
            </w:pPr>
            <w:r>
              <w:rPr>
                <w:rFonts w:ascii="Arial" w:cs="Arial" w:eastAsia="Arial" w:hAnsi="Arial"/>
                <w:sz w:val="18"/>
                <w:szCs w:val="18"/>
                <w:i w:val="1"/>
                <w:iCs w:val="1"/>
                <w:color w:val="auto"/>
              </w:rPr>
              <w:t>Rooms in our Australian Villages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Villages</w:t>
            </w:r>
          </w:p>
        </w:tc>
        <w:tc>
          <w:tcPr>
            <w:tcW w:w="12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Arial" w:cs="Arial" w:eastAsia="Arial" w:hAnsi="Arial"/>
                <w:sz w:val="18"/>
                <w:szCs w:val="18"/>
                <w:b w:val="1"/>
                <w:bCs w:val="1"/>
                <w:color w:val="auto"/>
              </w:rPr>
              <w:t>Resource Basin</w:t>
            </w:r>
          </w:p>
        </w:tc>
        <w:tc>
          <w:tcPr>
            <w:tcW w:w="120" w:type="dxa"/>
            <w:vAlign w:val="bottom"/>
          </w:tcPr>
          <w:p>
            <w:pPr>
              <w:spacing w:after="0"/>
              <w:rPr>
                <w:sz w:val="18"/>
                <w:szCs w:val="18"/>
                <w:color w:val="auto"/>
              </w:rPr>
            </w:pPr>
          </w:p>
        </w:tc>
        <w:tc>
          <w:tcPr>
            <w:tcW w:w="2080" w:type="dxa"/>
            <w:vAlign w:val="bottom"/>
          </w:tcPr>
          <w:p>
            <w:pPr>
              <w:ind w:left="580"/>
              <w:spacing w:after="0"/>
              <w:rPr>
                <w:sz w:val="20"/>
                <w:szCs w:val="20"/>
                <w:color w:val="auto"/>
              </w:rPr>
            </w:pPr>
            <w:r>
              <w:rPr>
                <w:rFonts w:ascii="Arial" w:cs="Arial" w:eastAsia="Arial" w:hAnsi="Arial"/>
                <w:sz w:val="18"/>
                <w:szCs w:val="18"/>
                <w:b w:val="1"/>
                <w:bCs w:val="1"/>
                <w:color w:val="auto"/>
              </w:rPr>
              <w:t>Commodity</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Coppabella</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Bowen</w:t>
            </w:r>
          </w:p>
        </w:tc>
        <w:tc>
          <w:tcPr>
            <w:tcW w:w="1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 coal</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Dysart</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1,491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Middlemount</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Narrabri</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Gunnedah</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Nebo</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Gunnedah</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Calliope</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Kambalda</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Karratha</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Pilbara</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LNG, iron ore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Australian accommodations segment operated ten villages with 9,190 rooms as of September 30,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2" w:name="page123"/>
    <w:bookmarkEnd w:id="122"/>
    <w:p>
      <w:pPr>
        <w:ind w:right="12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2011, we opened the first village of its kind in New South Wales. Narrabri Village, servicing met coal mines and coal seam gas in the Gunnedah Basin, opened in 2012 and our newest village, Boggabri, opened in the third quarter of 2013. Boggabri Village, whose first stage opened in July 2013, will initially consist of 508 rooms, once completed, and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U.S. business is focused primarily on the Rocky Mountain corridor, the Bakken Shale region, the Eagle Ford Shale and Permian Basin regions of Texas and offshore locations in the Gulf of Mexico. Our U.S. business contributed 10% of our revenue and 9% of our operating income in 2012.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Market</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927475" cy="2667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274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3" w:name="page124"/>
    <w:bookmarkEnd w:id="123"/>
    <w:p>
      <w:pPr>
        <w:ind w:left="340"/>
        <w:spacing w:after="0"/>
        <w:rPr>
          <w:sz w:val="20"/>
          <w:szCs w:val="20"/>
          <w:color w:val="auto"/>
        </w:rPr>
      </w:pPr>
      <w:r>
        <w:rPr>
          <w:rFonts w:ascii="Arial" w:cs="Arial" w:eastAsia="Arial" w:hAnsi="Arial"/>
          <w:sz w:val="18"/>
          <w:szCs w:val="18"/>
          <w:i w:val="1"/>
          <w:iCs w:val="1"/>
          <w:color w:val="auto"/>
        </w:rPr>
        <w:t>Mobile Fleet</w:t>
      </w:r>
    </w:p>
    <w:p>
      <w:pPr>
        <w:spacing w:after="0" w:line="25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208"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Arial" w:cs="Arial" w:eastAsia="Arial" w:hAnsi="Arial"/>
                <w:sz w:val="18"/>
                <w:szCs w:val="18"/>
                <w:i w:val="1"/>
                <w:iCs w:val="1"/>
                <w:color w:val="auto"/>
              </w:rPr>
              <w:t>Open Camps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United States Open Camp Rooms</w:t>
            </w:r>
          </w:p>
        </w:tc>
        <w:tc>
          <w:tcPr>
            <w:tcW w:w="120" w:type="dxa"/>
            <w:vAlign w:val="bottom"/>
          </w:tcPr>
          <w:p>
            <w:pPr>
              <w:spacing w:after="0"/>
              <w:rPr>
                <w:sz w:val="18"/>
                <w:szCs w:val="18"/>
                <w:color w:val="auto"/>
              </w:rPr>
            </w:pPr>
          </w:p>
        </w:tc>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State</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Rivers Lodge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TX</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Stanley House</w:t>
            </w: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ND</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West Permian Lodge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TX</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Killdeer Lodge</w:t>
            </w: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ND</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 Open Camp Rooms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have four open camps in the U.S. comprising of 639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20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4" w:name="page125"/>
    <w:bookmarkEnd w:id="124"/>
    <w:p>
      <w:pPr>
        <w:ind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Competitors</w:t>
      </w:r>
    </w:p>
    <w:p>
      <w:pPr>
        <w:spacing w:after="0" w:line="25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2012 were Imperial Oil Limited (a company controlled by ExxonMobil Corporation) and Fluor Canada Ltd and BM Alliance Coal Operations Pty Ltd (an alliance between BHP Billiton and Mitsubishi) in Australia.</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214" w:lineRule="exact"/>
        <w:rPr>
          <w:sz w:val="20"/>
          <w:szCs w:val="20"/>
          <w:color w:val="auto"/>
        </w:rPr>
      </w:pPr>
    </w:p>
    <w:p>
      <w:pPr>
        <w:ind w:right="1040" w:firstLine="324"/>
        <w:spacing w:after="0" w:line="342"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Corporation, Sodexho and Compass Group PLC for facility management services.</w:t>
      </w:r>
    </w:p>
    <w:p>
      <w:pPr>
        <w:spacing w:after="0" w:line="15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9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Lodge and Village Contracts</w:t>
      </w:r>
    </w:p>
    <w:p>
      <w:pPr>
        <w:spacing w:after="0" w:line="25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Revenues from our lodges and villages represented over 75% of our consolidated revenues in the nine month period ended September 30, 2013. Our customers typically contract for accommodations services under take-or-pay contracts with terms that most often range from two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Operations</w:t>
      </w:r>
    </w:p>
    <w:p>
      <w:pPr>
        <w:spacing w:after="0" w:line="25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December 31, 2012, we had 3,795 full-time employees on a consolidated basis, 72% of whom are in Canada, 16% of whom are in Australia and 12% of whom are in the U.S. We were party to collective bargaining agreements covering 1,692 employees located in Canada and 574 employees located in Australia as of December 31, 2012.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21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21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20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26" w:name="page127"/>
    <w:bookmarkEnd w:id="126"/>
    <w:p>
      <w:pPr>
        <w:ind w:right="60" w:firstLine="324"/>
        <w:spacing w:after="0" w:line="287" w:lineRule="auto"/>
        <w:rPr>
          <w:sz w:val="20"/>
          <w:szCs w:val="20"/>
          <w:color w:val="auto"/>
        </w:rPr>
      </w:pPr>
      <w:r>
        <w:rPr>
          <w:rFonts w:ascii="Arial" w:cs="Arial" w:eastAsia="Arial" w:hAnsi="Arial"/>
          <w:sz w:val="16"/>
          <w:szCs w:val="16"/>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20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accommodations segment is regulated by general statutory environmental controls at both the state and federal level which may result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land use approval and compliance risk. These controls include: land use and urban design controls;  the regulation of hard and liquid waste,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for tradewaste and/or wastewater permits or licenses; the regulation of water, noise, heat, and atmospheric gases emissions; the regulation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production, transport and storage of dangerous and hazardous materials (including asbestos); and the regulation of pollution and site contamination. Some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activities, for example, sewage treatment works, may require regulation at a state level by way of environmental protection licenses which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impose monitoring and reporting obligations on the holder. There is an increasing emphasis from state and federal regulators on sustainability and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in business operations. Federal requirements are now in place for the mandatory disclosure of energy performance under building rating schemes.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schemes require the tracking of specific environmental performance factors. Carbon reporting requirements currently exist for corporations which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reporting threshold for greenhouse gases or energy use or production for a reporting (financial) year under national legislation. In addition, the Australian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Commonwealth Government’s carbon pricing mechanism (“CPM”) commenced on July 1, 2012. Under the CPM, entities that are responsible for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meet specified emissions thresholds will be required to purchase and surrender permits representing their carbon emissions. The CPM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operate as a carbon trading scheme, commencing with a three year fixed price period, followed by a flexible price cap-and-trade emissions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scheme. Although our Australian accommodations facilities are currently below the emissions thresholds specified by the CPM and are, thus, not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CPM, this could change in the future and the resultant change could have an adverse effect on our Australian operations and financial results.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27" w:name="page128"/>
    <w:bookmarkEnd w:id="127"/>
    <w:p>
      <w:pPr>
        <w:ind w:firstLine="324"/>
        <w:spacing w:after="0" w:line="297" w:lineRule="auto"/>
        <w:rPr>
          <w:sz w:val="20"/>
          <w:szCs w:val="20"/>
          <w:color w:val="auto"/>
        </w:rPr>
      </w:pPr>
      <w:r>
        <w:rPr>
          <w:rFonts w:ascii="Arial" w:cs="Arial" w:eastAsia="Arial" w:hAnsi="Arial"/>
          <w:sz w:val="16"/>
          <w:szCs w:val="16"/>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8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18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8" w:name="page129"/>
    <w:bookmarkEnd w:id="128"/>
    <w:p>
      <w:pPr>
        <w:ind w:right="60" w:firstLine="324"/>
        <w:spacing w:after="0" w:line="271" w:lineRule="auto"/>
        <w:rPr>
          <w:sz w:val="20"/>
          <w:szCs w:val="20"/>
          <w:color w:val="auto"/>
        </w:rPr>
      </w:pPr>
      <w:r>
        <w:rPr>
          <w:rFonts w:ascii="Arial" w:cs="Arial" w:eastAsia="Arial" w:hAnsi="Arial"/>
          <w:sz w:val="17"/>
          <w:szCs w:val="17"/>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information about our principal properties and facilities. Except as indicated below, we own all of the properties or facilities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Square</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Footage/Acreage</w:t>
            </w:r>
          </w:p>
        </w:tc>
        <w:tc>
          <w:tcPr>
            <w:tcW w:w="4680" w:type="dxa"/>
            <w:vAlign w:val="bottom"/>
          </w:tcPr>
          <w:p>
            <w:pPr>
              <w:ind w:left="19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Houston, Texas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TBD</w:t>
            </w:r>
          </w:p>
        </w:tc>
        <w:tc>
          <w:tcPr>
            <w:tcW w:w="4680" w:type="dxa"/>
            <w:vAlign w:val="bottom"/>
          </w:tcPr>
          <w:p>
            <w:pPr>
              <w:spacing w:after="0"/>
              <w:rPr>
                <w:sz w:val="20"/>
                <w:szCs w:val="20"/>
                <w:color w:val="auto"/>
              </w:rPr>
            </w:pPr>
            <w:r>
              <w:rPr>
                <w:rFonts w:ascii="Arial" w:cs="Arial" w:eastAsia="Arial" w:hAnsi="Arial"/>
                <w:sz w:val="18"/>
                <w:szCs w:val="18"/>
                <w:color w:val="auto"/>
              </w:rPr>
              <w:t>Principal executive offices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Johnstown, Colorado</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Pecos, Texas</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Dickinson, North Dakota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Vernal, Utah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21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Carrizo Springs, Texas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Belle Chasse, Louisiana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10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Three Rivers, Texas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Big Piney, Wyoming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Stanley, North Dakota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Englewood, Colorado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5,480</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Windsor, Colorado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4,933</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Fort McMurray, Alberta (Wapasu Creek and Henday</w:t>
            </w:r>
          </w:p>
        </w:tc>
        <w:tc>
          <w:tcPr>
            <w:tcW w:w="240" w:type="dxa"/>
            <w:vAlign w:val="bottom"/>
          </w:tcPr>
          <w:p>
            <w:pPr>
              <w:spacing w:after="0"/>
              <w:rPr>
                <w:sz w:val="17"/>
                <w:szCs w:val="17"/>
                <w:color w:val="auto"/>
              </w:rPr>
            </w:pPr>
          </w:p>
        </w:tc>
        <w:tc>
          <w:tcPr>
            <w:tcW w:w="1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240 acres</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4"/>
            <w:vMerge w:val="restart"/>
          </w:tcPr>
          <w:p>
            <w:pPr>
              <w:ind w:left="380"/>
              <w:spacing w:after="0"/>
              <w:rPr>
                <w:sz w:val="20"/>
                <w:szCs w:val="20"/>
                <w:color w:val="auto"/>
              </w:rPr>
            </w:pPr>
            <w:r>
              <w:rPr>
                <w:rFonts w:ascii="Arial" w:cs="Arial" w:eastAsia="Arial" w:hAnsi="Arial"/>
                <w:sz w:val="18"/>
                <w:szCs w:val="18"/>
                <w:color w:val="auto"/>
              </w:rPr>
              <w:t>Lodges) (leased land)</w:t>
            </w:r>
          </w:p>
        </w:tc>
        <w:tc>
          <w:tcPr>
            <w:tcW w:w="2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4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Fort McMurray, Alberta (Pebble Beach) (leased land)</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Fort McMurray, Alberta (Conklin Lodge) (leased land)</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135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Fort McMurray, Alberta (Beaver River and Athabasca</w:t>
            </w:r>
          </w:p>
        </w:tc>
        <w:tc>
          <w:tcPr>
            <w:tcW w:w="240" w:type="dxa"/>
            <w:vAlign w:val="bottom"/>
            <w:shd w:val="clear" w:color="auto" w:fill="CCEEFF"/>
          </w:tcPr>
          <w:p>
            <w:pPr>
              <w:spacing w:after="0"/>
              <w:rPr>
                <w:sz w:val="17"/>
                <w:szCs w:val="17"/>
                <w:color w:val="auto"/>
              </w:rPr>
            </w:pPr>
          </w:p>
        </w:tc>
        <w:tc>
          <w:tcPr>
            <w:tcW w:w="1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128 acres</w:t>
            </w:r>
          </w:p>
        </w:tc>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4"/>
            <w:vMerge w:val="restart"/>
            <w:shd w:val="clear" w:color="auto" w:fill="CCEEFF"/>
          </w:tcPr>
          <w:p>
            <w:pPr>
              <w:ind w:left="380"/>
              <w:spacing w:after="0"/>
              <w:rPr>
                <w:sz w:val="20"/>
                <w:szCs w:val="20"/>
                <w:color w:val="auto"/>
              </w:rPr>
            </w:pPr>
            <w:r>
              <w:rPr>
                <w:rFonts w:ascii="Arial" w:cs="Arial" w:eastAsia="Arial" w:hAnsi="Arial"/>
                <w:sz w:val="18"/>
                <w:szCs w:val="18"/>
                <w:color w:val="auto"/>
              </w:rPr>
              <w:t>Lodges) (leased land)</w:t>
            </w:r>
          </w:p>
        </w:tc>
        <w:tc>
          <w:tcPr>
            <w:tcW w:w="240" w:type="dxa"/>
            <w:vAlign w:val="bottom"/>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4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4"/>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Fort McMurray, Alberta (Christina Lake Lodge)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Grimshaw, Alberta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20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equipment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Fort McMurray, Alberta (Anzac Lodge) (leased land)</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Nisku, Alberta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9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86,376</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 and warehouse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71,654</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28,253</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16,130</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color w:val="auto"/>
              </w:rPr>
              <w:t>Australia:</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Coppabella,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Calliope,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124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Narrabri, New South Wales,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Boggabri, New South Wales,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52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Dysart,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Middlemount,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9"/>
              </w:rPr>
              <w:t>Karratha, Western Australia, Australia (own and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Kambalda, Western Australia,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Nebo,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Moranbah,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Ormeau, Queensland, Australia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Sydney, New South Wales, Australia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17,276</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Brisbane, Queensland, Australia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7,115</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129" w:name="page130"/>
    <w:bookmarkEnd w:id="129"/>
    <w:p>
      <w:pPr>
        <w:ind w:right="60" w:firstLine="324"/>
        <w:spacing w:after="0" w:line="277"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97" w:lineRule="exact"/>
        <w:rPr>
          <w:sz w:val="20"/>
          <w:szCs w:val="20"/>
          <w:color w:val="auto"/>
        </w:rPr>
      </w:pPr>
    </w:p>
    <w:p>
      <w:pPr>
        <w:ind w:right="480" w:firstLine="324"/>
        <w:spacing w:after="0" w:line="357" w:lineRule="auto"/>
        <w:rPr>
          <w:sz w:val="20"/>
          <w:szCs w:val="20"/>
          <w:color w:val="auto"/>
        </w:rPr>
      </w:pPr>
      <w:r>
        <w:rPr>
          <w:rFonts w:ascii="Arial" w:cs="Arial" w:eastAsia="Arial" w:hAnsi="Arial"/>
          <w:sz w:val="17"/>
          <w:szCs w:val="17"/>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party to various pending or threatened claims, lawsuits and administrative proceedings seeking damages or other remedies concerning our commercial operations, products, employees and other matters as a result of our products or operations.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0" w:name="page131"/>
    <w:bookmarkEnd w:id="130"/>
    <w:p>
      <w:pPr>
        <w:ind w:left="5360"/>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following table sets forth information as of February 10, 2013, regarding the individual who is expected to serve as our president and chief executive officer following the spin-off. Additional executive officers will be appointed upon the spin-off and we will include information concerning those executive officers in an amendment to this information statement. After the spin-off, none of these individuals will continue to be employees of Oil States.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Position(s)</w:t>
            </w:r>
          </w:p>
        </w:tc>
        <w:tc>
          <w:tcPr>
            <w:tcW w:w="80" w:type="dxa"/>
            <w:vAlign w:val="bottom"/>
          </w:tcPr>
          <w:p>
            <w:pPr>
              <w:spacing w:after="0"/>
              <w:rPr>
                <w:sz w:val="20"/>
                <w:szCs w:val="20"/>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Age</w:t>
            </w: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0" w:type="dxa"/>
            <w:vAlign w:val="bottom"/>
            <w:shd w:val="clear" w:color="auto" w:fill="CCEEFF"/>
          </w:tcPr>
          <w:p>
            <w:pPr>
              <w:spacing w:after="0"/>
              <w:rPr>
                <w:sz w:val="18"/>
                <w:szCs w:val="18"/>
                <w:color w:val="auto"/>
              </w:rPr>
            </w:pPr>
          </w:p>
        </w:tc>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40</w:t>
            </w:r>
          </w:p>
        </w:tc>
      </w:tr>
    </w:tbl>
    <w:p>
      <w:pPr>
        <w:spacing w:after="0" w:line="208" w:lineRule="exact"/>
        <w:rPr>
          <w:sz w:val="20"/>
          <w:szCs w:val="20"/>
          <w:color w:val="auto"/>
        </w:rPr>
      </w:pPr>
    </w:p>
    <w:p>
      <w:pPr>
        <w:ind w:right="80" w:firstLine="324"/>
        <w:spacing w:after="0" w:line="272" w:lineRule="auto"/>
        <w:rPr>
          <w:sz w:val="20"/>
          <w:szCs w:val="20"/>
          <w:color w:val="auto"/>
        </w:rPr>
      </w:pPr>
      <w:r>
        <w:rPr>
          <w:rFonts w:ascii="Arial" w:cs="Arial" w:eastAsia="Arial" w:hAnsi="Arial"/>
          <w:sz w:val="21"/>
          <w:szCs w:val="21"/>
          <w:i w:val="1"/>
          <w:iCs w:val="1"/>
          <w:color w:val="auto"/>
        </w:rPr>
        <w:t xml:space="preserve">Bradley J. Dodson </w:t>
      </w:r>
      <w:r>
        <w:rPr>
          <w:rFonts w:ascii="Arial" w:cs="Arial" w:eastAsia="Arial" w:hAnsi="Arial"/>
          <w:sz w:val="21"/>
          <w:szCs w:val="21"/>
          <w:color w:val="auto"/>
        </w:rPr>
        <w:t>is currently Executive Vice President, Accommodations of Oil States and President and Chief Executive</w:t>
      </w:r>
      <w:r>
        <w:rPr>
          <w:rFonts w:ascii="Arial" w:cs="Arial" w:eastAsia="Arial" w:hAnsi="Arial"/>
          <w:sz w:val="21"/>
          <w:szCs w:val="21"/>
          <w:i w:val="1"/>
          <w:iCs w:val="1"/>
          <w:color w:val="auto"/>
        </w:rPr>
        <w:t xml:space="preserve"> </w:t>
      </w:r>
      <w:r>
        <w:rPr>
          <w:rFonts w:ascii="Arial" w:cs="Arial" w:eastAsia="Arial" w:hAnsi="Arial"/>
          <w:sz w:val="21"/>
          <w:szCs w:val="21"/>
          <w:color w:val="auto"/>
        </w:rPr>
        <w:t>Officer of SpinCo; positions held since December 2013. Mr. Dodson has held several executive positions with Oil States since joining in March 2001, including serving as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in the process of finalizing the composition of our board of directors following the spin-off, and as such we will provide information regarding our directors in an amendment to this Information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We currently expect that, upon the completion of the separation, our board of directors will consist of [•] members, a majority of whom we expect to satisfy the independence standards established by the Sarbanes-Oxley Act of 2002 and the applicable rules of the SEC and the NYSE.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board of directors will establish several standing committees in connection with the discharge of its responsibilities. Upon completion of the spin-off, our board of directors will have the following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an audit committee, composed of at least one director and a majority of independent directors.</w:t>
      </w:r>
    </w:p>
    <w:p>
      <w:pPr>
        <w:spacing w:after="0" w:line="19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all of the members of the Audit Committee are financially literate and have accounting or related financial management expertise, each as required by the applicable NYSE listing standards. The board of directors is also expected to determine that at least one member of the Audit Committee will qualify as audit committee financial experts under the applicable rules of the Exchange 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compensation committee, composed of at least one director and a majority of independent directors.</w:t>
      </w:r>
    </w:p>
    <w:p>
      <w:pPr>
        <w:spacing w:after="0" w:line="1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7"/>
          <w:szCs w:val="17"/>
          <w:color w:val="auto"/>
        </w:rPr>
        <w:t xml:space="preserve">The Compensation Committee will administer the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Plan, and in this capacity make a recommendation to the full board of directors concerning aggregate amount of all option grants or stock awards to employees as well as specific awards to executive officers under the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Plan.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nominating and governance committee, composed of at least one director and a majority of independent directors.</w:t>
      </w:r>
    </w:p>
    <w:p>
      <w:pPr>
        <w:spacing w:after="0" w:line="19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21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Upon completion of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Upon completion of the spin-off, we will adopt a Corporate Code of Business Conduct and Ethics, which will require that all directors, officers and employees of SpinCo act ethically at all times.</w:t>
      </w:r>
    </w:p>
    <w:p>
      <w:pPr>
        <w:spacing w:after="0" w:line="19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we will adopt a Financial Code of Ethics for Senior Officers that will apply to the chief executive officer, chief financial officer, principal accounting officer and other senior officers (“Senior Officers”).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2" w:name="page133"/>
    <w:bookmarkEnd w:id="132"/>
    <w:p>
      <w:pPr>
        <w:ind w:right="40" w:firstLine="324"/>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197"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will adopt a director resignation policy. The director resignation policy will provide that if (1) a director’s principal occupation or business association changes substantially during his or her tenure as a director or (2) a director fails to receive a majority vote in an uncontested director election, that director is required by our Corporate Governance Guidelines to inform the Chairman of the Nominating &amp; Corporate Governance Committee of the change or failure, as applicable,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(1) whether the change in the director’s professional responsibilities directly or indirectly impacts that person’s ability to fulfill directorship obligations or (2) whether the director’s abilities and qualifications are such that they negate the assumption that he or she is unsuitable, which could be inferred from the director’s failure to receive a majority vote, as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persons who we expect will be our named executive officers as of the distribution date will be included in a subsequent amendment. For purposes of the following Compensation Discussion and Analysis, we refer to them collectively as our “Named Executive Officers.” Our expectation is that, prior to the spin-off, each of our Named Executive Officers will have been employed by Oil States or its subsidiaries; therefore, the information provided for the years 2012, 2011 and 2010 will reflect compensation earned at Oil States or its subsidiaries and the design and objectives of the executive compensation programs in place prior to the spin-off.</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Compensation decisions for our named executive officers prior to the spin-off will be made by Oil States. To the extent such persons are senior officers of Oil States, the decisions will be made by the Compensation Committee (the “Compensation Committee”) of the board of directors (the “Board”) of Oil States, which is composed entirely of independent directors. Executive compensation decisions following the spin-off will be made by the Compensation Committee of SpinCo (our “Compensation Committee”).</w:t>
      </w: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has three main parts:</w:t>
      </w:r>
    </w:p>
    <w:p>
      <w:pPr>
        <w:spacing w:after="0" w:line="252" w:lineRule="exact"/>
        <w:rPr>
          <w:sz w:val="20"/>
          <w:szCs w:val="20"/>
          <w:color w:val="auto"/>
        </w:rPr>
      </w:pPr>
    </w:p>
    <w:p>
      <w:pPr>
        <w:ind w:left="660" w:right="780" w:hanging="652"/>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Oil States 2012 Executive Compensation</w:t>
      </w:r>
      <w:r>
        <w:rPr>
          <w:rFonts w:ascii="Arial" w:cs="Arial" w:eastAsia="Arial" w:hAnsi="Arial"/>
          <w:sz w:val="18"/>
          <w:szCs w:val="18"/>
          <w:color w:val="auto"/>
        </w:rPr>
        <w:t>—This section describes and analyzes the executive compensation programs at Oil States in 2012 (beginning on page 94).</w:t>
      </w:r>
    </w:p>
    <w:p>
      <w:pPr>
        <w:spacing w:after="0" w:line="197"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Effects of Spin-off on Outstanding Compensation Awards</w:t>
      </w:r>
      <w:r>
        <w:rPr>
          <w:rFonts w:ascii="Arial" w:cs="Arial" w:eastAsia="Arial" w:hAnsi="Arial"/>
          <w:sz w:val="18"/>
          <w:szCs w:val="18"/>
          <w:color w:val="auto"/>
        </w:rPr>
        <w:t>—This section discusses the effect of the spin-off on outstanding compensation awards for our Named Executive Officers (beginning on page 103).</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SpinCo Compensation Programs</w:t>
      </w:r>
      <w:r>
        <w:rPr>
          <w:rFonts w:ascii="Arial" w:cs="Arial" w:eastAsia="Arial" w:hAnsi="Arial"/>
          <w:sz w:val="16"/>
          <w:szCs w:val="16"/>
          <w:color w:val="auto"/>
        </w:rPr>
        <w:t>—This section discusses the anticipated executive compensation programs at SpinCo (beginning on page 103).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2012 Executive Compensation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provides overall guidance to Oil States’ executive compensation program and administers incentive compensation plans.</w:t>
      </w:r>
    </w:p>
    <w:p>
      <w:pPr>
        <w:spacing w:after="0" w:line="2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Total Compensation Philosophy</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Compensation Committee believes this approach closely links the compensation of Oil States’ executives to the execution of Oil States’ strategy and the accomplishment of Oil States goals that coincide with stockholder objectives.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Compensation Program Objectives:</w:t>
      </w:r>
    </w:p>
    <w:p>
      <w:pPr>
        <w:spacing w:after="0" w:line="256"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Attract, motivate, reward and retain key employees and executive talent required to achieve corporate strategic plans;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Reinforce the relationship between strong individual performance of executives and business results;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stockholders;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 a compensation program that neither promotes overly conservative actions or excessive risk taking.</w:t>
      </w:r>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Benchmarking Relative to Market</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Compensation Committee establishes executive compensation primarily based on a review of the executive’s performance and compensation history and takes into account corporate performance. In the exercise of its duties, the Compensation Committee periodically benchmarks Oil States’ executive compensation against that of comparable companies; however, the Compensation Committee does not set percentile goals against benchmark data for purposes of determining executive compensation levels. The Compensation Committee considers the market to consist of both the oilfield services industry and geographic markets in which Oil States competes for executive talent. Benchmark data is periodically obtained for a selected peer group approved by the Compensation Committee (the “peer group”) as well as for industry companies of comparable size and business complexity. Oil States currently uses the following peer group companies:</w:t>
      </w:r>
    </w:p>
    <w:p>
      <w:pPr>
        <w:spacing w:after="0" w:line="216"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Carbo Ceramics,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Core Laboratories N.V.;</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Dresser—Rand Group,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Dril-Quip,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Exterran Holdings,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FMC Technologies,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Helix Energy Solutions Group,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Helmerich &amp; Payne,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Key Energy Services,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McDermott International,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Oceaneering International,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RPC,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Superior Energy Services, Inc.;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Tidewater, Inc.</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selecting benchmark companies, the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2012. They deleted Complete Production Services, Inc. because it was acquired, and they added Cameron International Corporation because it is similar to Oil States’ offshore products segment and because they compete for the same executive talent.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5" w:name="page136"/>
    <w:bookmarkEnd w:id="135"/>
    <w:p>
      <w:pPr>
        <w:jc w:val="both"/>
        <w:ind w:right="100" w:firstLine="324"/>
        <w:spacing w:after="0" w:line="279" w:lineRule="auto"/>
        <w:rPr>
          <w:sz w:val="20"/>
          <w:szCs w:val="20"/>
          <w:color w:val="auto"/>
        </w:rPr>
      </w:pPr>
      <w:r>
        <w:rPr>
          <w:rFonts w:ascii="Arial" w:cs="Arial" w:eastAsia="Arial" w:hAnsi="Arial"/>
          <w:sz w:val="17"/>
          <w:szCs w:val="17"/>
          <w:color w:val="auto"/>
        </w:rPr>
        <w:t>The Compensation Committee reviews the compensation programs for comparable positions at similar corporations with which Oil States competes for executive talent, and also considers relative internal equity within its executive pay structure. This approach allows the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9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evaluating the peer group and other comparison data for compensation purposes, the Compensation Committee neither bases its decisions on quantitative relative weights of various factors, nor follows mathematical formulas. Rather, the Compensation Committee exercises its discretion and makes its judgment after considering the factors it deems relevant.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 as They Relate to Risk Management</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20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Oil States’ compensation arrangements contain certain design elements that are intended to minimize the incentive for taking unwarranted risk to achieve short-term, unsustainable results. Those elements include a maximum amount that can be earned under the annual incentive cash compensation and performance based equity award programs.</w:t>
      </w:r>
    </w:p>
    <w:p>
      <w:pPr>
        <w:spacing w:after="0" w:line="20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left="660" w:right="80" w:hanging="652"/>
        <w:spacing w:after="0" w:line="293"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—Base salary is the guaranteed element of an executive’s direct compensation and is intended to provide a foundation for a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compensation opportunity for the executive. The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Compensation Committee considers all these factors together plus overall industry conditions and retention risks and makes a subjective determination on base salary adjustments.</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Mrs. Cindy B. Taylor, President and Chief Executive Officer of Oil States, provides the Compensation Committee with input regarding the performance of other Oil States executives and makes compensation recommendations with respect to these individuals. While considering her recommendations, the Committee makes an independent judgment with respect to compensation levels for each of Mrs. Taylor’s direct reports.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36" w:name="page137"/>
    <w:bookmarkEnd w:id="136"/>
    <w:p>
      <w:pPr>
        <w:ind w:left="660" w:right="60" w:hanging="652"/>
        <w:spacing w:after="0" w:line="279"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Annual Cash Incentive Compensation</w:t>
      </w:r>
      <w:r>
        <w:rPr>
          <w:rFonts w:ascii="Arial" w:cs="Arial" w:eastAsia="Arial" w:hAnsi="Arial"/>
          <w:sz w:val="17"/>
          <w:szCs w:val="17"/>
          <w:color w:val="auto"/>
        </w:rPr>
        <w:t>—Oil States’ Annual Incentive Compensation Plan (“AICP”) is performance based and provides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direct financial incentives in the form of 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98" w:lineRule="exact"/>
        <w:rPr>
          <w:rFonts w:ascii="Arial" w:cs="Arial" w:eastAsia="Arial" w:hAnsi="Arial"/>
          <w:sz w:val="17"/>
          <w:szCs w:val="17"/>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create stockholder value;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provide focus on the attainment of annual goals that lead to long-term success of Oil States;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provide annual performance-based cash incentive compensation;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motivate achievement of critical annual operating performance metrics;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motivate employees to continually improve Oil States-wide and business unit performance.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AICP is flexible and provides the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believes will drive financial performance. Under the AICP, an incentive target percentage is established for each executive officer based upon, among other factors, the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w:t>
      </w:r>
    </w:p>
    <w:p>
      <w:pPr>
        <w:spacing w:after="0" w:line="19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At the beginning of each year, the Compensation Committee is responsible for establishing the AICP performance objectives based on recommendations by the Chief Executive Officer. The Compensation Committee sets performance goals that are measurable, achievable and quantifiable. At the end of each year, the Compensation Committee reviews the performance results of Oil States and the incentive awards to be paid to each executive officer and to all participants in the AICP, as a group. In its discretion, the Compensation Committee will interpret the AICP and has authority to make adjustments in individual, business unit or Oil States-wide results in its discretion.</w:t>
      </w:r>
    </w:p>
    <w:p>
      <w:pPr>
        <w:spacing w:after="0" w:line="21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Performance measures are selected and weighted by management and the Compensation Committee annually to give emphasis to performance criteria for which participants have influence. The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7" w:name="page138"/>
    <w:bookmarkEnd w:id="137"/>
    <w:p>
      <w:pPr>
        <w:ind w:right="380" w:firstLine="324"/>
        <w:spacing w:after="0" w:line="277" w:lineRule="auto"/>
        <w:rPr>
          <w:sz w:val="20"/>
          <w:szCs w:val="20"/>
          <w:color w:val="auto"/>
        </w:rPr>
      </w:pPr>
      <w:r>
        <w:rPr>
          <w:rFonts w:ascii="Arial" w:cs="Arial" w:eastAsia="Arial" w:hAnsi="Arial"/>
          <w:sz w:val="18"/>
          <w:szCs w:val="18"/>
          <w:color w:val="auto"/>
        </w:rPr>
        <w:t>At the end of each year, the Compensation Committee reviews the performance results of Oil States and the total incentive awards to be paid to each executive officer based on such officer’s success in achieving the AICP performance objectives.</w:t>
      </w:r>
    </w:p>
    <w:p>
      <w:pPr>
        <w:spacing w:after="0" w:line="19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—Oil States makes certain stock-based awards under the 2001 Equity Participation Plan, which has been approved by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to better align the interests of executive officers with those of stockholders and to provide retention incentives. Specifically, the plan’s purposes are to:</w:t>
      </w:r>
    </w:p>
    <w:p>
      <w:pPr>
        <w:spacing w:after="0" w:line="151" w:lineRule="exact"/>
        <w:rPr>
          <w:sz w:val="20"/>
          <w:szCs w:val="20"/>
          <w:color w:val="auto"/>
        </w:rPr>
      </w:pPr>
    </w:p>
    <w:p>
      <w:pPr>
        <w:ind w:left="660" w:hanging="652"/>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an additional incentive for executives to further the growth, development and financial success of Oil States by personally benefiting through ownership of Oil States’ stock and/or rights; and</w:t>
      </w:r>
    </w:p>
    <w:p>
      <w:pPr>
        <w:spacing w:after="0" w:line="197" w:lineRule="exact"/>
        <w:rPr>
          <w:rFonts w:ascii="Arial" w:cs="Arial" w:eastAsia="Arial" w:hAnsi="Arial"/>
          <w:sz w:val="18"/>
          <w:szCs w:val="18"/>
          <w:color w:val="auto"/>
        </w:rPr>
      </w:pPr>
    </w:p>
    <w:p>
      <w:pPr>
        <w:ind w:left="660" w:right="540" w:hanging="652"/>
        <w:spacing w:after="0" w:line="34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2001 Equity Participation Plan provides for the grant of any combination of:</w:t>
      </w:r>
    </w:p>
    <w:p>
      <w:pPr>
        <w:spacing w:after="0" w:line="25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deferred stock;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 payments or phantom stock awards.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A total of 98% of the options granted by the Compensation Committee vest at a rate of 25% per year over four years.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Compensation Committee has approved awards with shorter vesting periods. The Compensation Committee has never granted options with an exercise price that is less than the NYSE Closing Price on the grant date.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8" w:name="page139"/>
    <w:bookmarkEnd w:id="138"/>
    <w:p>
      <w:pPr>
        <w:ind w:right="120" w:firstLine="324"/>
        <w:spacing w:after="0" w:line="264" w:lineRule="auto"/>
        <w:rPr>
          <w:sz w:val="20"/>
          <w:szCs w:val="20"/>
          <w:color w:val="auto"/>
        </w:rPr>
      </w:pPr>
      <w:r>
        <w:rPr>
          <w:rFonts w:ascii="Arial" w:cs="Arial" w:eastAsia="Arial" w:hAnsi="Arial"/>
          <w:sz w:val="18"/>
          <w:szCs w:val="18"/>
          <w:color w:val="auto"/>
        </w:rPr>
        <w:t>The Compensation Committee has never repriced outstanding options, and the 2001 Equity Participation Plan has been amended to prohibit repricing or replacing underwater stock options or canceling or effecting a cash buyout of stock options without the approval of Oil States’ stockholders. Effective February 19, 2013, Oil States amended the 2001 Equity Participation Plan as follows:</w:t>
      </w:r>
    </w:p>
    <w:p>
      <w:pPr>
        <w:spacing w:after="0" w:line="208" w:lineRule="exact"/>
        <w:rPr>
          <w:sz w:val="20"/>
          <w:szCs w:val="20"/>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value of performance awards to any participant in a calendar year is limited to $4,000,000;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Options forfeited or cancelled are not available to be “recycled” and awarded again;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option agreement may not be cancelled or amended in exchange for cash or another equity award;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Loans from Oil States to plan participants are not permitted;</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Dividend equivalents are not permitted to be credited to option awards and, for other awards, are not payable until the underlying deferred stock or performance award vests; and</w:t>
      </w:r>
    </w:p>
    <w:p>
      <w:pPr>
        <w:spacing w:after="0" w:line="197"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Compensation Committee may delegate to the Chief Executive Officer the right to grant awards under the 2001 Equity Participation Plan to any person who is not subject to Section 16 of the Exchange Act subject to conditions and restrictions that the Compensation Committee determines.</w:t>
      </w:r>
    </w:p>
    <w:p>
      <w:pPr>
        <w:spacing w:after="0" w:line="20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Oil States believes these changes to the 2001 Equity Participation Plan are consistent with “best practices” for equity plans for publicly traded companies. In determining appropriate awards, the Compensation Committee annually reviews each executive’s past performance and experience, his or her position and ability to contribute to the future success and growth of Oil States, time in the current job, base compensation and competitive market data. The Compensation Committee also takes into account the risk of losing the executive to other employment opportunities and the value and potential for appreciation in Oil States’ stock. The Compensation Committee also takes into consideration that, unlike some benchmark companies, Oil States has no defined benefit retirement plan nor any supplemental executive retirement benefits or similar arrangements. The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Compensation Committee considers the foregoing factors and any other relevant factors and makes a subjective determination with respect to awarding equity based compensation to its executive officers.</w:t>
      </w:r>
    </w:p>
    <w:p>
      <w:pPr>
        <w:spacing w:after="0" w:line="19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Compensation Committee determines the award level for executives, if any, on an annual basis usually at its February meeting each year.</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2012, Oil States incorporated a combination of nonqualified stock options, restricted stock awards, performance based awards and phantom stock awards as the primary executive long-term incentive and retention tool for the Named Executive Officers. Restricted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Compensation Committee weighs the cost of these grants with their potential benefit as an incentive, retention and compensation tool.</w:t>
      </w:r>
    </w:p>
    <w:p>
      <w:pPr>
        <w:spacing w:after="0" w:line="194"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In administering the long-term incentive equity plan, the Compensation Committee is sensitive to the potential for dilution of future earnings per share. For this reason and because of other compensation design considerations, the Compensation Committee focuses the long-term incentive plan on employees who will have the greatest impact on the strategic direction and long-term results of Oil States by virtue of their senior roles and responsibilities.</w:t>
      </w:r>
    </w:p>
    <w:p>
      <w:pPr>
        <w:spacing w:after="0" w:line="17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Performance Based Awards. </w:t>
      </w:r>
      <w:r>
        <w:rPr>
          <w:rFonts w:ascii="Arial" w:cs="Arial" w:eastAsia="Arial" w:hAnsi="Arial"/>
          <w:sz w:val="18"/>
          <w:szCs w:val="18"/>
          <w:color w:val="auto"/>
        </w:rPr>
        <w:t>The performance based awards represent the right to receive shares of Oil States’ common stock,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achieving performance objectives.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9" w:name="page140"/>
    <w:bookmarkEnd w:id="139"/>
    <w:p>
      <w:pPr>
        <w:ind w:firstLine="324"/>
        <w:spacing w:after="0" w:line="291" w:lineRule="auto"/>
        <w:rPr>
          <w:sz w:val="20"/>
          <w:szCs w:val="20"/>
          <w:color w:val="auto"/>
        </w:rPr>
      </w:pPr>
      <w:r>
        <w:rPr>
          <w:rFonts w:ascii="Arial" w:cs="Arial" w:eastAsia="Arial" w:hAnsi="Arial"/>
          <w:sz w:val="16"/>
          <w:szCs w:val="16"/>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9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20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Phantom Stock Awards</w:t>
      </w:r>
      <w:r>
        <w:rPr>
          <w:rFonts w:ascii="Arial" w:cs="Arial" w:eastAsia="Arial" w:hAnsi="Arial"/>
          <w:sz w:val="18"/>
          <w:szCs w:val="18"/>
          <w:color w:val="auto"/>
        </w:rPr>
        <w:t>. Oil States began awarding phantom stock awards in 2012 to certain executives in Canada because these awards were more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for Oil States and executive. Phantom stock awards made on February 16, 2012 totaled 53,950 shares and will vest 33.3% per year on the first, second and third anniversary of the award date. Each phantom stock award entitles the holder to the cash equivalent amount equal to a share of Oil States stock on the vesting date.</w:t>
      </w:r>
    </w:p>
    <w:p>
      <w:pPr>
        <w:spacing w:after="0" w:line="21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Restricted Stock and Option Awards</w:t>
      </w:r>
      <w:r>
        <w:rPr>
          <w:rFonts w:ascii="Arial" w:cs="Arial" w:eastAsia="Arial" w:hAnsi="Arial"/>
          <w:sz w:val="17"/>
          <w:szCs w:val="17"/>
          <w:color w:val="auto"/>
        </w:rPr>
        <w:t>. Restricted stock awards were made on February 16, 2012 at the then fair market value of $84.63 per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 Stock option awards were made on February 16, 2012 that had an exercise price of $84.63 per share based on the NYSE Closing Price and that had a Black Scholes fair market value on the date of grant of $37.43 per option award. These awards will vest in four equal installments on each annual anniversary of the grant date (so that the awards will be 100% vested on February 16, 2016), provided the named executive officer remains an employee continuously from the date of grant through the applicable vesting date. Vesting of the awards may be accelerated upon the occurrence of certain events. While a Named Executive Officer holds nonvested restricted shares, he or she is entitled to all the rights of ownership with respect to the shares, including the right to vote the shares and receive dividends thereon (except that any dividends or other distributions paid in any form other than cash shall be subject to forfeiture restrictions applicable to the underlying award).</w:t>
      </w:r>
    </w:p>
    <w:p>
      <w:pPr>
        <w:spacing w:after="0" w:line="206"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Stock option grants, restricted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Board’s February meeting. Executive officers and directors are prohibited from trading options or any derivative type of contract related to Oil States’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Employee benefits are designed to be broad based, competitive and to attract and retain employees. From time to time the Compensation Committee reviews plan updates and recommends that Oil States implement certain changes to existing plans or adopt new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See “Canadian Retirement Savings Plan”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Participants in the Deferred Compensation Plan are able to invest contributions made to the Deferred Compensation Plan in investment funds selected by a Retirement Plan Compensation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The Retirement Plan Compensation Committee is composed of employees. The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21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Retirement Savings Plan</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Oil States offers a defined contribution retirement plan to its Canadian employees. In Canada, Oil States contributes, on a matched basis, an amount up to 5% of each Canadian based, salaried employee’s earnings (base salary plus annual incentive compensation) to the legislated maximum for a Deferred Profit Sharing Plan (DPSP—Maximum for 2012—$11,910). DPSP is a form of defined contribution retirement savings plan governed by Federal Tax legislation which provides for deferral of tax on deposit and investment return until removed from the plan to support retirement income. Employer contributions vest upon the completion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1" w:name="page142"/>
    <w:bookmarkEnd w:id="141"/>
    <w:p>
      <w:pPr>
        <w:ind w:right="20" w:firstLine="324"/>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Perquisites and Personal Benefits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5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In 2012, the Compensation Committee engaged Frederic W. Cook &amp; Co., Inc. (the “Consultant”) to provide independent advice on executive compensation matters. In 2012, the Consultant confirmed to the chair of the Compensation Committee certain industry compensation data provided by management and provided feedback regarding proposed compensation terms to the Committee. The Compensation Committee Chairman pre-approved the scope of the work to be performed by and the fee arrangement with the Consultant, which was based on agreed upon rates per hour. The Consultant’s engagement was limited to executive compensation projects for the Compensation Committee, and no other services were provided to Oil States or management. Fees paid to the Consultant in 2012 did not exceed $120,000.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w:t>
      </w:r>
    </w:p>
    <w:p>
      <w:pPr>
        <w:spacing w:after="0" w:line="256" w:lineRule="exact"/>
        <w:rPr>
          <w:sz w:val="20"/>
          <w:szCs w:val="20"/>
          <w:color w:val="auto"/>
        </w:rPr>
      </w:pPr>
    </w:p>
    <w:p>
      <w:pPr>
        <w:ind w:left="660" w:right="500" w:hanging="652"/>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Repricing Stock Options</w:t>
      </w:r>
      <w:r>
        <w:rPr>
          <w:rFonts w:ascii="Arial" w:cs="Arial" w:eastAsia="Arial" w:hAnsi="Arial"/>
          <w:sz w:val="18"/>
          <w:szCs w:val="18"/>
          <w:color w:val="auto"/>
        </w:rPr>
        <w:t>—Oil States’ practice is to price awards at the market price on the date of award. Oil States’ Equity Participation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any repricing of options without shareholders’ approval.</w:t>
      </w:r>
    </w:p>
    <w:p>
      <w:pPr>
        <w:spacing w:after="0" w:line="197" w:lineRule="exact"/>
        <w:rPr>
          <w:rFonts w:ascii="Arial" w:cs="Arial" w:eastAsia="Arial" w:hAnsi="Arial"/>
          <w:sz w:val="18"/>
          <w:szCs w:val="18"/>
          <w:color w:val="auto"/>
        </w:rPr>
      </w:pPr>
    </w:p>
    <w:p>
      <w:pPr>
        <w:ind w:left="660" w:right="260" w:hanging="652"/>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Securities Trading Policy</w:t>
      </w:r>
      <w:r>
        <w:rPr>
          <w:rFonts w:ascii="Arial" w:cs="Arial" w:eastAsia="Arial" w:hAnsi="Arial"/>
          <w:sz w:val="18"/>
          <w:szCs w:val="18"/>
          <w:color w:val="auto"/>
        </w:rPr>
        <w:t>—Oil States prohibits directors, officers and certain other managers from trading Oil States’ securities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or “tipping” others who may so trade on such information. In addition, the policy prohibits trading in Oil States’ securities without obtaining prior approval from Oil States’ Compliance Officer. Executive officers are prohibited from trading options on any derivative type of contract related to Oil States’ stock.</w:t>
      </w:r>
    </w:p>
    <w:p>
      <w:pPr>
        <w:spacing w:after="0" w:line="213" w:lineRule="exact"/>
        <w:rPr>
          <w:rFonts w:ascii="Arial" w:cs="Arial" w:eastAsia="Arial" w:hAnsi="Arial"/>
          <w:sz w:val="18"/>
          <w:szCs w:val="18"/>
          <w:color w:val="auto"/>
        </w:rPr>
      </w:pPr>
    </w:p>
    <w:p>
      <w:pPr>
        <w:ind w:left="660" w:right="220" w:hanging="652"/>
        <w:spacing w:after="0" w:line="293"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Tax Deductibility of Compensation</w:t>
      </w:r>
      <w:r>
        <w:rPr>
          <w:rFonts w:ascii="Arial" w:cs="Arial" w:eastAsia="Arial" w:hAnsi="Arial"/>
          <w:sz w:val="16"/>
          <w:szCs w:val="16"/>
          <w:color w:val="auto"/>
        </w:rPr>
        <w:t>—Section 162(m) of the Internal Revenue Code, enacted in 1993, imposes a limit of $1 million, unless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is performance based, on the amount that a publicly held corporation may deduct in any year for the compensation paid or accrued with respect to its Chief Executive Officer and each of its three other most highly compensated executive officers (other than the Chief Executive Officer and the Chief Financial Officer). While Oil States cannot predict with certainty how the compensation of Oil States’ Named Executive Officers might be affected in the future by the Section 162(m), or applicable tax regulations issued hereunder, Oil States endeavors to preserve the tax deductibility of substantially all of executive compensation while maintaining the executive compensation program as described herein.</w:t>
      </w:r>
    </w:p>
    <w:p>
      <w:pPr>
        <w:spacing w:after="0" w:line="191" w:lineRule="exact"/>
        <w:rPr>
          <w:rFonts w:ascii="Arial" w:cs="Arial" w:eastAsia="Arial" w:hAnsi="Arial"/>
          <w:sz w:val="16"/>
          <w:szCs w:val="16"/>
          <w:color w:val="auto"/>
        </w:rPr>
      </w:pPr>
    </w:p>
    <w:p>
      <w:pPr>
        <w:ind w:left="660" w:right="40" w:hanging="652"/>
        <w:spacing w:after="0" w:line="255"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—To date, Oil States has not adopted a formal clawback policy to recoup incentive based compensation upon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restatement, misconduct or other specified events. However, the performance based awards granted to Oil States’ named executive officers as part of its 2012 long-term incentive compensation program do include language providing that the award may be cancelled and the officer may be required to repay Oil States for any realized gains to the extent required by applicable law. The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216"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Executive Stock Ownership Guidelines and Holding Period</w:t>
      </w:r>
      <w:r>
        <w:rPr>
          <w:rFonts w:ascii="Arial" w:cs="Arial" w:eastAsia="Arial" w:hAnsi="Arial"/>
          <w:sz w:val="18"/>
          <w:szCs w:val="18"/>
          <w:color w:val="auto"/>
        </w:rPr>
        <w:t>—Effective February 16, 2007, Executive Stock Ownership Guidelines were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to further align the interests of executives with the interests of stockholders and further promote Oil States’ commitment to sound corporate governance.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2" w:name="page143"/>
    <w:bookmarkEnd w:id="142"/>
    <w:p>
      <w:pPr>
        <w:ind w:right="100" w:firstLine="324"/>
        <w:spacing w:after="0" w:line="297" w:lineRule="auto"/>
        <w:rPr>
          <w:sz w:val="20"/>
          <w:szCs w:val="20"/>
          <w:color w:val="auto"/>
        </w:rPr>
      </w:pPr>
      <w:r>
        <w:rPr>
          <w:rFonts w:ascii="Arial" w:cs="Arial" w:eastAsia="Arial" w:hAnsi="Arial"/>
          <w:sz w:val="16"/>
          <w:szCs w:val="16"/>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420" w:type="dxa"/>
            <w:vAlign w:val="bottom"/>
            <w:gridSpan w:val="3"/>
          </w:tcPr>
          <w:p>
            <w:pPr>
              <w:ind w:left="220"/>
              <w:spacing w:after="0"/>
              <w:rPr>
                <w:sz w:val="20"/>
                <w:szCs w:val="20"/>
                <w:color w:val="auto"/>
              </w:rPr>
            </w:pPr>
            <w:r>
              <w:rPr>
                <w:rFonts w:ascii="Arial" w:cs="Arial" w:eastAsia="Arial" w:hAnsi="Arial"/>
                <w:sz w:val="18"/>
                <w:szCs w:val="18"/>
                <w:b w:val="1"/>
                <w:bCs w:val="1"/>
                <w:color w:val="auto"/>
              </w:rPr>
              <w:t>Stock Ownership Level</w:t>
            </w:r>
          </w:p>
        </w:tc>
      </w:tr>
      <w:tr>
        <w:trPr>
          <w:trHeight w:val="459"/>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3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Multiple of Salary</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5X</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Executive Officers (Section 16)</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2X</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7"/>
              </w:rPr>
              <w:t>Corporate Administrative Vice Presidents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1X</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that counts toward satisfaction of the Executive Stock Ownership Guidelines includes:</w:t>
      </w:r>
    </w:p>
    <w:p>
      <w:pPr>
        <w:spacing w:after="0" w:line="252" w:lineRule="exact"/>
        <w:rPr>
          <w:sz w:val="20"/>
          <w:szCs w:val="20"/>
          <w:color w:val="auto"/>
        </w:rPr>
      </w:pPr>
    </w:p>
    <w:p>
      <w:pPr>
        <w:ind w:left="660" w:right="660" w:hanging="652"/>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Oil States shares owned outright (i.e. open market purchases) by the executive or his or her immediate family members residing in the same household;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Vested Oil States restricted stock awards that are issued as part of the executive’s long-term compensation;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Oil States shares acquired upon option exercise that the executive continues to hold;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Oil States shares held in Oil States’ Deferred Compensation Plan;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Oil States shares beneficially owned through a trust.</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certain Canadian employees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Spin-off on Outstanding Executive Compensation Awards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regarding the effect of the spin-off on outstanding executive compensation awards will be included in subsequent amendments.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SpinCo Compensation Programs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SpinCo compensation programs will be included in subsequent amendments.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3" w:name="page144"/>
    <w:bookmarkEnd w:id="143"/>
    <w:p>
      <w:pPr>
        <w:ind w:left="25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208" w:lineRule="exact"/>
        <w:rPr>
          <w:sz w:val="20"/>
          <w:szCs w:val="20"/>
          <w:color w:val="auto"/>
        </w:rPr>
      </w:pPr>
    </w:p>
    <w:p>
      <w:pPr>
        <w:ind w:left="660" w:right="40" w:hanging="652"/>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shareholder who we believe (based on the assumptions described below) will beneficially own more than 5% of SpinCo’s outstanding common stock;</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person who is expected to serve as a director upon completion of the spin-off;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person who is expected to serve as an executive officer upon completion of the spin-off;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persons who are expected to serve as directors or executive officers upon completion of the spin-off as a group.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otherwise noted below, we based the share amounts shown on each person’s beneficial ownership of Oil States common stock on</w:t>
      </w:r>
    </w:p>
    <w:p>
      <w:pPr>
        <w:spacing w:after="0" w:line="35" w:lineRule="exact"/>
        <w:rPr>
          <w:sz w:val="20"/>
          <w:szCs w:val="20"/>
          <w:color w:val="auto"/>
        </w:rPr>
      </w:pPr>
    </w:p>
    <w:p>
      <w:pPr>
        <w:ind w:left="60"/>
        <w:spacing w:after="0"/>
        <w:tabs>
          <w:tab w:leader="none" w:pos="3440" w:val="left"/>
        </w:tabs>
        <w:rPr>
          <w:sz w:val="20"/>
          <w:szCs w:val="20"/>
          <w:color w:val="auto"/>
        </w:rPr>
      </w:pPr>
      <w:r>
        <w:rPr>
          <w:rFonts w:ascii="Arial" w:cs="Arial" w:eastAsia="Arial" w:hAnsi="Arial"/>
          <w:sz w:val="18"/>
          <w:szCs w:val="18"/>
          <w:color w:val="auto"/>
        </w:rPr>
        <w:t>, 2014, and a distribution ratio of</w:t>
      </w:r>
      <w:r>
        <w:rPr>
          <w:sz w:val="20"/>
          <w:szCs w:val="20"/>
          <w:color w:val="auto"/>
        </w:rPr>
        <w:tab/>
      </w:r>
      <w:r>
        <w:rPr>
          <w:rFonts w:ascii="Arial" w:cs="Arial" w:eastAsia="Arial" w:hAnsi="Arial"/>
          <w:sz w:val="16"/>
          <w:szCs w:val="16"/>
          <w:color w:val="auto"/>
        </w:rPr>
        <w:t>shares of our common stock for each share of Oil States common stock held by such person.</w:t>
      </w:r>
    </w:p>
    <w:p>
      <w:pPr>
        <w:spacing w:after="0" w:line="23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208" w:lineRule="exact"/>
        <w:rPr>
          <w:sz w:val="20"/>
          <w:szCs w:val="20"/>
          <w:color w:val="auto"/>
        </w:rPr>
      </w:pPr>
    </w:p>
    <w:p>
      <w:pPr>
        <w:jc w:val="both"/>
        <w:ind w:right="220" w:firstLine="324"/>
        <w:spacing w:after="0" w:line="299" w:lineRule="auto"/>
        <w:rPr>
          <w:sz w:val="20"/>
          <w:szCs w:val="20"/>
          <w:color w:val="auto"/>
        </w:rPr>
      </w:pPr>
      <w:r>
        <w:rPr>
          <w:rFonts w:ascii="Arial" w:cs="Arial" w:eastAsia="Arial" w:hAnsi="Arial"/>
          <w:sz w:val="16"/>
          <w:szCs w:val="16"/>
          <w:color w:val="auto"/>
        </w:rPr>
        <w:t>Immediately following the spin-off, we expect to have approximately 24 stockholders of record, based on the number of registered stockholders of Oil States common stock on January 16, 2014, and approximately [●] million shares of SpinCo common stock outstanding. The actual number of shares of our common stock outstanding following the spin-off will be determined on , 2014, the record date. As of January 16, 2014, Oil States had approximately 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and approximately [●] million shares of Oil States common stock outstanding.</w:t>
      </w:r>
    </w:p>
    <w:p>
      <w:pPr>
        <w:spacing w:after="0" w:line="2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stock ownership will be included in subsequent amendments.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44" w:name="page145"/>
    <w:bookmarkEnd w:id="144"/>
    <w:p>
      <w:pPr>
        <w:ind w:left="3320"/>
        <w:spacing w:after="0"/>
        <w:rPr>
          <w:sz w:val="20"/>
          <w:szCs w:val="20"/>
          <w:color w:val="auto"/>
        </w:rPr>
      </w:pPr>
      <w:r>
        <w:rPr>
          <w:rFonts w:ascii="Arial" w:cs="Arial" w:eastAsia="Arial" w:hAnsi="Arial"/>
          <w:sz w:val="18"/>
          <w:szCs w:val="18"/>
          <w:b w:val="1"/>
          <w:bCs w:val="1"/>
          <w:color w:val="auto"/>
        </w:rPr>
        <w:t>ARRANGEMENTS BETWEEN OIL STATES AND OUR COMPANY</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As a result of this transfer, we will own all assets and liabilities primary related to the accommodations business. Oil States will retain all other assets and liabilities, including assets and liabilities related to discontinued businesses. The Separation and Distribution Agreement will require Oil States and us to endeavor to obtain consents, approvals and amendments required to novate or assign the assets and liabilities that are to be transferred pursuant to the Separation and Distribution Agreement as soon as reasonably practicable.</w:t>
      </w:r>
    </w:p>
    <w:p>
      <w:pPr>
        <w:spacing w:after="0" w:line="1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98"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Separation and Distribution Agreement will specify those conditions that must be satisfied or waived by Oil States prior to the distribution. In addition, Oil States will have the right to determine the date and terms of the distribution, and will have the right, at any time until completion of the distribution, to determine to abandon or modify the distribution and to terminate the Separation and Distribution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256" w:lineRule="exact"/>
        <w:rPr>
          <w:sz w:val="20"/>
          <w:szCs w:val="20"/>
          <w:color w:val="auto"/>
        </w:rPr>
      </w:pPr>
    </w:p>
    <w:p>
      <w:pPr>
        <w:ind w:firstLine="324"/>
        <w:spacing w:after="0" w:line="295" w:lineRule="auto"/>
        <w:rPr>
          <w:sz w:val="20"/>
          <w:szCs w:val="20"/>
          <w:color w:val="auto"/>
        </w:rPr>
      </w:pPr>
      <w:r>
        <w:rPr>
          <w:rFonts w:ascii="Arial" w:cs="Arial" w:eastAsia="Arial" w:hAnsi="Arial"/>
          <w:sz w:val="16"/>
          <w:szCs w:val="16"/>
          <w:color w:val="auto"/>
        </w:rPr>
        <w:t>The Transition Services Agreement will set forth the terms on which Oil States will provide to us, and we will provide to Oil States, on a temporary basis, certain services or functions that the companies historically have shared. Transition services may include administrative, payroll, human resources, data processing, environmental health and safety, financial audit support, financial transaction support, and other support services, information technology systems and various other corporate services. We expect the agreement will provide for the provision of specified transition services, generally for a period of up to 12</w:t>
      </w:r>
    </w:p>
    <w:p>
      <w:pPr>
        <w:spacing w:after="0"/>
        <w:rPr>
          <w:sz w:val="20"/>
          <w:szCs w:val="20"/>
          <w:color w:val="auto"/>
        </w:rPr>
      </w:pPr>
      <w:r>
        <w:rPr>
          <w:rFonts w:ascii="Arial" w:cs="Arial" w:eastAsia="Arial" w:hAnsi="Arial"/>
          <w:sz w:val="18"/>
          <w:szCs w:val="18"/>
          <w:color w:val="auto"/>
        </w:rPr>
        <w:t>months, with a possible extension of 6 months (an aggregate of 18 months), on a cost or a cost-plus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Agreement</w:t>
      </w:r>
    </w:p>
    <w:p>
      <w:pPr>
        <w:spacing w:after="0" w:line="256"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45" w:name="page146"/>
    <w:bookmarkEnd w:id="145"/>
    <w:p>
      <w:pPr>
        <w:ind w:left="340"/>
        <w:spacing w:after="0"/>
        <w:rPr>
          <w:sz w:val="20"/>
          <w:szCs w:val="20"/>
          <w:color w:val="auto"/>
        </w:rPr>
      </w:pPr>
      <w:r>
        <w:rPr>
          <w:rFonts w:ascii="Arial" w:cs="Arial" w:eastAsia="Arial" w:hAnsi="Arial"/>
          <w:sz w:val="18"/>
          <w:szCs w:val="18"/>
          <w:color w:val="auto"/>
        </w:rPr>
        <w:t>In general, pursuant to the Tax Sharing Agreement:</w:t>
      </w:r>
    </w:p>
    <w:p>
      <w:pPr>
        <w:spacing w:after="0" w:line="252" w:lineRule="exact"/>
        <w:rPr>
          <w:sz w:val="20"/>
          <w:szCs w:val="20"/>
          <w:color w:val="auto"/>
        </w:rPr>
      </w:pPr>
    </w:p>
    <w:p>
      <w:pPr>
        <w:ind w:left="660" w:right="30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SpinCo and Oil States will agree to cooperate in the preparation of tax returns and with regard to any audits related to SpinCo’s or Oil States’ tax returns;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Tax Sharing Agreement will assign responsibilities for administrative matters, such as the filing of tax returns, payment of taxes due, retention of records and conduct of audits, examinations, or similar proceedings;</w:t>
      </w:r>
    </w:p>
    <w:p>
      <w:pPr>
        <w:spacing w:after="0" w:line="197"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federal income taxes of the affiliated group of which Oil States is the common parent and, if SpinCo (including any of its subsidiaries) is included in that affiliated group, SpinCo will pay Oil States an amount equal to the amount of U.S. federal income tax SpinCo would have paid had SpinCo filed a separate consolidated U.S. federal income tax return, subject to certain adjustments. With respect to any periods (or portions thereof) beginning after the distribution, SpinCo will be responsible for any U.S. federal income taxes of SpinCo and its subsidiaries;</w:t>
      </w:r>
    </w:p>
    <w:p>
      <w:pPr>
        <w:spacing w:after="0" w:line="21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state or local income taxes that are determined on a consolidated, combined, or unitary basis and, if SpinCo (including any of its subsidiaries) is included in such determination, SpinCo will pay Oil States an amount equal to the amount of tax SpinCo would have paid had SpinCo filed a separate return for such income, subject to certain adjustments;</w:t>
      </w:r>
    </w:p>
    <w:p>
      <w:pPr>
        <w:spacing w:after="0" w:line="21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any periods (or portions thereof) beginning after the distribution, SpinCo will be responsible for any U.S. federal income taxes of SpinCo and its subsidiaries;</w:t>
      </w:r>
    </w:p>
    <w:p>
      <w:pPr>
        <w:spacing w:after="0" w:line="19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Oil States will be responsible for any U.S. federal, state, local, or foreign taxes due with respect to tax returns that include only Oil States and/or its subsidiaries (excluding SpinCo and its subsidiaries), and SpinCo will be responsible for any U.S. federal, state, local or foreign taxes due with respect to tax returns that include only SpinCo and/or its subsidiaries;</w:t>
      </w:r>
    </w:p>
    <w:p>
      <w:pPr>
        <w:spacing w:after="0" w:line="208"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that any gain or income is recognized by Oil States (including its subsidiaries) in connection with the failure of the spin-off to qualify for tax-free treatment under Sections 355 and 368(a)(1)(D) of the Code, SpinCo will indemnify Oil States for any taxes on such gain or income to the extent such failure is attributable to:</w:t>
      </w:r>
    </w:p>
    <w:p>
      <w:pPr>
        <w:spacing w:after="0" w:line="208" w:lineRule="exact"/>
        <w:rPr>
          <w:rFonts w:ascii="Arial" w:cs="Arial" w:eastAsia="Arial" w:hAnsi="Arial"/>
          <w:sz w:val="18"/>
          <w:szCs w:val="18"/>
          <w:color w:val="auto"/>
        </w:rPr>
      </w:pPr>
    </w:p>
    <w:p>
      <w:pPr>
        <w:ind w:left="1300" w:right="34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SpinCo made in connection with the Tax Sharing Agreement or any tax ruling requested or received from the IRS or opinions of Oil States’ outside tax advisors;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breach by SpinCo of applicable representations, warranties, or covenants in the Tax Sharing Agreement;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other action taken by SpinCo; and</w:t>
      </w:r>
    </w:p>
    <w:p>
      <w:pPr>
        <w:spacing w:after="0" w:line="225" w:lineRule="exact"/>
        <w:rPr>
          <w:rFonts w:ascii="Arial" w:cs="Arial" w:eastAsia="Arial" w:hAnsi="Arial"/>
          <w:sz w:val="18"/>
          <w:szCs w:val="18"/>
          <w:color w:val="auto"/>
        </w:rPr>
      </w:pPr>
    </w:p>
    <w:p>
      <w:pPr>
        <w:ind w:left="1300" w:right="60" w:hanging="644"/>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SpinCo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20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Oil States has requested a private letter ruling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Sections 355 and 368(a)(1)(D) of the Code. In addition, the spin-off is conditioned on Oil States’ receipt of an opinion from its tax counsel, in form and substance acceptable to Oil States, regarding certain matters upon which the IRS will not rule. The opinion will rely on the private letter ruling as to matters covered by the private letter ruling.</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6" w:name="page147"/>
    <w:bookmarkEnd w:id="146"/>
    <w:p>
      <w:pPr>
        <w:ind w:firstLine="324"/>
        <w:spacing w:after="0" w:line="254" w:lineRule="auto"/>
        <w:rPr>
          <w:sz w:val="20"/>
          <w:szCs w:val="20"/>
          <w:color w:val="auto"/>
        </w:rPr>
      </w:pPr>
      <w:r>
        <w:rPr>
          <w:rFonts w:ascii="Arial" w:cs="Arial" w:eastAsia="Arial" w:hAnsi="Arial"/>
          <w:sz w:val="18"/>
          <w:szCs w:val="18"/>
          <w:color w:val="auto"/>
        </w:rPr>
        <w:t>SpinCo will agree to certain restrictions that are intended to preserve the tax-free status of the contribution, distribution, and related transactions. During the two-year period following the spin-off, these covenants will restrict SpinCo’s ability to sell assets outside the ordinary course of business, to issue or sell its common stock or other securities (including securities convertible into its common stock), or to enter into any other corporate transaction that would cause SpinCo to undergo either a 50% or greater change in the ownership of its voting stock or a 50% or greater change in the ownership (measured by value) of all classes of its stock. SpinCo may take certain actions otherwise subject to these restrictions only if Oil States consents to the taking of such action or if SpinCo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Tax Sharing Agreement, which is attached as Exhibit 10.2 to this Form 10 and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The Employee Matters Agreement will provide for the treatment of outstanding Oil States equity awards. The Employee Matters Agreement is also expected to set forth the general principles relating to employee matters, including with respect to the assignment of employees and the transfer of employees from Oil States to us, the assumption and retention of liabilities and related assets, expense reimbursements, workers’ compensation, leaves of absence, the provision of comparable benefits, employee service credits, the sharing of employee information and the duplication or acceleration of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OTHER RELATED PARTY TRANSACTIONS</w:t>
      </w:r>
    </w:p>
    <w:p>
      <w:pPr>
        <w:spacing w:after="0" w:line="256"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 and Conflicts of Interest</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21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Business Conduct &amp; Ethics Code will prohibit conflicts of interest. Any waivers of these guidelines must be approved by the Nominating &amp; Corporate Governance Committee of the Board. Under the Business Conduct &amp; Ethics Code, conflicts of interest occur when private or family interests interfere in any way, or even appear to interfere, with the interests of our Company. Our prohibition on conflicts of interest under the Business Conduct &amp; Ethics Code will include related person transactions.</w:t>
      </w:r>
    </w:p>
    <w:p>
      <w:pPr>
        <w:spacing w:after="0" w:line="21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85"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level of offshore oil and natural gas developmental activities;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20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48" w:name="page149"/>
    <w:bookmarkEnd w:id="148"/>
    <w:p>
      <w:pPr>
        <w:ind w:right="260" w:firstLine="324"/>
        <w:spacing w:after="0" w:line="279" w:lineRule="auto"/>
        <w:rPr>
          <w:sz w:val="20"/>
          <w:szCs w:val="20"/>
          <w:color w:val="auto"/>
        </w:rPr>
      </w:pPr>
      <w:r>
        <w:rPr>
          <w:rFonts w:ascii="Arial" w:cs="Arial" w:eastAsia="Arial" w:hAnsi="Arial"/>
          <w:sz w:val="17"/>
          <w:szCs w:val="17"/>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will be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238" w:lineRule="exact"/>
        <w:rPr>
          <w:sz w:val="20"/>
          <w:szCs w:val="20"/>
          <w:color w:val="auto"/>
        </w:rPr>
      </w:pPr>
    </w:p>
    <w:p>
      <w:pPr>
        <w:ind w:left="660" w:right="8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197"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197" w:lineRule="exact"/>
        <w:rPr>
          <w:rFonts w:ascii="Arial" w:cs="Arial" w:eastAsia="Arial" w:hAnsi="Arial"/>
          <w:sz w:val="18"/>
          <w:szCs w:val="18"/>
          <w:color w:val="auto"/>
        </w:rPr>
      </w:pPr>
    </w:p>
    <w:p>
      <w:pPr>
        <w:ind w:left="660" w:hanging="652"/>
        <w:spacing w:after="0" w:line="25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49" w:name="page150"/>
    <w:bookmarkEnd w:id="149"/>
    <w:p>
      <w:pPr>
        <w:ind w:left="4040"/>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color w:val="auto"/>
        </w:rPr>
        <w:t>Upon the closing of the spin-off, we expect to enter into a $[●] million, [●]-year credit facility. We have not obtained a financing commitment for the credit facility. Amounts outstanding under the credit facility are initially expected to bear variable-rate interest at [●]%. We expect to pay certain customary</w:t>
      </w:r>
    </w:p>
    <w:p>
      <w:pPr>
        <w:spacing w:after="0"/>
        <w:rPr>
          <w:sz w:val="20"/>
          <w:szCs w:val="20"/>
          <w:color w:val="auto"/>
        </w:rPr>
      </w:pPr>
      <w:r>
        <w:rPr>
          <w:rFonts w:ascii="Arial" w:cs="Arial" w:eastAsia="Arial" w:hAnsi="Arial"/>
          <w:sz w:val="18"/>
          <w:szCs w:val="18"/>
          <w:color w:val="auto"/>
        </w:rPr>
        <w:t>fees with respect to the indebtedness.</w:t>
      </w:r>
    </w:p>
    <w:p>
      <w:pPr>
        <w:spacing w:after="0" w:line="2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607" w:right="459" w:bottom="1440" w:gutter="0" w:footer="0" w:header="0"/>
        </w:sectPr>
      </w:pPr>
    </w:p>
    <w:bookmarkStart w:id="150" w:name="page151"/>
    <w:bookmarkEnd w:id="150"/>
    <w:p>
      <w:pPr>
        <w:ind w:left="4500"/>
        <w:spacing w:after="0"/>
        <w:rPr>
          <w:sz w:val="20"/>
          <w:szCs w:val="20"/>
          <w:color w:val="auto"/>
        </w:rPr>
      </w:pPr>
      <w:r>
        <w:rPr>
          <w:rFonts w:ascii="Arial" w:cs="Arial" w:eastAsia="Arial" w:hAnsi="Arial"/>
          <w:sz w:val="18"/>
          <w:szCs w:val="18"/>
          <w:b w:val="1"/>
          <w:bCs w:val="1"/>
          <w:color w:val="auto"/>
        </w:rPr>
        <w:t>DESCRIPTION OF CAPITAL STOCK</w:t>
      </w:r>
    </w:p>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is a description of the material terms of our capital stock as to be provided in our amended and restated certificate of incorporation and amended and restated bylaws, as each is anticipated to be in effect upon the completion of the spin-off. We also refer you to our amended and restated certificate of incorporation and amended and restated bylaws, copies of which will be filed as exhibits to the registration statement of which this information statement forms a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Following completion of the spin-off, our authorized capital stock will consist of (i) shares of common stock, par value $0.01 per share, of which shares will be issued and outstanding and (ii) shares of preferred stock, par value $ per share, of which no shares will be issued and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upon completion of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w:t>
      </w:r>
    </w:p>
    <w:p>
      <w:pPr>
        <w:spacing w:after="0" w:line="3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stockholder approval, to establish and to issue from time to time one or more classes or series of preferred stock, par value $ per share, covering up to an aggregate of shares of preferred stock. Each class or series of preferred stock will cover the number of shares and will have the powers,</w:t>
      </w:r>
    </w:p>
    <w:p>
      <w:pPr>
        <w:ind w:right="580"/>
        <w:spacing w:after="0" w:line="277" w:lineRule="auto"/>
        <w:rPr>
          <w:sz w:val="20"/>
          <w:szCs w:val="20"/>
          <w:color w:val="auto"/>
        </w:rPr>
      </w:pPr>
      <w:r>
        <w:rPr>
          <w:rFonts w:ascii="Arial" w:cs="Arial" w:eastAsia="Arial" w:hAnsi="Arial"/>
          <w:sz w:val="17"/>
          <w:szCs w:val="17"/>
          <w:color w:val="auto"/>
        </w:rPr>
        <w:t>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9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93"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will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1" w:name="page152"/>
    <w:bookmarkEnd w:id="151"/>
    <w:p>
      <w:pPr>
        <w:ind w:right="100" w:firstLine="324"/>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52"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We will be subject to Section 203 of the DGCL, which prohibits a Delaware corporation, including those whose securities are listed for trading on the NYSE, from engaging in any business combination with any interested stockholder for a period of three years following the date that the stockholder became</w:t>
      </w:r>
    </w:p>
    <w:p>
      <w:pPr>
        <w:spacing w:after="0"/>
        <w:rPr>
          <w:sz w:val="20"/>
          <w:szCs w:val="20"/>
          <w:color w:val="auto"/>
        </w:rPr>
      </w:pPr>
      <w:r>
        <w:rPr>
          <w:rFonts w:ascii="Arial" w:cs="Arial" w:eastAsia="Arial" w:hAnsi="Arial"/>
          <w:sz w:val="18"/>
          <w:szCs w:val="18"/>
          <w:color w:val="auto"/>
        </w:rPr>
        <w:t>an interested stockholder, unless:</w:t>
      </w:r>
    </w:p>
    <w:p>
      <w:pPr>
        <w:spacing w:after="0" w:line="266"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25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97"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to not be subject to the provisions of Section 203 of the DGCL.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which will become effective following the spinoff,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Among other things, upon the completion of the spin-off, our amended and restated certificate of incorporation and amended and restated bylaws will:</w:t>
      </w:r>
    </w:p>
    <w:p>
      <w:pPr>
        <w:spacing w:after="0" w:line="275" w:lineRule="exact"/>
        <w:rPr>
          <w:sz w:val="20"/>
          <w:szCs w:val="20"/>
          <w:color w:val="auto"/>
        </w:rPr>
      </w:pPr>
    </w:p>
    <w:p>
      <w:pPr>
        <w:ind w:left="660" w:right="100" w:hanging="652"/>
        <w:spacing w:after="0" w:line="273"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205" w:lineRule="exact"/>
        <w:rPr>
          <w:rFonts w:ascii="Arial" w:cs="Arial" w:eastAsia="Arial" w:hAnsi="Arial"/>
          <w:sz w:val="17"/>
          <w:szCs w:val="17"/>
          <w:color w:val="auto"/>
        </w:rPr>
      </w:pPr>
    </w:p>
    <w:p>
      <w:pPr>
        <w:ind w:left="660" w:right="60" w:hanging="652"/>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52" w:name="page153"/>
    <w:bookmarkEnd w:id="152"/>
    <w:p>
      <w:pPr>
        <w:ind w:left="660" w:hanging="652"/>
        <w:spacing w:after="0" w:line="308"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73"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w:t>
      </w:r>
    </w:p>
    <w:p>
      <w:pPr>
        <w:spacing w:after="0" w:line="208"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our certificate of incorporation and bylaws may be amended by the affirmative vote of the holders of at least two-thirds of our then outstanding common stock;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only be called by the board of directors or the chairman of the board;</w:t>
      </w:r>
    </w:p>
    <w:p>
      <w:pPr>
        <w:spacing w:after="0" w:line="252" w:lineRule="exact"/>
        <w:rPr>
          <w:rFonts w:ascii="Arial" w:cs="Arial" w:eastAsia="Arial" w:hAnsi="Arial"/>
          <w:sz w:val="18"/>
          <w:szCs w:val="18"/>
          <w:color w:val="auto"/>
        </w:rPr>
      </w:pPr>
    </w:p>
    <w:p>
      <w:pPr>
        <w:ind w:left="660" w:right="260" w:hanging="652"/>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our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63" w:lineRule="exact"/>
        <w:rPr>
          <w:rFonts w:ascii="Arial" w:cs="Arial" w:eastAsia="Arial" w:hAnsi="Arial"/>
          <w:sz w:val="17"/>
          <w:szCs w:val="17"/>
          <w:color w:val="auto"/>
        </w:rPr>
      </w:pPr>
    </w:p>
    <w:p>
      <w:pPr>
        <w:ind w:left="660" w:right="160" w:hanging="652"/>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amended and restated certificate of incorporation or our bylaws; or</w:t>
      </w:r>
    </w:p>
    <w:p>
      <w:pPr>
        <w:spacing w:after="0" w:line="197"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224" w:lineRule="exact"/>
        <w:rPr>
          <w:sz w:val="20"/>
          <w:szCs w:val="20"/>
          <w:color w:val="auto"/>
        </w:rPr>
      </w:pPr>
    </w:p>
    <w:p>
      <w:pPr>
        <w:ind w:right="80" w:firstLine="324"/>
        <w:spacing w:after="0" w:line="308" w:lineRule="auto"/>
        <w:rPr>
          <w:sz w:val="20"/>
          <w:szCs w:val="20"/>
          <w:color w:val="auto"/>
        </w:rPr>
      </w:pPr>
      <w:r>
        <w:rPr>
          <w:rFonts w:ascii="Arial" w:cs="Arial" w:eastAsia="Arial" w:hAnsi="Arial"/>
          <w:sz w:val="16"/>
          <w:szCs w:val="16"/>
          <w:color w:val="auto"/>
        </w:rPr>
        <w:t>Our amended and restated certificate of incorporation will also provide that any person or entity purchasing or otherwise acquiring any interest in shares of our capital stock will be deemed to have notice of and to have consented to this forum selection provision. However, it is possible that a court could find</w:t>
      </w:r>
    </w:p>
    <w:p>
      <w:pPr>
        <w:spacing w:after="0"/>
        <w:rPr>
          <w:sz w:val="20"/>
          <w:szCs w:val="20"/>
          <w:color w:val="auto"/>
        </w:rPr>
      </w:pPr>
      <w:r>
        <w:rPr>
          <w:rFonts w:ascii="Arial" w:cs="Arial" w:eastAsia="Arial" w:hAnsi="Arial"/>
          <w:sz w:val="18"/>
          <w:szCs w:val="18"/>
          <w:color w:val="auto"/>
        </w:rPr>
        <w:t>our forum selection provision to be inapplicable or unenforceable.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208"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9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expected to trade on the NYSE under the symbol “[●]”.</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851" w:right="1440" w:bottom="1440" w:gutter="0" w:footer="0" w:header="0"/>
        </w:sectPr>
      </w:pPr>
    </w:p>
    <w:bookmarkStart w:id="154" w:name="page155"/>
    <w:bookmarkEnd w:id="154"/>
    <w:p>
      <w:pPr>
        <w:ind w:left="40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20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 xml:space="preserve">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from which you can electronically access the Form 10, including its exhibits.</w:t>
      </w:r>
    </w:p>
    <w:p>
      <w:pPr>
        <w:spacing w:after="0" w:line="20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maintain an Internet site at [●]. We do not incorporate our Internet site, or the information contained on that site or connected to that site, into the information statement or our Registration Statement on Form 10.</w:t>
      </w:r>
    </w:p>
    <w:p>
      <w:pPr>
        <w:spacing w:after="0" w:line="19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make available free of charge on our website, at [●],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INDEX TO FINANCIAL STATEMENTS, SUPPLEMENTARY DATA AND SCHEDULES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2012, 2011, and 2010</w:t>
            </w:r>
          </w:p>
        </w:tc>
        <w:tc>
          <w:tcPr>
            <w:tcW w:w="1420" w:type="dxa"/>
            <w:vAlign w:val="bottom"/>
          </w:tcPr>
          <w:p>
            <w:pPr>
              <w:jc w:val="right"/>
              <w:spacing w:after="0"/>
              <w:rPr>
                <w:sz w:val="20"/>
                <w:szCs w:val="20"/>
                <w:color w:val="auto"/>
              </w:rPr>
            </w:pPr>
            <w:r>
              <w:rPr>
                <w:rFonts w:ascii="Arial" w:cs="Arial" w:eastAsia="Arial" w:hAnsi="Arial"/>
                <w:sz w:val="18"/>
                <w:szCs w:val="18"/>
                <w:color w:val="auto"/>
              </w:rPr>
              <w:t>F-3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Comprehensive Income for the Years Ended December 31, 2012, 2011, and 2010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Balance Sheets at December 31, 2012 and 2011</w:t>
            </w: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 of Changes in Net Investment for the Years Ended December 31, 2012, 2011, and 2010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2012, 2011, and 2010</w:t>
            </w:r>
          </w:p>
        </w:tc>
        <w:tc>
          <w:tcPr>
            <w:tcW w:w="1420" w:type="dxa"/>
            <w:vAlign w:val="bottom"/>
          </w:tcPr>
          <w:p>
            <w:pPr>
              <w:jc w:val="right"/>
              <w:spacing w:after="0"/>
              <w:rPr>
                <w:sz w:val="20"/>
                <w:szCs w:val="20"/>
                <w:color w:val="auto"/>
              </w:rPr>
            </w:pPr>
            <w:r>
              <w:rPr>
                <w:rFonts w:ascii="Arial" w:cs="Arial" w:eastAsia="Arial" w:hAnsi="Arial"/>
                <w:sz w:val="18"/>
                <w:szCs w:val="18"/>
                <w:color w:val="auto"/>
              </w:rPr>
              <w:t>F-7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 – F-29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Interim Combined Financial Statements</w:t>
            </w:r>
          </w:p>
        </w:tc>
        <w:tc>
          <w:tcPr>
            <w:tcW w:w="14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Income for the Nine Month Periods Ended September 30, 2013 and 2012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Comprehensive Income for the Nine Month Periods Ended September 30, 2013 and 2012</w:t>
            </w:r>
          </w:p>
        </w:tc>
        <w:tc>
          <w:tcPr>
            <w:tcW w:w="1420" w:type="dxa"/>
            <w:vAlign w:val="bottom"/>
          </w:tcPr>
          <w:p>
            <w:pPr>
              <w:jc w:val="right"/>
              <w:spacing w:after="0"/>
              <w:rPr>
                <w:sz w:val="20"/>
                <w:szCs w:val="20"/>
                <w:color w:val="auto"/>
              </w:rPr>
            </w:pPr>
            <w:r>
              <w:rPr>
                <w:rFonts w:ascii="Arial" w:cs="Arial" w:eastAsia="Arial" w:hAnsi="Arial"/>
                <w:sz w:val="18"/>
                <w:szCs w:val="18"/>
                <w:color w:val="auto"/>
              </w:rPr>
              <w:t>F-31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Balance Sheets at September 30, 2013 and December 31, 2012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Cash Flows for the Nine Month Periods Ended September 30, 2013 and 2012</w:t>
            </w:r>
          </w:p>
        </w:tc>
        <w:tc>
          <w:tcPr>
            <w:tcW w:w="1420" w:type="dxa"/>
            <w:vAlign w:val="bottom"/>
          </w:tcPr>
          <w:p>
            <w:pPr>
              <w:jc w:val="right"/>
              <w:spacing w:after="0"/>
              <w:rPr>
                <w:sz w:val="20"/>
                <w:szCs w:val="20"/>
                <w:color w:val="auto"/>
              </w:rPr>
            </w:pPr>
            <w:r>
              <w:rPr>
                <w:rFonts w:ascii="Arial" w:cs="Arial" w:eastAsia="Arial" w:hAnsi="Arial"/>
                <w:sz w:val="18"/>
                <w:szCs w:val="18"/>
                <w:color w:val="auto"/>
              </w:rPr>
              <w:t>F-33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F-34 – F-40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Balance Sheet of OIS Accommodations SpinCo Inc.</w:t>
            </w:r>
          </w:p>
        </w:tc>
        <w:tc>
          <w:tcPr>
            <w:tcW w:w="14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Balance Sheet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October 8, 2013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Balance Sheet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color w:val="auto"/>
                <w:w w:val="96"/>
              </w:rPr>
              <w:t>F-1</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8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-1373505</wp:posOffset>
            </wp:positionV>
            <wp:extent cx="716915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-1099185</wp:posOffset>
            </wp:positionV>
            <wp:extent cx="716915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-824865</wp:posOffset>
            </wp:positionV>
            <wp:extent cx="716915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137160"/>
                    </a:xfrm>
                    <a:prstGeom prst="rect">
                      <a:avLst/>
                    </a:prstGeom>
                    <a:noFill/>
                  </pic:spPr>
                </pic:pic>
              </a:graphicData>
            </a:graphic>
          </wp:anchor>
        </w:drawing>
      </w:r>
    </w:p>
    <w:p>
      <w:pPr>
        <w:sectPr>
          <w:pgSz w:w="11900" w:h="16838" w:orient="portrait"/>
          <w:cols w:equalWidth="0" w:num="1">
            <w:col w:w="11460"/>
          </w:cols>
          <w:pgMar w:left="240" w:top="607" w:right="199" w:bottom="1440" w:gutter="0" w:footer="0" w:header="0"/>
        </w:sectPr>
      </w:pPr>
    </w:p>
    <w:bookmarkStart w:id="156" w:name="page157"/>
    <w:bookmarkEnd w:id="156"/>
    <w:p>
      <w:pPr>
        <w:jc w:val="center"/>
        <w:ind w:right="-99"/>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combined balance sheets of the Accommodations Business of Oil States International, Inc. (the “Accommodations Business”) as of December 31, 2012 and 2011, and the related combined statements of income, comprehensive income, changes in net investment, and cash flows for each of the three years in the period ended December 31, 2012. These financial statements are the responsibility of Oil States International, Inc.’s management. Our responsibility is to express an opinion on these financial statements based on our audits.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combined financial position of the Accommodations Business of Oil States International, Inc. at December 31, 2012 and 2011, and the combined results of its operations and its cash flows for each of the three years in the period ended December 31, 2012, in conformity with U.S. generally accepted accounting principles.</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2013</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98" w:right="339" w:bottom="1440" w:gutter="0" w:footer="0" w:header="0"/>
        </w:sectPr>
      </w:pPr>
    </w:p>
    <w:bookmarkStart w:id="157" w:name="page158"/>
    <w:bookmarkEnd w:id="157"/>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1,069,439</w:t>
            </w:r>
          </w:p>
        </w:tc>
        <w:tc>
          <w:tcPr>
            <w:tcW w:w="16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848,786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864,701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444,138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(20,456)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affiliates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168,505</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169,431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 attributable to Accommodations Business of Oil States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261,623</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171,742</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133,879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International, 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F-4</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9" w:right="199" w:bottom="1440" w:gutter="0" w:footer="0" w:header="0"/>
        </w:sectPr>
      </w:pPr>
    </w:p>
    <w:bookmarkStart w:id="159" w:name="page160"/>
    <w:bookmarkEnd w:id="159"/>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5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192,404</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30,314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261,520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98"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1,317,532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1,117,399</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291,322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97,569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107,131</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22,522</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1,799,894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98"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56,697</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52,704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capitalized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676,798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1,031,375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Total Oil States International, Inc.net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1,410,397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1,122,189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type w:val="continuous"/>
        </w:sectPr>
      </w:pPr>
    </w:p>
    <w:bookmarkStart w:id="160" w:name="page161"/>
    <w:bookmarkEnd w:id="160"/>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 OF CHANGES IN NET INVESTMENT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Total Oil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Oil States Net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States Net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437,036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488,244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97,514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97,514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Balance, December 31, 2010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872,225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959,823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Distributions to Oil States International, 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(9,355)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1,031,375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244,721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244,721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1,302,664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107,733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1,410,397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F-6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CASH FLOWS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169,431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139,047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110,708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disposals of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Changes in operating assets and liabilities, net of effect from acquired businesses: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33,465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31,671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(314,047)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(348,504)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 borrowings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Borrowings of long-term debt from Oil States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131,957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(distributions to) Oil States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Debt and capital lease repayments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cash flows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69,436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653,589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NOTES TO COMBINED FINANCIAL STATEMENTS</w:t>
      </w:r>
    </w:p>
    <w:p>
      <w:pPr>
        <w:spacing w:after="0" w:line="242" w:lineRule="exact"/>
        <w:rPr>
          <w:sz w:val="20"/>
          <w:szCs w:val="20"/>
          <w:color w:val="auto"/>
        </w:rPr>
      </w:pPr>
    </w:p>
    <w:p>
      <w:pPr>
        <w:ind w:left="360" w:hanging="352"/>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revenues,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3" w:name="page164"/>
    <w:bookmarkEnd w:id="163"/>
    <w:p>
      <w:pPr>
        <w:jc w:val="center"/>
        <w:ind w:left="260" w:right="26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our entities.</w:t>
      </w:r>
    </w:p>
    <w:p>
      <w:pPr>
        <w:spacing w:after="0" w:line="234" w:lineRule="exact"/>
        <w:rPr>
          <w:sz w:val="20"/>
          <w:szCs w:val="20"/>
          <w:color w:val="auto"/>
        </w:rPr>
      </w:pPr>
    </w:p>
    <w:p>
      <w:pPr>
        <w:ind w:left="360" w:hanging="352"/>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Accommodations considers all highly liquid investments purchased with an original maturity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December 31, 2011</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10"/>
        </w:trPr>
        <w:tc>
          <w:tcPr>
            <w:tcW w:w="27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356,260</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5" w:right="259" w:bottom="1440" w:gutter="0" w:footer="0" w:header="0"/>
        </w:sectPr>
      </w:pPr>
    </w:p>
    <w:bookmarkStart w:id="164" w:name="page165"/>
    <w:bookmarkEnd w:id="164"/>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2012 and 2011, $5.5 million and $4.6 million, respectively, of ARO was included in the Balance Sheet in “Other noncurrent liabilities.” The ARO liability reflects the estimated present value of the amount of asset removal and site reclamation costs related to the retirement of Accommodations’ assets. Total accretion expense related to the ARO was $0.3 million in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represents the excess of the purchase price paid for acquired businesses over the allocated fair value of the related net assets after impairments, if applicable.</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If it is determined that it is more likely than not that the fair value of the accommodations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2012,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exceeds its fair value, goodwill is considered impaired, and a second step is performed to determine the amount of impairment, if any. We conduct our annual impairment test as of December of each year. In 2010, 2011 and 2012, our goodwill impairment tests indicated that the fair value of each of our reporting units is greater than its carrying amount.</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65" w:name="page166"/>
    <w:bookmarkEnd w:id="165"/>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2012, 2011, and 2010, $3.5 million, $5.1 million and less than $0.1 million were capitalized,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revenue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66" w:name="page167"/>
    <w:bookmarkEnd w:id="166"/>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67" w:name="page168"/>
    <w:bookmarkEnd w:id="167"/>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2012 - $11,910).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2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Contributions to the “Retirement Savings Plan” for Canadian employees are subject to the annual maximum total registered savings limit of $22,970 in 2012 as set out in the Canadian Tax Act.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Accommodations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Accommodations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68" w:name="page169"/>
    <w:bookmarkEnd w:id="168"/>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less than $0.1 million at December 31, 2012 and 2011.</w:t>
      </w:r>
    </w:p>
    <w:p>
      <w:pPr>
        <w:spacing w:after="0" w:line="2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2012, the maximum potential amount of future payments that Accommodations could be required to make under these guarantee agreements (letters of credit) was approximately $4.7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69" w:name="page170"/>
    <w:bookmarkEnd w:id="169"/>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2012 through December 12, 2013, the date these combined financial statements were issued.</w:t>
      </w:r>
    </w:p>
    <w:p>
      <w:pPr>
        <w:spacing w:after="0" w:line="210"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selected combined balance sheet accounts at December 31, 2012 and 2011 is presented below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Trade</w:t>
            </w:r>
          </w:p>
        </w:tc>
        <w:tc>
          <w:tcPr>
            <w:tcW w:w="3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144,425</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Finished goods and purchased products</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4,558</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16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60" w:type="dxa"/>
            <w:vAlign w:val="bottom"/>
            <w:gridSpan w:val="3"/>
          </w:tcPr>
          <w:p>
            <w:pPr>
              <w:jc w:val="right"/>
              <w:ind w:right="865"/>
              <w:spacing w:after="0"/>
              <w:rPr>
                <w:sz w:val="20"/>
                <w:szCs w:val="20"/>
                <w:color w:val="auto"/>
              </w:rPr>
            </w:pPr>
            <w:r>
              <w:rPr>
                <w:rFonts w:ascii="Arial" w:cs="Arial" w:eastAsia="Arial" w:hAnsi="Arial"/>
                <w:sz w:val="18"/>
                <w:szCs w:val="18"/>
                <w:b w:val="1"/>
                <w:bCs w:val="1"/>
                <w:color w:val="auto"/>
              </w:rPr>
              <w:t>Estimated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60" w:type="dxa"/>
            <w:vAlign w:val="bottom"/>
            <w:gridSpan w:val="3"/>
          </w:tcPr>
          <w:p>
            <w:pPr>
              <w:jc w:val="right"/>
              <w:ind w:right="805"/>
              <w:spacing w:after="0"/>
              <w:rPr>
                <w:sz w:val="20"/>
                <w:szCs w:val="20"/>
                <w:color w:val="auto"/>
              </w:rPr>
            </w:pPr>
            <w:r>
              <w:rPr>
                <w:rFonts w:ascii="Arial" w:cs="Arial" w:eastAsia="Arial" w:hAnsi="Arial"/>
                <w:sz w:val="18"/>
                <w:szCs w:val="18"/>
                <w:b w:val="1"/>
                <w:bCs w:val="1"/>
                <w:color w:val="auto"/>
              </w:rPr>
              <w:t>Useful Life</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Land</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41,450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Accommodations assets</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3-15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Buildings and leasehold improvements</w:t>
            </w: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rPr>
              <w:t>3-20 years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4-15 years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rPr>
              <w:t>3-7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23,311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Vehicles</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3-5 years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111,952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(413,571)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(291,730)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1,117,399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26,891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taxes, other than income taxes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4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52,704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4457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$128.2 million, $99.9 million and $45.6 million for the years ended December 31, 2012, 2011 and 2010,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70" w:name="page171"/>
    <w:bookmarkEnd w:id="17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204" w:lineRule="exact"/>
        <w:rPr>
          <w:sz w:val="20"/>
          <w:szCs w:val="20"/>
          <w:color w:val="auto"/>
        </w:rPr>
      </w:pPr>
    </w:p>
    <w:p>
      <w:pPr>
        <w:ind w:left="360" w:hanging="352"/>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Supplemental Combined Cash Flow Information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Components of cash used for acquisitions as reflected in the combined statements of cash flows for the years ended December 31, 2012, 2011 and 2010 are summarized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including intangibles and goodwill</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Liabilities assumed</w:t>
            </w:r>
          </w:p>
        </w:tc>
        <w:tc>
          <w:tcPr>
            <w:tcW w:w="114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Noncash consideration</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acquired</w:t>
            </w:r>
          </w:p>
        </w:tc>
        <w:tc>
          <w:tcPr>
            <w:tcW w:w="114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acquisition of businesses</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On November 1, 2011, we purchased an open camp accommodations facility located in Carrizo Springs, Texas for total consideration of $2.2 million. This facility provides accommodations support to customers working in the Eagle Ford Shale oil and gas basin in Texas. The operations of the Carrizo Springs facility have been included in our U.S. segment since the acquisition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2010</w:t>
      </w:r>
    </w:p>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December 30, 2010, Oil States and Accommodations acquired all of the ordinary shares of The MAC Services Group Limited (The MAC), through a Scheme of Arrangement (the Scheme) under the Corporations Act of Australia. The MAC is headquartered in Sydney, Australia and supplies accommodations services to the Australian natural resources market. Under the terms of the Scheme, each shareholder of The MAC received $3.95 (A$3.90) per share in cash. The total purchase price was $638 million, net of cash acquired plus debt assumed of $87 million. The MAC’s operations have been included in our Australian segment beginning in 2011. The MAC acquisition was reflected as of December 31, 2010 in the combined balance sheets.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unaudited pro forma supplemental financial information presents the combined results of operations of Accommodations and The MAC as if the acquisition of The MAC had occurred on January 1, 2010. Accommodations has adjusted historical financial information to give effect to pro forma items that are directly attributable to the acquisition and expected to have a continuing impact on the combined results. These items include adjustments to record the incremental amortization and depreciation expense related to the increase in fair values of the acquired assets, interest expense related to borrowings under Accommodations’ senior credit facilities to fund the acquisition and to reclassify certain items to conform to Accommodations’ financial reporting presentation.</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unaudited pro forma does not purport to be indicative of the results of operations had the transaction occurred on the date indicated or of future results for the combined entities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2010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9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652,383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attributable to Accommodations</w:t>
            </w: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96,488</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00" w:type="dxa"/>
            <w:vAlign w:val="bottom"/>
            <w:gridSpan w:val="2"/>
          </w:tcPr>
          <w:p>
            <w:pPr>
              <w:jc w:val="right"/>
              <w:ind w:right="2870"/>
              <w:spacing w:after="0"/>
              <w:rPr>
                <w:sz w:val="20"/>
                <w:szCs w:val="20"/>
                <w:color w:val="auto"/>
              </w:rPr>
            </w:pPr>
            <w:r>
              <w:rPr>
                <w:rFonts w:ascii="Arial" w:cs="Arial" w:eastAsia="Arial" w:hAnsi="Arial"/>
                <w:sz w:val="18"/>
                <w:szCs w:val="18"/>
                <w:color w:val="auto"/>
              </w:rPr>
              <w:t>F-16</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78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71" w:name="page172"/>
    <w:bookmarkEnd w:id="17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the pro forma results above for the year ended December 31, 2010 are (1) depreciation of the increased fair value of property, plant and equipment acquired as part of The MAC, totaling $8.6 million, net of tax, (2) amortization expense for intangibles acquired as part of the purchase of The MAC, totaling $6.0 million, net of tax and, (3) interest expense of $7.3 million, net of tax. The year ended December 31, 2010 pro forma results also include The MAC acquisition costs of approximately $12.6 million, net of tax.</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20, 2010, we also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Accommodations funded all of its acquisitions with cash on hand and/or draws under the Oil States’ senior credit facility. See Note 8 – Long Term Debt for additional information on senior secured credit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Combined Cash Flow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2012, 2011 and 2010 for interest and income taxes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23,239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42,138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through lease incentives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Borrowings and contingent consideration for business and asset acquisition and</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related intangibles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Mountain West Contingent Consideration</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w:t>
      </w:r>
    </w:p>
    <w:p>
      <w:pPr>
        <w:spacing w:after="0" w:line="190"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2012 and 2011.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2" w:name="page173"/>
    <w:bookmarkEnd w:id="172"/>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2012, no provision for impairment of other intangible assets was required.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2012 and 2011 are as follows (in thousands):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Canadian</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Australian</w:t>
            </w:r>
          </w:p>
        </w:tc>
        <w:tc>
          <w:tcPr>
            <w:tcW w:w="26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221,010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289,023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Goodwill acquired and purchase price adjustments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as of December 31, 2011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223,805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16,632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291,322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51,594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226,906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295,132</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amount of intangibles assigned and the total accumulated amortization for major intangible asset classes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9"/>
              </w:rPr>
              <w:t>As of December 31,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8"/>
                <w:szCs w:val="18"/>
                <w:b w:val="1"/>
                <w:bCs w:val="1"/>
                <w:color w:val="auto"/>
              </w:rPr>
              <w:t>2011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Amortizable intangible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Customer relationships</w:t>
            </w:r>
          </w:p>
        </w:tc>
        <w:tc>
          <w:tcPr>
            <w:tcW w:w="37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57,494</w:t>
            </w:r>
          </w:p>
        </w:tc>
        <w:tc>
          <w:tcPr>
            <w:tcW w:w="400" w:type="dxa"/>
            <w:vAlign w:val="bottom"/>
            <w:tcBorders>
              <w:top w:val="single" w:sz="8" w:color="CCEEFF"/>
            </w:tcBorders>
            <w:gridSpan w:val="2"/>
          </w:tcPr>
          <w:p>
            <w:pPr>
              <w:jc w:val="right"/>
              <w:ind w:right="11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11,191</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56,862</w:t>
            </w:r>
          </w:p>
        </w:tc>
        <w:tc>
          <w:tcPr>
            <w:tcW w:w="480" w:type="dxa"/>
            <w:vAlign w:val="bottom"/>
            <w:tcBorders>
              <w:top w:val="single" w:sz="8" w:color="CCEEFF"/>
            </w:tcBorders>
            <w:gridSpan w:val="2"/>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Contracts/Agreements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Indefinite-lived intangible assets not subject to amortization:</w:t>
            </w: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Brand names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remaining amortization period for all intangible assets, other than goodwill and indefinite- lived intangibles, was 7.3 years as of December 31, 2012 and 8.3 years as of December 31, 2011. Total amortization expense is expected to be $10.9 million in each of 2013, 2014 and 2015, $10.7 million in 2016 and $10.6 million in 2017. Amortization expense was $10.9 million, $10.8 million and less than $0.1 million in the years ended December 31, 2012, 2011 and 2010,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73" w:name="page174"/>
    <w:bookmarkEnd w:id="173"/>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3"/>
          </w:tcPr>
          <w:p>
            <w:pPr>
              <w:spacing w:after="0"/>
              <w:rPr>
                <w:sz w:val="20"/>
                <w:szCs w:val="20"/>
                <w:color w:val="auto"/>
              </w:rPr>
            </w:pPr>
            <w:r>
              <w:rPr>
                <w:rFonts w:ascii="Arial" w:cs="Arial" w:eastAsia="Arial" w:hAnsi="Arial"/>
                <w:sz w:val="18"/>
                <w:szCs w:val="18"/>
                <w:color w:val="auto"/>
              </w:rPr>
              <w:t>As of December 31, 2012 and 2011, long-term debt consisted of the following (in thousands):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December 10, 2015, with available commitments up to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$250 million; secured by substantially all of Oil States’ and our U.S. and Canadian assets; commitment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fee on unused portion was 0.375% per annum in 2012 and ranged from 0.375% per annum to 0.500% in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2011; variable interest rate payable monthly based on the Canadian prime rate or Bankers Acceptance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discount rate plus applicable percentage; weighted average rate was 4.3% for 2012 and 3.9% for 2011</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Canadian term loan, which matures December 10, 2015, original principal of $100 million; 2.5% of</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aggregate principal repayable per quarter in 2012 and thereafter; secured by substantially all of Oil States’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and our U.S. and Canadian assets; variable interest rate payable monthly based on prime or LIBOR plus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applicable percentage; weighted average rate was 3.4% for 2012 and 3.6% for 2011</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85,786</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Australian revolving credit facility, which was replaced September 18, 2012, with available commitments up</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to AUD$150 million; secured by substantially all of our Australian assets; commitment fee on unused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portion was 1.050% per annum in 2012 and 2011; variable interest rate payable monthly based on the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Australian prime rate plus applicable percentage; weighted average rate was 6.2% for 2012 and 6.9% for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6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Australian revolving credit facility, which matures December 10, 2015, with available commitments up to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AUD$300 million; secured by substantially all of our Australian assets; commitment fee on unused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portion was 0.375% per annum in 2012; variable interest rate payable monthly based on the Australian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prime rate plus applicable percentage; weighted average rate was 5.4% for 2012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Subordinated unsecured notes payable to sellers of businesses, fixed interest rate of 6%, matured in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2012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and other debt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491,905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481,813</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477,502</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w w:val="94"/>
              </w:rPr>
              <w:t>Scheduled maturities of combined long-term debt as of December 31, 2012, are as follows (in thousands):</w:t>
            </w: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gridSpan w:val="2"/>
            <w:vMerge w:val="restart"/>
          </w:tcPr>
          <w:p>
            <w:pPr>
              <w:spacing w:after="0"/>
              <w:rPr>
                <w:sz w:val="21"/>
                <w:szCs w:val="21"/>
                <w:color w:val="auto"/>
              </w:rPr>
            </w:pPr>
          </w:p>
        </w:tc>
        <w:tc>
          <w:tcPr>
            <w:tcW w:w="68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10,092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10,092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113,405</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358,316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491,905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74" w:name="page175"/>
    <w:bookmarkEnd w:id="174"/>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2012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206" w:lineRule="exact"/>
        <w:rPr>
          <w:sz w:val="20"/>
          <w:szCs w:val="20"/>
          <w:color w:val="auto"/>
        </w:rPr>
      </w:pPr>
    </w:p>
    <w:p>
      <w:pPr>
        <w:ind w:left="340" w:right="6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variable rate equal to LIBOR (or, in the case of Canadian dollar denominated loans, the Bankers’ Acceptance discount rate) plus a margin ranging from 2.0% to 3.0%; or</w:t>
      </w:r>
    </w:p>
    <w:p>
      <w:pPr>
        <w:spacing w:after="0" w:line="197"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alternate base rate equal to the higher of the bank’s prime rate and the federal funds effective rate (or, in the case of Canadian dollar denominated loans, the Canadian Prime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ranging from 0.375% to 0.50% per year are paid on the undrawn portion of the facilities, depending upon our leverage ratio.</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Oil States Credit Agreement contains customary financial covenants and restrictions applicable to Oil States. As of December 31, 2012,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20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2012, we had $85.8 million outstanding under these facilities and an additional $0.3 million of outstanding letters of credit, leaving $249.7 million available to be drawn under the facilities by Accommodations.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September 18, 2012, Accommodations’ Australian accommodations subsidiary, The MAC Services Group Pty Limited (The MAC), entered into a AUD$300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2012, we were in compliance with our Australian debt covenants. The MAC Group Facility Agreement replaced The MAC’s previous AUD$150 million revolving loan facility. As of December 31, 2012, we had AUD$46 million outstanding under the Australian credit facility leaving AUD$254 million available to be drawn under this facility.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75" w:name="page176"/>
    <w:bookmarkEnd w:id="175"/>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on the combined statements of income is net of capitalized interest of $3.5 million, $5.1 million and less than $0.1 million, respectively, for the years ended December 31, 2012,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21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189"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Accommodations sponsors defined contribution plans. Participation in these plans is available to substantially all employees. Accommodations recognized expense of $17.0 million, $11.5 million and $6.9 million, respectively, related to matching contributions under its various defined contribution plans during the years ended December 31, 2012, 2011 and 2010, respectively.</w:t>
      </w:r>
    </w:p>
    <w:p>
      <w:pPr>
        <w:spacing w:after="0" w:line="204"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ended December 31, 2012, 2011 and 2010 consisted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232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 operations</w:t>
            </w:r>
          </w:p>
        </w:tc>
        <w:tc>
          <w:tcPr>
            <w:tcW w:w="1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300,314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330,208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for the years ended December 31, 2012, 2011 and 2010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8,495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2,750</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3,952</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Provision</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41,663</w:t>
            </w:r>
          </w:p>
        </w:tc>
        <w:tc>
          <w:tcPr>
            <w:tcW w:w="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116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F-21</w:t>
            </w: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-695960</wp:posOffset>
            </wp:positionV>
            <wp:extent cx="579755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ectPr>
          <w:pgSz w:w="11900" w:h="16838" w:orient="portrait"/>
          <w:cols w:equalWidth="0" w:num="1">
            <w:col w:w="11460"/>
          </w:cols>
          <w:pgMar w:left="240" w:top="607" w:right="199" w:bottom="1440" w:gutter="0" w:footer="0" w:header="0"/>
        </w:sectPr>
      </w:pPr>
    </w:p>
    <w:bookmarkStart w:id="176" w:name="page177"/>
    <w:bookmarkEnd w:id="176"/>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provision for taxes differs from an amount computed at U.S. statutory rates as follows for the years ended December 31, 2012, 2011 and 2010 consisted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115,571</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9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(31,200)</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(26,403)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(10,251)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net of federal benefits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deduction</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adjustments,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5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tax provision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41,663</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517640" cy="720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7640" cy="7200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2012 and 2011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Deductible goodwill and other intangibles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reserves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deferred tax asset</w:t>
            </w: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(67,558)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(79,131)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liability</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(64,141)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411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728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Reclassifications of Accommodations’ deferred tax balance based on net current items and net noncurrent items as of December 31, 2012 and 2011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liability</w:t>
            </w:r>
          </w:p>
        </w:tc>
        <w:tc>
          <w:tcPr>
            <w:tcW w:w="38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(64,486)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(45,007)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9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(64,141)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primary deferred tax assets at December 31, 2012, were related to deductible goodwill and other intangibles.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income tax provision for the year ended December 31, 2012 totaled $84.3 million, or 25.5% of pretax income, compared to $55.1 million, or 24.5% of pretax income, for the year ended December 31, 2011.</w:t>
      </w:r>
    </w:p>
    <w:p>
      <w:pPr>
        <w:spacing w:after="0" w:line="1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The cumulative amount of undistributed earnings of foreign subsidiaries that the Company intends to indefinitely reinvest, and upon which foreign taxes have been accrued or paid but no deferred US income taxes have been provided is $883.6 million at December 31, 2012, which has been generated in Canada and Australia. Upon distribution of these earnings in the form of dividends or otherwise, the Company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7" w:name="page178"/>
    <w:bookmarkEnd w:id="177"/>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files tax returns in the jurisdictions in which they are required. All of these returns are subject to examination or audit and possible adjustment as a result of assessments by taxing authorities. The Company believes that it has recorded sufficient tax liabilities and does not expect the resolution of any examination or audit of its tax returns would have a material adverse effect on its operating results, financial condition or liquidity.</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2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total amount of unrecognized tax benefits as of December 31, 2012 was $0.7 million. The unrecognized tax benefits, if recognized, would affect the effective tax rate. The Company accrues interest and penalties related to unrecognized tax benefits as a component of the Company's provision for income taxes. As of December 31, 2012 and 2011, the Company had accrued $0.3 million and $0.3 million, respectively, of interest expense and penalties.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4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Balance as of January 1</w:t>
            </w:r>
            <w:r>
              <w:rPr>
                <w:rFonts w:ascii="Arial" w:cs="Arial" w:eastAsia="Arial" w:hAnsi="Arial"/>
                <w:sz w:val="24"/>
                <w:szCs w:val="24"/>
                <w:color w:val="auto"/>
                <w:vertAlign w:val="superscript"/>
              </w:rPr>
              <w:t>st</w:t>
            </w:r>
          </w:p>
        </w:tc>
        <w:tc>
          <w:tcPr>
            <w:tcW w:w="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Balance as of December 31</w:t>
            </w:r>
            <w:r>
              <w:rPr>
                <w:rFonts w:ascii="Arial" w:cs="Arial" w:eastAsia="Arial" w:hAnsi="Arial"/>
                <w:sz w:val="24"/>
                <w:szCs w:val="24"/>
                <w:color w:val="auto"/>
                <w:vertAlign w:val="superscript"/>
              </w:rPr>
              <w:t>st</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ind w:left="440" w:hanging="432"/>
        <w:spacing w:after="0"/>
        <w:tabs>
          <w:tab w:leader="none" w:pos="4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Accommodations leases a portion of its equipment, office space, computer equipment, automobiles and trucks under leases which expire at various dates.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Minimum future operating lease obligations in effect at December 31, 2012, were as follows (in thousands):</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Operating Leases</w:t>
            </w: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$5.3 million, $5.1 million and $1.2 million for the years ended December 31, 2012, 2011 and 2010, respectively.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78" w:name="page179"/>
    <w:bookmarkEnd w:id="17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1"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Accumulated other comprehensive income increased from $90.8 million at December 31, 2011 to $107.7 million at December 31, 2012, a net change of $16.9 million, as a result of increases in the Canadian and Australian dollar exchange rates compared to the U.S. dollar. The Canadian dollar was valued at an exchange rate of U.S. $1.01 at December 31, 2012 compared to U.S. $0.98 at December 31, 2011, an increase of 3%. The Australian dollar was valued at an exchange rate of U.S. $1.04 at December 31, 2012 compared to U.S. $1.03 at December 31, 2011, an increase of 1%. Excluding intercompany balances, our Canadian dollar and Australian dollar functional currency net assets total approximately C$364 million and A$869 million, respectively, at December 31, 2012.</w:t>
      </w:r>
    </w:p>
    <w:p>
      <w:pPr>
        <w:spacing w:after="0" w:line="21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9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9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Stock-based compensation pre-tax expense recognized by Accommodations in the years ended December 31, 2012, 2011 and 2010 totaled $3.3 million, $2.3 million and $1.6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2012, 2011 and 2010 was based on a formula considering the vesting period, term of the options awarded and past experience.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360" w:type="dxa"/>
            <w:vAlign w:val="bottom"/>
            <w:gridSpan w:val="2"/>
          </w:tcPr>
          <w:p>
            <w:pPr>
              <w:jc w:val="right"/>
              <w:ind w:right="1410"/>
              <w:spacing w:after="0"/>
              <w:rPr>
                <w:sz w:val="20"/>
                <w:szCs w:val="20"/>
                <w:color w:val="auto"/>
              </w:rPr>
            </w:pPr>
            <w:r>
              <w:rPr>
                <w:rFonts w:ascii="Arial" w:cs="Arial" w:eastAsia="Arial" w:hAnsi="Arial"/>
                <w:sz w:val="18"/>
                <w:szCs w:val="18"/>
                <w:color w:val="auto"/>
              </w:rPr>
              <w:t>F-24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2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79" w:name="page180"/>
    <w:bookmarkEnd w:id="17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stock options outstanding and related information for Accommodations’ employees for each of the three years ended December 31, 2012, 2011 and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2009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139,500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(29,125)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80.68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Options at December 31, 2011</w:t>
            </w:r>
          </w:p>
        </w:tc>
        <w:tc>
          <w:tcPr>
            <w:tcW w:w="1160" w:type="dxa"/>
            <w:vAlign w:val="bottom"/>
          </w:tcPr>
          <w:p>
            <w:pPr>
              <w:jc w:val="right"/>
              <w:spacing w:after="0"/>
              <w:rPr>
                <w:sz w:val="20"/>
                <w:szCs w:val="20"/>
                <w:color w:val="auto"/>
              </w:rPr>
            </w:pPr>
            <w:r>
              <w:rPr>
                <w:rFonts w:ascii="Arial" w:cs="Arial" w:eastAsia="Arial" w:hAnsi="Arial"/>
                <w:sz w:val="18"/>
                <w:szCs w:val="18"/>
                <w:color w:val="auto"/>
              </w:rPr>
              <w:t>153,750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weighted average fair values of options granted to Accommodations’ employees during 2012, 2011 and 2010 were $37.43, $33.27, and $17.13 per share, respectively. All options awarded in 2012 had a term of ten years and were granted with exercise prices at the grant date closing market price. The total intrinsic value of options exercised by Accommodations’ employees during 2012, 2011 and 2010 were $6.2 million, $3.2 million and $3.2 million, respectively. Oil States received all cash from option exercises during 2012, 2011 and 2010. The tax benefit realized for the tax deduction form stock options exercised during 2012, 2011 and 2010 totaled $0.2 million in each of the three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outstanding stock options of Accommodations’ employees at December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Options Outstanding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gridSpan w:val="6"/>
          </w:tcPr>
          <w:p>
            <w:pPr>
              <w:ind w:left="102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Number</w:t>
            </w:r>
          </w:p>
        </w:tc>
        <w:tc>
          <w:tcPr>
            <w:tcW w:w="3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Range of Exercise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0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Number Exercisable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16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12/31/2012</w:t>
            </w:r>
          </w:p>
        </w:tc>
        <w:tc>
          <w:tcPr>
            <w:tcW w:w="3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12/31/2012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9"/>
              </w:rPr>
              <w:t>$ 16.65 - $36.53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121,625</w:t>
            </w:r>
          </w:p>
        </w:tc>
        <w:tc>
          <w:tcPr>
            <w:tcW w:w="19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24.42</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w:t>
            </w:r>
          </w:p>
        </w:tc>
      </w:tr>
      <w:tr>
        <w:trPr>
          <w:trHeight w:val="216"/>
        </w:trPr>
        <w:tc>
          <w:tcPr>
            <w:tcW w:w="16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89"/>
              </w:rPr>
              <w:t>$ 37.67 - $37.67</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91,750</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37.67</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32,500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37.67</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9"/>
              </w:rPr>
              <w:t>$ 75.41 - $84.63</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64,625</w:t>
            </w:r>
          </w:p>
        </w:tc>
        <w:tc>
          <w:tcPr>
            <w:tcW w:w="190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6.04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75.41</w:t>
            </w:r>
          </w:p>
        </w:tc>
      </w:tr>
      <w:tr>
        <w:trPr>
          <w:trHeight w:val="210"/>
        </w:trPr>
        <w:tc>
          <w:tcPr>
            <w:tcW w:w="16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89"/>
              </w:rPr>
              <w:t>$ 16.65 - $84.63</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278,000</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40.78</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132,938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33.40</w:t>
            </w:r>
          </w:p>
        </w:tc>
      </w:tr>
      <w:tr>
        <w:trPr>
          <w:trHeight w:val="20"/>
        </w:trPr>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restricted stock awards and related information for Accommodations’ employees for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Grant Date Fair</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Per Share</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January 1, 2012</w:t>
            </w:r>
          </w:p>
        </w:tc>
        <w:tc>
          <w:tcPr>
            <w:tcW w:w="2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81.35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(1,635)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2012</w:t>
            </w:r>
          </w:p>
        </w:tc>
        <w:tc>
          <w:tcPr>
            <w:tcW w:w="2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0" w:type="dxa"/>
            <w:vAlign w:val="bottom"/>
            <w:gridSpan w:val="3"/>
          </w:tcPr>
          <w:p>
            <w:pPr>
              <w:jc w:val="right"/>
              <w:ind w:right="2720"/>
              <w:spacing w:after="0"/>
              <w:rPr>
                <w:sz w:val="20"/>
                <w:szCs w:val="20"/>
                <w:color w:val="auto"/>
              </w:rPr>
            </w:pPr>
            <w:r>
              <w:rPr>
                <w:rFonts w:ascii="Arial" w:cs="Arial" w:eastAsia="Arial" w:hAnsi="Arial"/>
                <w:sz w:val="18"/>
                <w:szCs w:val="18"/>
                <w:color w:val="auto"/>
              </w:rPr>
              <w:t>F-25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8" w:right="199" w:bottom="1440" w:gutter="0" w:footer="0" w:header="0"/>
        </w:sectPr>
      </w:pPr>
    </w:p>
    <w:bookmarkStart w:id="180" w:name="page181"/>
    <w:bookmarkEnd w:id="18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During 2012, Oil States granted restricted stock awards to Accommodations’ employees totaling 19,800 shares valued at a total of $1.6 million. All of the restricted stock awards granted to Accommodations’ employees vest in four equal annual installments beginning in February 2013. During 2012, Oil States also granted 53,950 units of phantom shares under the newly created Canadian Long-Term Incentive Plan, which provides for the granting of units of phantom shares to key Canadian employees of Accommodations. These awards vest in three equal annual installments beginning in February 2013 and are accounted for as a liability based on the market price of Oil States shares. Participants granted units of phantom shares are entitled to a lump sum cash payment equal to the fair market value of a share of Oil States’ common stock on the vesting date. At December 31, 2012, the balance of the liability for the phantom shares was $1.1 million. A total of 26,104 and 6,000 shares of restricted stock were awarded to Accommodations’ employees in 2011 and 2010, respectively, with aggregate values of $2.0 million and $0.2 million, respectively.</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weighted average grant date fair value per share for restricted stock awards granted in 2012, 2011 and 2010 was $81.35, $74.81 and $37.67, respectively. The total fair value of restricted stock awards vested in 2012, 2011 and 2010 was $0.8 million, $0.4 million and $0.3 million, respectively. As of December 31, 2012, there was $2.1 million of total compensation cost related to nonvested stock awards not yet recognized, which is expected to be recognized over a weighted average period of 2.6 years.</w:t>
      </w:r>
    </w:p>
    <w:p>
      <w:pPr>
        <w:spacing w:after="0" w:line="21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 our strategic focus on work force accommodations.</w:t>
      </w:r>
    </w:p>
    <w:p>
      <w:pPr>
        <w:spacing w:after="0" w:line="15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Financial information for our segment for each of the three years ended December 31, 2012, 2011 and 2010, is summarized in the following table in thousands. The accounting policies of the segment are the same as those described in the summary of significant accounting policies.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Revenues from</w:t>
            </w: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unaffiliated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customers</w:t>
            </w: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Total 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717,160</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71,203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226,403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106,835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63,184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1,108,875</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139,047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352,929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314,047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579,857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Australian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63,211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154,080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881,155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(2,929)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864,701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242,159</w:t>
            </w:r>
          </w:p>
        </w:tc>
        <w:tc>
          <w:tcPr>
            <w:tcW w:w="2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348,504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1,799,894</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495,997</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42,586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143,404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6,602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537,690</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141,459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107,347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1,487,462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F-26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81" w:name="page182"/>
    <w:bookmarkEnd w:id="18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2012, 2011 and 2010,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Australia</w:t>
            </w:r>
          </w:p>
        </w:tc>
        <w:tc>
          <w:tcPr>
            <w:tcW w:w="12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United States</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Non-U.S.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717,160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276,214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579,550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197,095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87,325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495,997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41,411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1,288,478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Imperial Oil accounted for more than 10% of Accommodations’ revenues in the years ended December 31, 2012, 2011 and 2010. Suncor Energy Oil Sands LP accounted for more than 10% of Accommodations’ revenues in the years ended December 31, 2011 and 2010. BHP Billiton Mitsubishi Alliance accounted for more than 10% of Accommodations’ revenues in the year ended December 31, 2011. Royal Dutch Shell plc accounted for more than 10% of Accommodations’ revenues in the year ended December 31, 2010. Equity in net income of unconsolidated affiliates is not included in operating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 and Accrued Environmental Costs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40" w:type="dxa"/>
            <w:vAlign w:val="bottom"/>
            <w:gridSpan w:val="2"/>
          </w:tcPr>
          <w:p>
            <w:pPr>
              <w:spacing w:after="0"/>
              <w:rPr>
                <w:sz w:val="20"/>
                <w:szCs w:val="20"/>
                <w:color w:val="auto"/>
              </w:rPr>
            </w:pPr>
            <w:r>
              <w:rPr>
                <w:rFonts w:ascii="Arial" w:cs="Arial" w:eastAsia="Arial" w:hAnsi="Arial"/>
                <w:sz w:val="18"/>
                <w:szCs w:val="18"/>
                <w:color w:val="auto"/>
                <w:w w:val="96"/>
              </w:rPr>
              <w:t>Asset retirement obligations and accrued environmental costs at December 31 were (in thousands):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Accrued environmental costs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asset retirement obligations and accrued environmental costs</w:t>
            </w: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Asset retirement obligations and accrued environmental costs due within one year*</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 and accrued environmental costs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Classified as a current liability on the combined balance sheets, under the caption “Other accruals.”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9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82" w:name="page183"/>
    <w:bookmarkEnd w:id="182"/>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During 2012 and 2011, our overall asset retirement obligation changed as follows (in thousands):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obligations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Changes in estimates of existing obligations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5,518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Environmental Costs</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accrued environmental costs at December 31, 2012 and 2011 were $0.5 million and $0.7 million, respectively related to contractual restoration obligations related to our temporary camp sites.</w:t>
      </w:r>
    </w:p>
    <w:p>
      <w:pPr>
        <w:spacing w:after="0" w:line="193"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9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2012, 2011 and 2010, $88.9 million, $41.0 million and $26.5 million, respectively, of expenditures for services received from Oil States or funding for expenditures provided by Oil States were included in the combined financial statements.</w:t>
      </w:r>
    </w:p>
    <w:p>
      <w:pPr>
        <w:spacing w:after="0" w:line="20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2012, 2011 and 2010, we were allocated $5.0 million, $3.9 million and $1.9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revenues, headcount or other relevant measures of Accommodations and Oil States and its other subsidiaries.</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83" w:name="page184"/>
    <w:bookmarkEnd w:id="18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Net Investment</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combined statements of net investment. The components of the change in Oil States net investment for the year ended December 31, 2012, 2011 and 2010 are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(58,768)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40,993</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26,477</w:t>
            </w:r>
          </w:p>
        </w:tc>
      </w:tr>
      <w:tr>
        <w:trPr>
          <w:trHeight w:val="216"/>
        </w:trPr>
        <w:tc>
          <w:tcPr>
            <w:tcW w:w="57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Corporate allocations, including income tax provision</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transfers for acquisitions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326,902</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Oil States net investment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340" w:right="140" w:hanging="332"/>
        <w:spacing w:after="0" w:line="279"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$5.0 million, $3.9 million and $1.9 million for the years ended December 31, 2012, 2011 and 2010,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1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Allowances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4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4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40" w:type="dxa"/>
            <w:vAlign w:val="bottom"/>
          </w:tcPr>
          <w:p>
            <w:pPr>
              <w:spacing w:after="0"/>
              <w:rPr>
                <w:sz w:val="20"/>
                <w:szCs w:val="20"/>
                <w:color w:val="auto"/>
              </w:rPr>
            </w:pPr>
          </w:p>
        </w:tc>
      </w:tr>
      <w:tr>
        <w:trPr>
          <w:trHeight w:val="688"/>
        </w:trPr>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0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84" w:name="page185"/>
    <w:bookmarkEnd w:id="184"/>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INCOME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765,602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782,627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836,101</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Other operating (income) expense, net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554,164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281,937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(14,308)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affiliates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265,239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137,487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Net income attributable to Accommodations Business of Oil States International, Inc.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136,423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5520"/>
              <w:spacing w:after="0"/>
              <w:rPr>
                <w:sz w:val="20"/>
                <w:szCs w:val="20"/>
                <w:color w:val="auto"/>
              </w:rPr>
            </w:pPr>
            <w:r>
              <w:rPr>
                <w:rFonts w:ascii="Arial" w:cs="Arial" w:eastAsia="Arial" w:hAnsi="Arial"/>
                <w:sz w:val="18"/>
                <w:szCs w:val="18"/>
                <w:color w:val="auto"/>
              </w:rPr>
              <w:t>F-30</w:t>
            </w: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85" w:name="page186"/>
    <w:bookmarkEnd w:id="185"/>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COMPREHENSIVE INCOME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(110,853)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income</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Comprehensive income attributable to Accommodations Business of Oil States International, Inc.</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560" w:type="dxa"/>
            <w:vAlign w:val="bottom"/>
          </w:tcPr>
          <w:p>
            <w:pPr>
              <w:ind w:left="5520"/>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5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39" w:right="199" w:bottom="1440" w:gutter="0" w:footer="0" w:header="0"/>
        </w:sectPr>
      </w:pPr>
    </w:p>
    <w:bookmarkStart w:id="186" w:name="page187"/>
    <w:bookmarkEnd w:id="186"/>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BALANCE SHEETS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28"/>
        </w:trPr>
        <w:tc>
          <w:tcPr>
            <w:tcW w:w="34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420" w:type="dxa"/>
            <w:vAlign w:val="bottom"/>
          </w:tcPr>
          <w:p>
            <w:pPr>
              <w:spacing w:after="0"/>
              <w:rPr>
                <w:sz w:val="17"/>
                <w:szCs w:val="17"/>
                <w:color w:val="auto"/>
              </w:rPr>
            </w:pPr>
          </w:p>
        </w:tc>
        <w:tc>
          <w:tcPr>
            <w:tcW w:w="484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392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4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157,161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181,153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208,581</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98"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1,317,532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295,132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81,256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97,569</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25,725</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98"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49,717</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39,364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1,545,058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1,302,664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Oil States International, Inc. net investment</w:t>
            </w:r>
          </w:p>
        </w:tc>
        <w:tc>
          <w:tcPr>
            <w:tcW w:w="11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1,541,938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1,410,397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2,097,280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80" w:type="dxa"/>
            <w:vAlign w:val="bottom"/>
          </w:tcPr>
          <w:p>
            <w:pPr>
              <w:ind w:left="5520"/>
              <w:spacing w:after="0"/>
              <w:rPr>
                <w:sz w:val="20"/>
                <w:szCs w:val="20"/>
                <w:color w:val="auto"/>
              </w:rPr>
            </w:pPr>
            <w:r>
              <w:rPr>
                <w:rFonts w:ascii="Arial" w:cs="Arial" w:eastAsia="Arial" w:hAnsi="Arial"/>
                <w:sz w:val="18"/>
                <w:szCs w:val="18"/>
                <w:color w:val="auto"/>
              </w:rPr>
              <w:t>F-32</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type w:val="continuous"/>
        </w:sectPr>
      </w:pPr>
    </w:p>
    <w:bookmarkStart w:id="187" w:name="page188"/>
    <w:bookmarkEnd w:id="187"/>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80" w:type="dxa"/>
            <w:vAlign w:val="bottom"/>
          </w:tcPr>
          <w:p>
            <w:pPr>
              <w:ind w:left="514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137,487</w:t>
            </w:r>
          </w:p>
        </w:tc>
        <w:tc>
          <w:tcPr>
            <w:tcW w:w="12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Non-cash compensation charge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disposals of 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adjustment of contingent consideration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from acquired businesses: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(14,609)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current assets and liabilities,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operating activities</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(234,794)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(228,381)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(204,556)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(82,762)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Oil States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Debt and capital lease repayments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cash flows used in financing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(27,035)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(12,664)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157,161</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18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F-33</w:t>
            </w:r>
          </w:p>
        </w:tc>
        <w:tc>
          <w:tcPr>
            <w:tcW w:w="9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52"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30, 2013, Oil States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the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(“U.S. GAAP”). The combined financial statements include certain assets and liabilities that have historically been held at the Oil States corporate level but are specifically identifiable or otherwise attributable to us.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revenues,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is expected to extend for a period of 6 to 12 months in most circumstances.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89" w:name="page190"/>
    <w:bookmarkEnd w:id="18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intracompany transactions and balances between and among Accommodations have been eliminated in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our entities.</w:t>
      </w:r>
    </w:p>
    <w:p>
      <w:pPr>
        <w:spacing w:after="0" w:line="234"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204" w:lineRule="exact"/>
        <w:rPr>
          <w:sz w:val="20"/>
          <w:szCs w:val="20"/>
          <w:color w:val="auto"/>
        </w:rPr>
      </w:pPr>
    </w:p>
    <w:p>
      <w:pPr>
        <w:ind w:left="420" w:hanging="412"/>
        <w:spacing w:after="0"/>
        <w:tabs>
          <w:tab w:leader="none" w:pos="4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regarding selected combined balance sheet accounts at September 30, 2013 and December 31, 2012 is presented below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Trade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130,255</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 net: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Finished goods and purchased products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b w:val="1"/>
                <w:bCs w:val="1"/>
                <w:color w:val="auto"/>
              </w:rPr>
              <w:t>Estimated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b w:val="1"/>
                <w:bCs w:val="1"/>
                <w:color w:val="auto"/>
              </w:rPr>
              <w:t>Useful Life</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00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Land</w:t>
            </w:r>
          </w:p>
        </w:tc>
        <w:tc>
          <w:tcPr>
            <w:tcW w:w="3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49,538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assets</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3-15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1,481,830</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Buildings and leasehold improvements</w:t>
            </w:r>
          </w:p>
        </w:tc>
        <w:tc>
          <w:tcPr>
            <w:tcW w:w="20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3-20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42,969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4-15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3-7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26,850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 years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plant and equipment</w:t>
            </w:r>
          </w:p>
        </w:tc>
        <w:tc>
          <w:tcPr>
            <w:tcW w:w="2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(501,468)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(413,571)</w:t>
            </w: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4280" w:type="dxa"/>
            <w:vAlign w:val="bottom"/>
          </w:tcPr>
          <w:p>
            <w:pPr>
              <w:spacing w:after="0"/>
              <w:rPr>
                <w:sz w:val="24"/>
                <w:szCs w:val="24"/>
                <w:color w:val="auto"/>
              </w:rPr>
            </w:pPr>
          </w:p>
        </w:tc>
        <w:tc>
          <w:tcPr>
            <w:tcW w:w="3980" w:type="dxa"/>
            <w:vAlign w:val="bottom"/>
            <w:gridSpan w:val="4"/>
          </w:tcPr>
          <w:p>
            <w:pPr>
              <w:jc w:val="right"/>
              <w:ind w:right="2290"/>
              <w:spacing w:after="0"/>
              <w:rPr>
                <w:sz w:val="20"/>
                <w:szCs w:val="20"/>
                <w:color w:val="auto"/>
              </w:rPr>
            </w:pPr>
            <w:r>
              <w:rPr>
                <w:rFonts w:ascii="Arial" w:cs="Arial" w:eastAsia="Arial" w:hAnsi="Arial"/>
                <w:sz w:val="18"/>
                <w:szCs w:val="18"/>
                <w:color w:val="auto"/>
              </w:rPr>
              <w:t>F-35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90" w:name="page191"/>
    <w:bookmarkEnd w:id="19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21,643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taxes, other than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Accumulated other comprehensive income decreased from $107.7 million at December 31, 2012 to an accumulated other comprehensive loss of $3.1 million at September 30, 2013, a net change of $110.9 million, as a result of decreases in the Canadian and Australian dollar exchange rates compared to the U.S. dollar. The Canadian dollar was valued at an exchange rate of U.S. $0.97 at September 30, 2013 compared to U.S. $1.01 at December 31, 2012, a decrease of 4%. The Australian dollar was valued at an exchange rate of U.S. $0.93 at September 30, 2013 compared to U.S. $1.04 at December 31, 2012, a decrease of 11%. Excluding intercompany balances, our Canadian dollar and Australian dollar functional currency net assets total approximately C$505 million and A$941 million, respectively, at September 30, 2013.</w:t>
      </w:r>
    </w:p>
    <w:p>
      <w:pPr>
        <w:spacing w:after="0" w:line="216"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and Goodwill</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2010, we acquired all of the operating assets of Mountain West Oilfield Service and Supplies, Inc. and Ufford Leasing LLC (Mountain West) for total consideration of $47.1 million including estimated contingent consideration of $4.0 million. During the first quarter of 2013, the liability for the estimated contingent consideration recorded in connection with this transaction was adjusted to its estimated fair value of zero resulting in the recording of other operating income of $4.0 million. Contingent consideration for the Mountain West acquisition was estimated based upon the amount of earnings before interest, depreciation, amortization and taxes expected to be earned by the acquired business during the three-year period ended December 31, 2013, subject to adjustment for capital spending levels.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 period ended September 30, 2013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Canadian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Australian</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223,805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226,906</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Balance as of September 30, 2013</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50,527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203,958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F-36</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91" w:name="page192"/>
    <w:bookmarkEnd w:id="19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w w:val="93"/>
              </w:rPr>
              <w:t>As of September 30, 2013 and December 31, 2012, long-term debt consisted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Canadian revolving credit facility, which matures on December 10, 2015,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 million; no borrowings outstanding during the nine month period ended September 30,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term loan, which matures December 10, 2015, original principal of $100 million; 2.5% of</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aggregate principal repayable per quarter; weighted average interest rate of 3.3% for the nine month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 ended September 30, 2013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Australian revolving credit facility, which matures December 10, 2015,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AUD$300 million and with a weighted average rate was 5.1% for the nine month period ended September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30, 2013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346,614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346,614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paid annually. The outstanding principal amount can be prepaid at any time without penalty. Upon completion of the spin off transaction this affiliate term loan is expected to be a contribution to the equity of Accommodations by Oil States.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September 30, 2013, Accommodations had approximately $157.2 million of cash and $249.7 million of Accommodations’ Canadian credit facility available for future financing needs. Accommodations also had availability totaling AUD$300 million under its Australian credit facility. As of September 30, 2013, Accommodations had $0.3 million of outstanding letters of credit which reduced amounts available under its credit facilities.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on the condensed consolidated statements of income is net of capitalized interest of $0.8 million and $3.2 million for the nine month periods ended September 30, 2013 and 2012, respectively.</w:t>
      </w:r>
    </w:p>
    <w:p>
      <w:pPr>
        <w:spacing w:after="0" w:line="193"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2" w:name="page193"/>
    <w:bookmarkEnd w:id="192"/>
    <w:p>
      <w:pPr>
        <w:jc w:val="center"/>
        <w:ind w:left="320" w:right="256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 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2012</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10"/>
        </w:trPr>
        <w:tc>
          <w:tcPr>
            <w:tcW w:w="27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380,296</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first nine months of 2013, Oil States granted restricted stock awards to Accommodations’ employees totaling 26,200 shares valued at a total of $2.1 million. All of the restricted stock awards granted to Accommodations’ employees vest in four equal annual installments beginning in February 2014. During the first nine months of 2013, Oil States also granted 71,500 units of phantom shares under the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September 30, 2013, the balance of the liability for the phantom shares was $2.5 million. A total of 7,500 stock options with a ten-year term were awarded in the nine months ended September 30, 2013 with an average exercise price of $80.25, a fair value of $0.6 million and that will vest in four equal annual installments starting in February 2014.</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Stock-based compensation pre-tax expense recognized by Accommodations in the nine month periods ended September 30, 2013 and 2012 totaled $4.9 million and $2.3 million, respectively. As of September 30, 2013, there was $3.1 million of total compensation cost related to nonvested stock awards not yet recognized, which is expected to be recognized over a weighted average period of 2.6 years.</w:t>
      </w:r>
    </w:p>
    <w:p>
      <w:pPr>
        <w:spacing w:after="0" w:line="204" w:lineRule="exact"/>
        <w:rPr>
          <w:sz w:val="20"/>
          <w:szCs w:val="20"/>
          <w:color w:val="auto"/>
        </w:rPr>
      </w:pPr>
    </w:p>
    <w:p>
      <w:pPr>
        <w:ind w:left="360" w:hanging="352"/>
        <w:spacing w:after="0"/>
        <w:tabs>
          <w:tab w:leader="none" w:pos="3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Income tax expense for interim periods is based on estimates of the effective tax rate for the entire fiscal year. Our income tax provision for the nine months ended September 30, 2013 totaled $43.3 million, or 24.0% of pretax income, compared to $65.9 million, or 24.9% of pretax income, for the nine months ended September 30, 2012.</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8" w:right="319" w:bottom="1440" w:gutter="0" w:footer="0" w:header="0"/>
        </w:sectPr>
      </w:pPr>
    </w:p>
    <w:bookmarkStart w:id="193" w:name="page194"/>
    <w:bookmarkEnd w:id="193"/>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represents our strategic focus on work force accommodations.</w:t>
      </w:r>
    </w:p>
    <w:p>
      <w:pPr>
        <w:spacing w:after="0" w:line="15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Financial information by business segment for each of the nine months ended September 30, 2013 and 2012 is summarized in the following table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Revenues from</w:t>
            </w:r>
          </w:p>
        </w:tc>
        <w:tc>
          <w:tcPr>
            <w:tcW w:w="2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unaffiliated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customers</w:t>
            </w:r>
          </w:p>
        </w:tc>
        <w:tc>
          <w:tcPr>
            <w:tcW w:w="2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535,810</w:t>
            </w:r>
          </w:p>
        </w:tc>
        <w:tc>
          <w:tcPr>
            <w:tcW w:w="5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62,775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146,157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126,473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782,627</w:t>
            </w:r>
          </w:p>
        </w:tc>
        <w:tc>
          <w:tcPr>
            <w:tcW w:w="5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124,510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195,777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234,794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2,097,280</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535,659</w:t>
            </w:r>
          </w:p>
        </w:tc>
        <w:tc>
          <w:tcPr>
            <w:tcW w:w="52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176,517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Australian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205,502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76,845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(6,151)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836,101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Commitments and Contingencies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Historically, Oil States has provided services to and funded certain expenditures of Accommodations. The most significant of these services and expenditures were: (1) funding of expenditures to settle domestic accounts payable; (2) funding and processing of domestic payroll; and (3) share-based compensation. The combined financial statements of Accommodations reflect these expenditures. During the nine months ended September 30, 2013 and 2012, $98.1 million and $66.6 million, respectively, of expenditures for services received from Oil States or funding for expenditures provided by Oil States were included in the combined financial statements.</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nine months ended September 30, 2013 and 2012, we were allocated $4.3 million and $3.8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revenues, headcount or other relevant measures of Accommodations and Oil States and its other subsidiaries.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937" w:gutter="0" w:footer="0" w:header="0"/>
        </w:sectPr>
      </w:pPr>
    </w:p>
    <w:bookmarkStart w:id="194" w:name="page195"/>
    <w:bookmarkEnd w:id="194"/>
    <w:p>
      <w:pPr>
        <w:jc w:val="center"/>
        <w:ind w:left="280" w:right="260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Net Investment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Oil States net investment for the nine month periods ended September 30, 2013 and 2012 are as follows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Ended 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(58,401)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98,079</w:t>
            </w:r>
          </w:p>
        </w:tc>
        <w:tc>
          <w:tcPr>
            <w:tcW w:w="9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66,631</w:t>
            </w:r>
          </w:p>
        </w:tc>
      </w:tr>
      <w:tr>
        <w:trPr>
          <w:trHeight w:val="216"/>
        </w:trPr>
        <w:tc>
          <w:tcPr>
            <w:tcW w:w="68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Corporate allocations, including income tax provision</w:t>
            </w:r>
            <w:r>
              <w:rPr>
                <w:rFonts w:ascii="Arial" w:cs="Arial" w:eastAsia="Arial" w:hAnsi="Arial"/>
                <w:sz w:val="25"/>
                <w:szCs w:val="25"/>
                <w:color w:val="auto"/>
                <w:vertAlign w:val="superscript"/>
              </w:rPr>
              <w:t>(1)</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15,155</w:t>
            </w:r>
          </w:p>
        </w:tc>
      </w:tr>
      <w:tr>
        <w:trPr>
          <w:trHeight w:val="20"/>
        </w:trPr>
        <w:tc>
          <w:tcPr>
            <w:tcW w:w="68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Net Increase (decrease) in Oil States net investment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105,972</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23,385</w:t>
            </w:r>
          </w:p>
        </w:tc>
      </w:tr>
      <w:tr>
        <w:trPr>
          <w:trHeight w:val="20"/>
        </w:trPr>
        <w:tc>
          <w:tcPr>
            <w:tcW w:w="6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80" w:hanging="332"/>
        <w:spacing w:after="0" w:line="259"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$4.3 million and $3.8 million for the nine months ended September 30, 2013 and 2012,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95" w:name="page196"/>
    <w:bookmarkEnd w:id="19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5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have audited the accompanying balance sheet of OIS Accommodations SpinCo Inc. (“SpinCo”) as of October 8, 2013. This balance sheet is the responsibility of SpinCo’s management. Our responsibility is to express an opinion on this balance sheet based on our audit.</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OIS Accommodations SpinCo Inc. at October 8, 2013, in conformity with U.S. generally accepted accounting principles</w:t>
      </w:r>
      <w:r>
        <w:rPr>
          <w:rFonts w:ascii="Arial" w:cs="Arial" w:eastAsia="Arial" w:hAnsi="Arial"/>
          <w:sz w:val="18"/>
          <w:szCs w:val="18"/>
          <w:b w:val="1"/>
          <w:bCs w:val="1"/>
          <w:color w:val="auto"/>
        </w:rPr>
        <w:t>.</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851" w:right="37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4740"/>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Note receivable due from Parent</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0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Common stock, par value $.01, 1,000 shares authorized, issued and outstanding</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balance sheet.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0"/>
          </w:cols>
          <w:pgMar w:left="820" w:top="850" w:right="81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8, 2013</w:t>
      </w:r>
    </w:p>
    <w:p>
      <w:pPr>
        <w:spacing w:after="0" w:line="200" w:lineRule="exact"/>
        <w:rPr>
          <w:sz w:val="20"/>
          <w:szCs w:val="20"/>
          <w:color w:val="auto"/>
        </w:rPr>
      </w:pPr>
    </w:p>
    <w:p>
      <w:pPr>
        <w:spacing w:after="0" w:line="223" w:lineRule="exact"/>
        <w:rPr>
          <w:sz w:val="20"/>
          <w:szCs w:val="20"/>
          <w:color w:val="auto"/>
        </w:rPr>
      </w:pPr>
    </w:p>
    <w:p>
      <w:pPr>
        <w:ind w:left="420" w:hanging="412"/>
        <w:spacing w:after="0"/>
        <w:tabs>
          <w:tab w:leader="none" w:pos="42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Organization and Operations</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OIS Accommodations SpinCo Inc. (SpinCo) is a Delaware corporation formed on October 8, 2013 to provide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International, Inc. (“Oil States”) for total consideration of $10 in the form of a promissory note. See Note 2.</w:t>
      </w:r>
    </w:p>
    <w:p>
      <w:pPr>
        <w:spacing w:after="0" w:line="21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accompanying balance sheet reflects the financial position of SpinCo immediately subsequent to its initial capitalization. Other than the settlement of the note receivable from Oil States described below, there have been no other transactions involving SpinCo as of December 12, 2013.</w:t>
      </w:r>
    </w:p>
    <w:p>
      <w:pPr>
        <w:spacing w:after="0" w:line="170" w:lineRule="exact"/>
        <w:rPr>
          <w:sz w:val="20"/>
          <w:szCs w:val="20"/>
          <w:color w:val="auto"/>
        </w:rPr>
      </w:pPr>
    </w:p>
    <w:p>
      <w:pPr>
        <w:ind w:left="360" w:hanging="352"/>
        <w:spacing w:after="0"/>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Note Receivable from Parent</w:t>
      </w:r>
    </w:p>
    <w:p>
      <w:pPr>
        <w:spacing w:after="0" w:line="25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F-43</w:t>
      </w:r>
    </w:p>
    <w:sectPr>
      <w:pgSz w:w="11900" w:h="16838" w:orient="portrait"/>
      <w:cols w:equalWidth="0" w:num="1">
        <w:col w:w="11400"/>
      </w:cols>
      <w:pgMar w:left="240" w:top="60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lowerLetter"/>
      <w:start w:val="1"/>
    </w:lvl>
  </w:abstractNum>
  <w:abstractNum w:abstractNumId="1">
    <w:nsid w:val="5DC79EA8"/>
    <w:multiLevelType w:val="hybridMultilevel"/>
    <w:lvl w:ilvl="0">
      <w:lvlJc w:val="left"/>
      <w:lvlText w:val="(%1)"/>
      <w:numFmt w:val="lowerLetter"/>
      <w:start w:val="2"/>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1)"/>
      <w:numFmt w:val="lowerLetter"/>
      <w:start w:val="1"/>
    </w:lvl>
  </w:abstractNum>
  <w:abstractNum w:abstractNumId="4">
    <w:nsid w:val="51D9C564"/>
    <w:multiLevelType w:val="hybridMultilevel"/>
    <w:lvl w:ilvl="0">
      <w:lvlJc w:val="left"/>
      <w:lvlText w:val="(%1)"/>
      <w:numFmt w:val="lowerLetter"/>
      <w:start w:val="1"/>
    </w:lvl>
  </w:abstractNum>
  <w:abstractNum w:abstractNumId="5">
    <w:nsid w:val="613EFDC5"/>
    <w:multiLevelType w:val="hybridMultilevel"/>
    <w:lvl w:ilvl="0">
      <w:lvlJc w:val="left"/>
      <w:lvlText w:val="(%1)"/>
      <w:numFmt w:val="lowerLetter"/>
      <w:start w:val="1"/>
    </w:lvl>
  </w:abstractNum>
  <w:abstractNum w:abstractNumId="6">
    <w:nsid w:val="BF72B14"/>
    <w:multiLevelType w:val="hybridMultilevel"/>
    <w:lvl w:ilvl="0">
      <w:lvlJc w:val="left"/>
      <w:lvlText w:val="(%1)"/>
      <w:numFmt w:val="lowerLetter"/>
      <w:start w:val="1"/>
    </w:lvl>
    <w:lvl w:ilvl="1">
      <w:lvlJc w:val="left"/>
      <w:lvlText w:val="(%2)"/>
      <w:numFmt w:val="lowerLetter"/>
      <w:start w:val="9"/>
    </w:lvl>
  </w:abstractNum>
  <w:abstractNum w:abstractNumId="7">
    <w:nsid w:val="11447B73"/>
    <w:multiLevelType w:val="hybridMultilevel"/>
    <w:lvl w:ilvl="0">
      <w:lvlJc w:val="left"/>
      <w:lvlText w:val="(%1)"/>
      <w:numFmt w:val="lowerRoman"/>
      <w:start w:val="2"/>
    </w:lvl>
    <w:lvl w:ilvl="1">
      <w:lvlJc w:val="left"/>
      <w:lvlText w:val="(%2)"/>
      <w:numFmt w:val="upperLetter"/>
      <w:start w:val="1"/>
    </w:lvl>
  </w:abstractNum>
  <w:abstractNum w:abstractNumId="8">
    <w:nsid w:val="42963E5A"/>
    <w:multiLevelType w:val="hybridMultilevel"/>
    <w:lvl w:ilvl="0">
      <w:lvlJc w:val="left"/>
      <w:lvlText w:val="%1"/>
      <w:numFmt w:val="lowerRoman"/>
      <w:start w:val="1"/>
    </w:lvl>
    <w:lvl w:ilvl="1">
      <w:lvlJc w:val="left"/>
      <w:lvlText w:val="(%2)"/>
      <w:numFmt w:val="upperLetter"/>
      <w:start w:val="3"/>
    </w:lvl>
  </w:abstractNum>
  <w:abstractNum w:abstractNumId="9">
    <w:nsid w:val="A0382C5"/>
    <w:multiLevelType w:val="hybridMultilevel"/>
    <w:lvl w:ilvl="0">
      <w:lvlJc w:val="left"/>
      <w:lvlText w:val="(%1)"/>
      <w:numFmt w:val="lowerRoman"/>
      <w:start w:val="2"/>
    </w:lvl>
    <w:lvl w:ilvl="1">
      <w:lvlJc w:val="left"/>
      <w:lvlText w:val="%2"/>
      <w:numFmt w:val="upperLetter"/>
      <w:start w:val="1"/>
    </w:lvl>
  </w:abstractNum>
  <w:abstractNum w:abstractNumId="10">
    <w:nsid w:val="8F2B15E"/>
    <w:multiLevelType w:val="hybridMultilevel"/>
    <w:lvl w:ilvl="0">
      <w:lvlJc w:val="left"/>
      <w:lvlText w:val="(%1)"/>
      <w:numFmt w:val="lowerRoman"/>
      <w:start w:val="6"/>
    </w:lvl>
    <w:lvl w:ilvl="1">
      <w:lvlJc w:val="left"/>
      <w:lvlText w:val="%2"/>
      <w:numFmt w:val="upperLetter"/>
      <w:start w:val="1"/>
    </w:lvl>
  </w:abstractNum>
  <w:abstractNum w:abstractNumId="11">
    <w:nsid w:val="1A32234B"/>
    <w:multiLevelType w:val="hybridMultilevel"/>
    <w:lvl w:ilvl="0">
      <w:lvlJc w:val="left"/>
      <w:lvlText w:val="(%1)"/>
      <w:numFmt w:val="lowerRoman"/>
      <w:start w:val="4"/>
    </w:lvl>
  </w:abstractNum>
  <w:abstractNum w:abstractNumId="12">
    <w:nsid w:val="3B0FD37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
    <w:nsid w:val="68EB2F63"/>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4">
    <w:nsid w:val="4962813B"/>
    <w:multiLevelType w:val="hybridMultilevel"/>
    <w:lvl w:ilvl="0">
      <w:lvlJc w:val="left"/>
      <w:lvlText w:val="(%1)"/>
      <w:numFmt w:val="lowerRoman"/>
      <w:start w:val="3"/>
    </w:lvl>
  </w:abstractNum>
  <w:abstractNum w:abstractNumId="15">
    <w:nsid w:val="60B6DF70"/>
    <w:multiLevelType w:val="hybridMultilevel"/>
    <w:lvl w:ilvl="0">
      <w:lvlJc w:val="left"/>
      <w:lvlText w:val="%1:"/>
      <w:numFmt w:val="upperLetter"/>
      <w:start w:val="17"/>
    </w:lvl>
  </w:abstractNum>
  <w:abstractNum w:abstractNumId="16">
    <w:nsid w:val="6A5EE64"/>
    <w:multiLevelType w:val="hybridMultilevel"/>
    <w:lvl w:ilvl="0">
      <w:lvlJc w:val="left"/>
      <w:lvlText w:val="%1:"/>
      <w:numFmt w:val="upperLetter"/>
      <w:start w:val="1"/>
    </w:lvl>
  </w:abstractNum>
  <w:abstractNum w:abstractNumId="17">
    <w:nsid w:val="14330624"/>
    <w:multiLevelType w:val="hybridMultilevel"/>
    <w:lvl w:ilvl="0">
      <w:lvlJc w:val="left"/>
      <w:lvlText w:val="%1:"/>
      <w:numFmt w:val="upperLetter"/>
      <w:start w:val="17"/>
    </w:lvl>
  </w:abstractNum>
  <w:abstractNum w:abstractNumId="18">
    <w:nsid w:val="7FFFCA11"/>
    <w:multiLevelType w:val="hybridMultilevel"/>
    <w:lvl w:ilvl="0">
      <w:lvlJc w:val="left"/>
      <w:lvlText w:val="%1:"/>
      <w:numFmt w:val="upperLetter"/>
      <w:start w:val="1"/>
    </w:lvl>
  </w:abstractNum>
  <w:abstractNum w:abstractNumId="19">
    <w:nsid w:val="1A27709E"/>
    <w:multiLevelType w:val="hybridMultilevel"/>
    <w:lvl w:ilvl="0">
      <w:lvlJc w:val="left"/>
      <w:lvlText w:val="%1:"/>
      <w:numFmt w:val="upperLetter"/>
      <w:start w:val="17"/>
    </w:lvl>
  </w:abstractNum>
  <w:abstractNum w:abstractNumId="20">
    <w:nsid w:val="71EA1109"/>
    <w:multiLevelType w:val="hybridMultilevel"/>
    <w:lvl w:ilvl="0">
      <w:lvlJc w:val="left"/>
      <w:lvlText w:val="%1:"/>
      <w:numFmt w:val="upperLetter"/>
      <w:start w:val="1"/>
    </w:lvl>
  </w:abstractNum>
  <w:abstractNum w:abstractNumId="21">
    <w:nsid w:val="100F59DC"/>
    <w:multiLevelType w:val="hybridMultilevel"/>
    <w:lvl w:ilvl="0">
      <w:lvlJc w:val="left"/>
      <w:lvlText w:val="%1:"/>
      <w:numFmt w:val="upperLetter"/>
      <w:start w:val="17"/>
    </w:lvl>
  </w:abstractNum>
  <w:abstractNum w:abstractNumId="22">
    <w:nsid w:val="7FB7E0AA"/>
    <w:multiLevelType w:val="hybridMultilevel"/>
    <w:lvl w:ilvl="0">
      <w:lvlJc w:val="left"/>
      <w:lvlText w:val="%1:"/>
      <w:numFmt w:val="upperLetter"/>
      <w:start w:val="17"/>
    </w:lvl>
  </w:abstractNum>
  <w:abstractNum w:abstractNumId="23">
    <w:nsid w:val="6EB5BD4"/>
    <w:multiLevelType w:val="hybridMultilevel"/>
    <w:lvl w:ilvl="0">
      <w:lvlJc w:val="left"/>
      <w:lvlText w:val="%1:"/>
      <w:numFmt w:val="upperLetter"/>
      <w:start w:val="1"/>
    </w:lvl>
  </w:abstractNum>
  <w:abstractNum w:abstractNumId="24">
    <w:nsid w:val="6F6DD9AC"/>
    <w:multiLevelType w:val="hybridMultilevel"/>
    <w:lvl w:ilvl="0">
      <w:lvlJc w:val="left"/>
      <w:lvlText w:val="%1:"/>
      <w:numFmt w:val="upperLetter"/>
      <w:start w:val="17"/>
    </w:lvl>
  </w:abstractNum>
  <w:abstractNum w:abstractNumId="25">
    <w:nsid w:val="94211F2"/>
    <w:multiLevelType w:val="hybridMultilevel"/>
    <w:lvl w:ilvl="0">
      <w:lvlJc w:val="left"/>
      <w:lvlText w:val="%1:"/>
      <w:numFmt w:val="upperLetter"/>
      <w:start w:val="1"/>
    </w:lvl>
  </w:abstractNum>
  <w:abstractNum w:abstractNumId="26">
    <w:nsid w:val="885E1B"/>
    <w:multiLevelType w:val="hybridMultilevel"/>
    <w:lvl w:ilvl="0">
      <w:lvlJc w:val="left"/>
      <w:lvlText w:val="%1:"/>
      <w:numFmt w:val="upperLetter"/>
      <w:start w:val="17"/>
    </w:lvl>
  </w:abstractNum>
  <w:abstractNum w:abstractNumId="27">
    <w:nsid w:val="76272110"/>
    <w:multiLevelType w:val="hybridMultilevel"/>
    <w:lvl w:ilvl="0">
      <w:lvlJc w:val="left"/>
      <w:lvlText w:val="%1:"/>
      <w:numFmt w:val="upperLetter"/>
      <w:start w:val="17"/>
    </w:lvl>
  </w:abstractNum>
  <w:abstractNum w:abstractNumId="28">
    <w:nsid w:val="4C04A8AF"/>
    <w:multiLevelType w:val="hybridMultilevel"/>
    <w:lvl w:ilvl="0">
      <w:lvlJc w:val="left"/>
      <w:lvlText w:val="%1:"/>
      <w:numFmt w:val="upperLetter"/>
      <w:start w:val="1"/>
    </w:lvl>
  </w:abstractNum>
  <w:abstractNum w:abstractNumId="29">
    <w:nsid w:val="1716703B"/>
    <w:multiLevelType w:val="hybridMultilevel"/>
    <w:lvl w:ilvl="0">
      <w:lvlJc w:val="left"/>
      <w:lvlText w:val="%1:"/>
      <w:numFmt w:val="upperLetter"/>
      <w:start w:val="17"/>
    </w:lvl>
  </w:abstractNum>
  <w:abstractNum w:abstractNumId="30">
    <w:nsid w:val="14E17E33"/>
    <w:multiLevelType w:val="hybridMultilevel"/>
    <w:lvl w:ilvl="0">
      <w:lvlJc w:val="left"/>
      <w:lvlText w:val="%1:"/>
      <w:numFmt w:val="upperLetter"/>
      <w:start w:val="1"/>
    </w:lvl>
  </w:abstractNum>
  <w:abstractNum w:abstractNumId="31">
    <w:nsid w:val="3222E7CD"/>
    <w:multiLevelType w:val="hybridMultilevel"/>
    <w:lvl w:ilvl="0">
      <w:lvlJc w:val="left"/>
      <w:lvlText w:val="%1:"/>
      <w:numFmt w:val="upperLetter"/>
      <w:start w:val="17"/>
    </w:lvl>
  </w:abstractNum>
  <w:abstractNum w:abstractNumId="32">
    <w:nsid w:val="74DE0EE3"/>
    <w:multiLevelType w:val="hybridMultilevel"/>
    <w:lvl w:ilvl="0">
      <w:lvlJc w:val="left"/>
      <w:lvlText w:val="%1:"/>
      <w:numFmt w:val="upperLetter"/>
      <w:start w:val="1"/>
    </w:lvl>
  </w:abstractNum>
  <w:abstractNum w:abstractNumId="33">
    <w:nsid w:val="68EBC550"/>
    <w:multiLevelType w:val="hybridMultilevel"/>
    <w:lvl w:ilvl="0">
      <w:lvlJc w:val="left"/>
      <w:lvlText w:val="%1:"/>
      <w:numFmt w:val="upperLetter"/>
      <w:start w:val="17"/>
    </w:lvl>
  </w:abstractNum>
  <w:abstractNum w:abstractNumId="34">
    <w:nsid w:val="2DF6D648"/>
    <w:multiLevelType w:val="hybridMultilevel"/>
    <w:lvl w:ilvl="0">
      <w:lvlJc w:val="left"/>
      <w:lvlText w:val="%1:"/>
      <w:numFmt w:val="upperLetter"/>
      <w:start w:val="1"/>
    </w:lvl>
  </w:abstractNum>
  <w:abstractNum w:abstractNumId="35">
    <w:nsid w:val="46B7D447"/>
    <w:multiLevelType w:val="hybridMultilevel"/>
    <w:lvl w:ilvl="0">
      <w:lvlJc w:val="left"/>
      <w:lvlText w:val="%1:"/>
      <w:numFmt w:val="upperLetter"/>
      <w:start w:val="17"/>
    </w:lvl>
  </w:abstractNum>
  <w:abstractNum w:abstractNumId="36">
    <w:nsid w:val="4A2AC315"/>
    <w:multiLevelType w:val="hybridMultilevel"/>
    <w:lvl w:ilvl="0">
      <w:lvlJc w:val="left"/>
      <w:lvlText w:val="%1:"/>
      <w:numFmt w:val="upperLetter"/>
      <w:start w:val="1"/>
    </w:lvl>
  </w:abstractNum>
  <w:abstractNum w:abstractNumId="37">
    <w:nsid w:val="39EE015C"/>
    <w:multiLevelType w:val="hybridMultilevel"/>
    <w:lvl w:ilvl="0">
      <w:lvlJc w:val="left"/>
      <w:lvlText w:val="%1:"/>
      <w:numFmt w:val="upperLetter"/>
      <w:start w:val="17"/>
    </w:lvl>
  </w:abstractNum>
  <w:abstractNum w:abstractNumId="38">
    <w:nsid w:val="57FC4FBB"/>
    <w:multiLevelType w:val="hybridMultilevel"/>
    <w:lvl w:ilvl="0">
      <w:lvlJc w:val="left"/>
      <w:lvlText w:val="%1:"/>
      <w:numFmt w:val="upperLetter"/>
      <w:start w:val="1"/>
    </w:lvl>
  </w:abstractNum>
  <w:abstractNum w:abstractNumId="39">
    <w:nsid w:val="CC1016F"/>
    <w:multiLevelType w:val="hybridMultilevel"/>
    <w:lvl w:ilvl="0">
      <w:lvlJc w:val="left"/>
      <w:lvlText w:val="%1:"/>
      <w:numFmt w:val="upperLetter"/>
      <w:start w:val="17"/>
    </w:lvl>
  </w:abstractNum>
  <w:abstractNum w:abstractNumId="40">
    <w:nsid w:val="43F18422"/>
    <w:multiLevelType w:val="hybridMultilevel"/>
    <w:lvl w:ilvl="0">
      <w:lvlJc w:val="left"/>
      <w:lvlText w:val="%1:"/>
      <w:numFmt w:val="upperLetter"/>
      <w:start w:val="1"/>
    </w:lvl>
  </w:abstractNum>
  <w:abstractNum w:abstractNumId="41">
    <w:nsid w:val="60EF0119"/>
    <w:multiLevelType w:val="hybridMultilevel"/>
    <w:lvl w:ilvl="0">
      <w:lvlJc w:val="left"/>
      <w:lvlText w:val="%1:"/>
      <w:numFmt w:val="upperLetter"/>
      <w:start w:val="17"/>
    </w:lvl>
  </w:abstractNum>
  <w:abstractNum w:abstractNumId="42">
    <w:nsid w:val="26F324BA"/>
    <w:multiLevelType w:val="hybridMultilevel"/>
    <w:lvl w:ilvl="0">
      <w:lvlJc w:val="left"/>
      <w:lvlText w:val="%1:"/>
      <w:numFmt w:val="upperLetter"/>
      <w:start w:val="1"/>
    </w:lvl>
  </w:abstractNum>
  <w:abstractNum w:abstractNumId="43">
    <w:nsid w:val="7F01579B"/>
    <w:multiLevelType w:val="hybridMultilevel"/>
    <w:lvl w:ilvl="0">
      <w:lvlJc w:val="left"/>
      <w:lvlText w:val="%1:"/>
      <w:numFmt w:val="upperLetter"/>
      <w:start w:val="17"/>
    </w:lvl>
  </w:abstractNum>
  <w:abstractNum w:abstractNumId="44">
    <w:nsid w:val="49DA307D"/>
    <w:multiLevelType w:val="hybridMultilevel"/>
    <w:lvl w:ilvl="0">
      <w:lvlJc w:val="left"/>
      <w:lvlText w:val="%1:"/>
      <w:numFmt w:val="upperLetter"/>
      <w:start w:val="1"/>
    </w:lvl>
  </w:abstractNum>
  <w:abstractNum w:abstractNumId="45">
    <w:nsid w:val="7055A5F5"/>
    <w:multiLevelType w:val="hybridMultilevel"/>
    <w:lvl w:ilvl="0">
      <w:lvlJc w:val="left"/>
      <w:lvlText w:val="%1:"/>
      <w:numFmt w:val="upperLetter"/>
      <w:start w:val="17"/>
    </w:lvl>
  </w:abstractNum>
  <w:abstractNum w:abstractNumId="46">
    <w:nsid w:val="5FB8370B"/>
    <w:multiLevelType w:val="hybridMultilevel"/>
    <w:lvl w:ilvl="0">
      <w:lvlJc w:val="left"/>
      <w:lvlText w:val="%1:"/>
      <w:numFmt w:val="upperLetter"/>
      <w:start w:val="1"/>
    </w:lvl>
  </w:abstractNum>
  <w:abstractNum w:abstractNumId="47">
    <w:nsid w:val="50801EE1"/>
    <w:multiLevelType w:val="hybridMultilevel"/>
    <w:lvl w:ilvl="0">
      <w:lvlJc w:val="left"/>
      <w:lvlText w:val="%1:"/>
      <w:numFmt w:val="upperLetter"/>
      <w:start w:val="17"/>
    </w:lvl>
  </w:abstractNum>
  <w:abstractNum w:abstractNumId="48">
    <w:nsid w:val="488AC1A"/>
    <w:multiLevelType w:val="hybridMultilevel"/>
    <w:lvl w:ilvl="0">
      <w:lvlJc w:val="left"/>
      <w:lvlText w:val="%1:"/>
      <w:numFmt w:val="upperLetter"/>
      <w:start w:val="1"/>
    </w:lvl>
  </w:abstractNum>
  <w:abstractNum w:abstractNumId="49">
    <w:nsid w:val="5FB8011C"/>
    <w:multiLevelType w:val="hybridMultilevel"/>
    <w:lvl w:ilvl="0">
      <w:lvlJc w:val="left"/>
      <w:lvlText w:val="%1:"/>
      <w:numFmt w:val="upperLetter"/>
      <w:start w:val="17"/>
    </w:lvl>
  </w:abstractNum>
  <w:abstractNum w:abstractNumId="50">
    <w:nsid w:val="6AA78F7F"/>
    <w:multiLevelType w:val="hybridMultilevel"/>
    <w:lvl w:ilvl="0">
      <w:lvlJc w:val="left"/>
      <w:lvlText w:val="%1:"/>
      <w:numFmt w:val="upperLetter"/>
      <w:start w:val="1"/>
    </w:lvl>
  </w:abstractNum>
  <w:abstractNum w:abstractNumId="51">
    <w:nsid w:val="7672BD23"/>
    <w:multiLevelType w:val="hybridMultilevel"/>
    <w:lvl w:ilvl="0">
      <w:lvlJc w:val="left"/>
      <w:lvlText w:val="%1:"/>
      <w:numFmt w:val="upperLetter"/>
      <w:start w:val="17"/>
    </w:lvl>
  </w:abstractNum>
  <w:abstractNum w:abstractNumId="52">
    <w:nsid w:val="6FC75AF8"/>
    <w:multiLevelType w:val="hybridMultilevel"/>
    <w:lvl w:ilvl="0">
      <w:lvlJc w:val="left"/>
      <w:lvlText w:val="%1:"/>
      <w:numFmt w:val="upperLetter"/>
      <w:start w:val="1"/>
    </w:lvl>
  </w:abstractNum>
  <w:abstractNum w:abstractNumId="53">
    <w:nsid w:val="6A5F7029"/>
    <w:multiLevelType w:val="hybridMultilevel"/>
    <w:lvl w:ilvl="0">
      <w:lvlJc w:val="left"/>
      <w:lvlText w:val="%1:"/>
      <w:numFmt w:val="upperLetter"/>
      <w:start w:val="17"/>
    </w:lvl>
  </w:abstractNum>
  <w:abstractNum w:abstractNumId="54">
    <w:nsid w:val="7D5E18F8"/>
    <w:multiLevelType w:val="hybridMultilevel"/>
    <w:lvl w:ilvl="0">
      <w:lvlJc w:val="left"/>
      <w:lvlText w:val="%1:"/>
      <w:numFmt w:val="upperLetter"/>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1)"/>
      <w:numFmt w:val="decimal"/>
      <w:start w:val="1"/>
    </w:lvl>
  </w:abstractNum>
  <w:abstractNum w:abstractNumId="59">
    <w:nsid w:val="3FA62ACA"/>
    <w:multiLevelType w:val="hybridMultilevel"/>
    <w:lvl w:ilvl="0">
      <w:lvlJc w:val="left"/>
      <w:lvlText w:val="(%1)"/>
      <w:numFmt w:val="decimal"/>
      <w:start w:val="2"/>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
      <w:numFmt w:val="bullet"/>
      <w:start w:val="1"/>
    </w:lvl>
    <w:lvl w:ilvl="1">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
      <w:numFmt w:val="bullet"/>
      <w:start w:val="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1)"/>
      <w:numFmt w:val="decimal"/>
      <w:start w:val="1"/>
    </w:lvl>
  </w:abstractNum>
  <w:abstractNum w:abstractNumId="79">
    <w:nsid w:val="45E6D486"/>
    <w:multiLevelType w:val="hybridMultilevel"/>
    <w:lvl w:ilvl="0">
      <w:lvlJc w:val="left"/>
      <w:lvlText w:val="(%1)"/>
      <w:numFmt w:val="decimal"/>
      <w:start w:val="1"/>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
      <w:numFmt w:val="bullet"/>
      <w:start w:val="1"/>
    </w:lvl>
  </w:abstractNum>
  <w:abstractNum w:abstractNumId="87">
    <w:nsid w:val="6C80EC70"/>
    <w:multiLevelType w:val="hybridMultilevel"/>
    <w:lvl w:ilvl="0">
      <w:lvlJc w:val="left"/>
      <w:lvlText w:val="(%1)"/>
      <w:numFmt w:val="lowerLetter"/>
      <w:start w:val="1"/>
    </w:lvl>
  </w:abstractNum>
  <w:abstractNum w:abstractNumId="88">
    <w:nsid w:val="379E21B5"/>
    <w:multiLevelType w:val="hybridMultilevel"/>
    <w:lvl w:ilvl="0">
      <w:lvlJc w:val="left"/>
      <w:lvlText w:val="(%1)"/>
      <w:numFmt w:val="lowerLetter"/>
      <w:start w:val="3"/>
    </w:lvl>
  </w:abstractNum>
  <w:abstractNum w:abstractNumId="89">
    <w:nsid w:val="69E373"/>
    <w:multiLevelType w:val="hybridMultilevel"/>
    <w:lvl w:ilvl="0">
      <w:lvlJc w:val="left"/>
      <w:lvlText w:val="(%1)"/>
      <w:numFmt w:val="lowerLetter"/>
      <w:start w:val="5"/>
    </w:lvl>
  </w:abstractNum>
  <w:abstractNum w:abstractNumId="90">
    <w:nsid w:val="2C27173B"/>
    <w:multiLevelType w:val="hybridMultilevel"/>
    <w:lvl w:ilvl="0">
      <w:lvlJc w:val="left"/>
      <w:lvlText w:val="$"/>
      <w:numFmt w:val="bullet"/>
      <w:start w:val="1"/>
    </w:lvl>
  </w:abstractNum>
  <w:abstractNum w:abstractNumId="91">
    <w:nsid w:val="4C9B0904"/>
    <w:multiLevelType w:val="hybridMultilevel"/>
    <w:lvl w:ilvl="0">
      <w:lvlJc w:val="left"/>
      <w:lvlText w:val="$"/>
      <w:numFmt w:val="bullet"/>
      <w:start w:val="1"/>
    </w:lvl>
  </w:abstractNum>
  <w:abstractNum w:abstractNumId="92">
    <w:nsid w:val="6AA7B75C"/>
    <w:multiLevelType w:val="hybridMultilevel"/>
    <w:lvl w:ilvl="0">
      <w:lvlJc w:val="left"/>
      <w:lvlText w:val="*"/>
      <w:numFmt w:val="bullet"/>
      <w:start w:val="1"/>
    </w:lvl>
    <w:lvl w:ilvl="1">
      <w:lvlJc w:val="left"/>
      <w:lvlText w:val="(%2)"/>
      <w:numFmt w:val="lowerLetter"/>
      <w:start w:val="8"/>
    </w:lvl>
  </w:abstractNum>
  <w:abstractNum w:abstractNumId="93">
    <w:nsid w:val="1DF029D3"/>
    <w:multiLevelType w:val="hybridMultilevel"/>
    <w:lvl w:ilvl="0">
      <w:lvlJc w:val="left"/>
      <w:lvlText w:val="(%1)"/>
      <w:numFmt w:val="lowerRoman"/>
      <w:start w:val="1"/>
    </w:lvl>
  </w:abstractNum>
  <w:abstractNum w:abstractNumId="94">
    <w:nsid w:val="5675FF36"/>
    <w:multiLevelType w:val="hybridMultilevel"/>
    <w:lvl w:ilvl="0">
      <w:lvlJc w:val="left"/>
      <w:lvlText w:val="(%1)"/>
      <w:numFmt w:val="lowerLetter"/>
      <w:start w:val="10"/>
    </w:lvl>
  </w:abstractNum>
  <w:abstractNum w:abstractNumId="95">
    <w:nsid w:val="3DD15094"/>
    <w:multiLevelType w:val="hybridMultilevel"/>
    <w:lvl w:ilvl="0">
      <w:lvlJc w:val="left"/>
      <w:lvlText w:val="(%1)"/>
      <w:numFmt w:val="decimal"/>
      <w:start w:val="1"/>
    </w:lvl>
  </w:abstractNum>
  <w:abstractNum w:abstractNumId="96">
    <w:nsid w:val="3DB012B3"/>
    <w:multiLevelType w:val="hybridMultilevel"/>
    <w:lvl w:ilvl="0">
      <w:lvlJc w:val="left"/>
      <w:lvlText w:val="(%1)"/>
      <w:numFmt w:val="decimal"/>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
      <w:numFmt w:val="bullet"/>
      <w:start w:val="1"/>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
      <w:numFmt w:val="bullet"/>
      <w:start w:val="1"/>
    </w:lvl>
    <w:lvl w:ilvl="1">
      <w:lvlJc w:val="left"/>
      <w:lvlText w:val="●"/>
      <w:numFmt w:val="bullet"/>
      <w:start w:val="1"/>
    </w:lvl>
  </w:abstractNum>
  <w:abstractNum w:abstractNumId="103">
    <w:nsid w:val="5915FF32"/>
    <w:multiLevelType w:val="hybridMultilevel"/>
    <w:lvl w:ilvl="0">
      <w:lvlJc w:val="left"/>
      <w:lvlText w:val="●"/>
      <w:numFmt w:val="bullet"/>
      <w:start w:val="1"/>
    </w:lvl>
  </w:abstractNum>
  <w:abstractNum w:abstractNumId="104">
    <w:nsid w:val="56438D15"/>
    <w:multiLevelType w:val="hybridMultilevel"/>
    <w:lvl w:ilvl="0">
      <w:lvlJc w:val="left"/>
      <w:lvlText w:val="●"/>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
      <w:numFmt w:val="bullet"/>
      <w:start w:val="1"/>
    </w:lvl>
    <w:lvl w:ilvl="1">
      <w:lvlJc w:val="left"/>
      <w:lvlText w:val="●"/>
      <w:numFmt w:val="bullet"/>
      <w:start w:val="1"/>
    </w:lvl>
  </w:abstractNum>
  <w:abstractNum w:abstractNumId="110">
    <w:nsid w:val="5D888A08"/>
    <w:multiLevelType w:val="hybridMultilevel"/>
    <w:lvl w:ilvl="0">
      <w:lvlJc w:val="left"/>
      <w:lvlText w:val="●"/>
      <w:numFmt w:val="bullet"/>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
      <w:numFmt w:val="bullet"/>
      <w:start w:val="1"/>
    </w:lvl>
  </w:abstractNum>
  <w:abstractNum w:abstractNumId="113">
    <w:nsid w:val="19E21BB2"/>
    <w:multiLevelType w:val="hybridMultilevel"/>
    <w:lvl w:ilvl="0">
      <w:lvlJc w:val="left"/>
      <w:lvlText w:val="●"/>
      <w:numFmt w:val="bullet"/>
      <w:start w:val="1"/>
    </w:lvl>
  </w:abstractNum>
  <w:abstractNum w:abstractNumId="114">
    <w:nsid w:val="75E0858A"/>
    <w:multiLevelType w:val="hybridMultilevel"/>
    <w:lvl w:ilvl="0">
      <w:lvlJc w:val="left"/>
      <w:lvlText w:val="●"/>
      <w:numFmt w:val="bullet"/>
      <w:start w:val="1"/>
    </w:lvl>
  </w:abstractNum>
  <w:abstractNum w:abstractNumId="115">
    <w:nsid w:val="57A61A29"/>
    <w:multiLevelType w:val="hybridMultilevel"/>
    <w:lvl w:ilvl="0">
      <w:lvlJc w:val="left"/>
      <w:lvlText w:val="●"/>
      <w:numFmt w:val="bullet"/>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1."/>
      <w:numFmt w:val="decimal"/>
      <w:start w:val="1"/>
    </w:lvl>
  </w:abstractNum>
  <w:abstractNum w:abstractNumId="118">
    <w:nsid w:val="4427069A"/>
    <w:multiLevelType w:val="hybridMultilevel"/>
    <w:lvl w:ilvl="0">
      <w:lvlJc w:val="left"/>
      <w:lvlText w:val="%1."/>
      <w:numFmt w:val="decimal"/>
      <w:start w:val="2"/>
    </w:lvl>
  </w:abstractNum>
  <w:abstractNum w:abstractNumId="119">
    <w:nsid w:val="B37E80A"/>
    <w:multiLevelType w:val="hybridMultilevel"/>
    <w:lvl w:ilvl="0">
      <w:lvlJc w:val="left"/>
      <w:lvlText w:val="%1."/>
      <w:numFmt w:val="decimal"/>
      <w:start w:val="3"/>
    </w:lvl>
  </w:abstractNum>
  <w:abstractNum w:abstractNumId="120">
    <w:nsid w:val="2157F6BC"/>
    <w:multiLevelType w:val="hybridMultilevel"/>
    <w:lvl w:ilvl="0">
      <w:lvlJc w:val="left"/>
      <w:lvlText w:val="%1."/>
      <w:numFmt w:val="decimal"/>
      <w:start w:val="4"/>
    </w:lvl>
  </w:abstractNum>
  <w:abstractNum w:abstractNumId="121">
    <w:nsid w:val="704E1DD5"/>
    <w:multiLevelType w:val="hybridMultilevel"/>
    <w:lvl w:ilvl="0">
      <w:lvlJc w:val="left"/>
      <w:lvlText w:val="%1."/>
      <w:numFmt w:val="decimal"/>
      <w:start w:val="5"/>
    </w:lvl>
  </w:abstractNum>
  <w:abstractNum w:abstractNumId="122">
    <w:nsid w:val="57D2F10E"/>
    <w:multiLevelType w:val="hybridMultilevel"/>
    <w:lvl w:ilvl="0">
      <w:lvlJc w:val="left"/>
      <w:lvlText w:val="%1."/>
      <w:numFmt w:val="decimal"/>
      <w:start w:val="7"/>
    </w:lvl>
  </w:abstractNum>
  <w:abstractNum w:abstractNumId="123">
    <w:nsid w:val="BFFAE18"/>
    <w:multiLevelType w:val="hybridMultilevel"/>
    <w:lvl w:ilvl="0">
      <w:lvlJc w:val="left"/>
      <w:lvlText w:val="●"/>
      <w:numFmt w:val="bullet"/>
      <w:start w:val="1"/>
    </w:lvl>
  </w:abstractNum>
  <w:abstractNum w:abstractNumId="124">
    <w:nsid w:val="E3E47A8"/>
    <w:multiLevelType w:val="hybridMultilevel"/>
    <w:lvl w:ilvl="0">
      <w:lvlJc w:val="left"/>
      <w:lvlText w:val="%1."/>
      <w:numFmt w:val="decimal"/>
      <w:start w:val="9"/>
    </w:lvl>
  </w:abstractNum>
  <w:abstractNum w:abstractNumId="125">
    <w:nsid w:val="2E48F044"/>
    <w:multiLevelType w:val="hybridMultilevel"/>
    <w:lvl w:ilvl="0">
      <w:lvlJc w:val="left"/>
      <w:lvlText w:val="%1."/>
      <w:numFmt w:val="decimal"/>
      <w:start w:val="10"/>
    </w:lvl>
  </w:abstractNum>
  <w:abstractNum w:abstractNumId="126">
    <w:nsid w:val="49D0FEAC"/>
    <w:multiLevelType w:val="hybridMultilevel"/>
    <w:lvl w:ilvl="0">
      <w:lvlJc w:val="left"/>
      <w:lvlText w:val="%1."/>
      <w:numFmt w:val="decimal"/>
      <w:start w:val="11"/>
    </w:lvl>
  </w:abstractNum>
  <w:abstractNum w:abstractNumId="127">
    <w:nsid w:val="4BEE5A5B"/>
    <w:multiLevelType w:val="hybridMultilevel"/>
    <w:lvl w:ilvl="0">
      <w:lvlJc w:val="left"/>
      <w:lvlText w:val="%1."/>
      <w:numFmt w:val="decimal"/>
      <w:start w:val="12"/>
    </w:lvl>
  </w:abstractNum>
  <w:abstractNum w:abstractNumId="128">
    <w:nsid w:val="5551B9F3"/>
    <w:multiLevelType w:val="hybridMultilevel"/>
    <w:lvl w:ilvl="0">
      <w:lvlJc w:val="left"/>
      <w:lvlText w:val="%1."/>
      <w:numFmt w:val="decimal"/>
      <w:start w:val="13"/>
    </w:lvl>
  </w:abstractNum>
  <w:abstractNum w:abstractNumId="129">
    <w:nsid w:val="24F6AB8E"/>
    <w:multiLevelType w:val="hybridMultilevel"/>
    <w:lvl w:ilvl="0">
      <w:lvlJc w:val="left"/>
      <w:lvlText w:val="%1."/>
      <w:numFmt w:val="decimal"/>
      <w:start w:val="14"/>
    </w:lvl>
  </w:abstractNum>
  <w:abstractNum w:abstractNumId="130">
    <w:nsid w:val="634C574C"/>
    <w:multiLevelType w:val="hybridMultilevel"/>
    <w:lvl w:ilvl="0">
      <w:lvlJc w:val="left"/>
      <w:lvlText w:val="%1."/>
      <w:numFmt w:val="decimal"/>
      <w:start w:val="16"/>
    </w:lvl>
  </w:abstractNum>
  <w:abstractNum w:abstractNumId="131">
    <w:nsid w:val="24E99DD7"/>
    <w:multiLevelType w:val="hybridMultilevel"/>
    <w:lvl w:ilvl="0">
      <w:lvlJc w:val="left"/>
      <w:lvlText w:val="(%1)"/>
      <w:numFmt w:val="decimal"/>
      <w:start w:val="1"/>
    </w:lvl>
  </w:abstractNum>
  <w:abstractNum w:abstractNumId="132">
    <w:nsid w:val="2A31B62D"/>
    <w:multiLevelType w:val="hybridMultilevel"/>
    <w:lvl w:ilvl="0">
      <w:lvlJc w:val="left"/>
      <w:lvlText w:val="%1."/>
      <w:numFmt w:val="decimal"/>
      <w:start w:val="17"/>
    </w:lvl>
  </w:abstractNum>
  <w:abstractNum w:abstractNumId="133">
    <w:nsid w:val="1849C29B"/>
    <w:multiLevelType w:val="hybridMultilevel"/>
    <w:lvl w:ilvl="0">
      <w:lvlJc w:val="left"/>
      <w:lvlText w:val="%1."/>
      <w:numFmt w:val="decimal"/>
      <w:start w:val="1"/>
    </w:lvl>
  </w:abstractNum>
  <w:abstractNum w:abstractNumId="134">
    <w:nsid w:val="7DFF9D09"/>
    <w:multiLevelType w:val="hybridMultilevel"/>
    <w:lvl w:ilvl="0">
      <w:lvlJc w:val="left"/>
      <w:lvlText w:val="%1."/>
      <w:numFmt w:val="decimal"/>
      <w:start w:val="2"/>
    </w:lvl>
  </w:abstractNum>
  <w:abstractNum w:abstractNumId="135">
    <w:nsid w:val="754342"/>
    <w:multiLevelType w:val="hybridMultilevel"/>
    <w:lvl w:ilvl="0">
      <w:lvlJc w:val="left"/>
      <w:lvlText w:val="%1."/>
      <w:numFmt w:val="decimal"/>
      <w:start w:val="3"/>
    </w:lvl>
  </w:abstractNum>
  <w:abstractNum w:abstractNumId="136">
    <w:nsid w:val="69E7F3E5"/>
    <w:multiLevelType w:val="hybridMultilevel"/>
    <w:lvl w:ilvl="0">
      <w:lvlJc w:val="left"/>
      <w:lvlText w:val="%1."/>
      <w:numFmt w:val="decimal"/>
      <w:start w:val="4"/>
    </w:lvl>
  </w:abstractNum>
  <w:abstractNum w:abstractNumId="137">
    <w:nsid w:val="2A6DE806"/>
    <w:multiLevelType w:val="hybridMultilevel"/>
    <w:lvl w:ilvl="0">
      <w:lvlJc w:val="left"/>
      <w:lvlText w:val="%1."/>
      <w:numFmt w:val="decimal"/>
      <w:start w:val="5"/>
    </w:lvl>
  </w:abstractNum>
  <w:abstractNum w:abstractNumId="138">
    <w:nsid w:val="1816F8C4"/>
    <w:multiLevelType w:val="hybridMultilevel"/>
    <w:lvl w:ilvl="0">
      <w:lvlJc w:val="left"/>
      <w:lvlText w:val="%1."/>
      <w:numFmt w:val="decimal"/>
      <w:start w:val="7"/>
    </w:lvl>
  </w:abstractNum>
  <w:abstractNum w:abstractNumId="139">
    <w:nsid w:val="37DF2233"/>
    <w:multiLevelType w:val="hybridMultilevel"/>
    <w:lvl w:ilvl="0">
      <w:lvlJc w:val="left"/>
      <w:lvlText w:val="%1."/>
      <w:numFmt w:val="decimal"/>
      <w:start w:val="8"/>
    </w:lvl>
  </w:abstractNum>
  <w:abstractNum w:abstractNumId="140">
    <w:nsid w:val="7AB49DAF"/>
    <w:multiLevelType w:val="hybridMultilevel"/>
    <w:lvl w:ilvl="0">
      <w:lvlJc w:val="left"/>
      <w:lvlText w:val="%1."/>
      <w:numFmt w:val="decimal"/>
      <w:start w:val="9"/>
    </w:lvl>
  </w:abstractNum>
  <w:abstractNum w:abstractNumId="141">
    <w:nsid w:val="759F82CD"/>
    <w:multiLevelType w:val="hybridMultilevel"/>
    <w:lvl w:ilvl="0">
      <w:lvlJc w:val="left"/>
      <w:lvlText w:val="%1."/>
      <w:numFmt w:val="decimal"/>
      <w:start w:val="10"/>
    </w:lvl>
  </w:abstractNum>
  <w:abstractNum w:abstractNumId="142">
    <w:nsid w:val="61E74EA3"/>
    <w:multiLevelType w:val="hybridMultilevel"/>
    <w:lvl w:ilvl="0">
      <w:lvlJc w:val="left"/>
      <w:lvlText w:val="%1."/>
      <w:numFmt w:val="decimal"/>
      <w:start w:val="12"/>
    </w:lvl>
  </w:abstractNum>
  <w:abstractNum w:abstractNumId="143">
    <w:nsid w:val="597B4D84"/>
    <w:multiLevelType w:val="hybridMultilevel"/>
    <w:lvl w:ilvl="0">
      <w:lvlJc w:val="left"/>
      <w:lvlText w:val="(%1)"/>
      <w:numFmt w:val="decimal"/>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2019-12-08T07:59:18Z</dcterms:created>
  <dcterms:modified xsi:type="dcterms:W3CDTF">2019-12-08T07:59:18Z</dcterms:modified>
</cp:coreProperties>
</file>