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422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2226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Dodson Bradley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3"/>
        <w:spacing w:after="0"/>
        <w:rPr>
          <w:sz w:val="20"/>
          <w:szCs w:val="20"/>
          <w:color w:val="auto"/>
        </w:rPr>
      </w:pPr>
      <w:r>
        <w:rPr>
          <w:rFonts w:ascii="Arial" w:cs="Arial" w:eastAsia="Arial" w:hAnsi="Arial"/>
          <w:sz w:val="17"/>
          <w:szCs w:val="17"/>
          <w:color w:val="0000FF"/>
        </w:rPr>
        <w:t>See Remarks</w:t>
      </w:r>
    </w:p>
    <w:p>
      <w:pPr>
        <w:spacing w:after="0" w:line="267"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840" w:type="dxa"/>
            <w:vAlign w:val="bottom"/>
            <w:gridSpan w:val="8"/>
            <w:vMerge w:val="restart"/>
          </w:tcPr>
          <w:p>
            <w:pPr>
              <w:jc w:val="center"/>
              <w:ind w:right="48"/>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40" w:type="dxa"/>
            <w:vAlign w:val="bottom"/>
            <w:gridSpan w:val="8"/>
            <w:vMerge w:val="continue"/>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220" w:type="dxa"/>
            <w:vAlign w:val="bottom"/>
            <w:gridSpan w:val="2"/>
          </w:tcPr>
          <w:p>
            <w:pPr>
              <w:spacing w:after="0"/>
              <w:rPr>
                <w:sz w:val="20"/>
                <w:szCs w:val="20"/>
                <w:color w:val="auto"/>
              </w:rPr>
            </w:pPr>
            <w:r>
              <w:rPr>
                <w:rFonts w:ascii="Arial" w:cs="Arial" w:eastAsia="Arial" w:hAnsi="Arial"/>
                <w:sz w:val="17"/>
                <w:szCs w:val="17"/>
                <w:color w:val="0000FF"/>
              </w:rPr>
              <w:t>TX</w:t>
            </w:r>
          </w:p>
        </w:tc>
        <w:tc>
          <w:tcPr>
            <w:tcW w:w="1180" w:type="dxa"/>
            <w:vAlign w:val="bottom"/>
          </w:tcPr>
          <w:p>
            <w:pPr>
              <w:ind w:left="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780" w:type="dxa"/>
            <w:vAlign w:val="bottom"/>
            <w:gridSpan w:val="10"/>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6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Share</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40" w:type="dxa"/>
            <w:vAlign w:val="bottom"/>
            <w:gridSpan w:val="3"/>
          </w:tcPr>
          <w:p>
            <w:pPr>
              <w:ind w:left="920"/>
              <w:spacing w:after="0"/>
              <w:rPr>
                <w:sz w:val="20"/>
                <w:szCs w:val="20"/>
                <w:color w:val="auto"/>
              </w:rPr>
            </w:pPr>
            <w:r>
              <w:rPr>
                <w:rFonts w:ascii="Arial" w:cs="Arial" w:eastAsia="Arial" w:hAnsi="Arial"/>
                <w:sz w:val="17"/>
                <w:szCs w:val="17"/>
                <w:color w:val="0000FF"/>
              </w:rPr>
              <w:t>02/23/2018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720" w:type="dxa"/>
            <w:vAlign w:val="bottom"/>
            <w:gridSpan w:val="2"/>
          </w:tcPr>
          <w:p>
            <w:pPr>
              <w:ind w:left="120"/>
              <w:spacing w:after="0"/>
              <w:rPr>
                <w:sz w:val="20"/>
                <w:szCs w:val="20"/>
                <w:color w:val="auto"/>
              </w:rPr>
            </w:pPr>
            <w:r>
              <w:rPr>
                <w:rFonts w:ascii="Arial" w:cs="Arial" w:eastAsia="Arial" w:hAnsi="Arial"/>
                <w:sz w:val="17"/>
                <w:szCs w:val="17"/>
                <w:color w:val="0000FF"/>
                <w:w w:val="94"/>
              </w:rPr>
              <w:t>185,186</w:t>
            </w:r>
          </w:p>
        </w:tc>
        <w:tc>
          <w:tcPr>
            <w:tcW w:w="560" w:type="dxa"/>
            <w:vAlign w:val="bottom"/>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Pr>
          <w:p>
            <w:pPr>
              <w:jc w:val="right"/>
              <w:spacing w:after="0"/>
              <w:rPr>
                <w:sz w:val="20"/>
                <w:szCs w:val="20"/>
                <w:color w:val="auto"/>
              </w:rPr>
            </w:pPr>
            <w:r>
              <w:rPr>
                <w:rFonts w:ascii="Arial" w:cs="Arial" w:eastAsia="Arial" w:hAnsi="Arial"/>
                <w:sz w:val="11"/>
                <w:szCs w:val="11"/>
                <w:color w:val="008000"/>
              </w:rPr>
              <w:t>(1)(2)</w:t>
            </w:r>
          </w:p>
        </w:tc>
        <w:tc>
          <w:tcPr>
            <w:tcW w:w="40" w:type="dxa"/>
            <w:vAlign w:val="bottom"/>
          </w:tcPr>
          <w:p>
            <w:pPr>
              <w:spacing w:after="0"/>
              <w:rPr>
                <w:sz w:val="23"/>
                <w:szCs w:val="23"/>
                <w:color w:val="auto"/>
              </w:rPr>
            </w:pPr>
          </w:p>
        </w:tc>
        <w:tc>
          <w:tcPr>
            <w:tcW w:w="1360" w:type="dxa"/>
            <w:vAlign w:val="bottom"/>
            <w:gridSpan w:val="3"/>
          </w:tcPr>
          <w:p>
            <w:pPr>
              <w:jc w:val="right"/>
              <w:ind w:right="238"/>
              <w:spacing w:after="0"/>
              <w:rPr>
                <w:sz w:val="20"/>
                <w:szCs w:val="20"/>
                <w:color w:val="auto"/>
              </w:rPr>
            </w:pPr>
            <w:r>
              <w:rPr>
                <w:rFonts w:ascii="Arial" w:cs="Arial" w:eastAsia="Arial" w:hAnsi="Arial"/>
                <w:sz w:val="17"/>
                <w:szCs w:val="17"/>
                <w:color w:val="0000FF"/>
              </w:rPr>
              <w:t>1,045,191</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Share</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40" w:type="dxa"/>
            <w:vAlign w:val="bottom"/>
            <w:gridSpan w:val="3"/>
          </w:tcPr>
          <w:p>
            <w:pPr>
              <w:ind w:left="920"/>
              <w:spacing w:after="0"/>
              <w:rPr>
                <w:sz w:val="20"/>
                <w:szCs w:val="20"/>
                <w:color w:val="auto"/>
              </w:rPr>
            </w:pPr>
            <w:r>
              <w:rPr>
                <w:rFonts w:ascii="Arial" w:cs="Arial" w:eastAsia="Arial" w:hAnsi="Arial"/>
                <w:sz w:val="17"/>
                <w:szCs w:val="17"/>
                <w:color w:val="0000FF"/>
              </w:rPr>
              <w:t>02/23/2018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Pr>
          <w:p>
            <w:pPr>
              <w:spacing w:after="0"/>
              <w:rPr>
                <w:sz w:val="23"/>
                <w:szCs w:val="23"/>
                <w:color w:val="auto"/>
              </w:rPr>
            </w:pPr>
          </w:p>
        </w:tc>
        <w:tc>
          <w:tcPr>
            <w:tcW w:w="720" w:type="dxa"/>
            <w:vAlign w:val="bottom"/>
            <w:gridSpan w:val="2"/>
          </w:tcPr>
          <w:p>
            <w:pPr>
              <w:ind w:left="120"/>
              <w:spacing w:after="0"/>
              <w:rPr>
                <w:sz w:val="20"/>
                <w:szCs w:val="20"/>
                <w:color w:val="auto"/>
              </w:rPr>
            </w:pPr>
            <w:r>
              <w:rPr>
                <w:rFonts w:ascii="Arial" w:cs="Arial" w:eastAsia="Arial" w:hAnsi="Arial"/>
                <w:sz w:val="17"/>
                <w:szCs w:val="17"/>
                <w:color w:val="0000FF"/>
                <w:w w:val="94"/>
              </w:rPr>
              <w:t>185,186</w:t>
            </w: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3.74</w:t>
            </w:r>
          </w:p>
        </w:tc>
        <w:tc>
          <w:tcPr>
            <w:tcW w:w="1360" w:type="dxa"/>
            <w:vAlign w:val="bottom"/>
            <w:gridSpan w:val="3"/>
          </w:tcPr>
          <w:p>
            <w:pPr>
              <w:jc w:val="right"/>
              <w:ind w:right="298"/>
              <w:spacing w:after="0"/>
              <w:rPr>
                <w:sz w:val="20"/>
                <w:szCs w:val="20"/>
                <w:color w:val="auto"/>
              </w:rPr>
            </w:pPr>
            <w:r>
              <w:rPr>
                <w:rFonts w:ascii="Arial" w:cs="Arial" w:eastAsia="Arial" w:hAnsi="Arial"/>
                <w:sz w:val="17"/>
                <w:szCs w:val="17"/>
                <w:color w:val="0000FF"/>
              </w:rPr>
              <w:t>860,005</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2"/>
          </w:tcPr>
          <w:p>
            <w:pPr>
              <w:jc w:val="center"/>
              <w:ind w:left="5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21"/>
                <w:szCs w:val="21"/>
                <w:color w:val="auto"/>
              </w:rPr>
            </w:pPr>
          </w:p>
        </w:tc>
        <w:tc>
          <w:tcPr>
            <w:tcW w:w="1080" w:type="dxa"/>
            <w:vAlign w:val="bottom"/>
          </w:tcPr>
          <w:p>
            <w:pPr>
              <w:jc w:val="right"/>
              <w:ind w:right="133"/>
              <w:spacing w:after="0"/>
              <w:rPr>
                <w:sz w:val="20"/>
                <w:szCs w:val="20"/>
                <w:color w:val="auto"/>
              </w:rPr>
            </w:pPr>
            <w:r>
              <w:rPr>
                <w:rFonts w:ascii="Arial" w:cs="Arial" w:eastAsia="Arial" w:hAnsi="Arial"/>
                <w:sz w:val="13"/>
                <w:szCs w:val="13"/>
                <w:color w:val="0000FF"/>
              </w:rPr>
              <w:t>02/23/2018</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M</w:t>
            </w:r>
          </w:p>
        </w:tc>
        <w:tc>
          <w:tcPr>
            <w:tcW w:w="940" w:type="dxa"/>
            <w:vAlign w:val="bottom"/>
          </w:tcPr>
          <w:p>
            <w:pPr>
              <w:ind w:left="480"/>
              <w:spacing w:after="0"/>
              <w:rPr>
                <w:sz w:val="20"/>
                <w:szCs w:val="20"/>
                <w:color w:val="auto"/>
              </w:rPr>
            </w:pPr>
            <w:r>
              <w:rPr>
                <w:rFonts w:ascii="Arial" w:cs="Arial" w:eastAsia="Arial" w:hAnsi="Arial"/>
                <w:sz w:val="13"/>
                <w:szCs w:val="13"/>
                <w:color w:val="0000FF"/>
              </w:rPr>
              <w:t>92,593</w:t>
            </w: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21"/>
                <w:szCs w:val="21"/>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92,593</w:t>
            </w:r>
          </w:p>
        </w:tc>
        <w:tc>
          <w:tcPr>
            <w:tcW w:w="4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(1)</w:t>
            </w:r>
          </w:p>
        </w:tc>
        <w:tc>
          <w:tcPr>
            <w:tcW w:w="640" w:type="dxa"/>
            <w:vAlign w:val="bottom"/>
          </w:tcPr>
          <w:p>
            <w:pPr>
              <w:ind w:left="260"/>
              <w:spacing w:after="0"/>
              <w:rPr>
                <w:sz w:val="20"/>
                <w:szCs w:val="20"/>
                <w:color w:val="auto"/>
              </w:rPr>
            </w:pPr>
            <w:r>
              <w:rPr>
                <w:rFonts w:ascii="Arial" w:cs="Arial" w:eastAsia="Arial" w:hAnsi="Arial"/>
                <w:sz w:val="13"/>
                <w:szCs w:val="13"/>
                <w:color w:val="0000FF"/>
                <w:w w:val="90"/>
              </w:rPr>
              <w:t>92,592</w:t>
            </w:r>
          </w:p>
        </w:tc>
        <w:tc>
          <w:tcPr>
            <w:tcW w:w="28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Share</w:t>
            </w: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Share</w:t>
            </w: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color w:val="008000"/>
              </w:rPr>
              <w:t>(2)</w:t>
            </w:r>
          </w:p>
        </w:tc>
        <w:tc>
          <w:tcPr>
            <w:tcW w:w="72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92,593</w:t>
            </w:r>
          </w:p>
        </w:tc>
        <w:tc>
          <w:tcPr>
            <w:tcW w:w="4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(2)</w:t>
            </w: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02/23/2018</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3"/>
                <w:szCs w:val="13"/>
                <w:color w:val="0000FF"/>
              </w:rPr>
              <w:t>M</w:t>
            </w:r>
          </w:p>
        </w:tc>
        <w:tc>
          <w:tcPr>
            <w:tcW w:w="940" w:type="dxa"/>
            <w:vAlign w:val="bottom"/>
          </w:tcPr>
          <w:p>
            <w:pPr>
              <w:ind w:left="480"/>
              <w:spacing w:after="0" w:line="132" w:lineRule="exact"/>
              <w:rPr>
                <w:sz w:val="20"/>
                <w:szCs w:val="20"/>
                <w:color w:val="auto"/>
              </w:rPr>
            </w:pPr>
            <w:r>
              <w:rPr>
                <w:rFonts w:ascii="Arial" w:cs="Arial" w:eastAsia="Arial" w:hAnsi="Arial"/>
                <w:sz w:val="13"/>
                <w:szCs w:val="13"/>
                <w:color w:val="0000FF"/>
              </w:rPr>
              <w:t>92,593</w:t>
            </w: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40" w:type="dxa"/>
            <w:vAlign w:val="bottom"/>
          </w:tcPr>
          <w:p>
            <w:pPr>
              <w:ind w:left="260"/>
              <w:spacing w:after="0" w:line="132" w:lineRule="exact"/>
              <w:rPr>
                <w:sz w:val="20"/>
                <w:szCs w:val="20"/>
                <w:color w:val="auto"/>
              </w:rPr>
            </w:pPr>
            <w:r>
              <w:rPr>
                <w:rFonts w:ascii="Arial" w:cs="Arial" w:eastAsia="Arial" w:hAnsi="Arial"/>
                <w:sz w:val="13"/>
                <w:szCs w:val="13"/>
                <w:color w:val="0000FF"/>
                <w:w w:val="90"/>
              </w:rPr>
              <w:t>92,592</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20"/>
              <w:spacing w:after="0" w:line="148" w:lineRule="exact"/>
              <w:rPr>
                <w:sz w:val="20"/>
                <w:szCs w:val="20"/>
                <w:color w:val="auto"/>
              </w:rPr>
            </w:pPr>
            <w:r>
              <w:rPr>
                <w:rFonts w:ascii="Arial" w:cs="Arial" w:eastAsia="Arial" w:hAnsi="Arial"/>
                <w:sz w:val="13"/>
                <w:szCs w:val="13"/>
                <w:color w:val="0000FF"/>
              </w:rPr>
              <w:t>Share</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phantom share is the economic equivalent of Civeo common share and is payable in cash. The phantom shares vest at various times based on the grant date. 92,593 shares vested on February 23, 2018.</w:t>
      </w:r>
    </w:p>
    <w:p>
      <w:pPr>
        <w:spacing w:after="0" w:line="63" w:lineRule="exact"/>
        <w:rPr>
          <w:rFonts w:ascii="Arial" w:cs="Arial" w:eastAsia="Arial" w:hAnsi="Arial"/>
          <w:sz w:val="12"/>
          <w:szCs w:val="12"/>
          <w:color w:val="008000"/>
        </w:rPr>
      </w:pPr>
    </w:p>
    <w:p>
      <w:pPr>
        <w:ind w:left="40" w:right="6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is the economic equivalent of one Civeo common share and is payable in cash. The restricted stock units vest at various times based on the grant date. 92,593 units vested on February 23, 2018.</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and Chief Executive Officer</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Bradley J. Dodson</w:t>
            </w:r>
          </w:p>
        </w:tc>
        <w:tc>
          <w:tcPr>
            <w:tcW w:w="7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02/27/2018</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397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2019-12-24T07:27:21Z</dcterms:created>
  <dcterms:modified xsi:type="dcterms:W3CDTF">2019-12-24T07:27:21Z</dcterms:modified>
</cp:coreProperties>
</file>