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ind w:left="492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Three Allen Center</w:t>
      </w:r>
    </w:p>
    <w:p>
      <w:pPr>
        <w:jc w:val="center"/>
        <w:ind w:right="-359"/>
        <w:spacing w:after="0" w:line="2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333 Clay Street, Suite 4980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2, 2022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20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Nana McLean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48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Request for Acceleration of Effectiveness of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Registration Statement on Form S-3 (File No. 333-267148)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firstLine="441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Civeo Corporation hereby respectfully requests that, pursuant to Rule 461 promulgated under the Securities Act of 1933, as amended, the effectiveness of its Registration Statement on Form S-3 (Registration Statement No. 333-267148) be accelerated so that the Registration Statement will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become effective on Wednesday, September 7, 2022, at 2:00 p.m., Eastern time, or as soon as practicable thereafter.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We request that we be notified of such effectiveness by a telephone call to Tull Florey of Gibson, Dunn &amp; Crutcher LLP at (346) 718-6767.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Carolyn Stone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3459480</wp:posOffset>
            </wp:positionH>
            <wp:positionV relativeFrom="paragraph">
              <wp:posOffset>14605</wp:posOffset>
            </wp:positionV>
            <wp:extent cx="128587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Carolyn Stone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</w:t>
      </w:r>
    </w:p>
    <w:p>
      <w:pPr>
        <w:ind w:left="5480"/>
        <w:spacing w:after="0" w:line="2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 and</w:t>
      </w:r>
    </w:p>
    <w:p>
      <w:pPr>
        <w:ind w:left="5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Treasurer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Tull R. Florey, Gibson, Dunn &amp; Crutcher LLP</w:t>
      </w:r>
    </w:p>
    <w:sectPr>
      <w:pgSz w:w="11900" w:h="16838" w:orient="portrait"/>
      <w:cols w:equalWidth="0" w:num="1">
        <w:col w:w="10900"/>
      </w:cols>
      <w:pgMar w:left="320" w:top="1440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2022-10-10T23:14:25Z</dcterms:created>
  <dcterms:modified xsi:type="dcterms:W3CDTF">2022-10-10T23:14:25Z</dcterms:modified>
</cp:coreProperties>
</file>