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18"/>
          <w:szCs w:val="18"/>
          <w:color w:val="auto"/>
        </w:rPr>
        <w:t>UNITED STATES</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229" w:lineRule="exact"/>
        <w:rPr>
          <w:sz w:val="24"/>
          <w:szCs w:val="24"/>
          <w:color w:val="auto"/>
        </w:rPr>
      </w:pPr>
    </w:p>
    <w:p>
      <w:pPr>
        <w:ind w:left="400"/>
        <w:spacing w:after="0"/>
        <w:rPr>
          <w:sz w:val="20"/>
          <w:szCs w:val="20"/>
          <w:color w:val="auto"/>
        </w:rPr>
      </w:pPr>
      <w:r>
        <w:rPr>
          <w:rFonts w:ascii="Arial" w:cs="Arial" w:eastAsia="Arial" w:hAnsi="Arial"/>
          <w:sz w:val="18"/>
          <w:szCs w:val="18"/>
          <w:color w:val="auto"/>
        </w:rPr>
        <w:t>(Mark One)</w:t>
      </w:r>
    </w:p>
    <w:p>
      <w:pPr>
        <w:spacing w:after="0" w:line="23" w:lineRule="exact"/>
        <w:rPr>
          <w:sz w:val="24"/>
          <w:szCs w:val="24"/>
          <w:color w:val="auto"/>
        </w:rPr>
      </w:pPr>
    </w:p>
    <w:p>
      <w:pPr>
        <w:ind w:left="980" w:right="1780" w:hanging="580"/>
        <w:spacing w:after="0" w:line="261" w:lineRule="auto"/>
        <w:tabs>
          <w:tab w:leader="none" w:pos="967" w:val="left"/>
        </w:tabs>
        <w:numPr>
          <w:ilvl w:val="0"/>
          <w:numId w:val="1"/>
        </w:numPr>
        <w:rPr>
          <w:rFonts w:ascii="Arial" w:cs="Arial" w:eastAsia="Arial" w:hAnsi="Arial"/>
          <w:sz w:val="18"/>
          <w:szCs w:val="18"/>
          <w:color w:val="auto"/>
        </w:rPr>
      </w:pPr>
      <w:r>
        <w:rPr>
          <w:rFonts w:ascii="Arial" w:cs="Arial" w:eastAsia="Arial" w:hAnsi="Arial"/>
          <w:sz w:val="18"/>
          <w:szCs w:val="18"/>
          <w:color w:val="auto"/>
        </w:rPr>
        <w:t>QUARTERLY REPORT PURSUANT TO SECTION 13 OR 15(d) OF THE SECURITIES EXCHANGE ACT OF 1934 For the quarterly period ended March 31, 2015</w:t>
      </w:r>
    </w:p>
    <w:p>
      <w:pPr>
        <w:spacing w:after="0" w:line="184" w:lineRule="exact"/>
        <w:rPr>
          <w:sz w:val="24"/>
          <w:szCs w:val="24"/>
          <w:color w:val="auto"/>
        </w:rPr>
      </w:pPr>
    </w:p>
    <w:p>
      <w:pPr>
        <w:jc w:val="center"/>
        <w:ind w:left="340"/>
        <w:spacing w:after="0"/>
        <w:rPr>
          <w:sz w:val="20"/>
          <w:szCs w:val="20"/>
          <w:color w:val="auto"/>
        </w:rPr>
      </w:pPr>
      <w:r>
        <w:rPr>
          <w:rFonts w:ascii="Arial" w:cs="Arial" w:eastAsia="Arial" w:hAnsi="Arial"/>
          <w:sz w:val="18"/>
          <w:szCs w:val="18"/>
          <w:color w:val="auto"/>
        </w:rPr>
        <w:t>OR</w:t>
      </w:r>
    </w:p>
    <w:p>
      <w:pPr>
        <w:spacing w:after="0" w:line="23" w:lineRule="exact"/>
        <w:rPr>
          <w:sz w:val="24"/>
          <w:szCs w:val="24"/>
          <w:color w:val="auto"/>
        </w:rPr>
      </w:pPr>
    </w:p>
    <w:p>
      <w:pPr>
        <w:ind w:left="960" w:right="1760" w:hanging="560"/>
        <w:spacing w:after="0" w:line="492" w:lineRule="auto"/>
        <w:tabs>
          <w:tab w:leader="none" w:pos="484" w:val="left"/>
        </w:tabs>
        <w:numPr>
          <w:ilvl w:val="0"/>
          <w:numId w:val="2"/>
        </w:numPr>
        <w:rPr>
          <w:rFonts w:ascii="Arial" w:cs="Arial" w:eastAsia="Arial" w:hAnsi="Arial"/>
          <w:sz w:val="18"/>
          <w:szCs w:val="18"/>
          <w:color w:val="auto"/>
        </w:rPr>
      </w:pPr>
      <w:r>
        <w:rPr>
          <w:rFonts w:ascii="Arial" w:cs="Arial" w:eastAsia="Arial" w:hAnsi="Arial"/>
          <w:sz w:val="18"/>
          <w:szCs w:val="18"/>
          <w:color w:val="auto"/>
        </w:rPr>
        <w:t>]TRANSITION REPORT PURSUANT TO SECTION 13 OR 15(d) OF THE SECURITIES EXCHANGE ACT OF 1934 For the transition period from _________________________ to _________________________</w:t>
      </w:r>
    </w:p>
    <w:tbl>
      <w:tblPr>
        <w:tblLayout w:type="fixed"/>
        <w:tblInd w:w="0" w:type="dxa"/>
        <w:tblCellMar>
          <w:top w:w="0" w:type="dxa"/>
          <w:left w:w="0" w:type="dxa"/>
          <w:bottom w:w="0" w:type="dxa"/>
          <w:right w:w="0" w:type="dxa"/>
        </w:tblCellMar>
      </w:tblPr>
      <w:tr>
        <w:trPr>
          <w:trHeight w:val="191"/>
        </w:trPr>
        <w:tc>
          <w:tcPr>
            <w:tcW w:w="2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360" w:type="dxa"/>
            <w:vAlign w:val="bottom"/>
            <w:gridSpan w:val="5"/>
          </w:tcPr>
          <w:p>
            <w:pPr>
              <w:jc w:val="center"/>
              <w:ind w:left="130"/>
              <w:spacing w:after="0" w:line="191" w:lineRule="exact"/>
              <w:rPr>
                <w:sz w:val="20"/>
                <w:szCs w:val="20"/>
                <w:color w:val="auto"/>
              </w:rPr>
            </w:pPr>
            <w:r>
              <w:rPr>
                <w:rFonts w:ascii="Arial" w:cs="Arial" w:eastAsia="Arial" w:hAnsi="Arial"/>
                <w:sz w:val="18"/>
                <w:szCs w:val="18"/>
                <w:color w:val="auto"/>
                <w:w w:val="91"/>
              </w:rPr>
              <w:t>Commission file number: 001-36246</w:t>
            </w:r>
          </w:p>
        </w:tc>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20" w:type="dxa"/>
            <w:vAlign w:val="bottom"/>
          </w:tcPr>
          <w:p>
            <w:pPr>
              <w:spacing w:after="0"/>
              <w:rPr>
                <w:sz w:val="16"/>
                <w:szCs w:val="16"/>
                <w:color w:val="auto"/>
              </w:rPr>
            </w:pPr>
          </w:p>
        </w:tc>
      </w:tr>
      <w:tr>
        <w:trPr>
          <w:trHeight w:val="20"/>
        </w:trPr>
        <w:tc>
          <w:tcPr>
            <w:tcW w:w="2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412"/>
        </w:trPr>
        <w:tc>
          <w:tcPr>
            <w:tcW w:w="2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360" w:type="dxa"/>
            <w:vAlign w:val="bottom"/>
            <w:gridSpan w:val="5"/>
          </w:tcPr>
          <w:p>
            <w:pPr>
              <w:jc w:val="center"/>
              <w:ind w:left="150"/>
              <w:spacing w:after="0"/>
              <w:rPr>
                <w:sz w:val="20"/>
                <w:szCs w:val="20"/>
                <w:color w:val="auto"/>
              </w:rPr>
            </w:pPr>
            <w:r>
              <w:rPr>
                <w:rFonts w:ascii="Arial" w:cs="Arial" w:eastAsia="Arial" w:hAnsi="Arial"/>
                <w:sz w:val="18"/>
                <w:szCs w:val="18"/>
                <w:b w:val="1"/>
                <w:bCs w:val="1"/>
                <w:color w:val="auto"/>
                <w:w w:val="91"/>
              </w:rPr>
              <w:t>Civeo Corporation</w:t>
            </w: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20" w:type="dxa"/>
            <w:vAlign w:val="bottom"/>
          </w:tcPr>
          <w:p>
            <w:pPr>
              <w:spacing w:after="0"/>
              <w:rPr>
                <w:sz w:val="24"/>
                <w:szCs w:val="24"/>
                <w:color w:val="auto"/>
              </w:rPr>
            </w:pPr>
          </w:p>
        </w:tc>
      </w:tr>
      <w:tr>
        <w:trPr>
          <w:trHeight w:val="20"/>
        </w:trPr>
        <w:tc>
          <w:tcPr>
            <w:tcW w:w="2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440" w:type="dxa"/>
            <w:vAlign w:val="bottom"/>
            <w:gridSpan w:val="2"/>
            <w:shd w:val="clear" w:color="auto" w:fill="000000"/>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237"/>
        </w:trPr>
        <w:tc>
          <w:tcPr>
            <w:tcW w:w="2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360" w:type="dxa"/>
            <w:vAlign w:val="bottom"/>
            <w:gridSpan w:val="5"/>
          </w:tcPr>
          <w:p>
            <w:pPr>
              <w:jc w:val="center"/>
              <w:ind w:left="150"/>
              <w:spacing w:after="0"/>
              <w:rPr>
                <w:sz w:val="20"/>
                <w:szCs w:val="20"/>
                <w:color w:val="auto"/>
              </w:rPr>
            </w:pPr>
            <w:r>
              <w:rPr>
                <w:rFonts w:ascii="Arial" w:cs="Arial" w:eastAsia="Arial" w:hAnsi="Arial"/>
                <w:sz w:val="18"/>
                <w:szCs w:val="18"/>
                <w:color w:val="auto"/>
                <w:w w:val="90"/>
              </w:rPr>
              <w:t>(Exact name of registrant as specified in its charter)</w:t>
            </w: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20" w:type="dxa"/>
            <w:vAlign w:val="bottom"/>
          </w:tcPr>
          <w:p>
            <w:pPr>
              <w:spacing w:after="0"/>
              <w:rPr>
                <w:sz w:val="20"/>
                <w:szCs w:val="20"/>
                <w:color w:val="auto"/>
              </w:rPr>
            </w:pPr>
          </w:p>
        </w:tc>
      </w:tr>
      <w:tr>
        <w:trPr>
          <w:trHeight w:val="392"/>
        </w:trPr>
        <w:tc>
          <w:tcPr>
            <w:tcW w:w="2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60" w:type="dxa"/>
            <w:vAlign w:val="bottom"/>
            <w:gridSpan w:val="7"/>
          </w:tcPr>
          <w:p>
            <w:pPr>
              <w:jc w:val="center"/>
              <w:ind w:right="4580"/>
              <w:spacing w:after="0"/>
              <w:rPr>
                <w:sz w:val="20"/>
                <w:szCs w:val="20"/>
                <w:color w:val="auto"/>
              </w:rPr>
            </w:pPr>
            <w:r>
              <w:rPr>
                <w:rFonts w:ascii="Arial" w:cs="Arial" w:eastAsia="Arial" w:hAnsi="Arial"/>
                <w:sz w:val="18"/>
                <w:szCs w:val="18"/>
                <w:color w:val="auto"/>
                <w:w w:val="89"/>
              </w:rPr>
              <w:t>Delaware</w:t>
            </w:r>
          </w:p>
        </w:tc>
        <w:tc>
          <w:tcPr>
            <w:tcW w:w="3640" w:type="dxa"/>
            <w:vAlign w:val="bottom"/>
            <w:gridSpan w:val="5"/>
          </w:tcPr>
          <w:p>
            <w:pPr>
              <w:jc w:val="right"/>
              <w:ind w:right="2420"/>
              <w:spacing w:after="0"/>
              <w:rPr>
                <w:sz w:val="20"/>
                <w:szCs w:val="20"/>
                <w:color w:val="auto"/>
              </w:rPr>
            </w:pPr>
            <w:r>
              <w:rPr>
                <w:rFonts w:ascii="Arial" w:cs="Arial" w:eastAsia="Arial" w:hAnsi="Arial"/>
                <w:sz w:val="18"/>
                <w:szCs w:val="18"/>
                <w:color w:val="auto"/>
              </w:rPr>
              <w:t>46-3831207</w:t>
            </w:r>
          </w:p>
        </w:tc>
      </w:tr>
      <w:tr>
        <w:trPr>
          <w:trHeight w:val="20"/>
        </w:trPr>
        <w:tc>
          <w:tcPr>
            <w:tcW w:w="2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360" w:type="dxa"/>
            <w:vAlign w:val="bottom"/>
            <w:gridSpan w:val="5"/>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222"/>
        </w:trPr>
        <w:tc>
          <w:tcPr>
            <w:tcW w:w="7780" w:type="dxa"/>
            <w:vAlign w:val="bottom"/>
            <w:gridSpan w:val="9"/>
          </w:tcPr>
          <w:p>
            <w:pPr>
              <w:jc w:val="center"/>
              <w:ind w:right="2060"/>
              <w:spacing w:after="0"/>
              <w:rPr>
                <w:sz w:val="20"/>
                <w:szCs w:val="20"/>
                <w:color w:val="auto"/>
              </w:rPr>
            </w:pPr>
            <w:r>
              <w:rPr>
                <w:rFonts w:ascii="Arial" w:cs="Arial" w:eastAsia="Arial" w:hAnsi="Arial"/>
                <w:sz w:val="18"/>
                <w:szCs w:val="18"/>
                <w:color w:val="auto"/>
                <w:w w:val="92"/>
              </w:rPr>
              <w:t>(State or other jurisdiction of</w:t>
            </w:r>
          </w:p>
        </w:tc>
        <w:tc>
          <w:tcPr>
            <w:tcW w:w="3640" w:type="dxa"/>
            <w:vAlign w:val="bottom"/>
            <w:gridSpan w:val="5"/>
          </w:tcPr>
          <w:p>
            <w:pPr>
              <w:jc w:val="center"/>
              <w:ind w:right="2060"/>
              <w:spacing w:after="0"/>
              <w:rPr>
                <w:sz w:val="20"/>
                <w:szCs w:val="20"/>
                <w:color w:val="auto"/>
              </w:rPr>
            </w:pPr>
            <w:r>
              <w:rPr>
                <w:rFonts w:ascii="Arial" w:cs="Arial" w:eastAsia="Arial" w:hAnsi="Arial"/>
                <w:sz w:val="18"/>
                <w:szCs w:val="18"/>
                <w:color w:val="auto"/>
                <w:w w:val="92"/>
              </w:rPr>
              <w:t>(I.R.S. Employer</w:t>
            </w:r>
          </w:p>
        </w:tc>
      </w:tr>
      <w:tr>
        <w:trPr>
          <w:trHeight w:val="230"/>
        </w:trPr>
        <w:tc>
          <w:tcPr>
            <w:tcW w:w="7780" w:type="dxa"/>
            <w:vAlign w:val="bottom"/>
            <w:gridSpan w:val="9"/>
          </w:tcPr>
          <w:p>
            <w:pPr>
              <w:jc w:val="center"/>
              <w:ind w:right="2060"/>
              <w:spacing w:after="0"/>
              <w:rPr>
                <w:sz w:val="20"/>
                <w:szCs w:val="20"/>
                <w:color w:val="auto"/>
              </w:rPr>
            </w:pPr>
            <w:r>
              <w:rPr>
                <w:rFonts w:ascii="Arial" w:cs="Arial" w:eastAsia="Arial" w:hAnsi="Arial"/>
                <w:sz w:val="18"/>
                <w:szCs w:val="18"/>
                <w:color w:val="auto"/>
                <w:w w:val="92"/>
              </w:rPr>
              <w:t>incorporation or organization)</w:t>
            </w:r>
          </w:p>
        </w:tc>
        <w:tc>
          <w:tcPr>
            <w:tcW w:w="3640" w:type="dxa"/>
            <w:vAlign w:val="bottom"/>
            <w:gridSpan w:val="5"/>
          </w:tcPr>
          <w:p>
            <w:pPr>
              <w:jc w:val="center"/>
              <w:ind w:right="2060"/>
              <w:spacing w:after="0"/>
              <w:rPr>
                <w:sz w:val="20"/>
                <w:szCs w:val="20"/>
                <w:color w:val="auto"/>
              </w:rPr>
            </w:pPr>
            <w:r>
              <w:rPr>
                <w:rFonts w:ascii="Arial" w:cs="Arial" w:eastAsia="Arial" w:hAnsi="Arial"/>
                <w:sz w:val="18"/>
                <w:szCs w:val="18"/>
                <w:color w:val="auto"/>
                <w:w w:val="95"/>
              </w:rPr>
              <w:t>Identification No.)</w:t>
            </w:r>
          </w:p>
        </w:tc>
      </w:tr>
      <w:tr>
        <w:trPr>
          <w:trHeight w:val="392"/>
        </w:trPr>
        <w:tc>
          <w:tcPr>
            <w:tcW w:w="7780" w:type="dxa"/>
            <w:vAlign w:val="bottom"/>
            <w:gridSpan w:val="9"/>
          </w:tcPr>
          <w:p>
            <w:pPr>
              <w:jc w:val="center"/>
              <w:ind w:right="2040"/>
              <w:spacing w:after="0"/>
              <w:rPr>
                <w:sz w:val="20"/>
                <w:szCs w:val="20"/>
                <w:color w:val="auto"/>
              </w:rPr>
            </w:pPr>
            <w:r>
              <w:rPr>
                <w:rFonts w:ascii="Arial" w:cs="Arial" w:eastAsia="Arial" w:hAnsi="Arial"/>
                <w:sz w:val="18"/>
                <w:szCs w:val="18"/>
                <w:color w:val="auto"/>
                <w:w w:val="90"/>
              </w:rPr>
              <w:t>Three Allen Center, 333 Clay Street, Suite 4980,</w:t>
            </w:r>
          </w:p>
        </w:tc>
        <w:tc>
          <w:tcPr>
            <w:tcW w:w="560" w:type="dxa"/>
            <w:vAlign w:val="bottom"/>
            <w:gridSpan w:val="2"/>
          </w:tcPr>
          <w:p>
            <w:pPr>
              <w:spacing w:after="0"/>
              <w:rPr>
                <w:sz w:val="24"/>
                <w:szCs w:val="2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77002</w:t>
            </w:r>
          </w:p>
        </w:tc>
        <w:tc>
          <w:tcPr>
            <w:tcW w:w="200" w:type="dxa"/>
            <w:vAlign w:val="bottom"/>
          </w:tcPr>
          <w:p>
            <w:pPr>
              <w:spacing w:after="0"/>
              <w:rPr>
                <w:sz w:val="24"/>
                <w:szCs w:val="24"/>
                <w:color w:val="auto"/>
              </w:rPr>
            </w:pPr>
          </w:p>
        </w:tc>
        <w:tc>
          <w:tcPr>
            <w:tcW w:w="2420" w:type="dxa"/>
            <w:vAlign w:val="bottom"/>
          </w:tcPr>
          <w:p>
            <w:pPr>
              <w:spacing w:after="0"/>
              <w:rPr>
                <w:sz w:val="24"/>
                <w:szCs w:val="24"/>
                <w:color w:val="auto"/>
              </w:rPr>
            </w:pPr>
          </w:p>
        </w:tc>
      </w:tr>
      <w:tr>
        <w:trPr>
          <w:trHeight w:val="196"/>
        </w:trPr>
        <w:tc>
          <w:tcPr>
            <w:tcW w:w="2300" w:type="dxa"/>
            <w:vAlign w:val="bottom"/>
          </w:tcPr>
          <w:p>
            <w:pPr>
              <w:spacing w:after="0"/>
              <w:rPr>
                <w:sz w:val="17"/>
                <w:szCs w:val="17"/>
                <w:color w:val="auto"/>
              </w:rPr>
            </w:pPr>
          </w:p>
        </w:tc>
        <w:tc>
          <w:tcPr>
            <w:tcW w:w="5480" w:type="dxa"/>
            <w:vAlign w:val="bottom"/>
            <w:gridSpan w:val="8"/>
          </w:tcPr>
          <w:p>
            <w:pPr>
              <w:jc w:val="center"/>
              <w:ind w:right="4360"/>
              <w:spacing w:after="0" w:line="196" w:lineRule="exact"/>
              <w:rPr>
                <w:sz w:val="20"/>
                <w:szCs w:val="20"/>
                <w:color w:val="auto"/>
              </w:rPr>
            </w:pPr>
            <w:r>
              <w:rPr>
                <w:rFonts w:ascii="Arial" w:cs="Arial" w:eastAsia="Arial" w:hAnsi="Arial"/>
                <w:sz w:val="18"/>
                <w:szCs w:val="18"/>
                <w:color w:val="auto"/>
                <w:w w:val="88"/>
              </w:rPr>
              <w:t>Houston, Texas</w:t>
            </w:r>
          </w:p>
        </w:tc>
        <w:tc>
          <w:tcPr>
            <w:tcW w:w="360" w:type="dxa"/>
            <w:vAlign w:val="bottom"/>
          </w:tcPr>
          <w:p>
            <w:pPr>
              <w:spacing w:after="0"/>
              <w:rPr>
                <w:sz w:val="17"/>
                <w:szCs w:val="17"/>
                <w:color w:val="auto"/>
              </w:rPr>
            </w:pPr>
          </w:p>
        </w:tc>
        <w:tc>
          <w:tcPr>
            <w:tcW w:w="3280" w:type="dxa"/>
            <w:vAlign w:val="bottom"/>
            <w:gridSpan w:val="4"/>
          </w:tcPr>
          <w:p>
            <w:pPr>
              <w:jc w:val="center"/>
              <w:ind w:right="2420"/>
              <w:spacing w:after="0" w:line="196" w:lineRule="exact"/>
              <w:rPr>
                <w:sz w:val="20"/>
                <w:szCs w:val="20"/>
                <w:color w:val="auto"/>
              </w:rPr>
            </w:pPr>
            <w:r>
              <w:rPr>
                <w:rFonts w:ascii="Arial" w:cs="Arial" w:eastAsia="Arial" w:hAnsi="Arial"/>
                <w:sz w:val="18"/>
                <w:szCs w:val="18"/>
                <w:color w:val="auto"/>
                <w:w w:val="91"/>
              </w:rPr>
              <w:t>(Zip Code)</w:t>
            </w:r>
          </w:p>
        </w:tc>
      </w:tr>
      <w:tr>
        <w:trPr>
          <w:trHeight w:val="20"/>
        </w:trPr>
        <w:tc>
          <w:tcPr>
            <w:tcW w:w="2300" w:type="dxa"/>
            <w:vAlign w:val="bottom"/>
          </w:tcPr>
          <w:p>
            <w:pPr>
              <w:spacing w:after="0" w:line="20" w:lineRule="exact"/>
              <w:rPr>
                <w:sz w:val="1"/>
                <w:szCs w:val="1"/>
                <w:color w:val="auto"/>
              </w:rPr>
            </w:pPr>
          </w:p>
        </w:tc>
        <w:tc>
          <w:tcPr>
            <w:tcW w:w="1120" w:type="dxa"/>
            <w:vAlign w:val="bottom"/>
            <w:gridSpan w:val="3"/>
            <w:shd w:val="clear" w:color="auto" w:fill="000000"/>
          </w:tcPr>
          <w:p>
            <w:pPr>
              <w:spacing w:after="0" w:line="20" w:lineRule="exact"/>
              <w:rPr>
                <w:sz w:val="1"/>
                <w:szCs w:val="1"/>
                <w:color w:val="auto"/>
              </w:rPr>
            </w:pPr>
          </w:p>
        </w:tc>
        <w:tc>
          <w:tcPr>
            <w:tcW w:w="4360" w:type="dxa"/>
            <w:vAlign w:val="bottom"/>
            <w:gridSpan w:val="5"/>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237"/>
        </w:trPr>
        <w:tc>
          <w:tcPr>
            <w:tcW w:w="7780" w:type="dxa"/>
            <w:vAlign w:val="bottom"/>
            <w:gridSpan w:val="9"/>
          </w:tcPr>
          <w:p>
            <w:pPr>
              <w:jc w:val="center"/>
              <w:ind w:right="2040"/>
              <w:spacing w:after="0"/>
              <w:rPr>
                <w:sz w:val="20"/>
                <w:szCs w:val="20"/>
                <w:color w:val="auto"/>
              </w:rPr>
            </w:pPr>
            <w:r>
              <w:rPr>
                <w:rFonts w:ascii="Arial" w:cs="Arial" w:eastAsia="Arial" w:hAnsi="Arial"/>
                <w:sz w:val="18"/>
                <w:szCs w:val="18"/>
                <w:color w:val="auto"/>
                <w:w w:val="92"/>
              </w:rPr>
              <w:t>(Address of principal executive offices)</w:t>
            </w: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20" w:type="dxa"/>
            <w:vAlign w:val="bottom"/>
          </w:tcPr>
          <w:p>
            <w:pPr>
              <w:spacing w:after="0"/>
              <w:rPr>
                <w:sz w:val="20"/>
                <w:szCs w:val="20"/>
                <w:color w:val="auto"/>
              </w:rPr>
            </w:pPr>
          </w:p>
        </w:tc>
      </w:tr>
      <w:tr>
        <w:trPr>
          <w:trHeight w:val="432"/>
        </w:trPr>
        <w:tc>
          <w:tcPr>
            <w:tcW w:w="6440" w:type="dxa"/>
            <w:vAlign w:val="bottom"/>
            <w:gridSpan w:val="7"/>
          </w:tcPr>
          <w:p>
            <w:pPr>
              <w:jc w:val="center"/>
              <w:ind w:left="4910"/>
              <w:spacing w:after="0"/>
              <w:rPr>
                <w:sz w:val="20"/>
                <w:szCs w:val="20"/>
                <w:color w:val="auto"/>
              </w:rPr>
            </w:pPr>
            <w:r>
              <w:rPr>
                <w:rFonts w:ascii="Arial" w:cs="Arial" w:eastAsia="Arial" w:hAnsi="Arial"/>
                <w:sz w:val="18"/>
                <w:szCs w:val="18"/>
                <w:color w:val="auto"/>
                <w:w w:val="90"/>
              </w:rPr>
              <w:t>(713) 510-2400</w:t>
            </w:r>
          </w:p>
        </w:tc>
        <w:tc>
          <w:tcPr>
            <w:tcW w:w="6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20" w:type="dxa"/>
            <w:vAlign w:val="bottom"/>
          </w:tcPr>
          <w:p>
            <w:pPr>
              <w:spacing w:after="0"/>
              <w:rPr>
                <w:sz w:val="24"/>
                <w:szCs w:val="24"/>
                <w:color w:val="auto"/>
              </w:rPr>
            </w:pPr>
          </w:p>
        </w:tc>
      </w:tr>
      <w:tr>
        <w:trPr>
          <w:trHeight w:val="108"/>
        </w:trPr>
        <w:tc>
          <w:tcPr>
            <w:tcW w:w="230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580" w:type="dxa"/>
            <w:vAlign w:val="bottom"/>
            <w:tcBorders>
              <w:bottom w:val="single" w:sz="8" w:color="auto"/>
            </w:tcBorders>
          </w:tcPr>
          <w:p>
            <w:pPr>
              <w:spacing w:after="0"/>
              <w:rPr>
                <w:sz w:val="9"/>
                <w:szCs w:val="9"/>
                <w:color w:val="auto"/>
              </w:rPr>
            </w:pPr>
          </w:p>
        </w:tc>
        <w:tc>
          <w:tcPr>
            <w:tcW w:w="126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2420" w:type="dxa"/>
            <w:vAlign w:val="bottom"/>
            <w:tcBorders>
              <w:bottom w:val="single" w:sz="8" w:color="auto"/>
            </w:tcBorders>
          </w:tcPr>
          <w:p>
            <w:pPr>
              <w:spacing w:after="0"/>
              <w:rPr>
                <w:sz w:val="9"/>
                <w:szCs w:val="9"/>
                <w:color w:val="auto"/>
              </w:rPr>
            </w:pPr>
          </w:p>
        </w:tc>
      </w:tr>
      <w:tr>
        <w:trPr>
          <w:trHeight w:val="318"/>
        </w:trPr>
        <w:tc>
          <w:tcPr>
            <w:tcW w:w="2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360" w:type="dxa"/>
            <w:vAlign w:val="bottom"/>
            <w:gridSpan w:val="5"/>
          </w:tcPr>
          <w:p>
            <w:pPr>
              <w:ind w:left="420"/>
              <w:spacing w:after="0"/>
              <w:rPr>
                <w:sz w:val="20"/>
                <w:szCs w:val="20"/>
                <w:color w:val="auto"/>
              </w:rPr>
            </w:pPr>
            <w:r>
              <w:rPr>
                <w:rFonts w:ascii="Arial" w:cs="Arial" w:eastAsia="Arial" w:hAnsi="Arial"/>
                <w:sz w:val="18"/>
                <w:szCs w:val="18"/>
                <w:color w:val="auto"/>
                <w:w w:val="92"/>
              </w:rPr>
              <w:t>(Registrant’s telephone number, including area code)</w:t>
            </w: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20" w:type="dxa"/>
            <w:vAlign w:val="bottom"/>
          </w:tcPr>
          <w:p>
            <w:pPr>
              <w:spacing w:after="0"/>
              <w:rPr>
                <w:sz w:val="24"/>
                <w:szCs w:val="24"/>
                <w:color w:val="auto"/>
              </w:rPr>
            </w:pPr>
          </w:p>
        </w:tc>
      </w:tr>
    </w:tbl>
    <w:p>
      <w:pPr>
        <w:spacing w:after="0" w:line="202" w:lineRule="exact"/>
        <w:rPr>
          <w:sz w:val="24"/>
          <w:szCs w:val="24"/>
          <w:color w:val="auto"/>
        </w:rPr>
      </w:pPr>
    </w:p>
    <w:p>
      <w:pPr>
        <w:jc w:val="both"/>
        <w:spacing w:after="0" w:line="256"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ind w:left="4540"/>
        <w:spacing w:after="0"/>
        <w:tabs>
          <w:tab w:leader="none" w:pos="5720" w:val="left"/>
        </w:tabs>
        <w:rPr>
          <w:sz w:val="20"/>
          <w:szCs w:val="20"/>
          <w:color w:val="auto"/>
        </w:rPr>
      </w:pPr>
      <w:r>
        <w:rPr>
          <w:rFonts w:ascii="Arial" w:cs="Arial" w:eastAsia="Arial" w:hAnsi="Arial"/>
          <w:sz w:val="18"/>
          <w:szCs w:val="18"/>
          <w:color w:val="auto"/>
        </w:rPr>
        <w:t>YES [X]</w:t>
      </w:r>
      <w:r>
        <w:rPr>
          <w:sz w:val="20"/>
          <w:szCs w:val="20"/>
          <w:color w:val="auto"/>
        </w:rPr>
        <w:tab/>
      </w:r>
      <w:r>
        <w:rPr>
          <w:rFonts w:ascii="Arial" w:cs="Arial" w:eastAsia="Arial" w:hAnsi="Arial"/>
          <w:sz w:val="18"/>
          <w:szCs w:val="18"/>
          <w:color w:val="auto"/>
        </w:rPr>
        <w:t>NO [ ]</w:t>
      </w:r>
    </w:p>
    <w:p>
      <w:pPr>
        <w:spacing w:after="0" w:line="211" w:lineRule="exact"/>
        <w:rPr>
          <w:sz w:val="24"/>
          <w:szCs w:val="24"/>
          <w:color w:val="auto"/>
        </w:rPr>
      </w:pPr>
    </w:p>
    <w:p>
      <w:pPr>
        <w:jc w:val="both"/>
        <w:spacing w:after="0" w:line="256"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w:t>
      </w:r>
    </w:p>
    <w:p>
      <w:pPr>
        <w:ind w:left="4540"/>
        <w:spacing w:after="0"/>
        <w:tabs>
          <w:tab w:leader="none" w:pos="5720" w:val="left"/>
        </w:tabs>
        <w:rPr>
          <w:sz w:val="20"/>
          <w:szCs w:val="20"/>
          <w:color w:val="auto"/>
        </w:rPr>
      </w:pPr>
      <w:r>
        <w:rPr>
          <w:rFonts w:ascii="Arial" w:cs="Arial" w:eastAsia="Arial" w:hAnsi="Arial"/>
          <w:sz w:val="18"/>
          <w:szCs w:val="18"/>
          <w:color w:val="auto"/>
        </w:rPr>
        <w:t>YES [X]</w:t>
      </w:r>
      <w:r>
        <w:rPr>
          <w:sz w:val="20"/>
          <w:szCs w:val="20"/>
          <w:color w:val="auto"/>
        </w:rPr>
        <w:tab/>
      </w:r>
      <w:r>
        <w:rPr>
          <w:rFonts w:ascii="Arial" w:cs="Arial" w:eastAsia="Arial" w:hAnsi="Arial"/>
          <w:sz w:val="18"/>
          <w:szCs w:val="18"/>
          <w:color w:val="auto"/>
        </w:rPr>
        <w:t>NO [ ]</w:t>
      </w:r>
    </w:p>
    <w:p>
      <w:pPr>
        <w:spacing w:after="0" w:line="211" w:lineRule="exact"/>
        <w:rPr>
          <w:sz w:val="24"/>
          <w:szCs w:val="24"/>
          <w:color w:val="auto"/>
        </w:rPr>
      </w:pPr>
    </w:p>
    <w:p>
      <w:pPr>
        <w:ind w:right="180"/>
        <w:spacing w:after="0" w:line="274"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"accelerated filer," "large accelerated filer" and "smaller reporting company in Rule 12b-2 of the Exchange Act.</w:t>
      </w:r>
    </w:p>
    <w:p>
      <w:pPr>
        <w:jc w:val="center"/>
        <w:spacing w:after="0"/>
        <w:rPr>
          <w:sz w:val="20"/>
          <w:szCs w:val="20"/>
          <w:color w:val="auto"/>
        </w:rPr>
      </w:pPr>
      <w:r>
        <w:rPr>
          <w:rFonts w:ascii="Arial" w:cs="Arial" w:eastAsia="Arial" w:hAnsi="Arial"/>
          <w:sz w:val="18"/>
          <w:szCs w:val="18"/>
          <w:color w:val="auto"/>
        </w:rPr>
        <w:t>(Check one):</w:t>
      </w:r>
    </w:p>
    <w:p>
      <w:pPr>
        <w:sectPr>
          <w:pgSz w:w="11900" w:h="16838" w:orient="portrait"/>
          <w:cols w:equalWidth="0" w:num="1">
            <w:col w:w="11420"/>
          </w:cols>
          <w:pgMar w:left="240" w:top="503" w:right="239" w:bottom="1440" w:gutter="0" w:footer="0" w:header="0"/>
        </w:sectPr>
      </w:pPr>
    </w:p>
    <w:p>
      <w:pPr>
        <w:spacing w:after="0" w:line="265" w:lineRule="exact"/>
        <w:rPr>
          <w:sz w:val="24"/>
          <w:szCs w:val="24"/>
          <w:color w:val="auto"/>
        </w:rPr>
      </w:pPr>
    </w:p>
    <w:p>
      <w:pPr>
        <w:spacing w:after="0"/>
        <w:rPr>
          <w:sz w:val="20"/>
          <w:szCs w:val="20"/>
          <w:color w:val="auto"/>
        </w:rPr>
      </w:pPr>
      <w:r>
        <w:rPr>
          <w:rFonts w:ascii="Arial" w:cs="Arial" w:eastAsia="Arial" w:hAnsi="Arial"/>
          <w:sz w:val="16"/>
          <w:szCs w:val="16"/>
          <w:color w:val="auto"/>
        </w:rPr>
        <w:t>Large Accelerated Filer []</w:t>
      </w:r>
    </w:p>
    <w:p>
      <w:pPr>
        <w:spacing w:after="0" w:line="20" w:lineRule="exact"/>
        <w:rPr>
          <w:sz w:val="24"/>
          <w:szCs w:val="24"/>
          <w:color w:val="auto"/>
        </w:rPr>
      </w:pPr>
      <w:r>
        <w:rPr>
          <w:sz w:val="24"/>
          <w:szCs w:val="24"/>
          <w:color w:val="auto"/>
        </w:rPr>
        <w:br w:type="column"/>
      </w:r>
    </w:p>
    <w:p>
      <w:pPr>
        <w:spacing w:after="0" w:line="245" w:lineRule="exact"/>
        <w:rPr>
          <w:sz w:val="24"/>
          <w:szCs w:val="24"/>
          <w:color w:val="auto"/>
        </w:rPr>
      </w:pPr>
    </w:p>
    <w:p>
      <w:pPr>
        <w:spacing w:after="0"/>
        <w:rPr>
          <w:sz w:val="20"/>
          <w:szCs w:val="20"/>
          <w:color w:val="auto"/>
        </w:rPr>
      </w:pPr>
      <w:r>
        <w:rPr>
          <w:rFonts w:ascii="Arial" w:cs="Arial" w:eastAsia="Arial" w:hAnsi="Arial"/>
          <w:sz w:val="17"/>
          <w:szCs w:val="17"/>
          <w:color w:val="auto"/>
        </w:rPr>
        <w:t>Accelerated Filer []</w:t>
      </w:r>
    </w:p>
    <w:p>
      <w:pPr>
        <w:spacing w:after="0" w:line="200" w:lineRule="exact"/>
        <w:rPr>
          <w:sz w:val="24"/>
          <w:szCs w:val="24"/>
          <w:color w:val="auto"/>
        </w:rPr>
      </w:pPr>
    </w:p>
    <w:p>
      <w:pPr>
        <w:sectPr>
          <w:pgSz w:w="11900" w:h="16838" w:orient="portrait"/>
          <w:cols w:equalWidth="0" w:num="2">
            <w:col w:w="5560" w:space="720"/>
            <w:col w:w="5140"/>
          </w:cols>
          <w:pgMar w:left="240" w:top="503" w:right="239" w:bottom="1440" w:gutter="0" w:footer="0" w:header="0"/>
          <w:type w:val="continuous"/>
        </w:sectPr>
      </w:pPr>
    </w:p>
    <w:p>
      <w:pPr>
        <w:spacing w:after="0" w:line="37"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 [X] (Do not check if a smaller reporting company)</w:t>
      </w:r>
    </w:p>
    <w:p>
      <w:pPr>
        <w:spacing w:after="0" w:line="20" w:lineRule="exact"/>
        <w:rPr>
          <w:sz w:val="24"/>
          <w:szCs w:val="24"/>
          <w:color w:val="auto"/>
        </w:rPr>
      </w:pPr>
      <w:r>
        <w:rPr>
          <w:sz w:val="24"/>
          <w:szCs w:val="24"/>
          <w:color w:val="auto"/>
        </w:rPr>
        <w:br w:type="column"/>
      </w:r>
    </w:p>
    <w:p>
      <w:pPr>
        <w:spacing w:after="0" w:line="17"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 ]</w:t>
      </w:r>
    </w:p>
    <w:p>
      <w:pPr>
        <w:spacing w:after="0" w:line="200" w:lineRule="exact"/>
        <w:rPr>
          <w:sz w:val="24"/>
          <w:szCs w:val="24"/>
          <w:color w:val="auto"/>
        </w:rPr>
      </w:pPr>
    </w:p>
    <w:p>
      <w:pPr>
        <w:sectPr>
          <w:pgSz w:w="11900" w:h="16838" w:orient="portrait"/>
          <w:cols w:equalWidth="0" w:num="2">
            <w:col w:w="5560" w:space="720"/>
            <w:col w:w="5140"/>
          </w:cols>
          <w:pgMar w:left="240" w:top="503" w:right="239" w:bottom="1440" w:gutter="0" w:footer="0" w:header="0"/>
          <w:type w:val="continuous"/>
        </w:sectPr>
      </w:pPr>
    </w:p>
    <w:p>
      <w:pPr>
        <w:spacing w:after="0" w:line="4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46" w:lineRule="exact"/>
        <w:rPr>
          <w:sz w:val="24"/>
          <w:szCs w:val="24"/>
          <w:color w:val="auto"/>
        </w:rPr>
      </w:pPr>
    </w:p>
    <w:p>
      <w:pPr>
        <w:ind w:left="4560"/>
        <w:spacing w:after="0"/>
        <w:tabs>
          <w:tab w:leader="none" w:pos="5680" w:val="left"/>
        </w:tabs>
        <w:rPr>
          <w:sz w:val="20"/>
          <w:szCs w:val="20"/>
          <w:color w:val="auto"/>
        </w:rPr>
      </w:pPr>
      <w:r>
        <w:rPr>
          <w:rFonts w:ascii="Arial" w:cs="Arial" w:eastAsia="Arial" w:hAnsi="Arial"/>
          <w:sz w:val="18"/>
          <w:szCs w:val="18"/>
          <w:color w:val="auto"/>
        </w:rPr>
        <w:t>YES [ ]</w:t>
      </w:r>
      <w:r>
        <w:rPr>
          <w:sz w:val="20"/>
          <w:szCs w:val="20"/>
          <w:color w:val="auto"/>
        </w:rPr>
        <w:tab/>
      </w:r>
      <w:r>
        <w:rPr>
          <w:rFonts w:ascii="Arial" w:cs="Arial" w:eastAsia="Arial" w:hAnsi="Arial"/>
          <w:sz w:val="18"/>
          <w:szCs w:val="18"/>
          <w:color w:val="auto"/>
        </w:rPr>
        <w:t>NO [X ]</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The Registrant had 107,321,989 shares of common stock outstanding as of April 24, 2015.</w:t>
      </w:r>
    </w:p>
    <w:p>
      <w:pPr>
        <w:spacing w:after="0" w:line="200" w:lineRule="exact"/>
        <w:rPr>
          <w:sz w:val="24"/>
          <w:szCs w:val="24"/>
          <w:color w:val="auto"/>
        </w:rPr>
      </w:pPr>
    </w:p>
    <w:p>
      <w:pPr>
        <w:spacing w:after="0" w:line="26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type w:val="continuous"/>
        </w:sectPr>
      </w:pPr>
    </w:p>
    <w:bookmarkStart w:id="1" w:name="page2"/>
    <w:bookmarkEnd w:id="1"/>
    <w:p>
      <w:pPr>
        <w:jc w:val="center"/>
        <w:ind w:right="40"/>
        <w:spacing w:after="0"/>
        <w:rPr>
          <w:sz w:val="20"/>
          <w:szCs w:val="20"/>
          <w:color w:val="auto"/>
        </w:rPr>
      </w:pPr>
      <w:r>
        <w:rPr>
          <w:rFonts w:ascii="Arial" w:cs="Arial" w:eastAsia="Arial" w:hAnsi="Arial"/>
          <w:sz w:val="18"/>
          <w:szCs w:val="18"/>
          <w:color w:val="auto"/>
        </w:rPr>
        <w:t>CIVEO CORPORATION</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INDEX</w:t>
      </w:r>
    </w:p>
    <w:p>
      <w:pPr>
        <w:spacing w:after="0" w:line="221" w:lineRule="exact"/>
        <w:rPr>
          <w:sz w:val="20"/>
          <w:szCs w:val="20"/>
          <w:color w:val="auto"/>
        </w:rPr>
      </w:pPr>
    </w:p>
    <w:p>
      <w:pPr>
        <w:ind w:left="10960"/>
        <w:spacing w:after="0"/>
        <w:rPr>
          <w:sz w:val="20"/>
          <w:szCs w:val="20"/>
          <w:color w:val="auto"/>
        </w:rPr>
      </w:pPr>
      <w:r>
        <w:rPr>
          <w:rFonts w:ascii="Arial" w:cs="Arial" w:eastAsia="Arial" w:hAnsi="Arial"/>
          <w:sz w:val="18"/>
          <w:szCs w:val="18"/>
          <w:b w:val="1"/>
          <w:bCs w:val="1"/>
          <w:u w:val="single" w:color="auto"/>
          <w:color w:val="auto"/>
        </w:rPr>
        <w:t>Page</w:t>
      </w:r>
    </w:p>
    <w:p>
      <w:pPr>
        <w:spacing w:after="0" w:line="27" w:lineRule="exact"/>
        <w:rPr>
          <w:sz w:val="20"/>
          <w:szCs w:val="20"/>
          <w:color w:val="auto"/>
        </w:rPr>
      </w:pPr>
    </w:p>
    <w:p>
      <w:pPr>
        <w:ind w:left="11000"/>
        <w:spacing w:after="0"/>
        <w:rPr>
          <w:sz w:val="20"/>
          <w:szCs w:val="20"/>
          <w:color w:val="auto"/>
        </w:rPr>
      </w:pPr>
      <w:r>
        <w:rPr>
          <w:rFonts w:ascii="Arial" w:cs="Arial" w:eastAsia="Arial" w:hAnsi="Arial"/>
          <w:sz w:val="18"/>
          <w:szCs w:val="18"/>
          <w:b w:val="1"/>
          <w:bCs w:val="1"/>
          <w:u w:val="single" w:color="auto"/>
          <w:color w:val="auto"/>
        </w:rPr>
        <w:t>No.</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Part I -- 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Item 1.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320" w:type="dxa"/>
            <w:vAlign w:val="bottom"/>
            <w:shd w:val="clear" w:color="auto" w:fill="CCEEFF"/>
          </w:tcPr>
          <w:p>
            <w:pPr>
              <w:ind w:left="80"/>
              <w:spacing w:after="0"/>
              <w:rPr>
                <w:sz w:val="20"/>
                <w:szCs w:val="20"/>
                <w:color w:val="auto"/>
              </w:rPr>
            </w:pPr>
            <w:r>
              <w:rPr>
                <w:rFonts w:ascii="Arial" w:cs="Arial" w:eastAsia="Arial" w:hAnsi="Arial"/>
                <w:sz w:val="18"/>
                <w:szCs w:val="18"/>
                <w:color w:val="auto"/>
              </w:rPr>
              <w:t>Consolidated Financial Statements</w:t>
            </w:r>
          </w:p>
        </w:tc>
        <w:tc>
          <w:tcPr>
            <w:tcW w:w="5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320" w:type="dxa"/>
            <w:vAlign w:val="bottom"/>
          </w:tcPr>
          <w:p>
            <w:pPr>
              <w:ind w:left="240"/>
              <w:spacing w:after="0"/>
              <w:rPr>
                <w:sz w:val="20"/>
                <w:szCs w:val="20"/>
                <w:color w:val="auto"/>
              </w:rPr>
            </w:pPr>
            <w:r>
              <w:rPr>
                <w:rFonts w:ascii="Arial" w:cs="Arial" w:eastAsia="Arial" w:hAnsi="Arial"/>
                <w:sz w:val="18"/>
                <w:szCs w:val="18"/>
                <w:color w:val="auto"/>
              </w:rPr>
              <w:t>Unaudited Consolidated Statements of Operations for the Three Month Periods Ended March 31, 2015 and 2014</w:t>
            </w:r>
          </w:p>
        </w:tc>
        <w:tc>
          <w:tcPr>
            <w:tcW w:w="520" w:type="dxa"/>
            <w:vAlign w:val="bottom"/>
          </w:tcPr>
          <w:p>
            <w:pPr>
              <w:jc w:val="right"/>
              <w:spacing w:after="0"/>
              <w:rPr>
                <w:sz w:val="20"/>
                <w:szCs w:val="20"/>
                <w:color w:val="auto"/>
              </w:rPr>
            </w:pPr>
            <w:r>
              <w:rPr>
                <w:rFonts w:ascii="Arial" w:cs="Arial" w:eastAsia="Arial" w:hAnsi="Arial"/>
                <w:sz w:val="18"/>
                <w:szCs w:val="18"/>
                <w:color w:val="auto"/>
              </w:rPr>
              <w:t>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3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Unaudited Consolidated Statements of Comprehensive Income for the Three Month Periods Ended March 31, 2015 and 2014</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320" w:type="dxa"/>
            <w:vAlign w:val="bottom"/>
          </w:tcPr>
          <w:p>
            <w:pPr>
              <w:ind w:left="240"/>
              <w:spacing w:after="0"/>
              <w:rPr>
                <w:sz w:val="20"/>
                <w:szCs w:val="20"/>
                <w:color w:val="auto"/>
              </w:rPr>
            </w:pPr>
            <w:r>
              <w:rPr>
                <w:rFonts w:ascii="Arial" w:cs="Arial" w:eastAsia="Arial" w:hAnsi="Arial"/>
                <w:sz w:val="18"/>
                <w:szCs w:val="18"/>
                <w:color w:val="auto"/>
              </w:rPr>
              <w:t>Consolidated Balance Sheets – March 31, 2015 (unaudited) and December 31, 2014</w:t>
            </w:r>
          </w:p>
        </w:tc>
        <w:tc>
          <w:tcPr>
            <w:tcW w:w="520" w:type="dxa"/>
            <w:vAlign w:val="bottom"/>
          </w:tcPr>
          <w:p>
            <w:pPr>
              <w:jc w:val="right"/>
              <w:spacing w:after="0"/>
              <w:rPr>
                <w:sz w:val="20"/>
                <w:szCs w:val="20"/>
                <w:color w:val="auto"/>
              </w:rPr>
            </w:pPr>
            <w:r>
              <w:rPr>
                <w:rFonts w:ascii="Arial" w:cs="Arial" w:eastAsia="Arial" w:hAnsi="Arial"/>
                <w:sz w:val="18"/>
                <w:szCs w:val="18"/>
                <w:color w:val="auto"/>
              </w:rPr>
              <w:t>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320" w:type="dxa"/>
            <w:vAlign w:val="bottom"/>
            <w:shd w:val="clear" w:color="auto" w:fill="CCEEFF"/>
          </w:tcPr>
          <w:p>
            <w:pPr>
              <w:ind w:left="240"/>
              <w:spacing w:after="0" w:line="201" w:lineRule="exact"/>
              <w:rPr>
                <w:sz w:val="20"/>
                <w:szCs w:val="20"/>
                <w:color w:val="auto"/>
              </w:rPr>
            </w:pPr>
            <w:r>
              <w:rPr>
                <w:rFonts w:ascii="Arial" w:cs="Arial" w:eastAsia="Arial" w:hAnsi="Arial"/>
                <w:sz w:val="18"/>
                <w:szCs w:val="18"/>
                <w:color w:val="auto"/>
                <w:w w:val="91"/>
              </w:rPr>
              <w:t>Unaudited Consolidated Statements of Changes in Stockholders’ Equity / Net Investment for the Three Months Ended March 31, 2015 and</w:t>
            </w:r>
          </w:p>
        </w:tc>
        <w:tc>
          <w:tcPr>
            <w:tcW w:w="5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03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2014</w:t>
            </w:r>
          </w:p>
        </w:tc>
        <w:tc>
          <w:tcPr>
            <w:tcW w:w="52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320" w:type="dxa"/>
            <w:vAlign w:val="bottom"/>
          </w:tcPr>
          <w:p>
            <w:pPr>
              <w:ind w:left="240"/>
              <w:spacing w:after="0"/>
              <w:rPr>
                <w:sz w:val="20"/>
                <w:szCs w:val="20"/>
                <w:color w:val="auto"/>
              </w:rPr>
            </w:pPr>
            <w:r>
              <w:rPr>
                <w:rFonts w:ascii="Arial" w:cs="Arial" w:eastAsia="Arial" w:hAnsi="Arial"/>
                <w:sz w:val="18"/>
                <w:szCs w:val="18"/>
                <w:color w:val="auto"/>
              </w:rPr>
              <w:t>Unaudited Consolidated Statements of Cash Flows for the Three Months Ended March 31, 2015 and 2014</w:t>
            </w:r>
          </w:p>
        </w:tc>
        <w:tc>
          <w:tcPr>
            <w:tcW w:w="520" w:type="dxa"/>
            <w:vAlign w:val="bottom"/>
          </w:tcPr>
          <w:p>
            <w:pPr>
              <w:jc w:val="right"/>
              <w:spacing w:after="0"/>
              <w:rPr>
                <w:sz w:val="20"/>
                <w:szCs w:val="20"/>
                <w:color w:val="auto"/>
              </w:rPr>
            </w:pPr>
            <w:r>
              <w:rPr>
                <w:rFonts w:ascii="Arial" w:cs="Arial" w:eastAsia="Arial" w:hAnsi="Arial"/>
                <w:sz w:val="18"/>
                <w:szCs w:val="18"/>
                <w:color w:val="auto"/>
              </w:rPr>
              <w:t>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320" w:type="dxa"/>
            <w:vAlign w:val="bottom"/>
            <w:shd w:val="clear" w:color="auto" w:fill="CCEEFF"/>
          </w:tcPr>
          <w:p>
            <w:pPr>
              <w:ind w:left="80"/>
              <w:spacing w:after="0"/>
              <w:rPr>
                <w:sz w:val="20"/>
                <w:szCs w:val="20"/>
                <w:color w:val="auto"/>
              </w:rPr>
            </w:pPr>
            <w:r>
              <w:rPr>
                <w:rFonts w:ascii="Arial" w:cs="Arial" w:eastAsia="Arial" w:hAnsi="Arial"/>
                <w:sz w:val="18"/>
                <w:szCs w:val="18"/>
                <w:color w:val="auto"/>
              </w:rPr>
              <w:t>Notes to Unaudited Consolidated Financial Statements</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8 – 18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880" w:type="dxa"/>
            <w:vAlign w:val="bottom"/>
            <w:gridSpan w:val="2"/>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Cautionary Statement Regarding Forward-Looking Statements</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880" w:type="dxa"/>
            <w:vAlign w:val="bottom"/>
            <w:gridSpan w:val="2"/>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Item 2. Management’s Discussion and Analysis of Financial Condition and Results of Operations</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19-31</w:t>
            </w: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880" w:type="dxa"/>
            <w:vAlign w:val="bottom"/>
            <w:gridSpan w:val="2"/>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Item 3. Quantitative and Qualitative Disclosures About Market Risk</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880" w:type="dxa"/>
            <w:vAlign w:val="bottom"/>
            <w:gridSpan w:val="2"/>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Item 4. Controls and Procedures</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31-32</w:t>
            </w: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320" w:type="dxa"/>
            <w:vAlign w:val="bottom"/>
            <w:shd w:val="clear" w:color="auto" w:fill="CCEEFF"/>
          </w:tcPr>
          <w:p>
            <w:pPr>
              <w:ind w:left="600"/>
              <w:spacing w:after="0"/>
              <w:rPr>
                <w:sz w:val="20"/>
                <w:szCs w:val="20"/>
                <w:color w:val="auto"/>
              </w:rPr>
            </w:pPr>
            <w:r>
              <w:rPr>
                <w:rFonts w:ascii="Arial" w:cs="Arial" w:eastAsia="Arial" w:hAnsi="Arial"/>
                <w:sz w:val="18"/>
                <w:szCs w:val="18"/>
                <w:color w:val="auto"/>
              </w:rPr>
              <w:t>Part II -- OTHER INFORMATION</w:t>
            </w:r>
          </w:p>
        </w:tc>
        <w:tc>
          <w:tcPr>
            <w:tcW w:w="5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 w:type="dxa"/>
            <w:vAlign w:val="bottom"/>
          </w:tcPr>
          <w:p>
            <w:pPr>
              <w:spacing w:after="0"/>
              <w:rPr>
                <w:sz w:val="18"/>
                <w:szCs w:val="18"/>
                <w:color w:val="auto"/>
              </w:rPr>
            </w:pPr>
          </w:p>
        </w:tc>
        <w:tc>
          <w:tcPr>
            <w:tcW w:w="10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 w:type="dxa"/>
            <w:vAlign w:val="bottom"/>
            <w:shd w:val="clear" w:color="auto" w:fill="CCEEFF"/>
          </w:tcPr>
          <w:p>
            <w:pPr>
              <w:spacing w:after="0"/>
              <w:rPr>
                <w:sz w:val="20"/>
                <w:szCs w:val="20"/>
                <w:color w:val="auto"/>
              </w:rPr>
            </w:pPr>
            <w:r>
              <w:rPr>
                <w:rFonts w:ascii="Arial" w:cs="Arial" w:eastAsia="Arial" w:hAnsi="Arial"/>
                <w:sz w:val="18"/>
                <w:szCs w:val="18"/>
                <w:color w:val="auto"/>
                <w:w w:val="98"/>
              </w:rPr>
              <w:t>Item 1.</w:t>
            </w:r>
          </w:p>
        </w:tc>
        <w:tc>
          <w:tcPr>
            <w:tcW w:w="103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Legal Proceedings</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880" w:type="dxa"/>
            <w:vAlign w:val="bottom"/>
            <w:gridSpan w:val="2"/>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Item 1A. Risk Factors</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880" w:type="dxa"/>
            <w:vAlign w:val="bottom"/>
            <w:gridSpan w:val="2"/>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Item 2.  Unregistered Sales of Equity Securities and Use of Proceeds</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 w:type="dxa"/>
            <w:vAlign w:val="bottom"/>
          </w:tcPr>
          <w:p>
            <w:pPr>
              <w:spacing w:after="0"/>
              <w:rPr>
                <w:sz w:val="18"/>
                <w:szCs w:val="18"/>
                <w:color w:val="auto"/>
              </w:rPr>
            </w:pPr>
          </w:p>
        </w:tc>
        <w:tc>
          <w:tcPr>
            <w:tcW w:w="10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 w:type="dxa"/>
            <w:vAlign w:val="bottom"/>
            <w:shd w:val="clear" w:color="auto" w:fill="CCEEFF"/>
          </w:tcPr>
          <w:p>
            <w:pPr>
              <w:spacing w:after="0"/>
              <w:rPr>
                <w:sz w:val="20"/>
                <w:szCs w:val="20"/>
                <w:color w:val="auto"/>
              </w:rPr>
            </w:pPr>
            <w:r>
              <w:rPr>
                <w:rFonts w:ascii="Arial" w:cs="Arial" w:eastAsia="Arial" w:hAnsi="Arial"/>
                <w:sz w:val="18"/>
                <w:szCs w:val="18"/>
                <w:color w:val="auto"/>
                <w:w w:val="98"/>
              </w:rPr>
              <w:t>Item 6.</w:t>
            </w:r>
          </w:p>
        </w:tc>
        <w:tc>
          <w:tcPr>
            <w:tcW w:w="10320" w:type="dxa"/>
            <w:vAlign w:val="bottom"/>
            <w:shd w:val="clear" w:color="auto" w:fill="CCEEFF"/>
          </w:tcPr>
          <w:p>
            <w:pPr>
              <w:ind w:left="80"/>
              <w:spacing w:after="0"/>
              <w:rPr>
                <w:sz w:val="20"/>
                <w:szCs w:val="20"/>
                <w:color w:val="auto"/>
              </w:rPr>
            </w:pPr>
            <w:r>
              <w:rPr>
                <w:rFonts w:ascii="Arial" w:cs="Arial" w:eastAsia="Arial" w:hAnsi="Arial"/>
                <w:sz w:val="18"/>
                <w:szCs w:val="18"/>
                <w:color w:val="auto"/>
              </w:rPr>
              <w:t>Exhibits</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320" w:type="dxa"/>
            <w:vAlign w:val="bottom"/>
            <w:shd w:val="clear" w:color="auto" w:fill="CCEEFF"/>
          </w:tcPr>
          <w:p>
            <w:pPr>
              <w:ind w:left="60"/>
              <w:spacing w:after="0"/>
              <w:rPr>
                <w:sz w:val="20"/>
                <w:szCs w:val="20"/>
                <w:color w:val="auto"/>
              </w:rPr>
            </w:pPr>
            <w:r>
              <w:rPr>
                <w:rFonts w:ascii="Arial" w:cs="Arial" w:eastAsia="Arial" w:hAnsi="Arial"/>
                <w:sz w:val="18"/>
                <w:szCs w:val="18"/>
                <w:color w:val="auto"/>
              </w:rPr>
              <w:t>(a) Index of Exhibits</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880" w:type="dxa"/>
            <w:vAlign w:val="bottom"/>
            <w:gridSpan w:val="2"/>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Signature Page</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675"/>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320" w:type="dxa"/>
            <w:vAlign w:val="bottom"/>
          </w:tcPr>
          <w:p>
            <w:pPr>
              <w:ind w:left="5080"/>
              <w:spacing w:after="0"/>
              <w:rPr>
                <w:sz w:val="20"/>
                <w:szCs w:val="20"/>
                <w:color w:val="auto"/>
              </w:rPr>
            </w:pPr>
            <w:r>
              <w:rPr>
                <w:rFonts w:ascii="Arial" w:cs="Arial" w:eastAsia="Arial" w:hAnsi="Arial"/>
                <w:sz w:val="18"/>
                <w:szCs w:val="18"/>
                <w:color w:val="auto"/>
              </w:rPr>
              <w:t>2</w:t>
            </w: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32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shd w:val="clear" w:color="auto" w:fill="808080"/>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10320" w:type="dxa"/>
            <w:vAlign w:val="bottom"/>
            <w:shd w:val="clear" w:color="auto" w:fill="808080"/>
          </w:tcPr>
          <w:p>
            <w:pPr>
              <w:spacing w:after="0"/>
              <w:rPr>
                <w:sz w:val="5"/>
                <w:szCs w:val="5"/>
                <w:color w:val="auto"/>
              </w:rPr>
            </w:pPr>
          </w:p>
        </w:tc>
        <w:tc>
          <w:tcPr>
            <w:tcW w:w="52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584" w:right="19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CIVEO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0" w:type="dxa"/>
            <w:vAlign w:val="bottom"/>
            <w:gridSpan w:val="6"/>
          </w:tcPr>
          <w:p>
            <w:pPr>
              <w:jc w:val="right"/>
              <w:ind w:right="62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3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b w:val="1"/>
                <w:bCs w:val="1"/>
                <w:color w:val="auto"/>
              </w:rPr>
              <w:t>MARCH 31,</w:t>
            </w: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320"/>
              <w:spacing w:after="0"/>
              <w:rPr>
                <w:sz w:val="20"/>
                <w:szCs w:val="20"/>
                <w:color w:val="auto"/>
              </w:rPr>
            </w:pPr>
            <w:r>
              <w:rPr>
                <w:rFonts w:ascii="Arial" w:cs="Arial" w:eastAsia="Arial" w:hAnsi="Arial"/>
                <w:sz w:val="18"/>
                <w:szCs w:val="18"/>
                <w:color w:val="auto"/>
              </w:rPr>
              <w:t>Service and other</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168,132</w:t>
            </w:r>
          </w:p>
        </w:tc>
        <w:tc>
          <w:tcPr>
            <w:tcW w:w="140" w:type="dxa"/>
            <w:vAlign w:val="bottom"/>
          </w:tcPr>
          <w:p>
            <w:pPr>
              <w:spacing w:after="0"/>
              <w:rPr>
                <w:sz w:val="18"/>
                <w:szCs w:val="18"/>
                <w:color w:val="auto"/>
              </w:rPr>
            </w:pPr>
          </w:p>
        </w:tc>
        <w:tc>
          <w:tcPr>
            <w:tcW w:w="5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238,858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Product</w:t>
            </w:r>
          </w:p>
        </w:tc>
        <w:tc>
          <w:tcPr>
            <w:tcW w:w="74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2,855</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13,941</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170,987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252,799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Costs and expenses:</w:t>
            </w:r>
          </w:p>
        </w:tc>
        <w:tc>
          <w:tcPr>
            <w:tcW w:w="74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320"/>
              <w:spacing w:after="0"/>
              <w:rPr>
                <w:sz w:val="20"/>
                <w:szCs w:val="20"/>
                <w:color w:val="auto"/>
              </w:rPr>
            </w:pPr>
            <w:r>
              <w:rPr>
                <w:rFonts w:ascii="Arial" w:cs="Arial" w:eastAsia="Arial" w:hAnsi="Arial"/>
                <w:sz w:val="18"/>
                <w:szCs w:val="18"/>
                <w:color w:val="auto"/>
              </w:rPr>
              <w:t>Service and other costs</w:t>
            </w: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99,839</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131,378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Product costs</w:t>
            </w: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320"/>
              <w:spacing w:after="0"/>
              <w:rPr>
                <w:sz w:val="20"/>
                <w:szCs w:val="20"/>
                <w:color w:val="auto"/>
              </w:rPr>
            </w:pPr>
            <w:r>
              <w:rPr>
                <w:rFonts w:ascii="Arial" w:cs="Arial" w:eastAsia="Arial" w:hAnsi="Arial"/>
                <w:sz w:val="18"/>
                <w:szCs w:val="18"/>
                <w:color w:val="auto"/>
              </w:rPr>
              <w:t>Selling, general and administrative expenses</w:t>
            </w: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16,686</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16,145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Spin-off and formation costs</w:t>
            </w: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320"/>
              <w:spacing w:after="0"/>
              <w:rPr>
                <w:sz w:val="20"/>
                <w:szCs w:val="20"/>
                <w:color w:val="auto"/>
              </w:rPr>
            </w:pPr>
            <w:r>
              <w:rPr>
                <w:rFonts w:ascii="Arial" w:cs="Arial" w:eastAsia="Arial" w:hAnsi="Arial"/>
                <w:sz w:val="18"/>
                <w:szCs w:val="18"/>
                <w:color w:val="auto"/>
              </w:rPr>
              <w:t>Depreciation and amortization expense</w:t>
            </w: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42,446</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39,599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Impairment expense</w:t>
            </w: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320"/>
              <w:spacing w:after="0"/>
              <w:rPr>
                <w:sz w:val="20"/>
                <w:szCs w:val="20"/>
                <w:color w:val="auto"/>
              </w:rPr>
            </w:pPr>
            <w:r>
              <w:rPr>
                <w:rFonts w:ascii="Arial" w:cs="Arial" w:eastAsia="Arial" w:hAnsi="Arial"/>
                <w:sz w:val="18"/>
                <w:szCs w:val="18"/>
                <w:color w:val="auto"/>
              </w:rPr>
              <w:t>Other operating expense</w:t>
            </w: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1,330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6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166,111</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199,939</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Operating income</w:t>
            </w: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4,876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52,860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Interest expense to affiliates</w:t>
            </w: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(4,289)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to third-parties, net of capitalized interest</w:t>
            </w: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(5,609)</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Interest income</w:t>
            </w: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1,122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939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income</w:t>
            </w:r>
          </w:p>
        </w:tc>
        <w:tc>
          <w:tcPr>
            <w:tcW w:w="74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998</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60" w:type="dxa"/>
            <w:vAlign w:val="bottom"/>
          </w:tcPr>
          <w:p>
            <w:pPr>
              <w:ind w:left="320"/>
              <w:spacing w:after="0"/>
              <w:rPr>
                <w:sz w:val="20"/>
                <w:szCs w:val="20"/>
                <w:color w:val="auto"/>
              </w:rPr>
            </w:pPr>
            <w:r>
              <w:rPr>
                <w:rFonts w:ascii="Arial" w:cs="Arial" w:eastAsia="Arial" w:hAnsi="Arial"/>
                <w:sz w:val="18"/>
                <w:szCs w:val="18"/>
                <w:color w:val="auto"/>
              </w:rPr>
              <w:t>Income before income taxes</w:t>
            </w: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1,387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48,907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w:t>
            </w: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(1,157)</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(12,311)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6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Net income</w:t>
            </w:r>
          </w:p>
        </w:tc>
        <w:tc>
          <w:tcPr>
            <w:tcW w:w="74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230</w:t>
            </w: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36,596</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Less: Net income attributable to noncontrolling interest</w:t>
            </w:r>
          </w:p>
        </w:tc>
        <w:tc>
          <w:tcPr>
            <w:tcW w:w="74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Net income (loss) attributable to Civeo Corporation.</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(16)</w:t>
            </w:r>
          </w:p>
        </w:tc>
        <w:tc>
          <w:tcPr>
            <w:tcW w:w="5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36,239</w:t>
            </w:r>
          </w:p>
        </w:tc>
        <w:tc>
          <w:tcPr>
            <w:tcW w:w="0" w:type="dxa"/>
            <w:vAlign w:val="bottom"/>
          </w:tcPr>
          <w:p>
            <w:pPr>
              <w:spacing w:after="0"/>
              <w:rPr>
                <w:sz w:val="1"/>
                <w:szCs w:val="1"/>
                <w:color w:val="auto"/>
              </w:rPr>
            </w:pPr>
          </w:p>
        </w:tc>
      </w:tr>
      <w:tr>
        <w:trPr>
          <w:trHeight w:val="20"/>
        </w:trPr>
        <w:tc>
          <w:tcPr>
            <w:tcW w:w="738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73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Per Share Data (see Note 6)</w:t>
            </w: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Basic net income (loss) per share attributable to Civeo Corporation common stockholders</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0.00</w:t>
            </w:r>
          </w:p>
        </w:tc>
        <w:tc>
          <w:tcPr>
            <w:tcW w:w="5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0.34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spacing w:after="0"/>
              <w:rPr>
                <w:sz w:val="18"/>
                <w:szCs w:val="18"/>
                <w:color w:val="auto"/>
              </w:rPr>
            </w:pPr>
          </w:p>
        </w:tc>
        <w:tc>
          <w:tcPr>
            <w:tcW w:w="1340" w:type="dxa"/>
            <w:vAlign w:val="bottom"/>
            <w:gridSpan w:val="2"/>
            <w:shd w:val="clear" w:color="auto" w:fill="CCEEFF"/>
          </w:tcPr>
          <w:p>
            <w:pPr>
              <w:spacing w:after="0"/>
              <w:rPr>
                <w:sz w:val="18"/>
                <w:szCs w:val="18"/>
                <w:color w:val="auto"/>
              </w:rPr>
            </w:pPr>
          </w:p>
        </w:tc>
        <w:tc>
          <w:tcPr>
            <w:tcW w:w="540" w:type="dxa"/>
            <w:vAlign w:val="bottom"/>
            <w:gridSpan w:val="2"/>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Diluted net income (loss) per share attributable to Civeo Corporation common stockholders.</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0.00</w:t>
            </w:r>
          </w:p>
        </w:tc>
        <w:tc>
          <w:tcPr>
            <w:tcW w:w="5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0.34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Weighted average number of common shares outstanding:</w:t>
            </w: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Basic</w:t>
            </w: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106,460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106,293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360" w:type="dxa"/>
            <w:vAlign w:val="bottom"/>
          </w:tcPr>
          <w:p>
            <w:pPr>
              <w:ind w:left="320"/>
              <w:spacing w:after="0"/>
              <w:rPr>
                <w:sz w:val="20"/>
                <w:szCs w:val="20"/>
                <w:color w:val="auto"/>
              </w:rPr>
            </w:pPr>
            <w:r>
              <w:rPr>
                <w:rFonts w:ascii="Arial" w:cs="Arial" w:eastAsia="Arial" w:hAnsi="Arial"/>
                <w:sz w:val="18"/>
                <w:szCs w:val="18"/>
                <w:color w:val="auto"/>
              </w:rPr>
              <w:t>Diluted.</w:t>
            </w:r>
          </w:p>
        </w:tc>
        <w:tc>
          <w:tcPr>
            <w:tcW w:w="7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106,460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106,460</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CIVEO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CONSOLIDATED STATEMENTS OF COMPREHENSIVE INCOME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0" w:type="dxa"/>
            <w:vAlign w:val="bottom"/>
            <w:gridSpan w:val="6"/>
          </w:tcPr>
          <w:p>
            <w:pPr>
              <w:jc w:val="right"/>
              <w:ind w:right="62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4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4"/>
          </w:tcPr>
          <w:p>
            <w:pPr>
              <w:jc w:val="right"/>
              <w:ind w:right="25"/>
              <w:spacing w:after="0"/>
              <w:rPr>
                <w:sz w:val="20"/>
                <w:szCs w:val="20"/>
                <w:color w:val="auto"/>
              </w:rPr>
            </w:pPr>
            <w:r>
              <w:rPr>
                <w:rFonts w:ascii="Arial" w:cs="Arial" w:eastAsia="Arial" w:hAnsi="Arial"/>
                <w:sz w:val="18"/>
                <w:szCs w:val="18"/>
                <w:b w:val="1"/>
                <w:bCs w:val="1"/>
                <w:color w:val="auto"/>
              </w:rPr>
              <w:t>MARCH 31,</w:t>
            </w: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80" w:type="dxa"/>
            <w:vAlign w:val="bottom"/>
          </w:tcPr>
          <w:p>
            <w:pPr>
              <w:spacing w:after="0"/>
              <w:rPr>
                <w:sz w:val="18"/>
                <w:szCs w:val="18"/>
                <w:color w:val="auto"/>
              </w:rPr>
            </w:pPr>
          </w:p>
        </w:tc>
        <w:tc>
          <w:tcPr>
            <w:tcW w:w="920" w:type="dxa"/>
            <w:vAlign w:val="bottom"/>
            <w:gridSpan w:val="2"/>
          </w:tcPr>
          <w:p>
            <w:pPr>
              <w:spacing w:after="0"/>
              <w:rPr>
                <w:sz w:val="18"/>
                <w:szCs w:val="18"/>
                <w:color w:val="auto"/>
              </w:rPr>
            </w:pPr>
          </w:p>
        </w:tc>
        <w:tc>
          <w:tcPr>
            <w:tcW w:w="1340" w:type="dxa"/>
            <w:vAlign w:val="bottom"/>
            <w:gridSpan w:val="2"/>
          </w:tcPr>
          <w:p>
            <w:pPr>
              <w:spacing w:after="0"/>
              <w:rPr>
                <w:sz w:val="18"/>
                <w:szCs w:val="18"/>
                <w:color w:val="auto"/>
              </w:rPr>
            </w:pPr>
          </w:p>
        </w:tc>
        <w:tc>
          <w:tcPr>
            <w:tcW w:w="540" w:type="dxa"/>
            <w:vAlign w:val="bottom"/>
            <w:gridSpan w:val="2"/>
          </w:tcPr>
          <w:p>
            <w:pPr>
              <w:spacing w:after="0"/>
              <w:rPr>
                <w:sz w:val="18"/>
                <w:szCs w:val="18"/>
                <w:color w:val="auto"/>
              </w:rPr>
            </w:pPr>
          </w:p>
        </w:tc>
        <w:tc>
          <w:tcPr>
            <w:tcW w:w="11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9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230</w:t>
            </w:r>
          </w:p>
        </w:tc>
        <w:tc>
          <w:tcPr>
            <w:tcW w:w="540" w:type="dxa"/>
            <w:vAlign w:val="bottom"/>
            <w:gridSpan w:val="2"/>
            <w:shd w:val="clear" w:color="auto" w:fill="CCEEFF"/>
          </w:tcPr>
          <w:p>
            <w:pPr>
              <w:jc w:val="right"/>
              <w:ind w:right="305"/>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36,596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8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 (loss):</w:t>
            </w: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320"/>
              <w:spacing w:after="0"/>
              <w:rPr>
                <w:sz w:val="20"/>
                <w:szCs w:val="20"/>
                <w:color w:val="auto"/>
              </w:rPr>
            </w:pPr>
            <w:r>
              <w:rPr>
                <w:rFonts w:ascii="Arial" w:cs="Arial" w:eastAsia="Arial" w:hAnsi="Arial"/>
                <w:sz w:val="18"/>
                <w:szCs w:val="18"/>
                <w:color w:val="auto"/>
                <w:w w:val="99"/>
              </w:rPr>
              <w:t>Foreign currency translation adjustment, net of taxes of $2.4 million and zero, respectively</w:t>
            </w: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(111,024)</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13,078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other comprehensive income (loss)</w:t>
            </w:r>
          </w:p>
        </w:tc>
        <w:tc>
          <w:tcPr>
            <w:tcW w:w="6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(111,024)</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13,078</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 (loss)</w:t>
            </w: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(110,794)</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49,674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320"/>
              <w:spacing w:after="0"/>
              <w:rPr>
                <w:sz w:val="20"/>
                <w:szCs w:val="20"/>
                <w:color w:val="auto"/>
              </w:rPr>
            </w:pPr>
            <w:r>
              <w:rPr>
                <w:rFonts w:ascii="Arial" w:cs="Arial" w:eastAsia="Arial" w:hAnsi="Arial"/>
                <w:sz w:val="18"/>
                <w:szCs w:val="18"/>
                <w:color w:val="auto"/>
              </w:rPr>
              <w:t>Comprehensive (income) loss attributable to noncontrolling interest</w:t>
            </w: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(60)</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(292)</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Comprehensive income (loss) attributable to Civeo Corporation.</w:t>
            </w:r>
          </w:p>
        </w:tc>
        <w:tc>
          <w:tcPr>
            <w:tcW w:w="6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(110,854)</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auto"/>
            </w:tcBorders>
            <w:shd w:val="clear" w:color="auto" w:fill="CCEEFF"/>
          </w:tcPr>
          <w:p>
            <w:pPr>
              <w:jc w:val="right"/>
              <w:ind w:right="30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49,382</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880" w:type="dxa"/>
            <w:vAlign w:val="bottom"/>
          </w:tcPr>
          <w:p>
            <w:pPr>
              <w:jc w:val="center"/>
              <w:ind w:left="3430"/>
              <w:spacing w:after="0"/>
              <w:rPr>
                <w:sz w:val="20"/>
                <w:szCs w:val="20"/>
                <w:color w:val="auto"/>
              </w:rPr>
            </w:pPr>
            <w:r>
              <w:rPr>
                <w:rFonts w:ascii="Arial" w:cs="Arial" w:eastAsia="Arial" w:hAnsi="Arial"/>
                <w:sz w:val="18"/>
                <w:szCs w:val="18"/>
                <w:b w:val="1"/>
                <w:bCs w:val="1"/>
                <w:color w:val="auto"/>
              </w:rPr>
              <w:t>CIVEO CORPORATION</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7880" w:type="dxa"/>
            <w:vAlign w:val="bottom"/>
          </w:tcPr>
          <w:p>
            <w:pPr>
              <w:jc w:val="center"/>
              <w:ind w:left="3430"/>
              <w:spacing w:after="0"/>
              <w:rPr>
                <w:sz w:val="20"/>
                <w:szCs w:val="20"/>
                <w:color w:val="auto"/>
              </w:rPr>
            </w:pPr>
            <w:r>
              <w:rPr>
                <w:rFonts w:ascii="Arial" w:cs="Arial" w:eastAsia="Arial" w:hAnsi="Arial"/>
                <w:sz w:val="18"/>
                <w:szCs w:val="18"/>
                <w:b w:val="1"/>
                <w:bCs w:val="1"/>
                <w:color w:val="auto"/>
                <w:w w:val="99"/>
              </w:rPr>
              <w:t>CONSOLIDATED BALANCE SHEETS</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880" w:type="dxa"/>
            <w:vAlign w:val="bottom"/>
          </w:tcPr>
          <w:p>
            <w:pPr>
              <w:jc w:val="center"/>
              <w:ind w:left="3410"/>
              <w:spacing w:after="0"/>
              <w:rPr>
                <w:sz w:val="20"/>
                <w:szCs w:val="20"/>
                <w:color w:val="auto"/>
              </w:rPr>
            </w:pPr>
            <w:r>
              <w:rPr>
                <w:rFonts w:ascii="Arial" w:cs="Arial" w:eastAsia="Arial" w:hAnsi="Arial"/>
                <w:sz w:val="18"/>
                <w:szCs w:val="18"/>
                <w:b w:val="1"/>
                <w:bCs w:val="1"/>
                <w:color w:val="auto"/>
                <w:w w:val="91"/>
              </w:rPr>
              <w:t>(In Thousands)</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7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MARCH 31,</w:t>
            </w:r>
          </w:p>
        </w:tc>
        <w:tc>
          <w:tcPr>
            <w:tcW w:w="80" w:type="dxa"/>
            <w:vAlign w:val="bottom"/>
          </w:tcPr>
          <w:p>
            <w:pPr>
              <w:spacing w:after="0"/>
              <w:rPr>
                <w:sz w:val="24"/>
                <w:szCs w:val="24"/>
                <w:color w:val="auto"/>
              </w:rPr>
            </w:pPr>
          </w:p>
        </w:tc>
        <w:tc>
          <w:tcPr>
            <w:tcW w:w="158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80" w:type="dxa"/>
            <w:vAlign w:val="bottom"/>
            <w:shd w:val="clear" w:color="auto" w:fill="CCEEFF"/>
          </w:tcPr>
          <w:p>
            <w:pPr>
              <w:ind w:left="3660"/>
              <w:spacing w:after="0"/>
              <w:rPr>
                <w:sz w:val="20"/>
                <w:szCs w:val="20"/>
                <w:color w:val="auto"/>
              </w:rPr>
            </w:pPr>
            <w:r>
              <w:rPr>
                <w:rFonts w:ascii="Arial" w:cs="Arial" w:eastAsia="Arial" w:hAnsi="Arial"/>
                <w:sz w:val="18"/>
                <w:szCs w:val="18"/>
                <w:color w:val="auto"/>
              </w:rPr>
              <w:t>ASSETS</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Cash and cash equivalents</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279,797</w:t>
            </w:r>
          </w:p>
        </w:tc>
        <w:tc>
          <w:tcPr>
            <w:tcW w:w="1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57"/>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263,314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320"/>
              <w:spacing w:after="0"/>
              <w:rPr>
                <w:sz w:val="20"/>
                <w:szCs w:val="20"/>
                <w:color w:val="auto"/>
              </w:rPr>
            </w:pPr>
            <w:r>
              <w:rPr>
                <w:rFonts w:ascii="Arial" w:cs="Arial" w:eastAsia="Arial" w:hAnsi="Arial"/>
                <w:sz w:val="18"/>
                <w:szCs w:val="18"/>
                <w:color w:val="auto"/>
              </w:rPr>
              <w:t>Accounts receivable, net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128,246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160,253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Inventories</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9,836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320"/>
              <w:spacing w:after="0"/>
              <w:rPr>
                <w:sz w:val="20"/>
                <w:szCs w:val="20"/>
                <w:color w:val="auto"/>
              </w:rPr>
            </w:pPr>
            <w:r>
              <w:rPr>
                <w:rFonts w:ascii="Arial" w:cs="Arial" w:eastAsia="Arial" w:hAnsi="Arial"/>
                <w:sz w:val="18"/>
                <w:szCs w:val="18"/>
                <w:color w:val="auto"/>
              </w:rPr>
              <w:t>Prepaid expenses and other current assets</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30,346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27,161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Assets held for sale</w:t>
            </w:r>
          </w:p>
        </w:tc>
        <w:tc>
          <w:tcPr>
            <w:tcW w:w="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8,656</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80" w:type="dxa"/>
            <w:vAlign w:val="bottom"/>
          </w:tcPr>
          <w:p>
            <w:pPr>
              <w:ind w:left="640"/>
              <w:spacing w:after="0"/>
              <w:rPr>
                <w:sz w:val="20"/>
                <w:szCs w:val="20"/>
                <w:color w:val="auto"/>
              </w:rPr>
            </w:pPr>
            <w:r>
              <w:rPr>
                <w:rFonts w:ascii="Arial" w:cs="Arial" w:eastAsia="Arial" w:hAnsi="Arial"/>
                <w:sz w:val="18"/>
                <w:szCs w:val="18"/>
                <w:color w:val="auto"/>
              </w:rPr>
              <w:t>Total current assets</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456,881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463,956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1,128,162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1,248,430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Goodwill, net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44,555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45,260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Other intangible assets, net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45,068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50,882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assets</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20,133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20,633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880" w:type="dxa"/>
            <w:vAlign w:val="bottom"/>
          </w:tcPr>
          <w:p>
            <w:pPr>
              <w:ind w:left="320"/>
              <w:spacing w:after="0"/>
              <w:rPr>
                <w:sz w:val="20"/>
                <w:szCs w:val="20"/>
                <w:color w:val="auto"/>
              </w:rPr>
            </w:pPr>
            <w:r>
              <w:rPr>
                <w:rFonts w:ascii="Arial" w:cs="Arial" w:eastAsia="Arial" w:hAnsi="Arial"/>
                <w:sz w:val="18"/>
                <w:szCs w:val="18"/>
                <w:color w:val="auto"/>
              </w:rPr>
              <w:t>Total assets</w:t>
            </w:r>
          </w:p>
        </w:tc>
        <w:tc>
          <w:tcPr>
            <w:tcW w:w="2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1,694,799</w:t>
            </w:r>
          </w:p>
        </w:tc>
        <w:tc>
          <w:tcPr>
            <w:tcW w:w="140" w:type="dxa"/>
            <w:vAlign w:val="bottom"/>
          </w:tcPr>
          <w:p>
            <w:pPr>
              <w:spacing w:after="0"/>
              <w:rPr>
                <w:sz w:val="18"/>
                <w:szCs w:val="18"/>
                <w:color w:val="auto"/>
              </w:rPr>
            </w:pPr>
          </w:p>
        </w:tc>
        <w:tc>
          <w:tcPr>
            <w:tcW w:w="400" w:type="dxa"/>
            <w:vAlign w:val="bottom"/>
            <w:gridSpan w:val="2"/>
          </w:tcPr>
          <w:p>
            <w:pPr>
              <w:jc w:val="right"/>
              <w:ind w:right="157"/>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1,829,161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7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2140"/>
              <w:spacing w:after="0"/>
              <w:rPr>
                <w:sz w:val="20"/>
                <w:szCs w:val="20"/>
                <w:color w:val="auto"/>
              </w:rPr>
            </w:pPr>
            <w:r>
              <w:rPr>
                <w:rFonts w:ascii="Arial" w:cs="Arial" w:eastAsia="Arial" w:hAnsi="Arial"/>
                <w:sz w:val="18"/>
                <w:szCs w:val="18"/>
                <w:color w:val="auto"/>
              </w:rPr>
              <w:t>LIABILITIES AND STOCKHOLDERS’ EQUITY</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Current liabilities:</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Accounts payable</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27,748</w:t>
            </w:r>
          </w:p>
        </w:tc>
        <w:tc>
          <w:tcPr>
            <w:tcW w:w="400" w:type="dxa"/>
            <w:vAlign w:val="bottom"/>
            <w:gridSpan w:val="2"/>
            <w:shd w:val="clear" w:color="auto" w:fill="CCEEFF"/>
          </w:tcPr>
          <w:p>
            <w:pPr>
              <w:jc w:val="right"/>
              <w:ind w:right="157"/>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36,277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320"/>
              <w:spacing w:after="0"/>
              <w:rPr>
                <w:sz w:val="20"/>
                <w:szCs w:val="20"/>
                <w:color w:val="auto"/>
              </w:rPr>
            </w:pPr>
            <w:r>
              <w:rPr>
                <w:rFonts w:ascii="Arial" w:cs="Arial" w:eastAsia="Arial" w:hAnsi="Arial"/>
                <w:sz w:val="18"/>
                <w:szCs w:val="18"/>
                <w:color w:val="auto"/>
              </w:rPr>
              <w:t>Accrued liabilities</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16,393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22,512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Income taxes</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320"/>
              <w:spacing w:after="0"/>
              <w:rPr>
                <w:sz w:val="20"/>
                <w:szCs w:val="20"/>
                <w:color w:val="auto"/>
              </w:rPr>
            </w:pPr>
            <w:r>
              <w:rPr>
                <w:rFonts w:ascii="Arial" w:cs="Arial" w:eastAsia="Arial" w:hAnsi="Arial"/>
                <w:sz w:val="18"/>
                <w:szCs w:val="18"/>
                <w:color w:val="auto"/>
              </w:rPr>
              <w:t>Current portion of long-term debt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29,063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19,375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Deferred revenue</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12,241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18,539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320"/>
              <w:spacing w:after="0"/>
              <w:rPr>
                <w:sz w:val="20"/>
                <w:szCs w:val="20"/>
                <w:color w:val="auto"/>
              </w:rPr>
            </w:pPr>
            <w:r>
              <w:rPr>
                <w:rFonts w:ascii="Arial" w:cs="Arial" w:eastAsia="Arial" w:hAnsi="Arial"/>
                <w:sz w:val="18"/>
                <w:szCs w:val="18"/>
                <w:color w:val="auto"/>
              </w:rPr>
              <w:t>Other current liabilities</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21,657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21,677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Total current liabilities</w:t>
            </w: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107,102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118,441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Long-term debt, less current maturities</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745,937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755,625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Deferred income taxes</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53,379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55,500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liabilities</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37,458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39,486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80" w:type="dxa"/>
            <w:vAlign w:val="bottom"/>
            <w:tcBorders>
              <w:top w:val="single" w:sz="8" w:color="CCEEFF"/>
            </w:tcBorders>
          </w:tcPr>
          <w:p>
            <w:pPr>
              <w:ind w:left="320"/>
              <w:spacing w:after="0"/>
              <w:rPr>
                <w:sz w:val="20"/>
                <w:szCs w:val="20"/>
                <w:color w:val="auto"/>
              </w:rPr>
            </w:pPr>
            <w:r>
              <w:rPr>
                <w:rFonts w:ascii="Arial" w:cs="Arial" w:eastAsia="Arial" w:hAnsi="Arial"/>
                <w:sz w:val="18"/>
                <w:szCs w:val="18"/>
                <w:color w:val="auto"/>
              </w:rPr>
              <w:t>Total liabilities</w:t>
            </w: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943,876</w:t>
            </w: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969,052</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Commitments and contingencies (Note 9)</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Stockholders’ Equity:</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880" w:type="dxa"/>
            <w:vAlign w:val="bottom"/>
            <w:shd w:val="clear" w:color="auto" w:fill="CCEEFF"/>
          </w:tcPr>
          <w:p>
            <w:pPr>
              <w:ind w:left="320"/>
              <w:spacing w:after="0" w:line="201" w:lineRule="exact"/>
              <w:rPr>
                <w:sz w:val="20"/>
                <w:szCs w:val="20"/>
                <w:color w:val="auto"/>
              </w:rPr>
            </w:pPr>
            <w:r>
              <w:rPr>
                <w:rFonts w:ascii="Arial" w:cs="Arial" w:eastAsia="Arial" w:hAnsi="Arial"/>
                <w:sz w:val="18"/>
                <w:szCs w:val="18"/>
                <w:color w:val="auto"/>
                <w:w w:val="91"/>
              </w:rPr>
              <w:t>Common stock ($0.01 par value, 550,000,000 shares authorized, 107,352,538 shares and 106,721,483</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880" w:type="dxa"/>
            <w:vAlign w:val="bottom"/>
            <w:shd w:val="clear" w:color="auto" w:fill="CCEEFF"/>
          </w:tcPr>
          <w:p>
            <w:pPr>
              <w:ind w:left="320"/>
              <w:spacing w:after="0"/>
              <w:rPr>
                <w:sz w:val="20"/>
                <w:szCs w:val="20"/>
                <w:color w:val="auto"/>
              </w:rPr>
            </w:pPr>
            <w:r>
              <w:rPr>
                <w:rFonts w:ascii="Arial" w:cs="Arial" w:eastAsia="Arial" w:hAnsi="Arial"/>
                <w:sz w:val="18"/>
                <w:szCs w:val="18"/>
                <w:color w:val="auto"/>
                <w:w w:val="91"/>
              </w:rPr>
              <w:t>shares issued, respectively, and 107,321,989 shares and 106,721,483 shares outstanding, respectively)</w:t>
            </w: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1,074</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320"/>
              <w:spacing w:after="0"/>
              <w:rPr>
                <w:sz w:val="20"/>
                <w:szCs w:val="20"/>
                <w:color w:val="auto"/>
              </w:rPr>
            </w:pPr>
            <w:r>
              <w:rPr>
                <w:rFonts w:ascii="Arial" w:cs="Arial" w:eastAsia="Arial" w:hAnsi="Arial"/>
                <w:sz w:val="18"/>
                <w:szCs w:val="18"/>
                <w:color w:val="auto"/>
              </w:rPr>
              <w:t>Additional paid-in capital</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1,301,761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1,300,042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Accumulated deficit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(244,633)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(244,617)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320"/>
              <w:spacing w:after="0"/>
              <w:rPr>
                <w:sz w:val="20"/>
                <w:szCs w:val="20"/>
                <w:color w:val="auto"/>
              </w:rPr>
            </w:pPr>
            <w:r>
              <w:rPr>
                <w:rFonts w:ascii="Arial" w:cs="Arial" w:eastAsia="Arial" w:hAnsi="Arial"/>
                <w:sz w:val="18"/>
                <w:szCs w:val="18"/>
                <w:color w:val="auto"/>
              </w:rPr>
              <w:t>Common stock held in treasury at cost, 30,549 and zero shares, respectively</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(118)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Accumulated other comprehensive loss</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(309,329)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(198,491)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80" w:type="dxa"/>
            <w:vAlign w:val="bottom"/>
            <w:tcBorders>
              <w:top w:val="single" w:sz="8" w:color="CCEEFF"/>
            </w:tcBorders>
          </w:tcPr>
          <w:p>
            <w:pPr>
              <w:ind w:left="640"/>
              <w:spacing w:after="0"/>
              <w:rPr>
                <w:sz w:val="20"/>
                <w:szCs w:val="20"/>
                <w:color w:val="auto"/>
              </w:rPr>
            </w:pPr>
            <w:r>
              <w:rPr>
                <w:rFonts w:ascii="Arial" w:cs="Arial" w:eastAsia="Arial" w:hAnsi="Arial"/>
                <w:sz w:val="18"/>
                <w:szCs w:val="18"/>
                <w:color w:val="auto"/>
              </w:rPr>
              <w:t>Total Civeo Corporation stockholders’ equity</w:t>
            </w: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748,755</w:t>
            </w: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858,001</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Noncontrolling interest</w:t>
            </w:r>
          </w:p>
        </w:tc>
        <w:tc>
          <w:tcPr>
            <w:tcW w:w="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2,168</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2,108</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80" w:type="dxa"/>
            <w:vAlign w:val="bottom"/>
          </w:tcPr>
          <w:p>
            <w:pPr>
              <w:ind w:left="320"/>
              <w:spacing w:after="0"/>
              <w:rPr>
                <w:sz w:val="20"/>
                <w:szCs w:val="20"/>
                <w:color w:val="auto"/>
              </w:rPr>
            </w:pPr>
            <w:r>
              <w:rPr>
                <w:rFonts w:ascii="Arial" w:cs="Arial" w:eastAsia="Arial" w:hAnsi="Arial"/>
                <w:sz w:val="18"/>
                <w:szCs w:val="18"/>
                <w:color w:val="auto"/>
              </w:rPr>
              <w:t>Total stockholders’ equity</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750,923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860,109</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88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Total liabilities and stockholders’ equity</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1,694,799</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57"/>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1,829,161</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5" w:name="page6"/>
    <w:bookmarkEnd w:id="5"/>
    <w:p>
      <w:pPr>
        <w:jc w:val="center"/>
        <w:ind w:right="40"/>
        <w:spacing w:after="0"/>
        <w:rPr>
          <w:sz w:val="20"/>
          <w:szCs w:val="20"/>
          <w:color w:val="auto"/>
        </w:rPr>
      </w:pPr>
      <w:r>
        <w:rPr>
          <w:rFonts w:ascii="Arial" w:cs="Arial" w:eastAsia="Arial" w:hAnsi="Arial"/>
          <w:sz w:val="18"/>
          <w:szCs w:val="18"/>
          <w:b w:val="1"/>
          <w:bCs w:val="1"/>
          <w:color w:val="auto"/>
        </w:rPr>
        <w:t>CIVEO CORPORATION</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 CONSOLIDATED STATEMENTS OF</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CHANGES IN STOCKHOLDERS’ EQUITY / NET INVESTMENT</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gridSpan w:val="9"/>
          </w:tcPr>
          <w:p>
            <w:pPr>
              <w:jc w:val="right"/>
              <w:ind w:right="620"/>
              <w:spacing w:after="0"/>
              <w:rPr>
                <w:sz w:val="20"/>
                <w:szCs w:val="20"/>
                <w:color w:val="auto"/>
              </w:rPr>
            </w:pPr>
            <w:r>
              <w:rPr>
                <w:rFonts w:ascii="Arial" w:cs="Arial" w:eastAsia="Arial" w:hAnsi="Arial"/>
                <w:sz w:val="18"/>
                <w:szCs w:val="18"/>
                <w:b w:val="1"/>
                <w:bCs w:val="1"/>
                <w:color w:val="auto"/>
              </w:rPr>
              <w:t>Attributable to Civeo</w:t>
            </w: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gridSpan w:val="5"/>
          </w:tcPr>
          <w:p>
            <w:pPr>
              <w:jc w:val="right"/>
              <w:ind w:right="440"/>
              <w:spacing w:after="0"/>
              <w:rPr>
                <w:sz w:val="20"/>
                <w:szCs w:val="20"/>
                <w:color w:val="auto"/>
              </w:rPr>
            </w:pPr>
            <w:r>
              <w:rPr>
                <w:rFonts w:ascii="Arial" w:cs="Arial" w:eastAsia="Arial" w:hAnsi="Arial"/>
                <w:sz w:val="18"/>
                <w:szCs w:val="18"/>
                <w:b w:val="1"/>
                <w:bCs w:val="1"/>
                <w:color w:val="auto"/>
                <w:w w:val="98"/>
              </w:rPr>
              <w:t>Common Stock</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3"/>
            <w:vMerge w:val="restart"/>
          </w:tcPr>
          <w:p>
            <w:pPr>
              <w:jc w:val="center"/>
              <w:ind w:right="200"/>
              <w:spacing w:after="0"/>
              <w:rPr>
                <w:sz w:val="20"/>
                <w:szCs w:val="20"/>
                <w:color w:val="auto"/>
              </w:rPr>
            </w:pPr>
            <w:r>
              <w:rPr>
                <w:rFonts w:ascii="Arial" w:cs="Arial" w:eastAsia="Arial" w:hAnsi="Arial"/>
                <w:sz w:val="18"/>
                <w:szCs w:val="18"/>
                <w:b w:val="1"/>
                <w:bCs w:val="1"/>
                <w:color w:val="auto"/>
                <w:w w:val="90"/>
              </w:rPr>
              <w:t>Accumulated</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vMerge w:val="restart"/>
          </w:tcPr>
          <w:p>
            <w:pPr>
              <w:jc w:val="center"/>
              <w:ind w:right="180"/>
              <w:spacing w:after="0"/>
              <w:rPr>
                <w:sz w:val="20"/>
                <w:szCs w:val="20"/>
                <w:color w:val="auto"/>
              </w:rPr>
            </w:pPr>
            <w:r>
              <w:rPr>
                <w:rFonts w:ascii="Arial" w:cs="Arial" w:eastAsia="Arial" w:hAnsi="Arial"/>
                <w:sz w:val="18"/>
                <w:szCs w:val="18"/>
                <w:b w:val="1"/>
                <w:bCs w:val="1"/>
                <w:color w:val="auto"/>
                <w:w w:val="92"/>
              </w:rPr>
              <w:t>Total</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gridSpan w:val="3"/>
            <w:vMerge w:val="continue"/>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3"/>
          </w:tcPr>
          <w:p>
            <w:pPr>
              <w:ind w:left="20"/>
              <w:spacing w:after="0"/>
              <w:rPr>
                <w:sz w:val="20"/>
                <w:szCs w:val="20"/>
                <w:color w:val="auto"/>
              </w:rPr>
            </w:pPr>
            <w:r>
              <w:rPr>
                <w:rFonts w:ascii="Arial" w:cs="Arial" w:eastAsia="Arial" w:hAnsi="Arial"/>
                <w:sz w:val="18"/>
                <w:szCs w:val="18"/>
                <w:b w:val="1"/>
                <w:bCs w:val="1"/>
                <w:color w:val="auto"/>
              </w:rPr>
              <w:t>Additional</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3"/>
          </w:tcPr>
          <w:p>
            <w:pPr>
              <w:ind w:left="60"/>
              <w:spacing w:after="0"/>
              <w:rPr>
                <w:sz w:val="20"/>
                <w:szCs w:val="20"/>
                <w:color w:val="auto"/>
              </w:rPr>
            </w:pPr>
            <w:r>
              <w:rPr>
                <w:rFonts w:ascii="Arial" w:cs="Arial" w:eastAsia="Arial" w:hAnsi="Arial"/>
                <w:sz w:val="18"/>
                <w:szCs w:val="18"/>
                <w:b w:val="1"/>
                <w:bCs w:val="1"/>
                <w:color w:val="auto"/>
              </w:rPr>
              <w:t>Oil States</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5"/>
              </w:rPr>
              <w:t>Other</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4"/>
          </w:tcPr>
          <w:p>
            <w:pPr>
              <w:jc w:val="center"/>
              <w:spacing w:after="0"/>
              <w:rPr>
                <w:sz w:val="20"/>
                <w:szCs w:val="20"/>
                <w:color w:val="auto"/>
              </w:rPr>
            </w:pPr>
            <w:r>
              <w:rPr>
                <w:rFonts w:ascii="Arial" w:cs="Arial" w:eastAsia="Arial" w:hAnsi="Arial"/>
                <w:sz w:val="18"/>
                <w:szCs w:val="18"/>
                <w:b w:val="1"/>
                <w:bCs w:val="1"/>
                <w:color w:val="auto"/>
                <w:w w:val="89"/>
              </w:rPr>
              <w:t>Stockholders’</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ind w:left="80"/>
              <w:spacing w:after="0"/>
              <w:rPr>
                <w:sz w:val="20"/>
                <w:szCs w:val="20"/>
                <w:color w:val="auto"/>
              </w:rPr>
            </w:pPr>
            <w:r>
              <w:rPr>
                <w:rFonts w:ascii="Arial" w:cs="Arial" w:eastAsia="Arial" w:hAnsi="Arial"/>
                <w:sz w:val="18"/>
                <w:szCs w:val="18"/>
                <w:b w:val="1"/>
                <w:bCs w:val="1"/>
                <w:color w:val="auto"/>
              </w:rPr>
              <w:t>Par</w:t>
            </w:r>
          </w:p>
        </w:tc>
        <w:tc>
          <w:tcPr>
            <w:tcW w:w="10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6"/>
              </w:rPr>
              <w:t>Paid-in</w:t>
            </w:r>
          </w:p>
        </w:tc>
        <w:tc>
          <w:tcPr>
            <w:tcW w:w="1140" w:type="dxa"/>
            <w:vAlign w:val="bottom"/>
            <w:gridSpan w:val="3"/>
          </w:tcPr>
          <w:p>
            <w:pPr>
              <w:spacing w:after="0"/>
              <w:rPr>
                <w:sz w:val="20"/>
                <w:szCs w:val="20"/>
                <w:color w:val="auto"/>
              </w:rPr>
            </w:pPr>
            <w:r>
              <w:rPr>
                <w:rFonts w:ascii="Arial" w:cs="Arial" w:eastAsia="Arial" w:hAnsi="Arial"/>
                <w:sz w:val="18"/>
                <w:szCs w:val="18"/>
                <w:b w:val="1"/>
                <w:bCs w:val="1"/>
                <w:color w:val="auto"/>
                <w:w w:val="99"/>
              </w:rPr>
              <w:t>Accumulated</w:t>
            </w:r>
          </w:p>
        </w:tc>
        <w:tc>
          <w:tcPr>
            <w:tcW w:w="80" w:type="dxa"/>
            <w:vAlign w:val="bottom"/>
          </w:tcPr>
          <w:p>
            <w:pPr>
              <w:spacing w:after="0"/>
              <w:rPr>
                <w:sz w:val="18"/>
                <w:szCs w:val="18"/>
                <w:color w:val="auto"/>
              </w:rPr>
            </w:pPr>
          </w:p>
        </w:tc>
        <w:tc>
          <w:tcPr>
            <w:tcW w:w="98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2"/>
              </w:rPr>
              <w:t>Treasury</w:t>
            </w:r>
          </w:p>
        </w:tc>
        <w:tc>
          <w:tcPr>
            <w:tcW w:w="100" w:type="dxa"/>
            <w:vAlign w:val="bottom"/>
          </w:tcPr>
          <w:p>
            <w:pPr>
              <w:spacing w:after="0"/>
              <w:rPr>
                <w:sz w:val="18"/>
                <w:szCs w:val="18"/>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Net</w:t>
            </w:r>
          </w:p>
        </w:tc>
        <w:tc>
          <w:tcPr>
            <w:tcW w:w="1480" w:type="dxa"/>
            <w:vAlign w:val="bottom"/>
            <w:gridSpan w:val="4"/>
          </w:tcPr>
          <w:p>
            <w:pPr>
              <w:ind w:left="100"/>
              <w:spacing w:after="0"/>
              <w:rPr>
                <w:sz w:val="20"/>
                <w:szCs w:val="20"/>
                <w:color w:val="auto"/>
              </w:rPr>
            </w:pPr>
            <w:r>
              <w:rPr>
                <w:rFonts w:ascii="Arial" w:cs="Arial" w:eastAsia="Arial" w:hAnsi="Arial"/>
                <w:sz w:val="18"/>
                <w:szCs w:val="18"/>
                <w:b w:val="1"/>
                <w:bCs w:val="1"/>
                <w:color w:val="auto"/>
              </w:rPr>
              <w:t>Comprehensive</w:t>
            </w:r>
          </w:p>
        </w:tc>
        <w:tc>
          <w:tcPr>
            <w:tcW w:w="1260" w:type="dxa"/>
            <w:vAlign w:val="bottom"/>
            <w:gridSpan w:val="3"/>
          </w:tcPr>
          <w:p>
            <w:pPr>
              <w:spacing w:after="0"/>
              <w:rPr>
                <w:sz w:val="20"/>
                <w:szCs w:val="20"/>
                <w:color w:val="auto"/>
              </w:rPr>
            </w:pPr>
            <w:r>
              <w:rPr>
                <w:rFonts w:ascii="Arial" w:cs="Arial" w:eastAsia="Arial" w:hAnsi="Arial"/>
                <w:sz w:val="18"/>
                <w:szCs w:val="18"/>
                <w:b w:val="1"/>
                <w:bCs w:val="1"/>
                <w:color w:val="auto"/>
                <w:w w:val="96"/>
              </w:rPr>
              <w:t>Noncontrolling</w:t>
            </w:r>
          </w:p>
        </w:tc>
        <w:tc>
          <w:tcPr>
            <w:tcW w:w="80" w:type="dxa"/>
            <w:vAlign w:val="bottom"/>
          </w:tcPr>
          <w:p>
            <w:pPr>
              <w:spacing w:after="0"/>
              <w:rPr>
                <w:sz w:val="18"/>
                <w:szCs w:val="18"/>
                <w:color w:val="auto"/>
              </w:rPr>
            </w:pPr>
          </w:p>
        </w:tc>
        <w:tc>
          <w:tcPr>
            <w:tcW w:w="11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2"/>
              </w:rPr>
              <w:t>Equity / Net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b w:val="1"/>
                <w:bCs w:val="1"/>
                <w:color w:val="auto"/>
                <w:w w:val="87"/>
              </w:rPr>
              <w:t>Value</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jc w:val="right"/>
              <w:ind w:right="50"/>
              <w:spacing w:after="0"/>
              <w:rPr>
                <w:sz w:val="20"/>
                <w:szCs w:val="20"/>
                <w:color w:val="auto"/>
              </w:rPr>
            </w:pPr>
            <w:r>
              <w:rPr>
                <w:rFonts w:ascii="Arial" w:cs="Arial" w:eastAsia="Arial" w:hAnsi="Arial"/>
                <w:sz w:val="18"/>
                <w:szCs w:val="18"/>
                <w:b w:val="1"/>
                <w:bCs w:val="1"/>
                <w:color w:val="auto"/>
                <w:w w:val="96"/>
              </w:rPr>
              <w:t>Capital</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150"/>
              <w:spacing w:after="0"/>
              <w:rPr>
                <w:sz w:val="20"/>
                <w:szCs w:val="20"/>
                <w:color w:val="auto"/>
              </w:rPr>
            </w:pPr>
            <w:r>
              <w:rPr>
                <w:rFonts w:ascii="Arial" w:cs="Arial" w:eastAsia="Arial" w:hAnsi="Arial"/>
                <w:sz w:val="18"/>
                <w:szCs w:val="18"/>
                <w:b w:val="1"/>
                <w:bCs w:val="1"/>
                <w:color w:val="auto"/>
              </w:rPr>
              <w:t>Deficit</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jc w:val="center"/>
              <w:ind w:right="10"/>
              <w:spacing w:after="0"/>
              <w:rPr>
                <w:sz w:val="20"/>
                <w:szCs w:val="20"/>
                <w:color w:val="auto"/>
              </w:rPr>
            </w:pPr>
            <w:r>
              <w:rPr>
                <w:rFonts w:ascii="Arial" w:cs="Arial" w:eastAsia="Arial" w:hAnsi="Arial"/>
                <w:sz w:val="18"/>
                <w:szCs w:val="18"/>
                <w:b w:val="1"/>
                <w:bCs w:val="1"/>
                <w:color w:val="auto"/>
                <w:w w:val="85"/>
              </w:rPr>
              <w:t>Stock</w:t>
            </w:r>
          </w:p>
        </w:tc>
        <w:tc>
          <w:tcPr>
            <w:tcW w:w="200" w:type="dxa"/>
            <w:vAlign w:val="bottom"/>
          </w:tcPr>
          <w:p>
            <w:pPr>
              <w:spacing w:after="0"/>
              <w:rPr>
                <w:sz w:val="20"/>
                <w:szCs w:val="20"/>
                <w:color w:val="auto"/>
              </w:rPr>
            </w:pPr>
          </w:p>
        </w:tc>
        <w:tc>
          <w:tcPr>
            <w:tcW w:w="940" w:type="dxa"/>
            <w:vAlign w:val="bottom"/>
            <w:gridSpan w:val="3"/>
          </w:tcPr>
          <w:p>
            <w:pPr>
              <w:spacing w:after="0"/>
              <w:rPr>
                <w:sz w:val="20"/>
                <w:szCs w:val="20"/>
                <w:color w:val="auto"/>
              </w:rPr>
            </w:pPr>
            <w:r>
              <w:rPr>
                <w:rFonts w:ascii="Arial" w:cs="Arial" w:eastAsia="Arial" w:hAnsi="Arial"/>
                <w:sz w:val="18"/>
                <w:szCs w:val="18"/>
                <w:b w:val="1"/>
                <w:bCs w:val="1"/>
                <w:color w:val="auto"/>
                <w:w w:val="96"/>
              </w:rPr>
              <w:t>Investment</w:t>
            </w:r>
          </w:p>
        </w:tc>
        <w:tc>
          <w:tcPr>
            <w:tcW w:w="100" w:type="dxa"/>
            <w:vAlign w:val="bottom"/>
          </w:tcPr>
          <w:p>
            <w:pPr>
              <w:spacing w:after="0"/>
              <w:rPr>
                <w:sz w:val="20"/>
                <w:szCs w:val="20"/>
                <w:color w:val="auto"/>
              </w:rPr>
            </w:pPr>
          </w:p>
        </w:tc>
        <w:tc>
          <w:tcPr>
            <w:tcW w:w="138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0"/>
              </w:rPr>
              <w:t>Income (Loss)</w:t>
            </w:r>
          </w:p>
        </w:tc>
        <w:tc>
          <w:tcPr>
            <w:tcW w:w="180" w:type="dxa"/>
            <w:vAlign w:val="bottom"/>
          </w:tcPr>
          <w:p>
            <w:pPr>
              <w:spacing w:after="0"/>
              <w:rPr>
                <w:sz w:val="20"/>
                <w:szCs w:val="20"/>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Interest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Investment</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3"/>
              </w:rPr>
              <w:t>Balance, December 31, 2013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89"/>
              </w:rPr>
              <w:t>1,651,013</w:t>
            </w:r>
          </w:p>
        </w:tc>
        <w:tc>
          <w:tcPr>
            <w:tcW w:w="320" w:type="dxa"/>
            <w:vAlign w:val="bottom"/>
            <w:gridSpan w:val="2"/>
            <w:shd w:val="clear" w:color="auto" w:fill="CCEEFF"/>
          </w:tcPr>
          <w:p>
            <w:pPr>
              <w:ind w:left="100"/>
              <w:spacing w:after="0"/>
              <w:rPr>
                <w:sz w:val="20"/>
                <w:szCs w:val="20"/>
                <w:color w:val="auto"/>
              </w:rPr>
            </w:pPr>
            <w:r>
              <w:rPr>
                <w:rFonts w:ascii="Arial" w:cs="Arial" w:eastAsia="Arial" w:hAnsi="Arial"/>
                <w:sz w:val="18"/>
                <w:szCs w:val="18"/>
                <w:b w:val="1"/>
                <w:bCs w:val="1"/>
                <w:color w:val="auto"/>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(59,979)</w:t>
            </w:r>
          </w:p>
        </w:tc>
        <w:tc>
          <w:tcPr>
            <w:tcW w:w="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1,711</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1,592,745</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Net income</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36,239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357</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36,596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Currency translation</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adjustment.</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13,078</w:t>
            </w:r>
          </w:p>
        </w:tc>
        <w:tc>
          <w:tcPr>
            <w:tcW w:w="1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(65)</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13,013</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80" w:type="dxa"/>
            <w:vAlign w:val="bottom"/>
          </w:tcPr>
          <w:p>
            <w:pPr>
              <w:spacing w:after="0" w:line="201" w:lineRule="exact"/>
              <w:rPr>
                <w:sz w:val="20"/>
                <w:szCs w:val="20"/>
                <w:color w:val="auto"/>
              </w:rPr>
            </w:pPr>
            <w:r>
              <w:rPr>
                <w:rFonts w:ascii="Arial" w:cs="Arial" w:eastAsia="Arial" w:hAnsi="Arial"/>
                <w:sz w:val="18"/>
                <w:szCs w:val="18"/>
                <w:color w:val="auto"/>
                <w:w w:val="99"/>
              </w:rPr>
              <w:t>Net transfers from Oil States</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22,871</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22,871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280" w:type="dxa"/>
            <w:vAlign w:val="bottom"/>
          </w:tcPr>
          <w:p>
            <w:pPr>
              <w:ind w:left="140"/>
              <w:spacing w:after="0"/>
              <w:rPr>
                <w:sz w:val="20"/>
                <w:szCs w:val="20"/>
                <w:color w:val="auto"/>
              </w:rPr>
            </w:pPr>
            <w:r>
              <w:rPr>
                <w:rFonts w:ascii="Arial" w:cs="Arial" w:eastAsia="Arial" w:hAnsi="Arial"/>
                <w:sz w:val="18"/>
                <w:szCs w:val="18"/>
                <w:color w:val="auto"/>
              </w:rPr>
              <w:t>International, Inc.</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March 31, 2014</w:t>
            </w:r>
          </w:p>
        </w:tc>
        <w:tc>
          <w:tcPr>
            <w:tcW w:w="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1,710,123</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(46,901)</w:t>
            </w: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2,003</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1,665,225</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260" w:type="dxa"/>
            <w:vAlign w:val="bottom"/>
            <w:gridSpan w:val="2"/>
          </w:tcPr>
          <w:p>
            <w:pPr>
              <w:spacing w:after="0"/>
              <w:rPr>
                <w:sz w:val="17"/>
                <w:szCs w:val="17"/>
                <w:color w:val="auto"/>
              </w:rPr>
            </w:pPr>
          </w:p>
        </w:tc>
        <w:tc>
          <w:tcPr>
            <w:tcW w:w="740" w:type="dxa"/>
            <w:vAlign w:val="bottom"/>
            <w:gridSpan w:val="2"/>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gridSpan w:val="2"/>
          </w:tcPr>
          <w:p>
            <w:pPr>
              <w:spacing w:after="0"/>
              <w:rPr>
                <w:sz w:val="17"/>
                <w:szCs w:val="17"/>
                <w:color w:val="auto"/>
              </w:rPr>
            </w:pPr>
          </w:p>
        </w:tc>
        <w:tc>
          <w:tcPr>
            <w:tcW w:w="180" w:type="dxa"/>
            <w:vAlign w:val="bottom"/>
            <w:gridSpan w:val="2"/>
          </w:tcPr>
          <w:p>
            <w:pPr>
              <w:spacing w:after="0"/>
              <w:rPr>
                <w:sz w:val="17"/>
                <w:szCs w:val="17"/>
                <w:color w:val="auto"/>
              </w:rPr>
            </w:pPr>
          </w:p>
        </w:tc>
        <w:tc>
          <w:tcPr>
            <w:tcW w:w="880" w:type="dxa"/>
            <w:vAlign w:val="bottom"/>
            <w:gridSpan w:val="2"/>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spacing w:after="0"/>
              <w:rPr>
                <w:sz w:val="17"/>
                <w:szCs w:val="17"/>
                <w:color w:val="auto"/>
              </w:rPr>
            </w:pPr>
          </w:p>
        </w:tc>
        <w:tc>
          <w:tcPr>
            <w:tcW w:w="320" w:type="dxa"/>
            <w:vAlign w:val="bottom"/>
            <w:gridSpan w:val="2"/>
          </w:tcPr>
          <w:p>
            <w:pPr>
              <w:spacing w:after="0"/>
              <w:rPr>
                <w:sz w:val="17"/>
                <w:szCs w:val="17"/>
                <w:color w:val="auto"/>
              </w:rPr>
            </w:pPr>
          </w:p>
        </w:tc>
        <w:tc>
          <w:tcPr>
            <w:tcW w:w="1160" w:type="dxa"/>
            <w:vAlign w:val="bottom"/>
            <w:gridSpan w:val="2"/>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2"/>
          </w:tcPr>
          <w:p>
            <w:pPr>
              <w:spacing w:after="0"/>
              <w:rPr>
                <w:sz w:val="17"/>
                <w:szCs w:val="17"/>
                <w:color w:val="auto"/>
              </w:rPr>
            </w:pPr>
          </w:p>
        </w:tc>
        <w:tc>
          <w:tcPr>
            <w:tcW w:w="160" w:type="dxa"/>
            <w:vAlign w:val="bottom"/>
            <w:gridSpan w:val="2"/>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spacing w:after="0"/>
              <w:rPr>
                <w:sz w:val="18"/>
                <w:szCs w:val="18"/>
                <w:color w:val="auto"/>
              </w:rPr>
            </w:pPr>
          </w:p>
        </w:tc>
        <w:tc>
          <w:tcPr>
            <w:tcW w:w="74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spacing w:after="0"/>
              <w:rPr>
                <w:sz w:val="18"/>
                <w:szCs w:val="18"/>
                <w:color w:val="auto"/>
              </w:rPr>
            </w:pPr>
          </w:p>
        </w:tc>
        <w:tc>
          <w:tcPr>
            <w:tcW w:w="180" w:type="dxa"/>
            <w:vAlign w:val="bottom"/>
            <w:gridSpan w:val="2"/>
            <w:shd w:val="clear" w:color="auto" w:fill="CCEEFF"/>
          </w:tcPr>
          <w:p>
            <w:pPr>
              <w:spacing w:after="0"/>
              <w:rPr>
                <w:sz w:val="18"/>
                <w:szCs w:val="18"/>
                <w:color w:val="auto"/>
              </w:rPr>
            </w:pPr>
          </w:p>
        </w:tc>
        <w:tc>
          <w:tcPr>
            <w:tcW w:w="88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spacing w:after="0"/>
              <w:rPr>
                <w:sz w:val="18"/>
                <w:szCs w:val="18"/>
                <w:color w:val="auto"/>
              </w:rPr>
            </w:pPr>
          </w:p>
        </w:tc>
        <w:tc>
          <w:tcPr>
            <w:tcW w:w="320" w:type="dxa"/>
            <w:vAlign w:val="bottom"/>
            <w:gridSpan w:val="2"/>
            <w:shd w:val="clear" w:color="auto" w:fill="CCEEFF"/>
          </w:tcPr>
          <w:p>
            <w:pPr>
              <w:spacing w:after="0"/>
              <w:rPr>
                <w:sz w:val="18"/>
                <w:szCs w:val="18"/>
                <w:color w:val="auto"/>
              </w:rPr>
            </w:pPr>
          </w:p>
        </w:tc>
        <w:tc>
          <w:tcPr>
            <w:tcW w:w="1160" w:type="dxa"/>
            <w:vAlign w:val="bottom"/>
            <w:gridSpan w:val="2"/>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spacing w:after="0"/>
              <w:rPr>
                <w:sz w:val="18"/>
                <w:szCs w:val="18"/>
                <w:color w:val="auto"/>
              </w:rPr>
            </w:pPr>
          </w:p>
        </w:tc>
        <w:tc>
          <w:tcPr>
            <w:tcW w:w="160" w:type="dxa"/>
            <w:vAlign w:val="bottom"/>
            <w:gridSpan w:val="2"/>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80" w:type="dxa"/>
            <w:vAlign w:val="bottom"/>
          </w:tcPr>
          <w:p>
            <w:pPr>
              <w:spacing w:after="0"/>
              <w:rPr>
                <w:sz w:val="20"/>
                <w:szCs w:val="20"/>
                <w:color w:val="auto"/>
              </w:rPr>
            </w:pPr>
            <w:r>
              <w:rPr>
                <w:rFonts w:ascii="Arial" w:cs="Arial" w:eastAsia="Arial" w:hAnsi="Arial"/>
                <w:sz w:val="18"/>
                <w:szCs w:val="18"/>
                <w:b w:val="1"/>
                <w:bCs w:val="1"/>
                <w:color w:val="auto"/>
                <w:w w:val="93"/>
              </w:rPr>
              <w:t>Balance, December 31, 2014</w:t>
            </w:r>
          </w:p>
        </w:tc>
        <w:tc>
          <w:tcPr>
            <w:tcW w:w="2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1,067</w:t>
            </w:r>
          </w:p>
        </w:tc>
        <w:tc>
          <w:tcPr>
            <w:tcW w:w="100" w:type="dxa"/>
            <w:vAlign w:val="bottom"/>
          </w:tcPr>
          <w:p>
            <w:pPr>
              <w:spacing w:after="0"/>
              <w:rPr>
                <w:sz w:val="20"/>
                <w:szCs w:val="20"/>
                <w:color w:val="auto"/>
              </w:rPr>
            </w:pPr>
            <w:r>
              <w:rPr>
                <w:rFonts w:ascii="Arial" w:cs="Arial" w:eastAsia="Arial" w:hAnsi="Arial"/>
                <w:sz w:val="18"/>
                <w:szCs w:val="18"/>
                <w:b w:val="1"/>
                <w:bCs w:val="1"/>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w w:val="89"/>
              </w:rPr>
              <w:t>1,300,042</w:t>
            </w:r>
          </w:p>
        </w:tc>
        <w:tc>
          <w:tcPr>
            <w:tcW w:w="18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b w:val="1"/>
                <w:bCs w:val="1"/>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(244,617)</w:t>
            </w:r>
          </w:p>
        </w:tc>
        <w:tc>
          <w:tcPr>
            <w:tcW w:w="1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r>
              <w:rPr>
                <w:rFonts w:ascii="Arial" w:cs="Arial" w:eastAsia="Arial" w:hAnsi="Arial"/>
                <w:sz w:val="18"/>
                <w:szCs w:val="18"/>
                <w:b w:val="1"/>
                <w:bCs w:val="1"/>
                <w:color w:val="auto"/>
                <w:w w:val="79"/>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320" w:type="dxa"/>
            <w:vAlign w:val="bottom"/>
            <w:gridSpan w:val="2"/>
          </w:tcPr>
          <w:p>
            <w:pPr>
              <w:ind w:left="100"/>
              <w:spacing w:after="0"/>
              <w:rPr>
                <w:sz w:val="20"/>
                <w:szCs w:val="20"/>
                <w:color w:val="auto"/>
              </w:rPr>
            </w:pPr>
            <w:r>
              <w:rPr>
                <w:rFonts w:ascii="Arial" w:cs="Arial" w:eastAsia="Arial" w:hAnsi="Arial"/>
                <w:sz w:val="18"/>
                <w:szCs w:val="18"/>
                <w:b w:val="1"/>
                <w:bCs w:val="1"/>
                <w:color w:val="auto"/>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(198,491)</w:t>
            </w:r>
          </w:p>
        </w:tc>
        <w:tc>
          <w:tcPr>
            <w:tcW w:w="180" w:type="dxa"/>
            <w:vAlign w:val="bottom"/>
          </w:tcPr>
          <w:p>
            <w:pPr>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2,108</w:t>
            </w:r>
          </w:p>
        </w:tc>
        <w:tc>
          <w:tcPr>
            <w:tcW w:w="1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860,109</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80" w:type="dxa"/>
            <w:vAlign w:val="bottom"/>
          </w:tcPr>
          <w:p>
            <w:pPr>
              <w:ind w:left="160"/>
              <w:spacing w:after="0" w:line="201" w:lineRule="exact"/>
              <w:rPr>
                <w:sz w:val="20"/>
                <w:szCs w:val="20"/>
                <w:color w:val="auto"/>
              </w:rPr>
            </w:pPr>
            <w:r>
              <w:rPr>
                <w:rFonts w:ascii="Arial" w:cs="Arial" w:eastAsia="Arial" w:hAnsi="Arial"/>
                <w:sz w:val="18"/>
                <w:szCs w:val="18"/>
                <w:color w:val="auto"/>
              </w:rPr>
              <w:t>Currency translation</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80" w:type="dxa"/>
            <w:vAlign w:val="bottom"/>
          </w:tcPr>
          <w:p>
            <w:pPr>
              <w:ind w:left="300"/>
              <w:spacing w:after="0"/>
              <w:rPr>
                <w:sz w:val="20"/>
                <w:szCs w:val="20"/>
                <w:color w:val="auto"/>
              </w:rPr>
            </w:pPr>
            <w:r>
              <w:rPr>
                <w:rFonts w:ascii="Arial" w:cs="Arial" w:eastAsia="Arial" w:hAnsi="Arial"/>
                <w:sz w:val="18"/>
                <w:szCs w:val="18"/>
                <w:color w:val="auto"/>
              </w:rPr>
              <w:t>adjustment.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(110,838)</w:t>
            </w:r>
          </w:p>
        </w:tc>
        <w:tc>
          <w:tcPr>
            <w:tcW w:w="180" w:type="dxa"/>
            <w:vAlign w:val="bottom"/>
          </w:tcPr>
          <w:p>
            <w:pPr>
              <w:spacing w:after="0"/>
              <w:rPr>
                <w:sz w:val="20"/>
                <w:szCs w:val="20"/>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(186)</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(111,024)</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4"/>
              </w:rPr>
              <w:t>Stock-based compensation.</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1,719</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(118)</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1,608</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2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280" w:type="dxa"/>
            <w:vAlign w:val="bottom"/>
          </w:tcPr>
          <w:p>
            <w:pPr>
              <w:spacing w:after="0"/>
              <w:rPr>
                <w:sz w:val="20"/>
                <w:szCs w:val="20"/>
                <w:color w:val="auto"/>
              </w:rPr>
            </w:pPr>
            <w:r>
              <w:rPr>
                <w:rFonts w:ascii="Arial" w:cs="Arial" w:eastAsia="Arial" w:hAnsi="Arial"/>
                <w:sz w:val="18"/>
                <w:szCs w:val="18"/>
                <w:b w:val="1"/>
                <w:bCs w:val="1"/>
                <w:color w:val="auto"/>
              </w:rPr>
              <w:t>Balance, March 31, 2015</w:t>
            </w:r>
          </w:p>
        </w:tc>
        <w:tc>
          <w:tcPr>
            <w:tcW w:w="2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1,074</w:t>
            </w:r>
          </w:p>
        </w:tc>
        <w:tc>
          <w:tcPr>
            <w:tcW w:w="100" w:type="dxa"/>
            <w:vAlign w:val="bottom"/>
          </w:tcPr>
          <w:p>
            <w:pPr>
              <w:spacing w:after="0"/>
              <w:rPr>
                <w:sz w:val="20"/>
                <w:szCs w:val="20"/>
                <w:color w:val="auto"/>
              </w:rPr>
            </w:pPr>
            <w:r>
              <w:rPr>
                <w:rFonts w:ascii="Arial" w:cs="Arial" w:eastAsia="Arial" w:hAnsi="Arial"/>
                <w:sz w:val="18"/>
                <w:szCs w:val="18"/>
                <w:b w:val="1"/>
                <w:bCs w:val="1"/>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w w:val="89"/>
              </w:rPr>
              <w:t>1,301,761</w:t>
            </w:r>
          </w:p>
        </w:tc>
        <w:tc>
          <w:tcPr>
            <w:tcW w:w="18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b w:val="1"/>
                <w:bCs w:val="1"/>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(244,633)</w:t>
            </w:r>
          </w:p>
        </w:tc>
        <w:tc>
          <w:tcPr>
            <w:tcW w:w="1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(118)</w:t>
            </w:r>
          </w:p>
        </w:tc>
        <w:tc>
          <w:tcPr>
            <w:tcW w:w="100" w:type="dxa"/>
            <w:vAlign w:val="bottom"/>
          </w:tcPr>
          <w:p>
            <w:pPr>
              <w:spacing w:after="0"/>
              <w:rPr>
                <w:sz w:val="20"/>
                <w:szCs w:val="20"/>
                <w:color w:val="auto"/>
              </w:rPr>
            </w:pPr>
            <w:r>
              <w:rPr>
                <w:rFonts w:ascii="Arial" w:cs="Arial" w:eastAsia="Arial" w:hAnsi="Arial"/>
                <w:sz w:val="18"/>
                <w:szCs w:val="18"/>
                <w:b w:val="1"/>
                <w:bCs w:val="1"/>
                <w:color w:val="auto"/>
                <w:w w:val="79"/>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320" w:type="dxa"/>
            <w:vAlign w:val="bottom"/>
            <w:gridSpan w:val="2"/>
          </w:tcPr>
          <w:p>
            <w:pPr>
              <w:ind w:left="100"/>
              <w:spacing w:after="0"/>
              <w:rPr>
                <w:sz w:val="20"/>
                <w:szCs w:val="20"/>
                <w:color w:val="auto"/>
              </w:rPr>
            </w:pPr>
            <w:r>
              <w:rPr>
                <w:rFonts w:ascii="Arial" w:cs="Arial" w:eastAsia="Arial" w:hAnsi="Arial"/>
                <w:sz w:val="18"/>
                <w:szCs w:val="18"/>
                <w:b w:val="1"/>
                <w:bCs w:val="1"/>
                <w:color w:val="auto"/>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(309,329)</w:t>
            </w:r>
          </w:p>
        </w:tc>
        <w:tc>
          <w:tcPr>
            <w:tcW w:w="180" w:type="dxa"/>
            <w:vAlign w:val="bottom"/>
          </w:tcPr>
          <w:p>
            <w:pPr>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2,168</w:t>
            </w:r>
          </w:p>
        </w:tc>
        <w:tc>
          <w:tcPr>
            <w:tcW w:w="1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750,923</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jc w:val="right"/>
              <w:ind w:right="470"/>
              <w:spacing w:after="0"/>
              <w:rPr>
                <w:sz w:val="20"/>
                <w:szCs w:val="20"/>
                <w:color w:val="auto"/>
              </w:rPr>
            </w:pPr>
            <w:r>
              <w:rPr>
                <w:rFonts w:ascii="Arial" w:cs="Arial" w:eastAsia="Arial" w:hAnsi="Arial"/>
                <w:sz w:val="18"/>
                <w:szCs w:val="18"/>
                <w:color w:val="auto"/>
                <w:w w:val="99"/>
              </w:rPr>
              <w:t>6</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9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shd w:val="clear" w:color="auto" w:fill="808080"/>
          </w:tcPr>
          <w:p>
            <w:pPr>
              <w:spacing w:after="0"/>
              <w:rPr>
                <w:sz w:val="5"/>
                <w:szCs w:val="5"/>
                <w:color w:val="auto"/>
              </w:rPr>
            </w:pPr>
          </w:p>
        </w:tc>
        <w:tc>
          <w:tcPr>
            <w:tcW w:w="2280" w:type="dxa"/>
            <w:vAlign w:val="bottom"/>
            <w:shd w:val="clear" w:color="auto" w:fill="808080"/>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740" w:type="dxa"/>
            <w:vAlign w:val="bottom"/>
            <w:shd w:val="clear" w:color="auto" w:fill="808080"/>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84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68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74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96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96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96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580" w:right="19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CIVEO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0" w:type="dxa"/>
            <w:vAlign w:val="bottom"/>
            <w:gridSpan w:val="6"/>
          </w:tcPr>
          <w:p>
            <w:pPr>
              <w:jc w:val="right"/>
              <w:ind w:right="62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b w:val="1"/>
                <w:bCs w:val="1"/>
                <w:color w:val="auto"/>
              </w:rPr>
              <w:t>MARCH 31,</w:t>
            </w: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Net income</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230</w:t>
            </w:r>
          </w:p>
        </w:tc>
        <w:tc>
          <w:tcPr>
            <w:tcW w:w="140" w:type="dxa"/>
            <w:vAlign w:val="bottom"/>
          </w:tcPr>
          <w:p>
            <w:pPr>
              <w:spacing w:after="0"/>
              <w:rPr>
                <w:sz w:val="18"/>
                <w:szCs w:val="18"/>
                <w:color w:val="auto"/>
              </w:rPr>
            </w:pPr>
          </w:p>
        </w:tc>
        <w:tc>
          <w:tcPr>
            <w:tcW w:w="5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36,596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320"/>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42,446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39,599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Impairment charge</w:t>
            </w: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320"/>
              <w:spacing w:after="0"/>
              <w:rPr>
                <w:sz w:val="20"/>
                <w:szCs w:val="20"/>
                <w:color w:val="auto"/>
              </w:rPr>
            </w:pPr>
            <w:r>
              <w:rPr>
                <w:rFonts w:ascii="Arial" w:cs="Arial" w:eastAsia="Arial" w:hAnsi="Arial"/>
                <w:sz w:val="18"/>
                <w:szCs w:val="18"/>
                <w:color w:val="auto"/>
              </w:rPr>
              <w:t>Inventory write-down</w:t>
            </w: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1,015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Deferred income tax provision (benefit)</w:t>
            </w: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(801)</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320"/>
              <w:spacing w:after="0"/>
              <w:rPr>
                <w:sz w:val="20"/>
                <w:szCs w:val="20"/>
                <w:color w:val="auto"/>
              </w:rPr>
            </w:pPr>
            <w:r>
              <w:rPr>
                <w:rFonts w:ascii="Arial" w:cs="Arial" w:eastAsia="Arial" w:hAnsi="Arial"/>
                <w:sz w:val="18"/>
                <w:szCs w:val="18"/>
                <w:color w:val="auto"/>
              </w:rPr>
              <w:t>Non-cash compensation charge</w:t>
            </w: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1,223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1,616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Losses (gains) on disposals of assets</w:t>
            </w: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(341)</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320"/>
              <w:spacing w:after="0"/>
              <w:rPr>
                <w:sz w:val="20"/>
                <w:szCs w:val="20"/>
                <w:color w:val="auto"/>
              </w:rPr>
            </w:pPr>
            <w:r>
              <w:rPr>
                <w:rFonts w:ascii="Arial" w:cs="Arial" w:eastAsia="Arial" w:hAnsi="Arial"/>
                <w:sz w:val="18"/>
                <w:szCs w:val="18"/>
                <w:color w:val="auto"/>
              </w:rPr>
              <w:t>Provision for loss on receivables, net of recoveries</w:t>
            </w: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730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Other, net</w:t>
            </w: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320"/>
              <w:spacing w:after="0"/>
              <w:rPr>
                <w:sz w:val="20"/>
                <w:szCs w:val="20"/>
                <w:color w:val="auto"/>
              </w:rPr>
            </w:pPr>
            <w:r>
              <w:rPr>
                <w:rFonts w:ascii="Arial" w:cs="Arial" w:eastAsia="Arial" w:hAnsi="Arial"/>
                <w:sz w:val="18"/>
                <w:szCs w:val="18"/>
                <w:color w:val="auto"/>
              </w:rPr>
              <w:t>Changes in operating assets and liabilities:</w:t>
            </w: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Accounts receivable</w:t>
            </w: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19,835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(8,130)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640"/>
              <w:spacing w:after="0"/>
              <w:rPr>
                <w:sz w:val="20"/>
                <w:szCs w:val="20"/>
                <w:color w:val="auto"/>
              </w:rPr>
            </w:pPr>
            <w:r>
              <w:rPr>
                <w:rFonts w:ascii="Arial" w:cs="Arial" w:eastAsia="Arial" w:hAnsi="Arial"/>
                <w:sz w:val="18"/>
                <w:szCs w:val="18"/>
                <w:color w:val="auto"/>
              </w:rPr>
              <w:t>Inventories</w:t>
            </w: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1,256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6,141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Accounts payable and accrued liabilities</w:t>
            </w: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(10,680)</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640"/>
              <w:spacing w:after="0"/>
              <w:rPr>
                <w:sz w:val="20"/>
                <w:szCs w:val="20"/>
                <w:color w:val="auto"/>
              </w:rPr>
            </w:pPr>
            <w:r>
              <w:rPr>
                <w:rFonts w:ascii="Arial" w:cs="Arial" w:eastAsia="Arial" w:hAnsi="Arial"/>
                <w:sz w:val="18"/>
                <w:szCs w:val="18"/>
                <w:color w:val="auto"/>
              </w:rPr>
              <w:t>Taxes payable</w:t>
            </w:r>
          </w:p>
        </w:tc>
        <w:tc>
          <w:tcPr>
            <w:tcW w:w="300" w:type="dxa"/>
            <w:vAlign w:val="bottom"/>
          </w:tcPr>
          <w:p>
            <w:pPr>
              <w:spacing w:after="0"/>
              <w:rPr>
                <w:sz w:val="18"/>
                <w:szCs w:val="18"/>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(6,483)</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(6,399)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Other current assets and liabilities, net</w:t>
            </w: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(3,111)</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5,093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Net cash flows provided by operating activities</w:t>
            </w:r>
          </w:p>
        </w:tc>
        <w:tc>
          <w:tcPr>
            <w:tcW w:w="30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48,902</w:t>
            </w: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90,713</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Capital expenditures, including capitalized interest</w:t>
            </w: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(10,702)</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(63,525)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320"/>
              <w:spacing w:after="0"/>
              <w:rPr>
                <w:sz w:val="20"/>
                <w:szCs w:val="20"/>
                <w:color w:val="auto"/>
              </w:rPr>
            </w:pPr>
            <w:r>
              <w:rPr>
                <w:rFonts w:ascii="Arial" w:cs="Arial" w:eastAsia="Arial" w:hAnsi="Arial"/>
                <w:sz w:val="18"/>
                <w:szCs w:val="18"/>
                <w:color w:val="auto"/>
              </w:rPr>
              <w:t>Proceeds from disposition of property, plant and equipment</w:t>
            </w: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1,127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Net cash flows used in investing activities</w:t>
            </w:r>
          </w:p>
        </w:tc>
        <w:tc>
          <w:tcPr>
            <w:tcW w:w="30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(9,575)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(63,295)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320"/>
              <w:spacing w:after="0"/>
              <w:rPr>
                <w:sz w:val="20"/>
                <w:szCs w:val="20"/>
                <w:color w:val="auto"/>
              </w:rPr>
            </w:pPr>
            <w:r>
              <w:rPr>
                <w:rFonts w:ascii="Arial" w:cs="Arial" w:eastAsia="Arial" w:hAnsi="Arial"/>
                <w:sz w:val="18"/>
                <w:szCs w:val="18"/>
                <w:color w:val="auto"/>
              </w:rPr>
              <w:t>Proceeds from issuance of common stock</w:t>
            </w: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Contributions from Oil States</w:t>
            </w:r>
          </w:p>
        </w:tc>
        <w:tc>
          <w:tcPr>
            <w:tcW w:w="3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20,193</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Pr>
          <w:p>
            <w:pPr>
              <w:ind w:left="640"/>
              <w:spacing w:after="0"/>
              <w:rPr>
                <w:sz w:val="20"/>
                <w:szCs w:val="20"/>
                <w:color w:val="auto"/>
              </w:rPr>
            </w:pPr>
            <w:r>
              <w:rPr>
                <w:rFonts w:ascii="Arial" w:cs="Arial" w:eastAsia="Arial" w:hAnsi="Arial"/>
                <w:sz w:val="18"/>
                <w:szCs w:val="18"/>
                <w:color w:val="auto"/>
              </w:rPr>
              <w:t>Net cash flows provided by financing activities</w:t>
            </w: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20,193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Effect of exchange rate changes on cash</w:t>
            </w:r>
          </w:p>
        </w:tc>
        <w:tc>
          <w:tcPr>
            <w:tcW w:w="300" w:type="dxa"/>
            <w:vAlign w:val="bottom"/>
          </w:tcPr>
          <w:p>
            <w:pPr>
              <w:spacing w:after="0"/>
              <w:rPr>
                <w:sz w:val="18"/>
                <w:szCs w:val="18"/>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(23,344)</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(6,988)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Net change in cash and cash equivalents</w:t>
            </w:r>
          </w:p>
        </w:tc>
        <w:tc>
          <w:tcPr>
            <w:tcW w:w="30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16,483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40,623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Cash and cash equivalents, beginning of period</w:t>
            </w:r>
          </w:p>
        </w:tc>
        <w:tc>
          <w:tcPr>
            <w:tcW w:w="3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263,314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224,128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Cash and cash equivalents, end of period</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279,797</w:t>
            </w:r>
          </w:p>
        </w:tc>
        <w:tc>
          <w:tcPr>
            <w:tcW w:w="140" w:type="dxa"/>
            <w:vAlign w:val="bottom"/>
          </w:tcPr>
          <w:p>
            <w:pPr>
              <w:spacing w:after="0"/>
              <w:rPr>
                <w:sz w:val="18"/>
                <w:szCs w:val="18"/>
                <w:color w:val="auto"/>
              </w:rPr>
            </w:pPr>
          </w:p>
        </w:tc>
        <w:tc>
          <w:tcPr>
            <w:tcW w:w="5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264,751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7" w:name="page8"/>
    <w:bookmarkEnd w:id="7"/>
    <w:p>
      <w:pPr>
        <w:jc w:val="center"/>
        <w:ind w:right="-39"/>
        <w:spacing w:after="0"/>
        <w:rPr>
          <w:sz w:val="20"/>
          <w:szCs w:val="20"/>
          <w:color w:val="auto"/>
        </w:rPr>
      </w:pPr>
      <w:r>
        <w:rPr>
          <w:rFonts w:ascii="Arial" w:cs="Arial" w:eastAsia="Arial" w:hAnsi="Arial"/>
          <w:sz w:val="18"/>
          <w:szCs w:val="18"/>
          <w:b w:val="1"/>
          <w:bCs w:val="1"/>
          <w:color w:val="auto"/>
        </w:rPr>
        <w:t>CIVEO CORPORATION</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UNAUDITED CONSOLIDATED</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FINANCIAL STATEMENTS</w:t>
      </w:r>
    </w:p>
    <w:p>
      <w:pPr>
        <w:spacing w:after="0" w:line="207"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BUSINESS, SPIN-OFF AND BASIS OF PRESENTATION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the Business</w:t>
      </w:r>
    </w:p>
    <w:p>
      <w:pPr>
        <w:spacing w:after="0" w:line="225"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We are one of North America’s and Australia’s largest integrated providers of accommodations services for people working in remote locations. Our scalable modular facilities provide long-term and temporary workforce accommodations where traditional infrastructure is insufficient, inaccessible or not cost effective. Once facilities are deployed in the field, we also provide catering and food services, housekeeping, laundry, facility management, water and wastewater treatment, power generation, communications and redeployment logistics. Our accommodations support workforces in the Canadian oil sands and in a variety of oil and natural gas drilling, mining and related natural resource applications as well as disaster relief efforts, primarily in Canada, Australia and the United States. We operate in three principal reportable business segments – Canadian, Australian and U.S.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Spin-off</w:t>
      </w:r>
    </w:p>
    <w:p>
      <w:pPr>
        <w:spacing w:after="0" w:line="225"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On May 5, 2014, the Oil States International, Inc. (Oil States) board of directors approved the separation of its Accommodations Segment (Accommodations) into a standalone, publicly traded company, Civeo Corporation (Civeo). In accordance with the Separation and Distribution Agreement, the two companies were separated by Oil States distributing to its stockholders all 106,538,044 shares of common stock of Civeo it held after the market closed on May 30, 2014 (the Spin-Off). Each Oil States stockholder received two shares of Civeo common stock for every one share of Oil States stock held at the close of business on the record date of May 21, 2014. In conjunction with the Spin-Off, Oil States received a private letter ruling from the Internal Revenue Service to the effect that, based on certain facts, assumptions, representations and undertakings set forth in the ruling, for U.S. federal income tax purposes, the distribution of Civeo common stock was not taxable to Oil States or U.S. holders of Oil States common stock. Following the Spin-Off, Oil States retained no ownership interest in Civeo, and each company now has separate public ownership, boards of directors and management. A registration statement on Form 10, as amended through the time of its effectiveness, describing the Spin-Off was filed by Civeo with the U.S. Securities and Exchange Commission (SEC) and was declared effective on May 8, 2014. On June 2, 2014, Civeo stock began trading the “regular-way” on the New York Stock Exchange under the “CVEO” stock symbol. Pursuant to the Separation and Distribution Agreement with Oil States, on May 28, 2014, we made a special cash distribution to Oil States of $750 million.</w:t>
      </w:r>
    </w:p>
    <w:p>
      <w:pPr>
        <w:spacing w:after="0" w:line="180" w:lineRule="exact"/>
        <w:rPr>
          <w:sz w:val="20"/>
          <w:szCs w:val="20"/>
          <w:color w:val="auto"/>
        </w:rPr>
      </w:pPr>
    </w:p>
    <w:p>
      <w:pPr>
        <w:ind w:right="140" w:firstLine="324"/>
        <w:spacing w:after="0" w:line="342" w:lineRule="auto"/>
        <w:rPr>
          <w:sz w:val="20"/>
          <w:szCs w:val="20"/>
          <w:color w:val="auto"/>
        </w:rPr>
      </w:pPr>
      <w:r>
        <w:rPr>
          <w:rFonts w:ascii="Arial" w:cs="Arial" w:eastAsia="Arial" w:hAnsi="Arial"/>
          <w:sz w:val="16"/>
          <w:szCs w:val="16"/>
          <w:color w:val="auto"/>
        </w:rPr>
        <w:t>In connection with the Spin-Off, on May 28, 2014, we entered into a $650.0 million, 5-year revolving credit facility and a 5-year U.S. term loan facility totaling $775.0 million (collectively, the Credit Facility) for an aggregate borrowing capacity of $1.4 billion. For further discussion, see Note 7 – Debt.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Redomiciling to Canada</w:t>
      </w:r>
    </w:p>
    <w:p>
      <w:pPr>
        <w:spacing w:after="0" w:line="225" w:lineRule="exact"/>
        <w:rPr>
          <w:sz w:val="20"/>
          <w:szCs w:val="20"/>
          <w:color w:val="auto"/>
        </w:rPr>
      </w:pPr>
    </w:p>
    <w:p>
      <w:pPr>
        <w:ind w:right="140" w:firstLine="324"/>
        <w:spacing w:after="0" w:line="286" w:lineRule="auto"/>
        <w:rPr>
          <w:sz w:val="20"/>
          <w:szCs w:val="20"/>
          <w:color w:val="auto"/>
        </w:rPr>
      </w:pPr>
      <w:r>
        <w:rPr>
          <w:rFonts w:ascii="Arial" w:cs="Arial" w:eastAsia="Arial" w:hAnsi="Arial"/>
          <w:sz w:val="16"/>
          <w:szCs w:val="16"/>
          <w:color w:val="auto"/>
        </w:rPr>
        <w:t>On September 29, 2014, we announced our intention to redomicile the Company to Canada (the Redomicile Transaction). We expect to execute a “self-directed redomiciling” of the Company as permitted under the U.S. Internal Revenue Code. U.S. federal income tax laws permit a company to change its domicile to a foreign jurisdiction without corporate-level U.S. federal income taxes provided that such company has “substantial business activity” in the relevant jurisdiction. “Substantial business activity” is defined as foreign operations consisting of over 25% of the company’s total (i) revenues, (ii) assets,</w:t>
      </w:r>
    </w:p>
    <w:p>
      <w:pPr>
        <w:spacing w:after="0" w:line="2" w:lineRule="exact"/>
        <w:rPr>
          <w:sz w:val="20"/>
          <w:szCs w:val="20"/>
          <w:color w:val="auto"/>
        </w:rPr>
      </w:pPr>
    </w:p>
    <w:p>
      <w:pPr>
        <w:ind w:firstLine="8"/>
        <w:spacing w:after="0" w:line="277" w:lineRule="auto"/>
        <w:tabs>
          <w:tab w:leader="none" w:pos="315" w:val="left"/>
        </w:tabs>
        <w:numPr>
          <w:ilvl w:val="0"/>
          <w:numId w:val="4"/>
        </w:numPr>
        <w:rPr>
          <w:rFonts w:ascii="Arial" w:cs="Arial" w:eastAsia="Arial" w:hAnsi="Arial"/>
          <w:sz w:val="17"/>
          <w:szCs w:val="17"/>
          <w:color w:val="auto"/>
        </w:rPr>
      </w:pPr>
      <w:r>
        <w:rPr>
          <w:rFonts w:ascii="Arial" w:cs="Arial" w:eastAsia="Arial" w:hAnsi="Arial"/>
          <w:sz w:val="17"/>
          <w:szCs w:val="17"/>
          <w:color w:val="auto"/>
        </w:rPr>
        <w:t>employees and (iv) employee compensation. With approximately 50% or more of our operations in Canada based on these metrics, we believe we qualify for a self-directed redomiciling. We expect to complete the Redomicile Transaction in the second or third quarter of 2015. There is no assurance that we will be able to complete the Redomicile Transaction in a timely manner or at all, and if completed, we may not achieve the expected benefits.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ind w:right="60" w:firstLine="324"/>
        <w:spacing w:after="0" w:line="293" w:lineRule="auto"/>
        <w:rPr>
          <w:sz w:val="20"/>
          <w:szCs w:val="20"/>
          <w:color w:val="auto"/>
        </w:rPr>
      </w:pPr>
      <w:r>
        <w:rPr>
          <w:rFonts w:ascii="Arial" w:cs="Arial" w:eastAsia="Arial" w:hAnsi="Arial"/>
          <w:sz w:val="16"/>
          <w:szCs w:val="16"/>
          <w:color w:val="auto"/>
        </w:rPr>
        <w:t>Prior to the Spin-Off, our financial position, results of operations and cash flows consisted of the Oil States’ Accommodations business and an allocable portion of its corporate costs, which represented a combined reporting entity. The combined financial statements for periods prior to the Spin-Off have been prepared on a stand-alone basis and are derived from the consolidated financial statements and accounting records of Oil States. The combined financial statements reflect our historical financial position, results of operations and cash flows as we were historically managed, in conformity with accounting principles generally accepted in the United States of America (U.S. GAAP). The combined financial statements include certain assets and liabilities that have historically been held at the Oil States corporate level, but are specifically identifiable or otherwise attributable to us.</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580" w:right="259"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18"/>
          <w:szCs w:val="18"/>
          <w:b w:val="1"/>
          <w:bCs w:val="1"/>
          <w:color w:val="auto"/>
        </w:rPr>
        <w:t>CIVEO CORPORATION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CONSOLIDATED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(Continued)</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All financial information presented after the Spin-Off represents the consolidated results of operations, financial position and cash flows of Civeo.</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Accordingly:</w:t>
      </w:r>
    </w:p>
    <w:p>
      <w:pPr>
        <w:spacing w:after="0" w:line="211" w:lineRule="exact"/>
        <w:rPr>
          <w:sz w:val="20"/>
          <w:szCs w:val="20"/>
          <w:color w:val="auto"/>
        </w:rPr>
      </w:pPr>
    </w:p>
    <w:p>
      <w:pPr>
        <w:ind w:left="980" w:right="60" w:hanging="324"/>
        <w:spacing w:after="0" w:line="274" w:lineRule="auto"/>
        <w:tabs>
          <w:tab w:leader="none" w:pos="980" w:val="left"/>
        </w:tabs>
        <w:numPr>
          <w:ilvl w:val="0"/>
          <w:numId w:val="5"/>
        </w:numPr>
        <w:rPr>
          <w:rFonts w:ascii="Arial" w:cs="Arial" w:eastAsia="Arial" w:hAnsi="Arial"/>
          <w:sz w:val="17"/>
          <w:szCs w:val="17"/>
          <w:color w:val="auto"/>
        </w:rPr>
      </w:pPr>
      <w:r>
        <w:rPr>
          <w:rFonts w:ascii="Arial" w:cs="Arial" w:eastAsia="Arial" w:hAnsi="Arial"/>
          <w:sz w:val="17"/>
          <w:szCs w:val="17"/>
          <w:color w:val="auto"/>
        </w:rPr>
        <w:t>Our consolidated statements of operations, comprehensive income, cash flows and changes in stockholders’ equity / net investment for the three months ended March 31, 2014 consist entirely of the combined results of the Oil States’ Accommodations business.</w:t>
      </w:r>
    </w:p>
    <w:p>
      <w:pPr>
        <w:ind w:left="980" w:right="60" w:hanging="324"/>
        <w:spacing w:after="0" w:line="250"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consolidated statements of operations, comprehensive income, cash flows and changes in stockholders’ equity / net investment for the three months ended March 31, 2015 consist entirely of the consolidated results of Civeo.</w:t>
      </w: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consolidated balance sheets at March 31, 2015 and December 31, 2014 consist of the consolidated balances of Civeo.</w:t>
      </w:r>
    </w:p>
    <w:p>
      <w:pPr>
        <w:spacing w:after="0" w:line="211" w:lineRule="exact"/>
        <w:rPr>
          <w:sz w:val="20"/>
          <w:szCs w:val="20"/>
          <w:color w:val="auto"/>
        </w:rPr>
      </w:pPr>
    </w:p>
    <w:p>
      <w:pPr>
        <w:jc w:val="both"/>
        <w:ind w:right="80" w:firstLine="324"/>
        <w:spacing w:after="0" w:line="312" w:lineRule="auto"/>
        <w:rPr>
          <w:sz w:val="20"/>
          <w:szCs w:val="20"/>
          <w:color w:val="auto"/>
        </w:rPr>
      </w:pPr>
      <w:r>
        <w:rPr>
          <w:rFonts w:ascii="Arial" w:cs="Arial" w:eastAsia="Arial" w:hAnsi="Arial"/>
          <w:sz w:val="16"/>
          <w:szCs w:val="16"/>
          <w:color w:val="auto"/>
        </w:rPr>
        <w:t>The assets and liabilities in our consolidated financial statements have been reflected on a historical basis, as immediately prior to the Spin-Off all of the assets and liabilities presented were wholly owned by Oil States and were transferred within the Oil States consolidated group. All intercompany transactions and accounts have been eliminated. All affiliate transactions between Civeo and Oil States have been included in these consolidated financial statements.</w:t>
      </w:r>
    </w:p>
    <w:p>
      <w:pPr>
        <w:spacing w:after="0" w:line="147" w:lineRule="exact"/>
        <w:rPr>
          <w:sz w:val="20"/>
          <w:szCs w:val="20"/>
          <w:color w:val="auto"/>
        </w:rPr>
      </w:pPr>
    </w:p>
    <w:p>
      <w:pPr>
        <w:jc w:val="both"/>
        <w:ind w:right="360" w:firstLine="324"/>
        <w:spacing w:after="0" w:line="264" w:lineRule="auto"/>
        <w:rPr>
          <w:sz w:val="20"/>
          <w:szCs w:val="20"/>
          <w:color w:val="auto"/>
        </w:rPr>
      </w:pPr>
      <w:r>
        <w:rPr>
          <w:rFonts w:ascii="Arial" w:cs="Arial" w:eastAsia="Arial" w:hAnsi="Arial"/>
          <w:sz w:val="18"/>
          <w:szCs w:val="18"/>
          <w:color w:val="auto"/>
        </w:rPr>
        <w:t>Unless otherwise stated or the context otherwise indicates, all references in these consolidated financial statements to “Civeo,” “the Company,” “us,” “our” or “we” for the time period prior to the Spin-Off mean the Accommodations business of Oil States. For time periods after the Spin-Off, these terms refer to the legal entity Civeo Corporation and its consolidated subsidiaries.</w:t>
      </w:r>
    </w:p>
    <w:p>
      <w:pPr>
        <w:spacing w:after="0" w:line="181"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The consolidated financial statements for periods prior to the Spin-Off included expense allocations for: (1) certain corporate functions historically provided by Oil States, including, but not limited to finance, legal, risk management, tax, treasury, information technology, human resources, and certain other shared services; (2) certain employee benefits and incentives; and (3) equity-based compensation. These expenses were allocated to us on the basis of direct usage when identifiable, with the remainder allocated based on estimated time spent by Oil States personnel, a pro-rata basis of headcount or other relevant measures of Oil States and its subsidiaries. We consider the basis on which the expenses were allocated to be a reasonable reflection of the utilization of services provided to or the benefit received by us during the periods presented. The allocations may not, however, reflect the expense we would have incurred as an independent, publicly traded company for the periods presented. Actual costs that may have been incurred if we had been a stand-alone company would depend on a number of factors, including the chosen organizational structure, which functions were outsourced or performed by employees and strategic decisions made in areas such as information technology and infrastructure.</w:t>
      </w:r>
    </w:p>
    <w:p>
      <w:pPr>
        <w:spacing w:after="0" w:line="182"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Oil States used a centralized approach to the cash management and financing of its U.S. operations. Prior to February 2014, cash from our U.S. operations was transferred to Oil States daily and Oil States funded our U.S. operating and investing activities as needed. Accordingly, the cash and cash equivalents held by Oil States at the corporate level were not allocated to us for any of the periods presented prior to February 2014. We reflected the transfer of cash to and from Oil States as a component of “Net Investment of Oil States International, Inc.” on our consolidated balance sheet. We have not included interest expense for intercompany cash advances from Oil States, since historically Oil States has not allocated interest expense related to intercompany advances to any of its businesses. Beginning in February 2014, we established Civeo cash accounts and funded a portion of our U.S. operating and investing activities.</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9" w:name="page10"/>
    <w:bookmarkEnd w:id="9"/>
    <w:p>
      <w:pPr>
        <w:jc w:val="center"/>
        <w:ind w:right="-39"/>
        <w:spacing w:after="0"/>
        <w:rPr>
          <w:sz w:val="20"/>
          <w:szCs w:val="20"/>
          <w:color w:val="auto"/>
        </w:rPr>
      </w:pPr>
      <w:r>
        <w:rPr>
          <w:rFonts w:ascii="Arial" w:cs="Arial" w:eastAsia="Arial" w:hAnsi="Arial"/>
          <w:sz w:val="18"/>
          <w:szCs w:val="18"/>
          <w:b w:val="1"/>
          <w:bCs w:val="1"/>
          <w:color w:val="auto"/>
        </w:rPr>
        <w:t>CIVEO CORPORATION</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UNAUDITED CONSOLIDATED</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(Continued)</w:t>
      </w:r>
    </w:p>
    <w:p>
      <w:pPr>
        <w:spacing w:after="0" w:line="211"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The accompanying unaudited consolidated financial statements of Civeo have been prepared pursuant to the rules and regulations of the SEC pertaining to interim financial information. Certain information in footnote disclosures normally included in financial statements prepared in accordance with GAAP has been condensed or omitted pursuant to these rules and regulations. The unaudited financial statements included in this report reflect all the adjustments, consisting of normal recurring adjustments, which the Company considers necessary for a fair presentation of the results of operations for the interim periods covered and for the financial condition of the Company at the date of the interim balance sheet. Results for the interim periods are not necessarily indicative of results for the full year.</w:t>
      </w:r>
    </w:p>
    <w:p>
      <w:pPr>
        <w:spacing w:after="0" w:line="193" w:lineRule="exact"/>
        <w:rPr>
          <w:sz w:val="20"/>
          <w:szCs w:val="20"/>
          <w:color w:val="auto"/>
        </w:rPr>
      </w:pPr>
    </w:p>
    <w:p>
      <w:pPr>
        <w:ind w:right="440" w:firstLine="324"/>
        <w:spacing w:after="0" w:line="257" w:lineRule="auto"/>
        <w:rPr>
          <w:sz w:val="20"/>
          <w:szCs w:val="20"/>
          <w:color w:val="auto"/>
        </w:rPr>
      </w:pPr>
      <w:r>
        <w:rPr>
          <w:rFonts w:ascii="Arial" w:cs="Arial" w:eastAsia="Arial" w:hAnsi="Arial"/>
          <w:sz w:val="18"/>
          <w:szCs w:val="18"/>
          <w:color w:val="auto"/>
        </w:rPr>
        <w:t>The preparation of consolidated financial statements in conformity with GAAP requires the use of estimates and assumptions by management in determining the reported amounts of assets and liabilities and disclosures of contingent assets and liabilities at the date of the consolidated financial statements and the reported amounts of revenues and expenses during the reporting period. If the underlying estimates and assumptions, upon which the financial statements are based, change in future periods, actual amounts may differ from those included in the accompanying consolidated financial statements.</w:t>
      </w:r>
    </w:p>
    <w:p>
      <w:pPr>
        <w:spacing w:after="0" w:line="188"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The financial statements included in this report should be read in conjunction with our audited financial statements and accompanying notes included in our Annual Report on Form 10-K for the year ended December 31, 2014.</w:t>
      </w:r>
    </w:p>
    <w:p>
      <w:pPr>
        <w:spacing w:after="0" w:line="166"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right="120" w:firstLine="324"/>
        <w:spacing w:after="0" w:line="264" w:lineRule="auto"/>
        <w:rPr>
          <w:sz w:val="20"/>
          <w:szCs w:val="20"/>
          <w:color w:val="auto"/>
        </w:rPr>
      </w:pPr>
      <w:r>
        <w:rPr>
          <w:rFonts w:ascii="Arial" w:cs="Arial" w:eastAsia="Arial" w:hAnsi="Arial"/>
          <w:sz w:val="18"/>
          <w:szCs w:val="18"/>
          <w:color w:val="auto"/>
        </w:rPr>
        <w:t>From time to time, new accounting pronouncements are issued by the Financial Accounting Standards Board (the FASB), which are adopted by us as of the specified effective date. Unless otherwise discussed, management believes that the impact of recently issued standards, which are not yet effective, will not have a material impact on our consolidated financial statements upon adoption.</w:t>
      </w:r>
    </w:p>
    <w:p>
      <w:pPr>
        <w:spacing w:after="0" w:line="181" w:lineRule="exact"/>
        <w:rPr>
          <w:sz w:val="20"/>
          <w:szCs w:val="20"/>
          <w:color w:val="auto"/>
        </w:rPr>
      </w:pPr>
    </w:p>
    <w:p>
      <w:pPr>
        <w:ind w:right="140" w:firstLine="324"/>
        <w:spacing w:after="0" w:line="293" w:lineRule="auto"/>
        <w:rPr>
          <w:sz w:val="20"/>
          <w:szCs w:val="20"/>
          <w:color w:val="auto"/>
        </w:rPr>
      </w:pPr>
      <w:r>
        <w:rPr>
          <w:rFonts w:ascii="Arial" w:cs="Arial" w:eastAsia="Arial" w:hAnsi="Arial"/>
          <w:sz w:val="16"/>
          <w:szCs w:val="16"/>
          <w:color w:val="auto"/>
        </w:rPr>
        <w:t>In April 2015, the FASB issued Accounting Standards Update (ASU) 2015-03 "Interest - Imputation of Interest: Simplifying the Presentation of Debt Issuance Costs" (ASU 2015-03). ASU 2015-03 simplifies the presentation of debt issuance costs by requiring that such costs be presented as a deduction from the corresponding debt liability. The guidance is effective for financial statements issued for reporting periods beginning after December 15, 2015 and interim periods within the reporting periods and requires retrospective presentation. Early adoption is permitted. We plan to adopt the standard in the first quarter of 2016. As of March 31, 2015, we had debt issuance costs totaling $8.1 million, which are included in Prepaid expenses and other current assets ($1.9 million) and Other non-current assets ($6.2 million) on the accompanying unaudited consolidated balance sheets.</w:t>
      </w:r>
    </w:p>
    <w:p>
      <w:pPr>
        <w:spacing w:after="0" w:line="165"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In February 2015, the FASB issued ASU 2015-02 "Amendments to the Consolidation Analysis" (ASU 2015-02). ASU 2015-02 alters the models used to determine consolidation conclusions for certain entities, including limited partnerships, and may require additional disclosures. ASU 2015-02 is effective for financial statements issued for reporting periods beginning after December 15, 2015 and interim periods within the reporting periods with either retrospective or modified retrospective presentation allowed. We plan to adopt the standard in the first quarter of 2016 and are currently evaluating the impact of the new standard on our financial statements.</w:t>
      </w:r>
    </w:p>
    <w:p>
      <w:pPr>
        <w:spacing w:after="0" w:line="188"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In May 2014, the FASB issued ASU 2014-09 establishing Accounting Standards Codification (ASC) Topic 606, "Revenue from Contracts with Customers" (ASC 606). ASC 606 establishes a comprehensive new revenue recognition model designed to depict the transfer of goods or services to a customer in an amount that reflects the consideration the entity expects to be entitled to receive in exchange for those goods or services and requires significantly enhanced revenue disclosures. The standard was originally effective for annual reporting periods beginning after December 15, 2016, and interim periods within the reporting period, however the FASB has delayed the effective date of ASC 606 to annual and interim periods beginning after December 15, 2017. Accordingly, we plan to adopt this standard in the first quarter of 2018. ASC 606 allows either full retrospective or modified retrospective transition, and early adoption is not permitted. We continue to evaluate both the impact of this new standard on our financial statements and the transition method we will utilize for adoption.</w:t>
      </w:r>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580" w:right="259" w:bottom="1440" w:gutter="0" w:footer="0" w:header="0"/>
        </w:sectPr>
      </w:pPr>
    </w:p>
    <w:bookmarkStart w:id="10" w:name="page11"/>
    <w:bookmarkEnd w:id="10"/>
    <w:p>
      <w:pPr>
        <w:jc w:val="center"/>
        <w:ind w:right="40"/>
        <w:spacing w:after="0"/>
        <w:rPr>
          <w:sz w:val="20"/>
          <w:szCs w:val="20"/>
          <w:color w:val="auto"/>
        </w:rPr>
      </w:pPr>
      <w:r>
        <w:rPr>
          <w:rFonts w:ascii="Arial" w:cs="Arial" w:eastAsia="Arial" w:hAnsi="Arial"/>
          <w:sz w:val="18"/>
          <w:szCs w:val="18"/>
          <w:b w:val="1"/>
          <w:bCs w:val="1"/>
          <w:color w:val="auto"/>
        </w:rPr>
        <w:t>CIVEO CORPORATION</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UNAUDITED CONSOLIDATED</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FINANCIAL STATEMENTS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(Continued)</w:t>
      </w:r>
    </w:p>
    <w:p>
      <w:pPr>
        <w:spacing w:after="0" w:line="207"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229" w:lineRule="exact"/>
        <w:rPr>
          <w:sz w:val="20"/>
          <w:szCs w:val="20"/>
          <w:color w:val="auto"/>
        </w:rPr>
      </w:pPr>
    </w:p>
    <w:p>
      <w:pPr>
        <w:ind w:right="260" w:firstLine="324"/>
        <w:spacing w:after="0" w:line="308" w:lineRule="auto"/>
        <w:rPr>
          <w:sz w:val="20"/>
          <w:szCs w:val="20"/>
          <w:color w:val="auto"/>
        </w:rPr>
      </w:pPr>
      <w:r>
        <w:rPr>
          <w:rFonts w:ascii="Arial" w:cs="Arial" w:eastAsia="Arial" w:hAnsi="Arial"/>
          <w:sz w:val="17"/>
          <w:szCs w:val="17"/>
          <w:color w:val="auto"/>
        </w:rPr>
        <w:t>Our financial instruments consist of cash and cash equivalents, receivables, payables and debt instruments. We believe that the carrying values of these instruments, other than our long-term debt to affiliates, on the accompanying consolidated balance sheets approximate their fair values.</w:t>
      </w:r>
    </w:p>
    <w:p>
      <w:pPr>
        <w:spacing w:after="0" w:line="147" w:lineRule="exact"/>
        <w:rPr>
          <w:sz w:val="20"/>
          <w:szCs w:val="20"/>
          <w:color w:val="auto"/>
        </w:rPr>
      </w:pPr>
    </w:p>
    <w:p>
      <w:pPr>
        <w:jc w:val="both"/>
        <w:ind w:right="40" w:firstLine="324"/>
        <w:spacing w:after="0" w:line="259" w:lineRule="auto"/>
        <w:rPr>
          <w:sz w:val="20"/>
          <w:szCs w:val="20"/>
          <w:color w:val="auto"/>
        </w:rPr>
      </w:pPr>
      <w:r>
        <w:rPr>
          <w:rFonts w:ascii="Arial" w:cs="Arial" w:eastAsia="Arial" w:hAnsi="Arial"/>
          <w:sz w:val="18"/>
          <w:szCs w:val="18"/>
          <w:color w:val="auto"/>
        </w:rPr>
        <w:t>As of March 31, 2015 and December 31, 2014, we believe the carrying value of our floating-rate debt outstanding under our $775 million term loan approximates its fair value because the term includes short-term interest rates and excludes penalties for prepayment. We estimated the fair value of our floating-rate term loan using significant other observable inputs, representative of a Level 2 fair value measurement, including terms and credit spreads for this loan.</w:t>
      </w:r>
    </w:p>
    <w:p>
      <w:pPr>
        <w:spacing w:after="0" w:line="183" w:lineRule="exact"/>
        <w:rPr>
          <w:sz w:val="20"/>
          <w:szCs w:val="20"/>
          <w:color w:val="auto"/>
        </w:rPr>
      </w:pPr>
    </w:p>
    <w:p>
      <w:pPr>
        <w:ind w:left="340" w:hanging="332"/>
        <w:spacing w:after="0"/>
        <w:tabs>
          <w:tab w:leader="none" w:pos="34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DETAILS OF SELECTED BALANCE SHEET ACCOUNTS</w:t>
      </w:r>
    </w:p>
    <w:p>
      <w:pPr>
        <w:spacing w:after="0" w:line="229"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7"/>
          <w:szCs w:val="17"/>
          <w:color w:val="auto"/>
        </w:rPr>
        <w:t>Additional information regarding selected balance sheet accounts at March 31, 2015 and December 31, 2014 is presented below (in thousands):</w:t>
      </w:r>
    </w:p>
    <w:p>
      <w:pPr>
        <w:spacing w:after="0" w:line="233"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March 31,</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3"/>
              </w:rPr>
              <w:t>December 31,</w:t>
            </w:r>
          </w:p>
        </w:tc>
      </w:tr>
      <w:tr>
        <w:trPr>
          <w:trHeight w:val="234"/>
        </w:trPr>
        <w:tc>
          <w:tcPr>
            <w:tcW w:w="20" w:type="dxa"/>
            <w:vAlign w:val="bottom"/>
          </w:tcPr>
          <w:p>
            <w:pPr>
              <w:spacing w:after="0"/>
              <w:rPr>
                <w:sz w:val="20"/>
                <w:szCs w:val="20"/>
                <w:color w:val="auto"/>
              </w:rPr>
            </w:pPr>
          </w:p>
        </w:tc>
        <w:tc>
          <w:tcPr>
            <w:tcW w:w="40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2014</w:t>
            </w:r>
          </w:p>
        </w:tc>
        <w:tc>
          <w:tcPr>
            <w:tcW w:w="8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Accounts receivable, net:</w:t>
            </w:r>
          </w:p>
        </w:tc>
        <w:tc>
          <w:tcPr>
            <w:tcW w:w="1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Trade</w:t>
            </w:r>
          </w:p>
        </w:tc>
        <w:tc>
          <w:tcPr>
            <w:tcW w:w="194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95,650</w:t>
            </w:r>
          </w:p>
        </w:tc>
        <w:tc>
          <w:tcPr>
            <w:tcW w:w="120" w:type="dxa"/>
            <w:vAlign w:val="bottom"/>
          </w:tcPr>
          <w:p>
            <w:pPr>
              <w:spacing w:after="0"/>
              <w:rPr>
                <w:sz w:val="18"/>
                <w:szCs w:val="18"/>
                <w:color w:val="auto"/>
              </w:rPr>
            </w:pPr>
          </w:p>
        </w:tc>
        <w:tc>
          <w:tcPr>
            <w:tcW w:w="22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124,198</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Unbilled revenue</w:t>
            </w:r>
          </w:p>
        </w:tc>
        <w:tc>
          <w:tcPr>
            <w:tcW w:w="1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32,610</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38,487</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Other</w:t>
            </w:r>
          </w:p>
        </w:tc>
        <w:tc>
          <w:tcPr>
            <w:tcW w:w="17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1,922</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1,611</w:t>
            </w:r>
          </w:p>
        </w:tc>
        <w:tc>
          <w:tcPr>
            <w:tcW w:w="8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accounts receivable</w:t>
            </w:r>
          </w:p>
        </w:tc>
        <w:tc>
          <w:tcPr>
            <w:tcW w:w="1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130,182</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164,296</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Allowance for doubtful accounts</w:t>
            </w:r>
          </w:p>
        </w:tc>
        <w:tc>
          <w:tcPr>
            <w:tcW w:w="1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(1,936)</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(4,043)</w:t>
            </w:r>
          </w:p>
        </w:tc>
      </w:tr>
      <w:tr>
        <w:trPr>
          <w:trHeight w:val="250"/>
        </w:trPr>
        <w:tc>
          <w:tcPr>
            <w:tcW w:w="20" w:type="dxa"/>
            <w:vAlign w:val="bottom"/>
          </w:tcPr>
          <w:p>
            <w:pPr>
              <w:spacing w:after="0"/>
              <w:rPr>
                <w:sz w:val="21"/>
                <w:szCs w:val="21"/>
                <w:color w:val="auto"/>
              </w:rPr>
            </w:pPr>
          </w:p>
        </w:tc>
        <w:tc>
          <w:tcPr>
            <w:tcW w:w="4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accounts receivable, net</w:t>
            </w:r>
          </w:p>
        </w:tc>
        <w:tc>
          <w:tcPr>
            <w:tcW w:w="17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128,246</w:t>
            </w:r>
          </w:p>
        </w:tc>
        <w:tc>
          <w:tcPr>
            <w:tcW w:w="1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160,253</w:t>
            </w:r>
          </w:p>
        </w:tc>
        <w:tc>
          <w:tcPr>
            <w:tcW w:w="80" w:type="dxa"/>
            <w:vAlign w:val="bottom"/>
            <w:tcBorders>
              <w:bottom w:val="single" w:sz="8" w:color="CCEEFF"/>
            </w:tcBorders>
            <w:shd w:val="clear" w:color="auto" w:fill="CCEEFF"/>
          </w:tcPr>
          <w:p>
            <w:pPr>
              <w:spacing w:after="0"/>
              <w:rPr>
                <w:sz w:val="21"/>
                <w:szCs w:val="21"/>
                <w:color w:val="auto"/>
              </w:rPr>
            </w:pPr>
          </w:p>
        </w:tc>
      </w:tr>
    </w:tbl>
    <w:p>
      <w:pPr>
        <w:spacing w:after="0" w:line="198"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ind w:right="290"/>
              <w:spacing w:after="0"/>
              <w:rPr>
                <w:sz w:val="20"/>
                <w:szCs w:val="20"/>
                <w:color w:val="auto"/>
              </w:rPr>
            </w:pPr>
            <w:r>
              <w:rPr>
                <w:rFonts w:ascii="Arial" w:cs="Arial" w:eastAsia="Arial" w:hAnsi="Arial"/>
                <w:sz w:val="18"/>
                <w:szCs w:val="18"/>
                <w:b w:val="1"/>
                <w:bCs w:val="1"/>
                <w:color w:val="auto"/>
              </w:rPr>
              <w:t>March 31,</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jc w:val="right"/>
              <w:ind w:right="170"/>
              <w:spacing w:after="0"/>
              <w:rPr>
                <w:sz w:val="20"/>
                <w:szCs w:val="20"/>
                <w:color w:val="auto"/>
              </w:rPr>
            </w:pPr>
            <w:r>
              <w:rPr>
                <w:rFonts w:ascii="Arial" w:cs="Arial" w:eastAsia="Arial" w:hAnsi="Arial"/>
                <w:sz w:val="18"/>
                <w:szCs w:val="18"/>
                <w:b w:val="1"/>
                <w:bCs w:val="1"/>
                <w:color w:val="auto"/>
                <w:w w:val="93"/>
              </w:rPr>
              <w:t>December 31,</w:t>
            </w:r>
          </w:p>
        </w:tc>
        <w:tc>
          <w:tcPr>
            <w:tcW w:w="8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43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2015</w:t>
            </w:r>
          </w:p>
        </w:tc>
        <w:tc>
          <w:tcPr>
            <w:tcW w:w="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2014</w:t>
            </w:r>
          </w:p>
        </w:tc>
        <w:tc>
          <w:tcPr>
            <w:tcW w:w="8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Inventories:</w:t>
            </w:r>
          </w:p>
        </w:tc>
        <w:tc>
          <w:tcPr>
            <w:tcW w:w="1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Finished goods and purchased products</w:t>
            </w:r>
          </w:p>
        </w:tc>
        <w:tc>
          <w:tcPr>
            <w:tcW w:w="170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2,524</w:t>
            </w:r>
          </w:p>
        </w:tc>
        <w:tc>
          <w:tcPr>
            <w:tcW w:w="3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2,814</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Work in process</w:t>
            </w:r>
          </w:p>
        </w:tc>
        <w:tc>
          <w:tcPr>
            <w:tcW w:w="1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3,323</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4,790</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Raw materials</w:t>
            </w:r>
          </w:p>
        </w:tc>
        <w:tc>
          <w:tcPr>
            <w:tcW w:w="14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3,989</w:t>
            </w:r>
          </w:p>
        </w:tc>
        <w:tc>
          <w:tcPr>
            <w:tcW w:w="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5,624</w:t>
            </w:r>
          </w:p>
        </w:tc>
        <w:tc>
          <w:tcPr>
            <w:tcW w:w="80" w:type="dxa"/>
            <w:vAlign w:val="bottom"/>
          </w:tcPr>
          <w:p>
            <w:pPr>
              <w:spacing w:after="0"/>
              <w:rPr>
                <w:sz w:val="18"/>
                <w:szCs w:val="18"/>
                <w:color w:val="auto"/>
              </w:rPr>
            </w:pPr>
          </w:p>
        </w:tc>
      </w:tr>
      <w:tr>
        <w:trPr>
          <w:trHeight w:val="250"/>
        </w:trPr>
        <w:tc>
          <w:tcPr>
            <w:tcW w:w="20" w:type="dxa"/>
            <w:vAlign w:val="bottom"/>
          </w:tcPr>
          <w:p>
            <w:pPr>
              <w:spacing w:after="0"/>
              <w:rPr>
                <w:sz w:val="21"/>
                <w:szCs w:val="21"/>
                <w:color w:val="auto"/>
              </w:rPr>
            </w:pPr>
          </w:p>
        </w:tc>
        <w:tc>
          <w:tcPr>
            <w:tcW w:w="4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inventories</w:t>
            </w:r>
          </w:p>
        </w:tc>
        <w:tc>
          <w:tcPr>
            <w:tcW w:w="14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9,836</w:t>
            </w:r>
          </w:p>
        </w:tc>
        <w:tc>
          <w:tcPr>
            <w:tcW w:w="1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13,228</w:t>
            </w:r>
          </w:p>
        </w:tc>
        <w:tc>
          <w:tcPr>
            <w:tcW w:w="80" w:type="dxa"/>
            <w:vAlign w:val="bottom"/>
            <w:tcBorders>
              <w:bottom w:val="single" w:sz="8" w:color="CCEEFF"/>
            </w:tcBorders>
            <w:shd w:val="clear" w:color="auto" w:fill="CCEEFF"/>
          </w:tcPr>
          <w:p>
            <w:pPr>
              <w:spacing w:after="0"/>
              <w:rPr>
                <w:sz w:val="21"/>
                <w:szCs w:val="2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Arial" w:cs="Arial" w:eastAsia="Arial" w:hAnsi="Arial"/>
                <w:sz w:val="18"/>
                <w:szCs w:val="18"/>
                <w:b w:val="1"/>
                <w:bCs w:val="1"/>
                <w:color w:val="auto"/>
                <w:w w:val="90"/>
              </w:rPr>
              <w:t>Estimated</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Arial" w:cs="Arial" w:eastAsia="Arial" w:hAnsi="Arial"/>
                <w:sz w:val="18"/>
                <w:szCs w:val="18"/>
                <w:b w:val="1"/>
                <w:bCs w:val="1"/>
                <w:color w:val="auto"/>
                <w:w w:val="91"/>
              </w:rPr>
              <w:t>Useful Life</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March 31,</w:t>
            </w:r>
          </w:p>
        </w:tc>
        <w:tc>
          <w:tcPr>
            <w:tcW w:w="180" w:type="dxa"/>
            <w:vAlign w:val="bottom"/>
          </w:tcPr>
          <w:p>
            <w:pPr>
              <w:spacing w:after="0"/>
              <w:rPr>
                <w:sz w:val="18"/>
                <w:szCs w:val="18"/>
                <w:color w:val="auto"/>
              </w:rPr>
            </w:pPr>
          </w:p>
        </w:tc>
        <w:tc>
          <w:tcPr>
            <w:tcW w:w="14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3"/>
              </w:rPr>
              <w:t>December 31,</w:t>
            </w:r>
          </w:p>
        </w:tc>
        <w:tc>
          <w:tcPr>
            <w:tcW w:w="900" w:type="dxa"/>
            <w:vAlign w:val="bottom"/>
          </w:tcPr>
          <w:p>
            <w:pPr>
              <w:spacing w:after="0"/>
              <w:rPr>
                <w:sz w:val="18"/>
                <w:szCs w:val="18"/>
                <w:color w:val="auto"/>
              </w:rPr>
            </w:pPr>
          </w:p>
        </w:tc>
      </w:tr>
      <w:tr>
        <w:trPr>
          <w:trHeight w:val="234"/>
        </w:trPr>
        <w:tc>
          <w:tcPr>
            <w:tcW w:w="86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(in years)</w:t>
            </w: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2015</w:t>
            </w:r>
          </w:p>
        </w:tc>
        <w:tc>
          <w:tcPr>
            <w:tcW w:w="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10"/>
        </w:trPr>
        <w:tc>
          <w:tcPr>
            <w:tcW w:w="86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Property, plant and equipment, net:</w:t>
            </w:r>
          </w:p>
        </w:tc>
        <w:tc>
          <w:tcPr>
            <w:tcW w:w="1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Land</w:t>
            </w:r>
          </w:p>
        </w:tc>
        <w:tc>
          <w:tcPr>
            <w:tcW w:w="1560" w:type="dxa"/>
            <w:vAlign w:val="bottom"/>
          </w:tcPr>
          <w:p>
            <w:pPr>
              <w:spacing w:after="0"/>
              <w:rPr>
                <w:sz w:val="18"/>
                <w:szCs w:val="18"/>
                <w:color w:val="auto"/>
              </w:rPr>
            </w:pPr>
          </w:p>
        </w:tc>
        <w:tc>
          <w:tcPr>
            <w:tcW w:w="44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47,765</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55,365</w:t>
            </w:r>
          </w:p>
        </w:tc>
        <w:tc>
          <w:tcPr>
            <w:tcW w:w="900" w:type="dxa"/>
            <w:vAlign w:val="bottom"/>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Accommodations assets</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3-15</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1,572,450</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1,687,033</w:t>
            </w:r>
          </w:p>
        </w:tc>
        <w:tc>
          <w:tcPr>
            <w:tcW w:w="900" w:type="dxa"/>
            <w:vAlign w:val="bottom"/>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Buildings and leasehold improvements</w:t>
            </w:r>
          </w:p>
        </w:tc>
        <w:tc>
          <w:tcPr>
            <w:tcW w:w="1560" w:type="dxa"/>
            <w:vAlign w:val="bottom"/>
          </w:tcPr>
          <w:p>
            <w:pPr>
              <w:jc w:val="center"/>
              <w:spacing w:after="0"/>
              <w:rPr>
                <w:sz w:val="20"/>
                <w:szCs w:val="20"/>
                <w:color w:val="auto"/>
              </w:rPr>
            </w:pPr>
            <w:r>
              <w:rPr>
                <w:rFonts w:ascii="Arial" w:cs="Arial" w:eastAsia="Arial" w:hAnsi="Arial"/>
                <w:sz w:val="18"/>
                <w:szCs w:val="18"/>
                <w:color w:val="auto"/>
                <w:w w:val="94"/>
              </w:rPr>
              <w:t>3-20</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31,935</w:t>
            </w:r>
          </w:p>
        </w:tc>
        <w:tc>
          <w:tcPr>
            <w:tcW w:w="18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40,256</w:t>
            </w:r>
          </w:p>
        </w:tc>
        <w:tc>
          <w:tcPr>
            <w:tcW w:w="900" w:type="dxa"/>
            <w:vAlign w:val="bottom"/>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Machinery and equipment</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4-15</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9,712</w:t>
            </w: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12,117</w:t>
            </w:r>
          </w:p>
        </w:tc>
        <w:tc>
          <w:tcPr>
            <w:tcW w:w="900" w:type="dxa"/>
            <w:vAlign w:val="bottom"/>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Office furniture and equipment</w:t>
            </w:r>
          </w:p>
        </w:tc>
        <w:tc>
          <w:tcPr>
            <w:tcW w:w="1560" w:type="dxa"/>
            <w:vAlign w:val="bottom"/>
          </w:tcPr>
          <w:p>
            <w:pPr>
              <w:jc w:val="center"/>
              <w:spacing w:after="0"/>
              <w:rPr>
                <w:sz w:val="20"/>
                <w:szCs w:val="20"/>
                <w:color w:val="auto"/>
              </w:rPr>
            </w:pPr>
            <w:r>
              <w:rPr>
                <w:rFonts w:ascii="Arial" w:cs="Arial" w:eastAsia="Arial" w:hAnsi="Arial"/>
                <w:sz w:val="18"/>
                <w:szCs w:val="18"/>
                <w:color w:val="auto"/>
                <w:w w:val="92"/>
              </w:rPr>
              <w:t>3-7</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29,883</w:t>
            </w:r>
          </w:p>
        </w:tc>
        <w:tc>
          <w:tcPr>
            <w:tcW w:w="18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32,181</w:t>
            </w:r>
          </w:p>
        </w:tc>
        <w:tc>
          <w:tcPr>
            <w:tcW w:w="900" w:type="dxa"/>
            <w:vAlign w:val="bottom"/>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Vehicles</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3-5</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17,681</w:t>
            </w: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19,128</w:t>
            </w:r>
          </w:p>
        </w:tc>
        <w:tc>
          <w:tcPr>
            <w:tcW w:w="900" w:type="dxa"/>
            <w:vAlign w:val="bottom"/>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1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61,216</w:t>
            </w:r>
          </w:p>
        </w:tc>
        <w:tc>
          <w:tcPr>
            <w:tcW w:w="18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70,603</w:t>
            </w:r>
          </w:p>
        </w:tc>
        <w:tc>
          <w:tcPr>
            <w:tcW w:w="900" w:type="dxa"/>
            <w:vAlign w:val="bottom"/>
          </w:tcPr>
          <w:p>
            <w:pPr>
              <w:spacing w:after="0"/>
              <w:rPr>
                <w:sz w:val="18"/>
                <w:szCs w:val="18"/>
                <w:color w:val="auto"/>
              </w:rPr>
            </w:pPr>
          </w:p>
        </w:tc>
      </w:tr>
      <w:tr>
        <w:trPr>
          <w:trHeight w:val="210"/>
        </w:trPr>
        <w:tc>
          <w:tcPr>
            <w:tcW w:w="860" w:type="dxa"/>
            <w:vAlign w:val="bottom"/>
          </w:tcPr>
          <w:p>
            <w:pPr>
              <w:spacing w:after="0"/>
              <w:rPr>
                <w:sz w:val="18"/>
                <w:szCs w:val="18"/>
                <w:color w:val="auto"/>
              </w:rPr>
            </w:pPr>
          </w:p>
        </w:tc>
        <w:tc>
          <w:tcPr>
            <w:tcW w:w="45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property, plant and equipment</w:t>
            </w:r>
          </w:p>
        </w:tc>
        <w:tc>
          <w:tcPr>
            <w:tcW w:w="1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1,770,642</w:t>
            </w:r>
          </w:p>
        </w:tc>
        <w:tc>
          <w:tcPr>
            <w:tcW w:w="1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1,916,683</w:t>
            </w:r>
          </w:p>
        </w:tc>
        <w:tc>
          <w:tcPr>
            <w:tcW w:w="100" w:type="dxa"/>
            <w:vAlign w:val="bottom"/>
            <w:shd w:val="clear" w:color="auto" w:fill="CCEEFF"/>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Accumulated depreciation</w:t>
            </w:r>
          </w:p>
        </w:tc>
        <w:tc>
          <w:tcPr>
            <w:tcW w:w="1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(642,480)</w:t>
            </w:r>
          </w:p>
        </w:tc>
        <w:tc>
          <w:tcPr>
            <w:tcW w:w="180" w:type="dxa"/>
            <w:vAlign w:val="bottom"/>
          </w:tcPr>
          <w:p>
            <w:pPr>
              <w:spacing w:after="0"/>
              <w:rPr>
                <w:sz w:val="18"/>
                <w:szCs w:val="18"/>
                <w:color w:val="auto"/>
              </w:rPr>
            </w:pP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(668,253)</w:t>
            </w:r>
          </w:p>
        </w:tc>
        <w:tc>
          <w:tcPr>
            <w:tcW w:w="900" w:type="dxa"/>
            <w:vAlign w:val="bottom"/>
          </w:tcPr>
          <w:p>
            <w:pPr>
              <w:spacing w:after="0"/>
              <w:rPr>
                <w:sz w:val="18"/>
                <w:szCs w:val="18"/>
                <w:color w:val="auto"/>
              </w:rPr>
            </w:pPr>
          </w:p>
        </w:tc>
      </w:tr>
      <w:tr>
        <w:trPr>
          <w:trHeight w:val="250"/>
        </w:trPr>
        <w:tc>
          <w:tcPr>
            <w:tcW w:w="860" w:type="dxa"/>
            <w:vAlign w:val="bottom"/>
          </w:tcPr>
          <w:p>
            <w:pPr>
              <w:spacing w:after="0"/>
              <w:rPr>
                <w:sz w:val="21"/>
                <w:szCs w:val="21"/>
                <w:color w:val="auto"/>
              </w:rPr>
            </w:pPr>
          </w:p>
        </w:tc>
        <w:tc>
          <w:tcPr>
            <w:tcW w:w="4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property, plant and equipment, net</w:t>
            </w:r>
          </w:p>
        </w:tc>
        <w:tc>
          <w:tcPr>
            <w:tcW w:w="15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1,128,162</w:t>
            </w:r>
          </w:p>
        </w:tc>
        <w:tc>
          <w:tcPr>
            <w:tcW w:w="1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1,248,430</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Pr>
          <w:p>
            <w:pPr>
              <w:spacing w:after="0"/>
              <w:rPr>
                <w:sz w:val="21"/>
                <w:szCs w:val="21"/>
                <w:color w:val="auto"/>
              </w:rPr>
            </w:pPr>
          </w:p>
        </w:tc>
      </w:tr>
      <w:tr>
        <w:trPr>
          <w:trHeight w:val="656"/>
        </w:trPr>
        <w:tc>
          <w:tcPr>
            <w:tcW w:w="86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1560" w:type="dxa"/>
            <w:vAlign w:val="bottom"/>
          </w:tcPr>
          <w:p>
            <w:pPr>
              <w:jc w:val="right"/>
              <w:ind w:right="1110"/>
              <w:spacing w:after="0"/>
              <w:rPr>
                <w:sz w:val="20"/>
                <w:szCs w:val="20"/>
                <w:color w:val="auto"/>
              </w:rPr>
            </w:pPr>
            <w:r>
              <w:rPr>
                <w:rFonts w:ascii="Arial" w:cs="Arial" w:eastAsia="Arial" w:hAnsi="Arial"/>
                <w:sz w:val="18"/>
                <w:szCs w:val="18"/>
                <w:color w:val="auto"/>
              </w:rPr>
              <w:t>11</w:t>
            </w: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05"/>
        </w:trPr>
        <w:tc>
          <w:tcPr>
            <w:tcW w:w="860" w:type="dxa"/>
            <w:vAlign w:val="bottom"/>
          </w:tcPr>
          <w:p>
            <w:pPr>
              <w:spacing w:after="0"/>
              <w:rPr>
                <w:sz w:val="9"/>
                <w:szCs w:val="9"/>
                <w:color w:val="auto"/>
              </w:rPr>
            </w:pPr>
          </w:p>
        </w:tc>
        <w:tc>
          <w:tcPr>
            <w:tcW w:w="4580" w:type="dxa"/>
            <w:vAlign w:val="bottom"/>
          </w:tcPr>
          <w:p>
            <w:pPr>
              <w:spacing w:after="0"/>
              <w:rPr>
                <w:sz w:val="9"/>
                <w:szCs w:val="9"/>
                <w:color w:val="auto"/>
              </w:rPr>
            </w:pPr>
          </w:p>
        </w:tc>
        <w:tc>
          <w:tcPr>
            <w:tcW w:w="1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r>
      <w:tr>
        <w:trPr>
          <w:trHeight w:val="61"/>
        </w:trPr>
        <w:tc>
          <w:tcPr>
            <w:tcW w:w="860" w:type="dxa"/>
            <w:vAlign w:val="bottom"/>
            <w:shd w:val="clear" w:color="auto" w:fill="808080"/>
          </w:tcPr>
          <w:p>
            <w:pPr>
              <w:spacing w:after="0"/>
              <w:rPr>
                <w:sz w:val="5"/>
                <w:szCs w:val="5"/>
                <w:color w:val="auto"/>
              </w:rPr>
            </w:pPr>
          </w:p>
        </w:tc>
        <w:tc>
          <w:tcPr>
            <w:tcW w:w="4580" w:type="dxa"/>
            <w:vAlign w:val="bottom"/>
            <w:shd w:val="clear" w:color="auto" w:fill="808080"/>
          </w:tcPr>
          <w:p>
            <w:pPr>
              <w:spacing w:after="0"/>
              <w:rPr>
                <w:sz w:val="5"/>
                <w:szCs w:val="5"/>
                <w:color w:val="auto"/>
              </w:rPr>
            </w:pPr>
          </w:p>
        </w:tc>
        <w:tc>
          <w:tcPr>
            <w:tcW w:w="156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300" w:type="dxa"/>
            <w:vAlign w:val="bottom"/>
            <w:shd w:val="clear" w:color="auto" w:fill="808080"/>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136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580" w:right="199" w:bottom="1440" w:gutter="0" w:footer="0" w:header="0"/>
        </w:sectPr>
      </w:pPr>
    </w:p>
    <w:bookmarkStart w:id="11" w:name="page12"/>
    <w:bookmarkEnd w:id="11"/>
    <w:p>
      <w:pPr>
        <w:spacing w:after="0" w:line="1" w:lineRule="exact"/>
        <w:rPr>
          <w:sz w:val="20"/>
          <w:szCs w:val="20"/>
          <w:color w:val="auto"/>
        </w:rPr>
      </w:pPr>
    </w:p>
    <w:tbl>
      <w:tblPr>
        <w:tblLayout w:type="fixed"/>
        <w:tblInd w:w="860" w:type="dxa"/>
        <w:tblCellMar>
          <w:top w:w="0" w:type="dxa"/>
          <w:left w:w="0" w:type="dxa"/>
          <w:bottom w:w="0" w:type="dxa"/>
          <w:right w:w="0" w:type="dxa"/>
        </w:tblCellMar>
      </w:tblPr>
      <w:tr>
        <w:trPr>
          <w:trHeight w:val="234"/>
        </w:trPr>
        <w:tc>
          <w:tcPr>
            <w:tcW w:w="2960" w:type="dxa"/>
            <w:vAlign w:val="bottom"/>
          </w:tcPr>
          <w:p>
            <w:pPr>
              <w:spacing w:after="0"/>
              <w:rPr>
                <w:sz w:val="20"/>
                <w:szCs w:val="20"/>
                <w:color w:val="auto"/>
              </w:rPr>
            </w:pPr>
          </w:p>
        </w:tc>
        <w:tc>
          <w:tcPr>
            <w:tcW w:w="3700" w:type="dxa"/>
            <w:vAlign w:val="bottom"/>
            <w:gridSpan w:val="2"/>
          </w:tcPr>
          <w:p>
            <w:pPr>
              <w:jc w:val="center"/>
              <w:ind w:left="10"/>
              <w:spacing w:after="0"/>
              <w:rPr>
                <w:sz w:val="20"/>
                <w:szCs w:val="20"/>
                <w:color w:val="auto"/>
              </w:rPr>
            </w:pPr>
            <w:r>
              <w:rPr>
                <w:rFonts w:ascii="Arial" w:cs="Arial" w:eastAsia="Arial" w:hAnsi="Arial"/>
                <w:sz w:val="18"/>
                <w:szCs w:val="18"/>
                <w:b w:val="1"/>
                <w:bCs w:val="1"/>
                <w:color w:val="auto"/>
              </w:rPr>
              <w:t>CIVEO CORPORATION</w:t>
            </w:r>
          </w:p>
        </w:tc>
        <w:tc>
          <w:tcPr>
            <w:tcW w:w="1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2960" w:type="dxa"/>
            <w:vAlign w:val="bottom"/>
          </w:tcPr>
          <w:p>
            <w:pPr>
              <w:spacing w:after="0"/>
              <w:rPr>
                <w:sz w:val="24"/>
                <w:szCs w:val="24"/>
                <w:color w:val="auto"/>
              </w:rPr>
            </w:pPr>
          </w:p>
        </w:tc>
        <w:tc>
          <w:tcPr>
            <w:tcW w:w="3700" w:type="dxa"/>
            <w:vAlign w:val="bottom"/>
            <w:gridSpan w:val="2"/>
          </w:tcPr>
          <w:p>
            <w:pPr>
              <w:jc w:val="center"/>
              <w:spacing w:after="0"/>
              <w:rPr>
                <w:sz w:val="20"/>
                <w:szCs w:val="20"/>
                <w:color w:val="auto"/>
              </w:rPr>
            </w:pPr>
            <w:r>
              <w:rPr>
                <w:rFonts w:ascii="Arial" w:cs="Arial" w:eastAsia="Arial" w:hAnsi="Arial"/>
                <w:sz w:val="18"/>
                <w:szCs w:val="18"/>
                <w:b w:val="1"/>
                <w:bCs w:val="1"/>
                <w:color w:val="auto"/>
              </w:rPr>
              <w:t>NOTES TO UNAUDITED CONSOLIDATED</w:t>
            </w:r>
          </w:p>
        </w:tc>
        <w:tc>
          <w:tcPr>
            <w:tcW w:w="1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2960" w:type="dxa"/>
            <w:vAlign w:val="bottom"/>
          </w:tcPr>
          <w:p>
            <w:pPr>
              <w:spacing w:after="0"/>
              <w:rPr>
                <w:sz w:val="18"/>
                <w:szCs w:val="18"/>
                <w:color w:val="auto"/>
              </w:rPr>
            </w:pPr>
          </w:p>
        </w:tc>
        <w:tc>
          <w:tcPr>
            <w:tcW w:w="3700" w:type="dxa"/>
            <w:vAlign w:val="bottom"/>
            <w:gridSpan w:val="2"/>
          </w:tcPr>
          <w:p>
            <w:pPr>
              <w:jc w:val="center"/>
              <w:spacing w:after="0"/>
              <w:rPr>
                <w:sz w:val="20"/>
                <w:szCs w:val="20"/>
                <w:color w:val="auto"/>
              </w:rPr>
            </w:pPr>
            <w:r>
              <w:rPr>
                <w:rFonts w:ascii="Arial" w:cs="Arial" w:eastAsia="Arial" w:hAnsi="Arial"/>
                <w:sz w:val="18"/>
                <w:szCs w:val="18"/>
                <w:b w:val="1"/>
                <w:bCs w:val="1"/>
                <w:color w:val="auto"/>
              </w:rPr>
              <w:t>FINANCIAL STATEMENTS</w:t>
            </w: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2960" w:type="dxa"/>
            <w:vAlign w:val="bottom"/>
          </w:tcPr>
          <w:p>
            <w:pPr>
              <w:spacing w:after="0"/>
              <w:rPr>
                <w:sz w:val="20"/>
                <w:szCs w:val="20"/>
                <w:color w:val="auto"/>
              </w:rPr>
            </w:pPr>
          </w:p>
        </w:tc>
        <w:tc>
          <w:tcPr>
            <w:tcW w:w="37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3"/>
              </w:rPr>
              <w:t>(Continued)</w:t>
            </w:r>
          </w:p>
        </w:tc>
        <w:tc>
          <w:tcPr>
            <w:tcW w:w="1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296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0" w:type="dxa"/>
            <w:vAlign w:val="bottom"/>
            <w:gridSpan w:val="2"/>
          </w:tcPr>
          <w:p>
            <w:pPr>
              <w:ind w:left="40"/>
              <w:spacing w:after="0"/>
              <w:rPr>
                <w:sz w:val="20"/>
                <w:szCs w:val="20"/>
                <w:color w:val="auto"/>
              </w:rPr>
            </w:pPr>
            <w:r>
              <w:rPr>
                <w:rFonts w:ascii="Arial" w:cs="Arial" w:eastAsia="Arial" w:hAnsi="Arial"/>
                <w:sz w:val="18"/>
                <w:szCs w:val="18"/>
                <w:b w:val="1"/>
                <w:bCs w:val="1"/>
                <w:color w:val="auto"/>
              </w:rPr>
              <w:t>March 31,</w:t>
            </w:r>
          </w:p>
        </w:tc>
        <w:tc>
          <w:tcPr>
            <w:tcW w:w="180" w:type="dxa"/>
            <w:vAlign w:val="bottom"/>
          </w:tcPr>
          <w:p>
            <w:pPr>
              <w:spacing w:after="0"/>
              <w:rPr>
                <w:sz w:val="24"/>
                <w:szCs w:val="24"/>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December 31,</w:t>
            </w:r>
          </w:p>
        </w:tc>
      </w:tr>
      <w:tr>
        <w:trPr>
          <w:trHeight w:val="234"/>
        </w:trPr>
        <w:tc>
          <w:tcPr>
            <w:tcW w:w="296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2015</w:t>
            </w:r>
          </w:p>
        </w:tc>
        <w:tc>
          <w:tcPr>
            <w:tcW w:w="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r>
      <w:tr>
        <w:trPr>
          <w:trHeight w:val="210"/>
        </w:trPr>
        <w:tc>
          <w:tcPr>
            <w:tcW w:w="2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Accrued liabilities:</w:t>
            </w:r>
          </w:p>
        </w:tc>
        <w:tc>
          <w:tcPr>
            <w:tcW w:w="3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960" w:type="dxa"/>
            <w:vAlign w:val="bottom"/>
          </w:tcPr>
          <w:p>
            <w:pPr>
              <w:spacing w:after="0"/>
              <w:rPr>
                <w:sz w:val="20"/>
                <w:szCs w:val="20"/>
                <w:color w:val="auto"/>
              </w:rPr>
            </w:pPr>
            <w:r>
              <w:rPr>
                <w:rFonts w:ascii="Arial" w:cs="Arial" w:eastAsia="Arial" w:hAnsi="Arial"/>
                <w:sz w:val="18"/>
                <w:szCs w:val="18"/>
                <w:color w:val="auto"/>
              </w:rPr>
              <w:t>Accrued compensation</w:t>
            </w:r>
          </w:p>
        </w:tc>
        <w:tc>
          <w:tcPr>
            <w:tcW w:w="370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10,598</w:t>
            </w:r>
          </w:p>
        </w:tc>
        <w:tc>
          <w:tcPr>
            <w:tcW w:w="1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15,273</w:t>
            </w:r>
          </w:p>
        </w:tc>
      </w:tr>
      <w:tr>
        <w:trPr>
          <w:trHeight w:val="216"/>
        </w:trPr>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w w:val="92"/>
              </w:rPr>
              <w:t>Accrued taxes, other than income taxes</w:t>
            </w:r>
          </w:p>
        </w:tc>
        <w:tc>
          <w:tcPr>
            <w:tcW w:w="3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2,806</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1,567</w:t>
            </w:r>
          </w:p>
        </w:tc>
      </w:tr>
      <w:tr>
        <w:trPr>
          <w:trHeight w:val="216"/>
        </w:trPr>
        <w:tc>
          <w:tcPr>
            <w:tcW w:w="2960" w:type="dxa"/>
            <w:vAlign w:val="bottom"/>
          </w:tcPr>
          <w:p>
            <w:pPr>
              <w:spacing w:after="0"/>
              <w:rPr>
                <w:sz w:val="20"/>
                <w:szCs w:val="20"/>
                <w:color w:val="auto"/>
              </w:rPr>
            </w:pPr>
            <w:r>
              <w:rPr>
                <w:rFonts w:ascii="Arial" w:cs="Arial" w:eastAsia="Arial" w:hAnsi="Arial"/>
                <w:sz w:val="18"/>
                <w:szCs w:val="18"/>
                <w:color w:val="auto"/>
              </w:rPr>
              <w:t>Accrued interest</w:t>
            </w:r>
          </w:p>
        </w:tc>
        <w:tc>
          <w:tcPr>
            <w:tcW w:w="3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150</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60</w:t>
            </w:r>
          </w:p>
        </w:tc>
      </w:tr>
      <w:tr>
        <w:trPr>
          <w:trHeight w:val="216"/>
        </w:trPr>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3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2,839</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5,612</w:t>
            </w:r>
          </w:p>
        </w:tc>
      </w:tr>
      <w:tr>
        <w:trPr>
          <w:trHeight w:val="20"/>
        </w:trPr>
        <w:tc>
          <w:tcPr>
            <w:tcW w:w="2960" w:type="dxa"/>
            <w:vAlign w:val="bottom"/>
            <w:shd w:val="clear" w:color="auto" w:fill="CCEEFF"/>
          </w:tcPr>
          <w:p>
            <w:pPr>
              <w:spacing w:after="0" w:line="20" w:lineRule="exact"/>
              <w:rPr>
                <w:sz w:val="1"/>
                <w:szCs w:val="1"/>
                <w:color w:val="auto"/>
              </w:rPr>
            </w:pPr>
          </w:p>
        </w:tc>
        <w:tc>
          <w:tcPr>
            <w:tcW w:w="336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2960" w:type="dxa"/>
            <w:vAlign w:val="bottom"/>
          </w:tcPr>
          <w:p>
            <w:pPr>
              <w:spacing w:after="0"/>
              <w:rPr>
                <w:sz w:val="20"/>
                <w:szCs w:val="20"/>
                <w:color w:val="auto"/>
              </w:rPr>
            </w:pPr>
            <w:r>
              <w:rPr>
                <w:rFonts w:ascii="Arial" w:cs="Arial" w:eastAsia="Arial" w:hAnsi="Arial"/>
                <w:sz w:val="18"/>
                <w:szCs w:val="18"/>
                <w:color w:val="auto"/>
              </w:rPr>
              <w:t>Total accrued liabilities</w:t>
            </w:r>
          </w:p>
        </w:tc>
        <w:tc>
          <w:tcPr>
            <w:tcW w:w="336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16,393</w:t>
            </w:r>
          </w:p>
        </w:tc>
        <w:tc>
          <w:tcPr>
            <w:tcW w:w="1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22,512</w:t>
            </w:r>
          </w:p>
        </w:tc>
      </w:tr>
      <w:tr>
        <w:trPr>
          <w:trHeight w:val="20"/>
        </w:trPr>
        <w:tc>
          <w:tcPr>
            <w:tcW w:w="296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340" w:hanging="332"/>
        <w:spacing w:after="0"/>
        <w:tabs>
          <w:tab w:leader="none" w:pos="34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ASSETS HELD FOR SALE</w:t>
      </w:r>
    </w:p>
    <w:p>
      <w:pPr>
        <w:spacing w:after="0" w:line="229" w:lineRule="exact"/>
        <w:rPr>
          <w:sz w:val="20"/>
          <w:szCs w:val="20"/>
          <w:color w:val="auto"/>
        </w:rPr>
      </w:pPr>
    </w:p>
    <w:p>
      <w:pPr>
        <w:ind w:right="100" w:firstLine="324"/>
        <w:spacing w:after="0" w:line="276" w:lineRule="auto"/>
        <w:rPr>
          <w:sz w:val="20"/>
          <w:szCs w:val="20"/>
          <w:color w:val="auto"/>
        </w:rPr>
      </w:pPr>
      <w:r>
        <w:rPr>
          <w:rFonts w:ascii="Arial" w:cs="Arial" w:eastAsia="Arial" w:hAnsi="Arial"/>
          <w:sz w:val="17"/>
          <w:szCs w:val="17"/>
          <w:color w:val="auto"/>
        </w:rPr>
        <w:t>During the first quarter of 2015, we made the decision to dispose of our manufacturing facility in Johnstown, Colorado. Accordingly, the facility met the criteria of held for sale, and its carrying value was adjusted downward to $8.7 million, which represents its estimated fair value less the cost to sell. We recorded a pre-tax impairment expense of $2.7 million and an additional $1.1 million to write-down our inventory as a result. Additionally, we have discontinued depreciation of the facility. Depreciation expense related to the facility totaled approximately $0.2 million and $0.2 million during the three months ended March 31, 2015 and 2014, respectively. The facility was part of our U.S. reportable business segment.</w:t>
      </w:r>
    </w:p>
    <w:p>
      <w:pPr>
        <w:spacing w:after="0" w:line="173"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following table summarizes the carrying amount as of March 31, 2015 of the major classes of assets from the Johnstown facility we classified as held for sale (in thousands):</w:t>
      </w:r>
    </w:p>
    <w:p>
      <w:pPr>
        <w:spacing w:after="0" w:line="166"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March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5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Assets held for sale:</w:t>
            </w: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ind w:left="160"/>
              <w:spacing w:after="0"/>
              <w:rPr>
                <w:sz w:val="20"/>
                <w:szCs w:val="20"/>
                <w:color w:val="auto"/>
              </w:rPr>
            </w:pPr>
            <w:r>
              <w:rPr>
                <w:rFonts w:ascii="Arial" w:cs="Arial" w:eastAsia="Arial" w:hAnsi="Arial"/>
                <w:sz w:val="18"/>
                <w:szCs w:val="18"/>
                <w:color w:val="auto"/>
              </w:rPr>
              <w:t>Property, plant and equipment, net</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10,203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Inventories</w:t>
            </w: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ind w:left="160"/>
              <w:spacing w:after="0"/>
              <w:rPr>
                <w:sz w:val="20"/>
                <w:szCs w:val="20"/>
                <w:color w:val="auto"/>
              </w:rPr>
            </w:pPr>
            <w:r>
              <w:rPr>
                <w:rFonts w:ascii="Arial" w:cs="Arial" w:eastAsia="Arial" w:hAnsi="Arial"/>
                <w:sz w:val="18"/>
                <w:szCs w:val="18"/>
                <w:color w:val="auto"/>
              </w:rPr>
              <w:t>Intangible assets, net</w:t>
            </w: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777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Impairment expense</w:t>
            </w: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(2,738)</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50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500" w:type="dxa"/>
            <w:vAlign w:val="bottom"/>
          </w:tcPr>
          <w:p>
            <w:pPr>
              <w:spacing w:after="0"/>
              <w:rPr>
                <w:sz w:val="20"/>
                <w:szCs w:val="20"/>
                <w:color w:val="auto"/>
              </w:rPr>
            </w:pPr>
            <w:r>
              <w:rPr>
                <w:rFonts w:ascii="Arial" w:cs="Arial" w:eastAsia="Arial" w:hAnsi="Arial"/>
                <w:sz w:val="18"/>
                <w:szCs w:val="18"/>
                <w:color w:val="auto"/>
              </w:rPr>
              <w:t>Total assets held for sale</w:t>
            </w: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8,656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ind w:left="340" w:hanging="332"/>
        <w:spacing w:after="0"/>
        <w:tabs>
          <w:tab w:leader="none" w:pos="34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229" w:lineRule="exact"/>
        <w:rPr>
          <w:sz w:val="20"/>
          <w:szCs w:val="20"/>
          <w:color w:val="auto"/>
        </w:rPr>
      </w:pPr>
    </w:p>
    <w:p>
      <w:pPr>
        <w:ind w:right="40" w:firstLine="324"/>
        <w:spacing w:after="0" w:line="297" w:lineRule="auto"/>
        <w:rPr>
          <w:sz w:val="20"/>
          <w:szCs w:val="20"/>
          <w:color w:val="auto"/>
        </w:rPr>
      </w:pPr>
      <w:r>
        <w:rPr>
          <w:rFonts w:ascii="Arial" w:cs="Arial" w:eastAsia="Arial" w:hAnsi="Arial"/>
          <w:sz w:val="16"/>
          <w:szCs w:val="16"/>
          <w:color w:val="auto"/>
        </w:rPr>
        <w:t>On May 30, 2014, 106,538,044 shares of our common stock were distributed to Oil States stockholders in connection with the Spin-Off. For comparative purposes, and to provide a more meaningful calculation of weighted-average shares outstanding, we have assumed these shares to be outstanding as of the beginning of each period prior to the Spin-Off presented in the calculation of weighted-average shares. In addition, we have assumed the dilutive securities outstanding at May 30, 2014 were also outstanding for each of the periods prior to the Spin-Off presented. Our calculation of diluted earnings per share excludes all shares issuable pursuant to outstanding stock options for the three months ended March 31, 2015, due to their antidilutive effect.</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2" w:name="page13"/>
    <w:bookmarkEnd w:id="12"/>
    <w:p>
      <w:pPr>
        <w:jc w:val="center"/>
        <w:ind w:right="40"/>
        <w:spacing w:after="0"/>
        <w:rPr>
          <w:sz w:val="20"/>
          <w:szCs w:val="20"/>
          <w:color w:val="auto"/>
        </w:rPr>
      </w:pPr>
      <w:r>
        <w:rPr>
          <w:rFonts w:ascii="Arial" w:cs="Arial" w:eastAsia="Arial" w:hAnsi="Arial"/>
          <w:sz w:val="18"/>
          <w:szCs w:val="18"/>
          <w:b w:val="1"/>
          <w:bCs w:val="1"/>
          <w:color w:val="auto"/>
        </w:rPr>
        <w:t>CIVEO CORPORATION</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UNAUDITED CONSOLIDATED</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FINANCIAL STATEMENTS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(Continued)</w:t>
      </w:r>
    </w:p>
    <w:p>
      <w:pPr>
        <w:spacing w:after="0" w:line="265" w:lineRule="exact"/>
        <w:rPr>
          <w:sz w:val="20"/>
          <w:szCs w:val="20"/>
          <w:color w:val="auto"/>
        </w:rPr>
      </w:pPr>
    </w:p>
    <w:p>
      <w:pPr>
        <w:spacing w:after="0"/>
        <w:rPr>
          <w:sz w:val="20"/>
          <w:szCs w:val="20"/>
          <w:color w:val="auto"/>
        </w:rPr>
      </w:pPr>
      <w:r>
        <w:rPr>
          <w:rFonts w:ascii="Arial" w:cs="Arial" w:eastAsia="Arial" w:hAnsi="Arial"/>
          <w:sz w:val="16"/>
          <w:szCs w:val="16"/>
          <w:color w:val="auto"/>
        </w:rPr>
        <w:t>The calculation of earnings per share attributable to the Company is presented below for the periods indicated (in thousands, except per share amounts):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0" w:type="dxa"/>
            <w:vAlign w:val="bottom"/>
          </w:tcPr>
          <w:p>
            <w:pPr>
              <w:spacing w:after="0"/>
              <w:rPr>
                <w:sz w:val="18"/>
                <w:szCs w:val="18"/>
                <w:color w:val="auto"/>
              </w:rPr>
            </w:pPr>
          </w:p>
        </w:tc>
        <w:tc>
          <w:tcPr>
            <w:tcW w:w="6320" w:type="dxa"/>
            <w:vAlign w:val="bottom"/>
          </w:tcPr>
          <w:p>
            <w:pPr>
              <w:spacing w:after="0"/>
              <w:rPr>
                <w:sz w:val="18"/>
                <w:szCs w:val="18"/>
                <w:color w:val="auto"/>
              </w:rPr>
            </w:pPr>
          </w:p>
        </w:tc>
        <w:tc>
          <w:tcPr>
            <w:tcW w:w="3380" w:type="dxa"/>
            <w:vAlign w:val="bottom"/>
            <w:gridSpan w:val="6"/>
          </w:tcPr>
          <w:p>
            <w:pPr>
              <w:jc w:val="right"/>
              <w:ind w:right="660"/>
              <w:spacing w:after="0"/>
              <w:rPr>
                <w:sz w:val="20"/>
                <w:szCs w:val="20"/>
                <w:color w:val="auto"/>
              </w:rPr>
            </w:pPr>
            <w:r>
              <w:rPr>
                <w:rFonts w:ascii="Arial" w:cs="Arial" w:eastAsia="Arial" w:hAnsi="Arial"/>
                <w:sz w:val="18"/>
                <w:szCs w:val="18"/>
                <w:b w:val="1"/>
                <w:bCs w:val="1"/>
                <w:color w:val="auto"/>
              </w:rPr>
              <w:t>THREE MONTHS ENDED</w:t>
            </w:r>
          </w:p>
        </w:tc>
        <w:tc>
          <w:tcPr>
            <w:tcW w:w="900" w:type="dxa"/>
            <w:vAlign w:val="bottom"/>
          </w:tcPr>
          <w:p>
            <w:pPr>
              <w:spacing w:after="0"/>
              <w:rPr>
                <w:sz w:val="18"/>
                <w:szCs w:val="18"/>
                <w:color w:val="auto"/>
              </w:rPr>
            </w:pPr>
          </w:p>
        </w:tc>
      </w:tr>
      <w:tr>
        <w:trPr>
          <w:trHeight w:val="234"/>
        </w:trPr>
        <w:tc>
          <w:tcPr>
            <w:tcW w:w="860" w:type="dxa"/>
            <w:vAlign w:val="bottom"/>
          </w:tcPr>
          <w:p>
            <w:pPr>
              <w:spacing w:after="0"/>
              <w:rPr>
                <w:sz w:val="20"/>
                <w:szCs w:val="20"/>
                <w:color w:val="auto"/>
              </w:rPr>
            </w:pPr>
          </w:p>
        </w:tc>
        <w:tc>
          <w:tcPr>
            <w:tcW w:w="632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rPr>
              <w:t>MARCH 31,</w:t>
            </w:r>
          </w:p>
        </w:tc>
        <w:tc>
          <w:tcPr>
            <w:tcW w:w="10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10"/>
        </w:trPr>
        <w:tc>
          <w:tcPr>
            <w:tcW w:w="860" w:type="dxa"/>
            <w:vAlign w:val="bottom"/>
          </w:tcPr>
          <w:p>
            <w:pPr>
              <w:spacing w:after="0"/>
              <w:rPr>
                <w:sz w:val="18"/>
                <w:szCs w:val="18"/>
                <w:color w:val="auto"/>
              </w:rPr>
            </w:pPr>
          </w:p>
        </w:tc>
        <w:tc>
          <w:tcPr>
            <w:tcW w:w="632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2015</w:t>
            </w:r>
          </w:p>
        </w:tc>
        <w:tc>
          <w:tcPr>
            <w:tcW w:w="60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0"/>
        </w:trPr>
        <w:tc>
          <w:tcPr>
            <w:tcW w:w="86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 Earnings per Share</w:t>
            </w:r>
          </w:p>
        </w:tc>
        <w:tc>
          <w:tcPr>
            <w:tcW w:w="9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Net income (loss) attributable to Civeo</w:t>
            </w:r>
          </w:p>
        </w:tc>
        <w:tc>
          <w:tcPr>
            <w:tcW w:w="960" w:type="dxa"/>
            <w:vAlign w:val="bottom"/>
          </w:tcPr>
          <w:p>
            <w:pPr>
              <w:jc w:val="right"/>
              <w:ind w:right="770"/>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(16)</w:t>
            </w: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36,239</w:t>
            </w:r>
          </w:p>
        </w:tc>
        <w:tc>
          <w:tcPr>
            <w:tcW w:w="900" w:type="dxa"/>
            <w:vAlign w:val="bottom"/>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Less: undistributed net income to participating securities</w:t>
            </w:r>
          </w:p>
        </w:tc>
        <w:tc>
          <w:tcPr>
            <w:tcW w:w="9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(148)</w:t>
            </w:r>
          </w:p>
        </w:tc>
        <w:tc>
          <w:tcPr>
            <w:tcW w:w="900" w:type="dxa"/>
            <w:vAlign w:val="bottom"/>
          </w:tcPr>
          <w:p>
            <w:pPr>
              <w:spacing w:after="0"/>
              <w:rPr>
                <w:sz w:val="18"/>
                <w:szCs w:val="18"/>
                <w:color w:val="auto"/>
              </w:rPr>
            </w:pPr>
          </w:p>
        </w:tc>
      </w:tr>
      <w:tr>
        <w:trPr>
          <w:trHeight w:val="20"/>
        </w:trPr>
        <w:tc>
          <w:tcPr>
            <w:tcW w:w="860" w:type="dxa"/>
            <w:vAlign w:val="bottom"/>
          </w:tcPr>
          <w:p>
            <w:pPr>
              <w:spacing w:after="0" w:line="20" w:lineRule="exact"/>
              <w:rPr>
                <w:sz w:val="1"/>
                <w:szCs w:val="1"/>
                <w:color w:val="auto"/>
              </w:rPr>
            </w:pPr>
          </w:p>
        </w:tc>
        <w:tc>
          <w:tcPr>
            <w:tcW w:w="6320" w:type="dxa"/>
            <w:vAlign w:val="bottom"/>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10"/>
        </w:trPr>
        <w:tc>
          <w:tcPr>
            <w:tcW w:w="86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Net income (loss) attributable to Civeo’s common stockholders - basic</w:t>
            </w:r>
          </w:p>
        </w:tc>
        <w:tc>
          <w:tcPr>
            <w:tcW w:w="960" w:type="dxa"/>
            <w:vAlign w:val="bottom"/>
          </w:tcPr>
          <w:p>
            <w:pPr>
              <w:jc w:val="right"/>
              <w:ind w:right="770"/>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(16)</w:t>
            </w: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36,091</w:t>
            </w:r>
          </w:p>
        </w:tc>
        <w:tc>
          <w:tcPr>
            <w:tcW w:w="900" w:type="dxa"/>
            <w:vAlign w:val="bottom"/>
          </w:tcPr>
          <w:p>
            <w:pPr>
              <w:spacing w:after="0"/>
              <w:rPr>
                <w:sz w:val="18"/>
                <w:szCs w:val="18"/>
                <w:color w:val="auto"/>
              </w:rPr>
            </w:pPr>
          </w:p>
        </w:tc>
      </w:tr>
      <w:tr>
        <w:trPr>
          <w:trHeight w:val="20"/>
        </w:trPr>
        <w:tc>
          <w:tcPr>
            <w:tcW w:w="86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7"/>
        </w:trPr>
        <w:tc>
          <w:tcPr>
            <w:tcW w:w="860" w:type="dxa"/>
            <w:vAlign w:val="bottom"/>
          </w:tcPr>
          <w:p>
            <w:pPr>
              <w:spacing w:after="0"/>
              <w:rPr>
                <w:sz w:val="17"/>
                <w:szCs w:val="17"/>
                <w:color w:val="auto"/>
              </w:rPr>
            </w:pPr>
          </w:p>
        </w:tc>
        <w:tc>
          <w:tcPr>
            <w:tcW w:w="63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spacing w:after="0"/>
              <w:rPr>
                <w:sz w:val="17"/>
                <w:szCs w:val="17"/>
                <w:color w:val="auto"/>
              </w:rPr>
            </w:pPr>
          </w:p>
        </w:tc>
        <w:tc>
          <w:tcPr>
            <w:tcW w:w="900" w:type="dxa"/>
            <w:vAlign w:val="bottom"/>
          </w:tcPr>
          <w:p>
            <w:pPr>
              <w:spacing w:after="0"/>
              <w:rPr>
                <w:sz w:val="17"/>
                <w:szCs w:val="17"/>
                <w:color w:val="auto"/>
              </w:rPr>
            </w:pPr>
          </w:p>
        </w:tc>
      </w:tr>
      <w:tr>
        <w:trPr>
          <w:trHeight w:val="216"/>
        </w:trPr>
        <w:tc>
          <w:tcPr>
            <w:tcW w:w="86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Weighted average common shares outstanding - basic</w:t>
            </w: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106,460</w:t>
            </w: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106,293</w:t>
            </w:r>
          </w:p>
        </w:tc>
        <w:tc>
          <w:tcPr>
            <w:tcW w:w="900" w:type="dxa"/>
            <w:vAlign w:val="bottom"/>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63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Basic earnings (loss) per share</w:t>
            </w:r>
          </w:p>
        </w:tc>
        <w:tc>
          <w:tcPr>
            <w:tcW w:w="960" w:type="dxa"/>
            <w:vAlign w:val="bottom"/>
          </w:tcPr>
          <w:p>
            <w:pPr>
              <w:jc w:val="right"/>
              <w:ind w:right="770"/>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(0.00)</w:t>
            </w: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0.34</w:t>
            </w:r>
          </w:p>
        </w:tc>
        <w:tc>
          <w:tcPr>
            <w:tcW w:w="900" w:type="dxa"/>
            <w:vAlign w:val="bottom"/>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63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Arial" w:cs="Arial" w:eastAsia="Arial" w:hAnsi="Arial"/>
                <w:sz w:val="18"/>
                <w:szCs w:val="18"/>
                <w:b w:val="1"/>
                <w:bCs w:val="1"/>
                <w:color w:val="auto"/>
              </w:rPr>
              <w:t>Diluted Earnings per Share</w:t>
            </w:r>
          </w:p>
        </w:tc>
        <w:tc>
          <w:tcPr>
            <w:tcW w:w="9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attributable to Civeo’s common stockholders - basic</w:t>
            </w:r>
          </w:p>
        </w:tc>
        <w:tc>
          <w:tcPr>
            <w:tcW w:w="96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w:t>
            </w: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36,091</w:t>
            </w:r>
          </w:p>
        </w:tc>
        <w:tc>
          <w:tcPr>
            <w:tcW w:w="900" w:type="dxa"/>
            <w:vAlign w:val="bottom"/>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Less: undistributed net income to participating securities</w:t>
            </w: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18"/>
                <w:szCs w:val="18"/>
                <w:color w:val="auto"/>
              </w:rPr>
            </w:pPr>
          </w:p>
        </w:tc>
      </w:tr>
      <w:tr>
        <w:trPr>
          <w:trHeight w:val="250"/>
        </w:trPr>
        <w:tc>
          <w:tcPr>
            <w:tcW w:w="860" w:type="dxa"/>
            <w:vAlign w:val="bottom"/>
          </w:tcPr>
          <w:p>
            <w:pPr>
              <w:spacing w:after="0"/>
              <w:rPr>
                <w:sz w:val="21"/>
                <w:szCs w:val="21"/>
                <w:color w:val="auto"/>
              </w:rPr>
            </w:pPr>
          </w:p>
        </w:tc>
        <w:tc>
          <w:tcPr>
            <w:tcW w:w="6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(loss) attributable to Civeo’s common stockholders - diluted</w:t>
            </w:r>
          </w:p>
        </w:tc>
        <w:tc>
          <w:tcPr>
            <w:tcW w:w="960" w:type="dxa"/>
            <w:vAlign w:val="bottom"/>
            <w:tcBorders>
              <w:top w:val="single" w:sz="8" w:color="auto"/>
              <w:bottom w:val="single" w:sz="8" w:color="auto"/>
            </w:tcBorders>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top w:val="single" w:sz="8" w:color="auto"/>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36,091</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Pr>
          <w:p>
            <w:pPr>
              <w:spacing w:after="0"/>
              <w:rPr>
                <w:sz w:val="21"/>
                <w:szCs w:val="21"/>
                <w:color w:val="auto"/>
              </w:rPr>
            </w:pPr>
          </w:p>
        </w:tc>
      </w:tr>
      <w:tr>
        <w:trPr>
          <w:trHeight w:val="197"/>
        </w:trPr>
        <w:tc>
          <w:tcPr>
            <w:tcW w:w="860" w:type="dxa"/>
            <w:vAlign w:val="bottom"/>
          </w:tcPr>
          <w:p>
            <w:pPr>
              <w:spacing w:after="0"/>
              <w:rPr>
                <w:sz w:val="17"/>
                <w:szCs w:val="17"/>
                <w:color w:val="auto"/>
              </w:rPr>
            </w:pPr>
          </w:p>
        </w:tc>
        <w:tc>
          <w:tcPr>
            <w:tcW w:w="6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40" w:type="dxa"/>
            <w:vAlign w:val="bottom"/>
            <w:gridSpan w:val="2"/>
          </w:tcPr>
          <w:p>
            <w:pPr>
              <w:spacing w:after="0"/>
              <w:rPr>
                <w:sz w:val="17"/>
                <w:szCs w:val="17"/>
                <w:color w:val="auto"/>
              </w:rPr>
            </w:pPr>
          </w:p>
        </w:tc>
        <w:tc>
          <w:tcPr>
            <w:tcW w:w="900" w:type="dxa"/>
            <w:vAlign w:val="bottom"/>
          </w:tcPr>
          <w:p>
            <w:pPr>
              <w:spacing w:after="0"/>
              <w:rPr>
                <w:sz w:val="17"/>
                <w:szCs w:val="17"/>
                <w:color w:val="auto"/>
              </w:rPr>
            </w:pPr>
          </w:p>
        </w:tc>
      </w:tr>
      <w:tr>
        <w:trPr>
          <w:trHeight w:val="216"/>
        </w:trPr>
        <w:tc>
          <w:tcPr>
            <w:tcW w:w="860" w:type="dxa"/>
            <w:vAlign w:val="bottom"/>
          </w:tcPr>
          <w:p>
            <w:pPr>
              <w:spacing w:after="0"/>
              <w:rPr>
                <w:sz w:val="18"/>
                <w:szCs w:val="18"/>
                <w:color w:val="auto"/>
              </w:rPr>
            </w:pPr>
          </w:p>
        </w:tc>
        <w:tc>
          <w:tcPr>
            <w:tcW w:w="63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Weighted average common shares outstanding - basic</w:t>
            </w: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106,460</w:t>
            </w: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106,293</w:t>
            </w:r>
          </w:p>
        </w:tc>
        <w:tc>
          <w:tcPr>
            <w:tcW w:w="900" w:type="dxa"/>
            <w:vAlign w:val="bottom"/>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Effect of dilutive securities</w:t>
            </w:r>
          </w:p>
        </w:tc>
        <w:tc>
          <w:tcPr>
            <w:tcW w:w="9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167</w:t>
            </w:r>
          </w:p>
        </w:tc>
        <w:tc>
          <w:tcPr>
            <w:tcW w:w="900" w:type="dxa"/>
            <w:vAlign w:val="bottom"/>
          </w:tcPr>
          <w:p>
            <w:pPr>
              <w:spacing w:after="0"/>
              <w:rPr>
                <w:sz w:val="18"/>
                <w:szCs w:val="18"/>
                <w:color w:val="auto"/>
              </w:rPr>
            </w:pPr>
          </w:p>
        </w:tc>
      </w:tr>
      <w:tr>
        <w:trPr>
          <w:trHeight w:val="20"/>
        </w:trPr>
        <w:tc>
          <w:tcPr>
            <w:tcW w:w="860" w:type="dxa"/>
            <w:vAlign w:val="bottom"/>
          </w:tcPr>
          <w:p>
            <w:pPr>
              <w:spacing w:after="0" w:line="20" w:lineRule="exact"/>
              <w:rPr>
                <w:sz w:val="1"/>
                <w:szCs w:val="1"/>
                <w:color w:val="auto"/>
              </w:rPr>
            </w:pPr>
          </w:p>
        </w:tc>
        <w:tc>
          <w:tcPr>
            <w:tcW w:w="6320" w:type="dxa"/>
            <w:vAlign w:val="bottom"/>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10"/>
        </w:trPr>
        <w:tc>
          <w:tcPr>
            <w:tcW w:w="86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Weighted average common shares outstanding - diluted</w:t>
            </w: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106,460</w:t>
            </w: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106,460</w:t>
            </w:r>
          </w:p>
        </w:tc>
        <w:tc>
          <w:tcPr>
            <w:tcW w:w="900" w:type="dxa"/>
            <w:vAlign w:val="bottom"/>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63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spacing w:after="0"/>
              <w:rPr>
                <w:sz w:val="18"/>
                <w:szCs w:val="18"/>
                <w:color w:val="auto"/>
              </w:rPr>
            </w:pPr>
          </w:p>
        </w:tc>
        <w:tc>
          <w:tcPr>
            <w:tcW w:w="900" w:type="dxa"/>
            <w:vAlign w:val="bottom"/>
          </w:tcPr>
          <w:p>
            <w:pPr>
              <w:spacing w:after="0"/>
              <w:rPr>
                <w:sz w:val="18"/>
                <w:szCs w:val="18"/>
                <w:color w:val="auto"/>
              </w:rPr>
            </w:pPr>
          </w:p>
        </w:tc>
      </w:tr>
      <w:tr>
        <w:trPr>
          <w:trHeight w:val="230"/>
        </w:trPr>
        <w:tc>
          <w:tcPr>
            <w:tcW w:w="860" w:type="dxa"/>
            <w:vAlign w:val="bottom"/>
          </w:tcPr>
          <w:p>
            <w:pPr>
              <w:spacing w:after="0"/>
              <w:rPr>
                <w:sz w:val="20"/>
                <w:szCs w:val="20"/>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Diluted earnings (loss) per share</w:t>
            </w:r>
          </w:p>
        </w:tc>
        <w:tc>
          <w:tcPr>
            <w:tcW w:w="960" w:type="dxa"/>
            <w:vAlign w:val="bottom"/>
          </w:tcPr>
          <w:p>
            <w:pPr>
              <w:jc w:val="right"/>
              <w:ind w:right="770"/>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(0.00)</w:t>
            </w: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0.34</w:t>
            </w:r>
          </w:p>
        </w:tc>
        <w:tc>
          <w:tcPr>
            <w:tcW w:w="900" w:type="dxa"/>
            <w:vAlign w:val="bottom"/>
          </w:tcPr>
          <w:p>
            <w:pPr>
              <w:spacing w:after="0"/>
              <w:rPr>
                <w:sz w:val="20"/>
                <w:szCs w:val="20"/>
                <w:color w:val="auto"/>
              </w:rPr>
            </w:pPr>
          </w:p>
        </w:tc>
      </w:tr>
      <w:tr>
        <w:trPr>
          <w:trHeight w:val="661"/>
        </w:trPr>
        <w:tc>
          <w:tcPr>
            <w:tcW w:w="860" w:type="dxa"/>
            <w:vAlign w:val="bottom"/>
          </w:tcPr>
          <w:p>
            <w:pPr>
              <w:spacing w:after="0"/>
              <w:rPr>
                <w:sz w:val="24"/>
                <w:szCs w:val="24"/>
                <w:color w:val="auto"/>
              </w:rPr>
            </w:pPr>
          </w:p>
        </w:tc>
        <w:tc>
          <w:tcPr>
            <w:tcW w:w="6320" w:type="dxa"/>
            <w:vAlign w:val="bottom"/>
          </w:tcPr>
          <w:p>
            <w:pPr>
              <w:ind w:left="4760"/>
              <w:spacing w:after="0"/>
              <w:rPr>
                <w:sz w:val="20"/>
                <w:szCs w:val="20"/>
                <w:color w:val="auto"/>
              </w:rPr>
            </w:pPr>
            <w:r>
              <w:rPr>
                <w:rFonts w:ascii="Arial" w:cs="Arial" w:eastAsia="Arial" w:hAnsi="Arial"/>
                <w:sz w:val="18"/>
                <w:szCs w:val="18"/>
                <w:color w:val="auto"/>
              </w:rPr>
              <w:t>13</w:t>
            </w:r>
          </w:p>
        </w:tc>
        <w:tc>
          <w:tcPr>
            <w:tcW w:w="9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05"/>
        </w:trPr>
        <w:tc>
          <w:tcPr>
            <w:tcW w:w="860" w:type="dxa"/>
            <w:vAlign w:val="bottom"/>
          </w:tcPr>
          <w:p>
            <w:pPr>
              <w:spacing w:after="0"/>
              <w:rPr>
                <w:sz w:val="9"/>
                <w:szCs w:val="9"/>
                <w:color w:val="auto"/>
              </w:rPr>
            </w:pPr>
          </w:p>
        </w:tc>
        <w:tc>
          <w:tcPr>
            <w:tcW w:w="6320" w:type="dxa"/>
            <w:vAlign w:val="bottom"/>
          </w:tcPr>
          <w:p>
            <w:pPr>
              <w:spacing w:after="0"/>
              <w:rPr>
                <w:sz w:val="9"/>
                <w:szCs w:val="9"/>
                <w:color w:val="auto"/>
              </w:rPr>
            </w:pPr>
          </w:p>
        </w:tc>
        <w:tc>
          <w:tcPr>
            <w:tcW w:w="9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r>
      <w:tr>
        <w:trPr>
          <w:trHeight w:val="61"/>
        </w:trPr>
        <w:tc>
          <w:tcPr>
            <w:tcW w:w="860" w:type="dxa"/>
            <w:vAlign w:val="bottom"/>
            <w:shd w:val="clear" w:color="auto" w:fill="808080"/>
          </w:tcPr>
          <w:p>
            <w:pPr>
              <w:spacing w:after="0"/>
              <w:rPr>
                <w:sz w:val="5"/>
                <w:szCs w:val="5"/>
                <w:color w:val="auto"/>
              </w:rPr>
            </w:pPr>
          </w:p>
        </w:tc>
        <w:tc>
          <w:tcPr>
            <w:tcW w:w="6320" w:type="dxa"/>
            <w:vAlign w:val="bottom"/>
            <w:shd w:val="clear" w:color="auto" w:fill="808080"/>
          </w:tcPr>
          <w:p>
            <w:pPr>
              <w:spacing w:after="0"/>
              <w:rPr>
                <w:sz w:val="5"/>
                <w:szCs w:val="5"/>
                <w:color w:val="auto"/>
              </w:rPr>
            </w:pPr>
          </w:p>
        </w:tc>
        <w:tc>
          <w:tcPr>
            <w:tcW w:w="960" w:type="dxa"/>
            <w:vAlign w:val="bottom"/>
            <w:shd w:val="clear" w:color="auto" w:fill="808080"/>
          </w:tcPr>
          <w:p>
            <w:pPr>
              <w:spacing w:after="0"/>
              <w:rPr>
                <w:sz w:val="5"/>
                <w:szCs w:val="5"/>
                <w:color w:val="auto"/>
              </w:rPr>
            </w:pPr>
          </w:p>
        </w:tc>
        <w:tc>
          <w:tcPr>
            <w:tcW w:w="600" w:type="dxa"/>
            <w:vAlign w:val="bottom"/>
            <w:shd w:val="clear" w:color="auto" w:fill="808080"/>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104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580" w:right="199" w:bottom="1440" w:gutter="0" w:footer="0" w:header="0"/>
        </w:sectPr>
      </w:pPr>
    </w:p>
    <w:bookmarkStart w:id="13" w:name="page14"/>
    <w:bookmarkEnd w:id="13"/>
    <w:p>
      <w:pPr>
        <w:jc w:val="center"/>
        <w:ind w:right="-39"/>
        <w:spacing w:after="0"/>
        <w:rPr>
          <w:sz w:val="20"/>
          <w:szCs w:val="20"/>
          <w:color w:val="auto"/>
        </w:rPr>
      </w:pPr>
      <w:r>
        <w:rPr>
          <w:rFonts w:ascii="Arial" w:cs="Arial" w:eastAsia="Arial" w:hAnsi="Arial"/>
          <w:sz w:val="18"/>
          <w:szCs w:val="18"/>
          <w:b w:val="1"/>
          <w:bCs w:val="1"/>
          <w:color w:val="auto"/>
        </w:rPr>
        <w:t>CIVEO CORPORATION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CONSOLIDATED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(Continued)</w:t>
      </w:r>
    </w:p>
    <w:p>
      <w:pPr>
        <w:spacing w:after="0" w:line="234" w:lineRule="exact"/>
        <w:rPr>
          <w:sz w:val="20"/>
          <w:szCs w:val="20"/>
          <w:color w:val="auto"/>
        </w:rPr>
      </w:pPr>
    </w:p>
    <w:p>
      <w:pPr>
        <w:ind w:left="340" w:hanging="332"/>
        <w:spacing w:after="0"/>
        <w:tabs>
          <w:tab w:leader="none" w:pos="34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229"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As of March 31, 2015 and December 31, 2014, long-term debt consisted of the following (in thousands):</w:t>
      </w:r>
    </w:p>
    <w:p>
      <w:pPr>
        <w:spacing w:after="0" w:line="221"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6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20" w:type="dxa"/>
            <w:vAlign w:val="bottom"/>
            <w:gridSpan w:val="3"/>
          </w:tcPr>
          <w:p>
            <w:pPr>
              <w:ind w:left="40"/>
              <w:spacing w:after="0"/>
              <w:rPr>
                <w:sz w:val="20"/>
                <w:szCs w:val="20"/>
                <w:color w:val="auto"/>
              </w:rPr>
            </w:pPr>
            <w:r>
              <w:rPr>
                <w:rFonts w:ascii="Arial" w:cs="Arial" w:eastAsia="Arial" w:hAnsi="Arial"/>
                <w:sz w:val="18"/>
                <w:szCs w:val="18"/>
                <w:b w:val="1"/>
                <w:bCs w:val="1"/>
                <w:color w:val="auto"/>
              </w:rPr>
              <w:t>March 31, 2015</w:t>
            </w:r>
          </w:p>
        </w:tc>
        <w:tc>
          <w:tcPr>
            <w:tcW w:w="162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w w:val="90"/>
              </w:rPr>
              <w:t>December 31, 2014</w:t>
            </w:r>
          </w:p>
        </w:tc>
      </w:tr>
      <w:tr>
        <w:trPr>
          <w:trHeight w:val="195"/>
        </w:trPr>
        <w:tc>
          <w:tcPr>
            <w:tcW w:w="680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w w:val="98"/>
              </w:rPr>
              <w:t>U.S. term loan, which matures on May 28, 2019, of $775.0 million; 1.25% of aggregate</w:t>
            </w:r>
          </w:p>
        </w:tc>
        <w:tc>
          <w:tcPr>
            <w:tcW w:w="8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420" w:type="dxa"/>
            <w:vAlign w:val="bottom"/>
            <w:tcBorders>
              <w:top w:val="single" w:sz="8" w:color="auto"/>
            </w:tcBorders>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w w:val="90"/>
              </w:rPr>
              <w:t>principal repayable per quarter beginning September 30, 2015; weighted average interest rate</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of 2.4% for the three month period ended March 31, 2015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775,000</w:t>
            </w:r>
          </w:p>
        </w:tc>
        <w:tc>
          <w:tcPr>
            <w:tcW w:w="180" w:type="dxa"/>
            <w:vAlign w:val="bottom"/>
            <w:shd w:val="clear" w:color="auto" w:fill="CCEEFF"/>
          </w:tcPr>
          <w:p>
            <w:pPr>
              <w:spacing w:after="0"/>
              <w:rPr>
                <w:sz w:val="20"/>
                <w:szCs w:val="20"/>
                <w:color w:val="auto"/>
              </w:rPr>
            </w:pPr>
          </w:p>
        </w:tc>
        <w:tc>
          <w:tcPr>
            <w:tcW w:w="520" w:type="dxa"/>
            <w:vAlign w:val="bottom"/>
            <w:shd w:val="clear" w:color="auto" w:fill="CCEEFF"/>
          </w:tcPr>
          <w:p>
            <w:pPr>
              <w:jc w:val="right"/>
              <w:ind w:right="360"/>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775,000</w:t>
            </w:r>
          </w:p>
        </w:tc>
        <w:tc>
          <w:tcPr>
            <w:tcW w:w="100" w:type="dxa"/>
            <w:vAlign w:val="bottom"/>
            <w:shd w:val="clear" w:color="auto" w:fill="CCEEFF"/>
          </w:tcPr>
          <w:p>
            <w:pPr>
              <w:spacing w:after="0"/>
              <w:rPr>
                <w:sz w:val="20"/>
                <w:szCs w:val="20"/>
                <w:color w:val="auto"/>
              </w:rPr>
            </w:pPr>
          </w:p>
        </w:tc>
      </w:tr>
      <w:tr>
        <w:trPr>
          <w:trHeight w:val="216"/>
        </w:trPr>
        <w:tc>
          <w:tcPr>
            <w:tcW w:w="6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68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U.S. revolving credit facility, which matures on May 28, 2019, with available commitments</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w w:val="93"/>
              </w:rPr>
              <w:t>up to $450.0 million; no borrowings outstanding during the three month period ended March</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31, 2015</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r>
      <w:tr>
        <w:trPr>
          <w:trHeight w:val="216"/>
        </w:trPr>
        <w:tc>
          <w:tcPr>
            <w:tcW w:w="6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68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Canadian revolving credit facility, which matures on May 28, 2019, with available</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w w:val="92"/>
              </w:rPr>
              <w:t>commitments up to $100.0 million; no borrowings outstanding during the three month period</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ended March 31, 2015</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r>
      <w:tr>
        <w:trPr>
          <w:trHeight w:val="216"/>
        </w:trPr>
        <w:tc>
          <w:tcPr>
            <w:tcW w:w="6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68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Australian revolving credit facility, which matures May 28, 2019, with available</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w w:val="92"/>
              </w:rPr>
              <w:t>commitments up to $100.0 million; no borrowings outstanding during the three month period</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ended March 31, 2015</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r>
      <w:tr>
        <w:trPr>
          <w:trHeight w:val="216"/>
        </w:trPr>
        <w:tc>
          <w:tcPr>
            <w:tcW w:w="6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6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debt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775,000</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775,000</w:t>
            </w:r>
          </w:p>
        </w:tc>
        <w:tc>
          <w:tcPr>
            <w:tcW w:w="100" w:type="dxa"/>
            <w:vAlign w:val="bottom"/>
            <w:shd w:val="clear" w:color="auto" w:fill="CCEEFF"/>
          </w:tcPr>
          <w:p>
            <w:pPr>
              <w:spacing w:after="0"/>
              <w:rPr>
                <w:sz w:val="18"/>
                <w:szCs w:val="18"/>
                <w:color w:val="auto"/>
              </w:rPr>
            </w:pP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Less: Current portion of long-term debt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gridSpan w:val="3"/>
          </w:tcPr>
          <w:p>
            <w:pPr>
              <w:jc w:val="right"/>
              <w:ind w:right="200"/>
              <w:spacing w:after="0"/>
              <w:rPr>
                <w:sz w:val="20"/>
                <w:szCs w:val="20"/>
                <w:color w:val="auto"/>
              </w:rPr>
            </w:pPr>
            <w:r>
              <w:rPr>
                <w:rFonts w:ascii="Arial" w:cs="Arial" w:eastAsia="Arial" w:hAnsi="Arial"/>
                <w:sz w:val="18"/>
                <w:szCs w:val="18"/>
                <w:color w:val="auto"/>
              </w:rPr>
              <w:t>29,063</w:t>
            </w:r>
          </w:p>
        </w:tc>
        <w:tc>
          <w:tcPr>
            <w:tcW w:w="5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19,375</w:t>
            </w:r>
          </w:p>
        </w:tc>
      </w:tr>
      <w:tr>
        <w:trPr>
          <w:trHeight w:val="250"/>
        </w:trPr>
        <w:tc>
          <w:tcPr>
            <w:tcW w:w="68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Long-term debt, less current maturities</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745,937</w:t>
            </w: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top w:val="single" w:sz="8" w:color="auto"/>
              <w:bottom w:val="single" w:sz="8" w:color="auto"/>
            </w:tcBorders>
            <w:shd w:val="clear" w:color="auto" w:fill="CCEEFF"/>
          </w:tcPr>
          <w:p>
            <w:pPr>
              <w:jc w:val="right"/>
              <w:ind w:right="360"/>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755,625</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2"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auto"/>
        </w:rPr>
        <w:t>Interest expense on the consolidated statements of operations is net of capitalized interest of $0.4 million and $0.3 million for the three month periods ended March 31, 2015 and 2014,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Facility</w:t>
      </w:r>
    </w:p>
    <w:p>
      <w:pPr>
        <w:spacing w:after="0" w:line="225"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color w:val="auto"/>
        </w:rPr>
        <w:t>Our Credit Facility contains customary affirmative and negative covenants that, among other things, limit or restrict (i) subsidiary indebtedness, liens and fundamental changes, (ii) asset sales, (iii) margin stock, (iv) specified acquisitions, (v) restrictive agreements, (vi) transactions with affiliates and (vii) investments and other restricted payments, including dividends and other distributions. Specifically, we must maintain an interest coverage ratio, defined as the ratio of consolidated EBITDA to consolidated interest expense, of at least 3.0 to 1.0 and our maximum leverage ratio, defined as the ratio of total debt to consolidated EBITDA, of no greater than 3.5 to 1.0. As of March 31, 2015, our borrowing capacity under our revolving credit facility was reduced by approximately $363.7 million due to the maximum leverage covenant. Each of the factors considered in the calculations of these ratios are defined in the Credit Facility. EBITDA and consolidated interest, as defined, exclude goodwill impairments, debt discount amortization and other non-cash charges. We are in compliance with these covenants as of March 31, 2015.</w:t>
      </w:r>
    </w:p>
    <w:p>
      <w:pPr>
        <w:spacing w:after="0" w:line="179"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We have received (1) the required consents of the lenders to amend our Credit Facility, subject to customary conditions, to allow for our planned migration to Canada and (2) commitments from our lenders to (i) borrow under new Canadian tranches of the Credit Facility, (ii) substantially reduce both the existing U.S. term loan and the U.S. revolver and (iii) increase the maximum leverage ratio allowed under the Credit Facility to 4.00 for the fourth quarter of 2015, 4.25 for the first quarter of 2016 and 4.50 beginning with the second quarter of 2016 before decreasing in the first quarter of 2017. We are currently finalizing the documentation of the amended credit facility with our syndicate of banks and expects to complete the documentation before our annual shareholders meeting on May 14, 2015. The amendment, if finalized, would be effective upon completion of the migration to Canada.</w:t>
      </w:r>
    </w:p>
    <w:p>
      <w:pPr>
        <w:spacing w:after="0" w:line="165"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If the Redomicile Transaction is not completed and the amendment does not become effective, based on our current forecasts for 2015, we expect that we will be required to reduce our outstanding indebtedness in order to comply with our maximum leverage ratio covenant as required under our Credit Facility, particularly in the third and fourth quarters of 2015 and the first quarter of 2016.</w:t>
      </w: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607" w:right="259" w:bottom="1440" w:gutter="0" w:footer="0" w:header="0"/>
        </w:sectPr>
      </w:pPr>
    </w:p>
    <w:bookmarkStart w:id="14" w:name="page15"/>
    <w:bookmarkEnd w:id="14"/>
    <w:p>
      <w:pPr>
        <w:jc w:val="center"/>
        <w:ind w:right="-19"/>
        <w:spacing w:after="0"/>
        <w:rPr>
          <w:sz w:val="20"/>
          <w:szCs w:val="20"/>
          <w:color w:val="auto"/>
        </w:rPr>
      </w:pPr>
      <w:r>
        <w:rPr>
          <w:rFonts w:ascii="Arial" w:cs="Arial" w:eastAsia="Arial" w:hAnsi="Arial"/>
          <w:sz w:val="18"/>
          <w:szCs w:val="18"/>
          <w:b w:val="1"/>
          <w:bCs w:val="1"/>
          <w:color w:val="auto"/>
        </w:rPr>
        <w:t>CIVEO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(Continued)</w:t>
      </w:r>
    </w:p>
    <w:p>
      <w:pPr>
        <w:spacing w:after="0" w:line="207" w:lineRule="exact"/>
        <w:rPr>
          <w:sz w:val="20"/>
          <w:szCs w:val="20"/>
          <w:color w:val="auto"/>
        </w:rPr>
      </w:pPr>
    </w:p>
    <w:p>
      <w:pPr>
        <w:ind w:left="340" w:hanging="332"/>
        <w:spacing w:after="0"/>
        <w:tabs>
          <w:tab w:leader="none" w:pos="34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ind w:right="160" w:firstLine="324"/>
        <w:spacing w:after="0" w:line="308" w:lineRule="auto"/>
        <w:rPr>
          <w:sz w:val="20"/>
          <w:szCs w:val="20"/>
          <w:color w:val="auto"/>
        </w:rPr>
      </w:pPr>
      <w:r>
        <w:rPr>
          <w:rFonts w:ascii="Arial" w:cs="Arial" w:eastAsia="Arial" w:hAnsi="Arial"/>
          <w:sz w:val="16"/>
          <w:szCs w:val="16"/>
          <w:color w:val="auto"/>
        </w:rPr>
        <w:t>We compute our quarterly taxes under the effective tax rate method based on applying an anticipated annual effective rate to our year-to-date income, except for significant unusual or extraordinary transactions. Income taxes for significant unusual or extraordinary transactions are computed and recorded in</w:t>
      </w:r>
    </w:p>
    <w:p>
      <w:pPr>
        <w:spacing w:after="0"/>
        <w:rPr>
          <w:sz w:val="20"/>
          <w:szCs w:val="20"/>
          <w:color w:val="auto"/>
        </w:rPr>
      </w:pPr>
      <w:r>
        <w:rPr>
          <w:rFonts w:ascii="Arial" w:cs="Arial" w:eastAsia="Arial" w:hAnsi="Arial"/>
          <w:sz w:val="18"/>
          <w:szCs w:val="18"/>
          <w:color w:val="auto"/>
        </w:rPr>
        <w:t>the period that the specific transaction occurs.</w:t>
      </w:r>
    </w:p>
    <w:p>
      <w:pPr>
        <w:spacing w:after="0" w:line="293" w:lineRule="exact"/>
        <w:rPr>
          <w:sz w:val="20"/>
          <w:szCs w:val="20"/>
          <w:color w:val="auto"/>
        </w:rPr>
      </w:pPr>
    </w:p>
    <w:p>
      <w:pPr>
        <w:ind w:right="60" w:firstLine="324"/>
        <w:spacing w:after="0" w:line="279" w:lineRule="auto"/>
        <w:rPr>
          <w:sz w:val="20"/>
          <w:szCs w:val="20"/>
          <w:color w:val="auto"/>
        </w:rPr>
      </w:pPr>
      <w:r>
        <w:rPr>
          <w:rFonts w:ascii="Arial" w:cs="Arial" w:eastAsia="Arial" w:hAnsi="Arial"/>
          <w:sz w:val="17"/>
          <w:szCs w:val="17"/>
          <w:color w:val="auto"/>
        </w:rPr>
        <w:t>Our income tax expense for the three months ended March 31, 2015 totaled $1.2 million, or 83.4% of pretax income, compared to income tax expense of $12.3 million, or 25.2% of pretax income, for the three months ended March 31, 2014. The increase in the effective tax rate from the prior year was largely the result of a change in the earnings mix between different tax jurisdictions, as well as discrete items totaling $0.5 million related to the impact of a portion of our undistributed foreign earnings which we no longer intend to continue to indefinitely reinvest.</w:t>
      </w:r>
    </w:p>
    <w:p>
      <w:pPr>
        <w:spacing w:after="0" w:line="167" w:lineRule="exact"/>
        <w:rPr>
          <w:sz w:val="20"/>
          <w:szCs w:val="20"/>
          <w:color w:val="auto"/>
        </w:rPr>
      </w:pPr>
    </w:p>
    <w:p>
      <w:pPr>
        <w:ind w:left="340" w:hanging="332"/>
        <w:spacing w:after="0"/>
        <w:tabs>
          <w:tab w:leader="none" w:pos="34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29" w:lineRule="exact"/>
        <w:rPr>
          <w:sz w:val="20"/>
          <w:szCs w:val="20"/>
          <w:color w:val="auto"/>
        </w:rPr>
      </w:pPr>
    </w:p>
    <w:p>
      <w:pPr>
        <w:ind w:right="480" w:firstLine="324"/>
        <w:spacing w:after="0" w:line="297" w:lineRule="auto"/>
        <w:rPr>
          <w:sz w:val="20"/>
          <w:szCs w:val="20"/>
          <w:color w:val="auto"/>
        </w:rPr>
      </w:pPr>
      <w:r>
        <w:rPr>
          <w:rFonts w:ascii="Arial" w:cs="Arial" w:eastAsia="Arial" w:hAnsi="Arial"/>
          <w:sz w:val="16"/>
          <w:szCs w:val="16"/>
          <w:color w:val="auto"/>
        </w:rPr>
        <w:t>We are a party to various pending or threatened claims, lawsuits and administrative proceedings seeking damages or other remedies concerning our commercial operations, products, employees and other matters, including warranty and product liability claims as a result of our products or operations. Although we can give no assurance about the outcome of pending legal and administrative proceedings and the effect such outcomes may have on us, management believes that any ultimate liability resulting from the outcome of such proceedings, to the extent not otherwise provided for or covered by insurance, will not have a material adverse effect on our consolidated financial position, results of operations or liquidity.</w:t>
      </w:r>
    </w:p>
    <w:p>
      <w:pPr>
        <w:spacing w:after="0" w:line="158" w:lineRule="exact"/>
        <w:rPr>
          <w:sz w:val="20"/>
          <w:szCs w:val="20"/>
          <w:color w:val="auto"/>
        </w:rPr>
      </w:pPr>
    </w:p>
    <w:p>
      <w:pPr>
        <w:ind w:right="40" w:firstLine="324"/>
        <w:spacing w:after="0" w:line="271" w:lineRule="auto"/>
        <w:rPr>
          <w:sz w:val="20"/>
          <w:szCs w:val="20"/>
          <w:color w:val="auto"/>
        </w:rPr>
      </w:pPr>
      <w:r>
        <w:rPr>
          <w:rFonts w:ascii="Arial" w:cs="Arial" w:eastAsia="Arial" w:hAnsi="Arial"/>
          <w:sz w:val="17"/>
          <w:szCs w:val="17"/>
          <w:color w:val="auto"/>
        </w:rPr>
        <w:t>In conjunction with, and effective as of, the Spin-Off, we entered into an Indemnification and Release Agreement with Oil States. This agreement governs the treatment between Oil States and us of all aspects relating to indemnification, insurance, litigation responsibility and management, and litigation document sharing and cooperation arising in connection with the Spin-Off. Generally, the agreement provides for cross-indemnities principally designed to place financial responsibility for the obligations and liabilities of our business with us and financial responsibility for the obligations and liabilities of Oil States’ business with Oil States. The agreement also establishes procedures for handling claims subject to indemnification and related matters. Pursuant to the Indemnification and Release Agreement, we and Oil States will generally release the other party from all claims arising prior to the Spin-Off other than claims arising under the transaction agreements, including the indemnification provisions described above. We evaluated the impact of the indemnifications given and the Civeo indemnifications received as of the Spin-Off date and concluded those fair values were immaterial.</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ACCUMULATED OTHER COMPREHENSIVE LOSS</w:t>
      </w:r>
    </w:p>
    <w:p>
      <w:pPr>
        <w:spacing w:after="0" w:line="229"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Our accumulated other comprehensive loss increased $110.8 million from $198.5 million at December 31, 2014 to $309.3 million at March 31, 2015, as a result of foreign currency exchange rate differences. Changes in the other comprehensive loss during the first quarter of 2015 were primarily driven by the Canadian dollar decreasing in value compared to the U.S. dollar. Excluding intercompany balances, our Canadian dollar and Australian dollar functional currency net assets totaled approximately C$1.0 billion and A$766 million, respectively, at March 31, 2015.</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STOCK BASED COMPENSATION</w:t>
      </w:r>
    </w:p>
    <w:p>
      <w:pPr>
        <w:spacing w:after="0" w:line="229" w:lineRule="exact"/>
        <w:rPr>
          <w:sz w:val="20"/>
          <w:szCs w:val="20"/>
          <w:color w:val="auto"/>
        </w:rPr>
      </w:pPr>
    </w:p>
    <w:p>
      <w:pPr>
        <w:ind w:right="40" w:firstLine="324"/>
        <w:spacing w:after="0" w:line="276" w:lineRule="auto"/>
        <w:rPr>
          <w:sz w:val="20"/>
          <w:szCs w:val="20"/>
          <w:color w:val="auto"/>
        </w:rPr>
      </w:pPr>
      <w:r>
        <w:rPr>
          <w:rFonts w:ascii="Arial" w:cs="Arial" w:eastAsia="Arial" w:hAnsi="Arial"/>
          <w:sz w:val="17"/>
          <w:szCs w:val="17"/>
          <w:color w:val="auto"/>
        </w:rPr>
        <w:t>Prior to the Spin-Off, certain employees of Civeo participated in Oil States’ Equity Participation Plan (the Oil States Plan). The expense associated with these employees is reflected in the accompanying consolidated income statements. Effective May 30, 2014, our employees and non-employee directors began participating in the 2014 Equity Participation Plan of Civeo Corporation (the Civeo Plan). The Civeo Plan authorizes the Board of Directors to grant options, awards of restricted stock, performance awards, dividend equivalents, awards of deferred stock, and stock payments to our employees and non-employee directors. No more than 4.0 million shares of Civeo common stock may be awarded under the Civeo Plan.</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5" w:name="page16"/>
    <w:bookmarkEnd w:id="15"/>
    <w:p>
      <w:pPr>
        <w:jc w:val="center"/>
        <w:ind w:right="-19"/>
        <w:spacing w:after="0"/>
        <w:rPr>
          <w:sz w:val="20"/>
          <w:szCs w:val="20"/>
          <w:color w:val="auto"/>
        </w:rPr>
      </w:pPr>
      <w:r>
        <w:rPr>
          <w:rFonts w:ascii="Arial" w:cs="Arial" w:eastAsia="Arial" w:hAnsi="Arial"/>
          <w:sz w:val="18"/>
          <w:szCs w:val="18"/>
          <w:b w:val="1"/>
          <w:bCs w:val="1"/>
          <w:color w:val="auto"/>
        </w:rPr>
        <w:t>CIVEO CORPORATION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CONSOLIDATED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(Continued)</w:t>
      </w:r>
    </w:p>
    <w:p>
      <w:pPr>
        <w:spacing w:after="0" w:line="211"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In connection with the Spin-Off, stock based compensation awards granted under the Oil States Plan and held by Civeo grantees as of May 30, 2014 were replaced with substitute Civeo awards. Stock options were replaced with options to purchase Civeo common stock. Unvested restricted stock awards were replaced with substitute Civeo restricted stock awards. Unvested deferred stock awards were replaced with substitute Civeo deferred stock awards. Additionally, phantom shares granted under the Canadian Long-Term Incentive Plan were converted to units that entitle the recipient to a lump sum cash payment equal to the fair market value of a share of Civeo’s common stock on the respective vesting date. These replacements were intended to preserve the intrinsic value of the awards as of May 30, 2014. The substitution of these awards did not cause us to recognize incremental compensation expense as an equitable adjustment was required to be made as a result of the Spin-Off.</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Outstanding Awards</w:t>
      </w:r>
    </w:p>
    <w:p>
      <w:pPr>
        <w:spacing w:after="0" w:line="225" w:lineRule="exact"/>
        <w:rPr>
          <w:sz w:val="20"/>
          <w:szCs w:val="20"/>
          <w:color w:val="auto"/>
        </w:rPr>
      </w:pPr>
    </w:p>
    <w:p>
      <w:pPr>
        <w:jc w:val="both"/>
        <w:ind w:right="60" w:firstLine="324"/>
        <w:spacing w:after="0" w:line="264" w:lineRule="auto"/>
        <w:rPr>
          <w:sz w:val="20"/>
          <w:szCs w:val="20"/>
          <w:color w:val="auto"/>
        </w:rPr>
      </w:pPr>
      <w:r>
        <w:rPr>
          <w:rFonts w:ascii="Arial" w:cs="Arial" w:eastAsia="Arial" w:hAnsi="Arial"/>
          <w:sz w:val="18"/>
          <w:szCs w:val="18"/>
          <w:b w:val="1"/>
          <w:bCs w:val="1"/>
          <w:i w:val="1"/>
          <w:iCs w:val="1"/>
          <w:color w:val="auto"/>
        </w:rPr>
        <w:t xml:space="preserve">Stock Options. </w:t>
      </w:r>
      <w:r>
        <w:rPr>
          <w:rFonts w:ascii="Arial" w:cs="Arial" w:eastAsia="Arial" w:hAnsi="Arial"/>
          <w:sz w:val="18"/>
          <w:szCs w:val="18"/>
          <w:color w:val="auto"/>
        </w:rPr>
        <w:t>Compensation expense associated with stock options recognized in the three month periods ended March 31, 2015 and 2014 totaled $0.1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and $0.1 million, respectively. At March 31, 2015, unrecognized compensation cost related to stock options was $0.4 million, which is expected to be recognized over a weighted average period of 2.2 years.</w:t>
      </w:r>
    </w:p>
    <w:p>
      <w:pPr>
        <w:spacing w:after="0" w:line="181" w:lineRule="exact"/>
        <w:rPr>
          <w:sz w:val="20"/>
          <w:szCs w:val="20"/>
          <w:color w:val="auto"/>
        </w:rPr>
      </w:pPr>
    </w:p>
    <w:p>
      <w:pPr>
        <w:jc w:val="both"/>
        <w:ind w:right="60" w:firstLine="324"/>
        <w:spacing w:after="0" w:line="277" w:lineRule="auto"/>
        <w:rPr>
          <w:sz w:val="20"/>
          <w:szCs w:val="20"/>
          <w:color w:val="auto"/>
        </w:rPr>
      </w:pPr>
      <w:r>
        <w:rPr>
          <w:rFonts w:ascii="Arial" w:cs="Arial" w:eastAsia="Arial" w:hAnsi="Arial"/>
          <w:sz w:val="18"/>
          <w:szCs w:val="18"/>
          <w:b w:val="1"/>
          <w:bCs w:val="1"/>
          <w:i w:val="1"/>
          <w:iCs w:val="1"/>
          <w:color w:val="auto"/>
        </w:rPr>
        <w:t xml:space="preserve">Restricted Stock / Deferred Stock Awards. </w:t>
      </w:r>
      <w:r>
        <w:rPr>
          <w:rFonts w:ascii="Arial" w:cs="Arial" w:eastAsia="Arial" w:hAnsi="Arial"/>
          <w:sz w:val="18"/>
          <w:szCs w:val="18"/>
          <w:color w:val="auto"/>
        </w:rPr>
        <w:t>On February 11, 2015, we granted 1,006,528 restricted stock and deferred stock awards under the Civeo Plan,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which vest in four equal annual installments beginning on February 11, 2016.</w:t>
      </w:r>
    </w:p>
    <w:p>
      <w:pPr>
        <w:spacing w:after="0" w:line="170" w:lineRule="exact"/>
        <w:rPr>
          <w:sz w:val="20"/>
          <w:szCs w:val="20"/>
          <w:color w:val="auto"/>
        </w:rPr>
      </w:pPr>
    </w:p>
    <w:p>
      <w:pPr>
        <w:jc w:val="both"/>
        <w:ind w:right="220" w:firstLine="324"/>
        <w:spacing w:after="0" w:line="264" w:lineRule="auto"/>
        <w:rPr>
          <w:sz w:val="20"/>
          <w:szCs w:val="20"/>
          <w:color w:val="auto"/>
        </w:rPr>
      </w:pPr>
      <w:r>
        <w:rPr>
          <w:rFonts w:ascii="Arial" w:cs="Arial" w:eastAsia="Arial" w:hAnsi="Arial"/>
          <w:sz w:val="18"/>
          <w:szCs w:val="18"/>
          <w:color w:val="auto"/>
        </w:rPr>
        <w:t>Compensation expense associated with restricted stock awards and deferred stock awards recognized in the three month periods ended March 31, 2015 and 2014 totaled $1.1 million and $0.7 million, respectively. The total fair value of restricted stock awards and deferred stock awards that vested during the three months ended March 31, 2015 and 2014 was $0.6 million and $2.5 million.</w:t>
      </w:r>
    </w:p>
    <w:p>
      <w:pPr>
        <w:spacing w:after="0" w:line="181"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At March 31, 2015, unrecognized compensation cost related to restricted stock awards and deferred stock awards was $9.9 million, which is expected to be recognized over a weighted average period of 3.0 years.</w:t>
      </w:r>
    </w:p>
    <w:p>
      <w:pPr>
        <w:spacing w:after="0" w:line="170" w:lineRule="exact"/>
        <w:rPr>
          <w:sz w:val="20"/>
          <w:szCs w:val="20"/>
          <w:color w:val="auto"/>
        </w:rPr>
      </w:pPr>
    </w:p>
    <w:p>
      <w:pPr>
        <w:jc w:val="both"/>
        <w:ind w:right="740" w:firstLine="324"/>
        <w:spacing w:after="0" w:line="264" w:lineRule="auto"/>
        <w:rPr>
          <w:sz w:val="20"/>
          <w:szCs w:val="20"/>
          <w:color w:val="auto"/>
        </w:rPr>
      </w:pPr>
      <w:r>
        <w:rPr>
          <w:rFonts w:ascii="Arial" w:cs="Arial" w:eastAsia="Arial" w:hAnsi="Arial"/>
          <w:sz w:val="18"/>
          <w:szCs w:val="18"/>
          <w:b w:val="1"/>
          <w:bCs w:val="1"/>
          <w:i w:val="1"/>
          <w:iCs w:val="1"/>
          <w:color w:val="auto"/>
        </w:rPr>
        <w:t xml:space="preserve">Phantom Share Awards. </w:t>
      </w:r>
      <w:r>
        <w:rPr>
          <w:rFonts w:ascii="Arial" w:cs="Arial" w:eastAsia="Arial" w:hAnsi="Arial"/>
          <w:sz w:val="18"/>
          <w:szCs w:val="18"/>
          <w:color w:val="auto"/>
        </w:rPr>
        <w:t>On February 11, 2015, we granted 517,145 awards under the Civeo Plan, which vest in four equal annual installments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beginning on February 11, 2016. We also granted 1,169,193 awards under the Canadian Long-Term Incentive Plan, which vest in three equal annual installments beginning on February 11, 2016.</w:t>
      </w:r>
    </w:p>
    <w:p>
      <w:pPr>
        <w:spacing w:after="0" w:line="181" w:lineRule="exact"/>
        <w:rPr>
          <w:sz w:val="20"/>
          <w:szCs w:val="20"/>
          <w:color w:val="auto"/>
        </w:rPr>
      </w:pPr>
    </w:p>
    <w:p>
      <w:pPr>
        <w:jc w:val="both"/>
        <w:ind w:right="380" w:firstLine="324"/>
        <w:spacing w:after="0" w:line="264" w:lineRule="auto"/>
        <w:rPr>
          <w:sz w:val="20"/>
          <w:szCs w:val="20"/>
          <w:color w:val="auto"/>
        </w:rPr>
      </w:pPr>
      <w:r>
        <w:rPr>
          <w:rFonts w:ascii="Arial" w:cs="Arial" w:eastAsia="Arial" w:hAnsi="Arial"/>
          <w:sz w:val="18"/>
          <w:szCs w:val="18"/>
          <w:color w:val="auto"/>
        </w:rPr>
        <w:t>During the three month periods ended March 31, 2015 and 2014, we recognized compensation expense associated with phantom shares totaling $0.3 million and $1.4 million, respectively. At March 31, 2015, unrecognized compensation cost related to phantom shares was $4.0 million, as remeasured at March 31, 2015, which is expected to be recognized over a weighted average period of 3.1 years.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SEGMENT AND RELATED INFORMATION</w:t>
      </w:r>
    </w:p>
    <w:p>
      <w:pPr>
        <w:spacing w:after="0" w:line="229" w:lineRule="exact"/>
        <w:rPr>
          <w:sz w:val="20"/>
          <w:szCs w:val="20"/>
          <w:color w:val="auto"/>
        </w:rPr>
      </w:pPr>
    </w:p>
    <w:p>
      <w:pPr>
        <w:ind w:right="280" w:firstLine="324"/>
        <w:spacing w:after="0" w:line="308" w:lineRule="auto"/>
        <w:rPr>
          <w:sz w:val="20"/>
          <w:szCs w:val="20"/>
          <w:color w:val="auto"/>
        </w:rPr>
      </w:pPr>
      <w:r>
        <w:rPr>
          <w:rFonts w:ascii="Arial" w:cs="Arial" w:eastAsia="Arial" w:hAnsi="Arial"/>
          <w:sz w:val="17"/>
          <w:szCs w:val="17"/>
          <w:color w:val="auto"/>
        </w:rPr>
        <w:t>In accordance with current accounting standards regarding disclosures about segments of an enterprise and related information, we have identified the following reportable segments: Canadian, Australian and U.S., which represent our strategic focus on workforce accommodations.</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CIVEO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(Continued)</w:t>
      </w:r>
    </w:p>
    <w:p>
      <w:pPr>
        <w:spacing w:after="0" w:line="265" w:lineRule="exact"/>
        <w:rPr>
          <w:sz w:val="20"/>
          <w:szCs w:val="20"/>
          <w:color w:val="auto"/>
        </w:rPr>
      </w:pPr>
    </w:p>
    <w:p>
      <w:pPr>
        <w:ind w:right="640" w:firstLine="324"/>
        <w:spacing w:after="0" w:line="277" w:lineRule="auto"/>
        <w:rPr>
          <w:sz w:val="20"/>
          <w:szCs w:val="20"/>
          <w:color w:val="auto"/>
        </w:rPr>
      </w:pPr>
      <w:r>
        <w:rPr>
          <w:rFonts w:ascii="Arial" w:cs="Arial" w:eastAsia="Arial" w:hAnsi="Arial"/>
          <w:sz w:val="18"/>
          <w:szCs w:val="18"/>
          <w:color w:val="auto"/>
        </w:rPr>
        <w:t>Financial information by business segment for each of the three months ended March 31, 2015 and 2014 is summarized in the following table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4"/>
              </w:rPr>
              <w:t>Revenues</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Less:</w:t>
            </w:r>
          </w:p>
        </w:tc>
        <w:tc>
          <w:tcPr>
            <w:tcW w:w="160" w:type="dxa"/>
            <w:vAlign w:val="bottom"/>
          </w:tcPr>
          <w:p>
            <w:pPr>
              <w:spacing w:after="0"/>
              <w:rPr>
                <w:sz w:val="18"/>
                <w:szCs w:val="18"/>
                <w:color w:val="auto"/>
              </w:rPr>
            </w:pPr>
          </w:p>
        </w:tc>
        <w:tc>
          <w:tcPr>
            <w:tcW w:w="8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4"/>
              </w:rPr>
              <w:t>from</w:t>
            </w:r>
          </w:p>
        </w:tc>
        <w:tc>
          <w:tcPr>
            <w:tcW w:w="1240" w:type="dxa"/>
            <w:vAlign w:val="bottom"/>
            <w:gridSpan w:val="4"/>
          </w:tcPr>
          <w:p>
            <w:pPr>
              <w:jc w:val="center"/>
              <w:ind w:right="20"/>
              <w:spacing w:after="0"/>
              <w:rPr>
                <w:sz w:val="20"/>
                <w:szCs w:val="20"/>
                <w:color w:val="auto"/>
              </w:rPr>
            </w:pPr>
            <w:r>
              <w:rPr>
                <w:rFonts w:ascii="Arial" w:cs="Arial" w:eastAsia="Arial" w:hAnsi="Arial"/>
                <w:sz w:val="18"/>
                <w:szCs w:val="18"/>
                <w:b w:val="1"/>
                <w:bCs w:val="1"/>
                <w:color w:val="auto"/>
                <w:w w:val="89"/>
              </w:rPr>
              <w:t>Depreciation</w:t>
            </w:r>
          </w:p>
        </w:tc>
        <w:tc>
          <w:tcPr>
            <w:tcW w:w="1000" w:type="dxa"/>
            <w:vAlign w:val="bottom"/>
            <w:gridSpan w:val="4"/>
          </w:tcPr>
          <w:p>
            <w:pPr>
              <w:ind w:left="80"/>
              <w:spacing w:after="0"/>
              <w:rPr>
                <w:sz w:val="20"/>
                <w:szCs w:val="20"/>
                <w:color w:val="auto"/>
              </w:rPr>
            </w:pPr>
            <w:r>
              <w:rPr>
                <w:rFonts w:ascii="Arial" w:cs="Arial" w:eastAsia="Arial" w:hAnsi="Arial"/>
                <w:sz w:val="18"/>
                <w:szCs w:val="18"/>
                <w:b w:val="1"/>
                <w:bCs w:val="1"/>
                <w:color w:val="auto"/>
              </w:rPr>
              <w:t>Operating</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7"/>
              </w:rPr>
              <w:t>Total</w:t>
            </w:r>
          </w:p>
        </w:tc>
        <w:tc>
          <w:tcPr>
            <w:tcW w:w="1240" w:type="dxa"/>
            <w:vAlign w:val="bottom"/>
            <w:gridSpan w:val="3"/>
          </w:tcPr>
          <w:p>
            <w:pPr>
              <w:spacing w:after="0"/>
              <w:rPr>
                <w:sz w:val="20"/>
                <w:szCs w:val="20"/>
                <w:color w:val="auto"/>
              </w:rPr>
            </w:pPr>
            <w:r>
              <w:rPr>
                <w:rFonts w:ascii="Arial" w:cs="Arial" w:eastAsia="Arial" w:hAnsi="Arial"/>
                <w:sz w:val="18"/>
                <w:szCs w:val="18"/>
                <w:b w:val="1"/>
                <w:bCs w:val="1"/>
                <w:color w:val="auto"/>
              </w:rPr>
              <w:t>Intersegment</w:t>
            </w:r>
          </w:p>
        </w:tc>
        <w:tc>
          <w:tcPr>
            <w:tcW w:w="980" w:type="dxa"/>
            <w:vAlign w:val="bottom"/>
            <w:gridSpan w:val="3"/>
          </w:tcPr>
          <w:p>
            <w:pPr>
              <w:spacing w:after="0"/>
              <w:rPr>
                <w:sz w:val="20"/>
                <w:szCs w:val="20"/>
                <w:color w:val="auto"/>
              </w:rPr>
            </w:pPr>
            <w:r>
              <w:rPr>
                <w:rFonts w:ascii="Arial" w:cs="Arial" w:eastAsia="Arial" w:hAnsi="Arial"/>
                <w:sz w:val="18"/>
                <w:szCs w:val="18"/>
                <w:b w:val="1"/>
                <w:bCs w:val="1"/>
                <w:color w:val="auto"/>
                <w:w w:val="99"/>
              </w:rPr>
              <w:t>unaffiliated</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7"/>
              </w:rPr>
              <w:t>and</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85"/>
              </w:rPr>
              <w:t>income</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Capital</w:t>
            </w:r>
          </w:p>
        </w:tc>
        <w:tc>
          <w:tcPr>
            <w:tcW w:w="100" w:type="dxa"/>
            <w:vAlign w:val="bottom"/>
          </w:tcPr>
          <w:p>
            <w:pPr>
              <w:spacing w:after="0"/>
              <w:rPr>
                <w:sz w:val="18"/>
                <w:szCs w:val="18"/>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720" w:type="dxa"/>
            <w:vAlign w:val="bottom"/>
          </w:tcPr>
          <w:p>
            <w:pPr>
              <w:spacing w:after="0"/>
              <w:rPr>
                <w:sz w:val="20"/>
                <w:szCs w:val="20"/>
                <w:color w:val="auto"/>
              </w:rPr>
            </w:pPr>
          </w:p>
        </w:tc>
        <w:tc>
          <w:tcPr>
            <w:tcW w:w="100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w w:val="86"/>
              </w:rPr>
              <w:t>Revenues</w:t>
            </w:r>
          </w:p>
        </w:tc>
        <w:tc>
          <w:tcPr>
            <w:tcW w:w="120" w:type="dxa"/>
            <w:vAlign w:val="bottom"/>
          </w:tcPr>
          <w:p>
            <w:pPr>
              <w:spacing w:after="0"/>
              <w:rPr>
                <w:sz w:val="20"/>
                <w:szCs w:val="20"/>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86"/>
              </w:rPr>
              <w:t>Revenues</w:t>
            </w:r>
          </w:p>
        </w:tc>
        <w:tc>
          <w:tcPr>
            <w:tcW w:w="98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5"/>
              </w:rPr>
              <w:t>customers</w:t>
            </w:r>
          </w:p>
        </w:tc>
        <w:tc>
          <w:tcPr>
            <w:tcW w:w="1240" w:type="dxa"/>
            <w:vAlign w:val="bottom"/>
            <w:gridSpan w:val="4"/>
          </w:tcPr>
          <w:p>
            <w:pPr>
              <w:jc w:val="center"/>
              <w:ind w:right="20"/>
              <w:spacing w:after="0"/>
              <w:rPr>
                <w:sz w:val="20"/>
                <w:szCs w:val="20"/>
                <w:color w:val="auto"/>
              </w:rPr>
            </w:pPr>
            <w:r>
              <w:rPr>
                <w:rFonts w:ascii="Arial" w:cs="Arial" w:eastAsia="Arial" w:hAnsi="Arial"/>
                <w:sz w:val="18"/>
                <w:szCs w:val="18"/>
                <w:b w:val="1"/>
                <w:bCs w:val="1"/>
                <w:color w:val="auto"/>
                <w:w w:val="91"/>
              </w:rPr>
              <w:t>amortization</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5"/>
              </w:rPr>
              <w:t>(loss)</w:t>
            </w:r>
          </w:p>
        </w:tc>
        <w:tc>
          <w:tcPr>
            <w:tcW w:w="1280" w:type="dxa"/>
            <w:vAlign w:val="bottom"/>
            <w:gridSpan w:val="4"/>
          </w:tcPr>
          <w:p>
            <w:pPr>
              <w:jc w:val="right"/>
              <w:ind w:right="220"/>
              <w:spacing w:after="0"/>
              <w:rPr>
                <w:sz w:val="20"/>
                <w:szCs w:val="20"/>
                <w:color w:val="auto"/>
              </w:rPr>
            </w:pPr>
            <w:r>
              <w:rPr>
                <w:rFonts w:ascii="Arial" w:cs="Arial" w:eastAsia="Arial" w:hAnsi="Arial"/>
                <w:sz w:val="18"/>
                <w:szCs w:val="18"/>
                <w:b w:val="1"/>
                <w:bCs w:val="1"/>
                <w:color w:val="auto"/>
                <w:w w:val="92"/>
              </w:rPr>
              <w:t>expenditures</w:t>
            </w:r>
          </w:p>
        </w:tc>
        <w:tc>
          <w:tcPr>
            <w:tcW w:w="100" w:type="dxa"/>
            <w:vAlign w:val="bottom"/>
          </w:tcPr>
          <w:p>
            <w:pPr>
              <w:spacing w:after="0"/>
              <w:rPr>
                <w:sz w:val="20"/>
                <w:szCs w:val="20"/>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2"/>
              </w:rPr>
              <w:t>assets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Three months ended March 31, 2015</w:t>
            </w:r>
          </w:p>
        </w:tc>
        <w:tc>
          <w:tcPr>
            <w:tcW w:w="1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Canada</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116,900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116,900</w:t>
            </w:r>
          </w:p>
        </w:tc>
        <w:tc>
          <w:tcPr>
            <w:tcW w:w="34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24,758</w:t>
            </w:r>
          </w:p>
        </w:tc>
        <w:tc>
          <w:tcPr>
            <w:tcW w:w="180" w:type="dxa"/>
            <w:vAlign w:val="bottom"/>
            <w:gridSpan w:val="2"/>
          </w:tcPr>
          <w:p>
            <w:pPr>
              <w:ind w:left="8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12,120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6,453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900,174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Australia</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41,859</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41,859</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13,913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6,727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3,267</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620,378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U.S.</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14,624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(2,396)</w:t>
            </w:r>
          </w:p>
        </w:tc>
        <w:tc>
          <w:tcPr>
            <w:tcW w:w="16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12,228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3,679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(6,894)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1,116</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120,802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Stand-alone adjustments and eliminations</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(2,396)</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2,396</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(7,077)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(134)</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53,445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720" w:type="dxa"/>
            <w:vAlign w:val="bottom"/>
          </w:tcPr>
          <w:p>
            <w:pPr>
              <w:ind w:left="220"/>
              <w:spacing w:after="0"/>
              <w:rPr>
                <w:sz w:val="20"/>
                <w:szCs w:val="20"/>
                <w:color w:val="auto"/>
              </w:rPr>
            </w:pPr>
            <w:r>
              <w:rPr>
                <w:rFonts w:ascii="Arial" w:cs="Arial" w:eastAsia="Arial" w:hAnsi="Arial"/>
                <w:sz w:val="18"/>
                <w:szCs w:val="18"/>
                <w:color w:val="auto"/>
              </w:rPr>
              <w:t>Total</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170,987</w:t>
            </w:r>
          </w:p>
        </w:tc>
        <w:tc>
          <w:tcPr>
            <w:tcW w:w="20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170,987</w:t>
            </w:r>
          </w:p>
        </w:tc>
        <w:tc>
          <w:tcPr>
            <w:tcW w:w="100" w:type="dxa"/>
            <w:vAlign w:val="bottom"/>
          </w:tcPr>
          <w:p>
            <w:pPr>
              <w:spacing w:after="0"/>
              <w:rPr>
                <w:sz w:val="18"/>
                <w:szCs w:val="18"/>
                <w:color w:val="auto"/>
              </w:rPr>
            </w:pPr>
          </w:p>
        </w:tc>
        <w:tc>
          <w:tcPr>
            <w:tcW w:w="34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42,446</w:t>
            </w:r>
          </w:p>
        </w:tc>
        <w:tc>
          <w:tcPr>
            <w:tcW w:w="180" w:type="dxa"/>
            <w:vAlign w:val="bottom"/>
            <w:gridSpan w:val="2"/>
          </w:tcPr>
          <w:p>
            <w:pPr>
              <w:ind w:left="8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4,876</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10,702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1,694,799</w:t>
            </w:r>
          </w:p>
        </w:tc>
        <w:tc>
          <w:tcPr>
            <w:tcW w:w="0" w:type="dxa"/>
            <w:vAlign w:val="bottom"/>
          </w:tcPr>
          <w:p>
            <w:pPr>
              <w:spacing w:after="0"/>
              <w:rPr>
                <w:sz w:val="1"/>
                <w:szCs w:val="1"/>
                <w:color w:val="auto"/>
              </w:rPr>
            </w:pPr>
          </w:p>
        </w:tc>
      </w:tr>
      <w:tr>
        <w:trPr>
          <w:trHeight w:val="20"/>
        </w:trPr>
        <w:tc>
          <w:tcPr>
            <w:tcW w:w="3740" w:type="dxa"/>
            <w:vAlign w:val="bottom"/>
            <w:gridSpan w:val="2"/>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b w:val="1"/>
                <w:bCs w:val="1"/>
                <w:color w:val="auto"/>
              </w:rPr>
              <w:t>Three months ended March 31, 2014</w:t>
            </w: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Canada</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180,581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(257)</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180,324</w:t>
            </w:r>
          </w:p>
        </w:tc>
        <w:tc>
          <w:tcPr>
            <w:tcW w:w="34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19,994</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42,042</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59,966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1,005,309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Australia</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55,464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55,464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14,840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15,843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2,181</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947,578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U.S.</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34,126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(17,115)</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17,011</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4,799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(1,661)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2,958</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247,640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Stand-alone adjustments and eliminations</w:t>
            </w:r>
          </w:p>
        </w:tc>
        <w:tc>
          <w:tcPr>
            <w:tcW w:w="16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(17,372)</w:t>
            </w:r>
          </w:p>
        </w:tc>
        <w:tc>
          <w:tcPr>
            <w:tcW w:w="1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17,372</w:t>
            </w:r>
          </w:p>
        </w:tc>
        <w:tc>
          <w:tcPr>
            <w:tcW w:w="16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(34)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(3,364)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(1,580)</w:t>
            </w:r>
          </w:p>
        </w:tc>
        <w:tc>
          <w:tcPr>
            <w:tcW w:w="1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(3,682)</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7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252,799</w:t>
            </w: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252,799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39,599</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52,860</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63,525</w:t>
            </w:r>
          </w:p>
        </w:tc>
        <w:tc>
          <w:tcPr>
            <w:tcW w:w="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2,196,845</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460" w:hanging="452"/>
        <w:spacing w:after="0"/>
        <w:tabs>
          <w:tab w:leader="none" w:pos="4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PARENT COMPANY INVESTMENT</w:t>
      </w:r>
    </w:p>
    <w:p>
      <w:pPr>
        <w:spacing w:after="0" w:line="229"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The combined financial statements have been prepared on a stand-alone basis and are derived from the consolidated financial statements and accounting records of Oil States.</w:t>
      </w:r>
    </w:p>
    <w:p>
      <w:pPr>
        <w:spacing w:after="0" w:line="170"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All intercompany transactions between the combined operations have been eliminated. All affiliate transactions between Civeo and Oil States have been included in these combined financial statements. The total net effect of the settlement of these affiliate transactions is reflected in the combined balance sheets as “Oil States International, Inc. Net Investment.”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Parent Company Services Provided and Corporate Allocations</w:t>
      </w:r>
    </w:p>
    <w:p>
      <w:pPr>
        <w:spacing w:after="0" w:line="225"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Prior to the Spin-Off, Oil States provided services to and funded certain expenditures of Civeo. The most significant of these services and expenditures were: (1) funding expenditures to settle domestic accounts payable; (2) funding and processing of domestic payroll; (3) share-based compensation; and (4) certain transaction-related expenditures. The consolidated financial statements of Civeo reflect these expenditures. During the quarter ended March 31, 2014, $33.0 million of expenditures for services received from Oil States or funding for expenditures provided by Oil States were included in the consolidated financial statements.</w:t>
      </w:r>
    </w:p>
    <w:p>
      <w:pPr>
        <w:spacing w:after="0" w:line="188" w:lineRule="exact"/>
        <w:rPr>
          <w:sz w:val="20"/>
          <w:szCs w:val="20"/>
          <w:color w:val="auto"/>
        </w:rPr>
      </w:pPr>
    </w:p>
    <w:p>
      <w:pPr>
        <w:ind w:right="220" w:firstLine="324"/>
        <w:spacing w:after="0" w:line="279" w:lineRule="auto"/>
        <w:rPr>
          <w:sz w:val="20"/>
          <w:szCs w:val="20"/>
          <w:color w:val="auto"/>
        </w:rPr>
      </w:pPr>
      <w:r>
        <w:rPr>
          <w:rFonts w:ascii="Arial" w:cs="Arial" w:eastAsia="Arial" w:hAnsi="Arial"/>
          <w:sz w:val="17"/>
          <w:szCs w:val="17"/>
          <w:color w:val="auto"/>
        </w:rPr>
        <w:t>Prior to the Spin-Off, the consolidated statements of operations also include general corporate expense allocations, which include costs incurred by Oil States for certain corporate functions such as executive management, finance, information technology, tax, internal audit, risk management, legal, human resources and treasury. During the quarter ended March 31, 2014, we were allocated $1.6 million in respect of these corporate expenses which are included within selling, general and administrative expenses in the consolidated statements of operations.</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7" w:name="page18"/>
    <w:bookmarkEnd w:id="17"/>
    <w:p>
      <w:pPr>
        <w:jc w:val="center"/>
        <w:ind w:right="-79"/>
        <w:spacing w:after="0"/>
        <w:rPr>
          <w:sz w:val="20"/>
          <w:szCs w:val="20"/>
          <w:color w:val="auto"/>
        </w:rPr>
      </w:pPr>
      <w:r>
        <w:rPr>
          <w:rFonts w:ascii="Arial" w:cs="Arial" w:eastAsia="Arial" w:hAnsi="Arial"/>
          <w:sz w:val="18"/>
          <w:szCs w:val="18"/>
          <w:b w:val="1"/>
          <w:bCs w:val="1"/>
          <w:color w:val="auto"/>
        </w:rPr>
        <w:t>CIVEO CORPORATION</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UNAUDITED CONSOLIDATED</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FINANCIAL STATEMENTS</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(Continued)</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Oil States Net Investment</w:t>
      </w:r>
    </w:p>
    <w:p>
      <w:pPr>
        <w:spacing w:after="0" w:line="225"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Net transfers to Oil States are included within Oil States net investment on the consolidated balance sheets. The components of the change in Oil States net investment for the three months ended March 31, 2014 are as follows (in thousands):</w:t>
      </w:r>
    </w:p>
    <w:p>
      <w:pPr>
        <w:sectPr>
          <w:pgSz w:w="11900" w:h="16838" w:orient="portrait"/>
          <w:cols w:equalWidth="0" w:num="1">
            <w:col w:w="11360"/>
          </w:cols>
          <w:pgMar w:left="240" w:top="580" w:right="299" w:bottom="1440" w:gutter="0" w:footer="0" w:header="0"/>
        </w:sectPr>
      </w:pPr>
    </w:p>
    <w:p>
      <w:pPr>
        <w:spacing w:after="0" w:line="400"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Cash transfers and general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-121920</wp:posOffset>
            </wp:positionV>
            <wp:extent cx="5797550"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spacing w:after="0" w:line="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Services received or funding for expenditures</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Corporate allocations, including income tax provision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-116205</wp:posOffset>
            </wp:positionV>
            <wp:extent cx="5797550" cy="1460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97550" cy="146050"/>
                    </a:xfrm>
                    <a:prstGeom prst="rect">
                      <a:avLst/>
                    </a:prstGeom>
                    <a:noFill/>
                  </pic:spPr>
                </pic:pic>
              </a:graphicData>
            </a:graphic>
          </wp:anchor>
        </w:drawing>
      </w:r>
    </w:p>
    <w:p>
      <w:pPr>
        <w:spacing w:after="0" w:line="25"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Net increase in Oil States net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255270</wp:posOffset>
            </wp:positionV>
            <wp:extent cx="72898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ind w:left="595"/>
        <w:spacing w:after="0"/>
        <w:rPr>
          <w:sz w:val="20"/>
          <w:szCs w:val="20"/>
          <w:color w:val="auto"/>
        </w:rPr>
      </w:pPr>
      <w:r>
        <w:rPr>
          <w:rFonts w:ascii="Arial" w:cs="Arial" w:eastAsia="Arial" w:hAnsi="Arial"/>
          <w:sz w:val="18"/>
          <w:szCs w:val="18"/>
          <w:b w:val="1"/>
          <w:bCs w:val="1"/>
          <w:color w:val="auto"/>
        </w:rPr>
        <w:t>2014</w:t>
      </w:r>
    </w:p>
    <w:p>
      <w:pPr>
        <w:spacing w:after="0" w:line="27" w:lineRule="exact"/>
        <w:rPr>
          <w:sz w:val="20"/>
          <w:szCs w:val="20"/>
          <w:color w:val="auto"/>
        </w:rPr>
      </w:pPr>
    </w:p>
    <w:p>
      <w:pPr>
        <w:ind w:left="995" w:hanging="995"/>
        <w:spacing w:after="0"/>
        <w:tabs>
          <w:tab w:leader="none" w:pos="995" w:val="left"/>
        </w:tabs>
        <w:numPr>
          <w:ilvl w:val="0"/>
          <w:numId w:val="15"/>
        </w:numPr>
        <w:rPr>
          <w:rFonts w:ascii="Arial" w:cs="Arial" w:eastAsia="Arial" w:hAnsi="Arial"/>
          <w:sz w:val="16"/>
          <w:szCs w:val="16"/>
          <w:color w:val="auto"/>
        </w:rPr>
      </w:pPr>
      <w:r>
        <w:rPr>
          <w:rFonts w:ascii="Arial" w:cs="Arial" w:eastAsia="Arial" w:hAnsi="Arial"/>
          <w:sz w:val="16"/>
          <w:szCs w:val="16"/>
          <w:color w:val="auto"/>
        </w:rPr>
        <w:t>(12,815)</w:t>
      </w:r>
    </w:p>
    <w:p>
      <w:pPr>
        <w:spacing w:after="0" w:line="45" w:lineRule="exact"/>
        <w:rPr>
          <w:rFonts w:ascii="Arial" w:cs="Arial" w:eastAsia="Arial" w:hAnsi="Arial"/>
          <w:sz w:val="16"/>
          <w:szCs w:val="16"/>
          <w:color w:val="auto"/>
        </w:rPr>
      </w:pPr>
    </w:p>
    <w:p>
      <w:pPr>
        <w:ind w:left="1055"/>
        <w:spacing w:after="0"/>
        <w:rPr>
          <w:rFonts w:ascii="Arial" w:cs="Arial" w:eastAsia="Arial" w:hAnsi="Arial"/>
          <w:sz w:val="16"/>
          <w:szCs w:val="16"/>
          <w:color w:val="auto"/>
        </w:rPr>
      </w:pPr>
      <w:r>
        <w:rPr>
          <w:rFonts w:ascii="Arial" w:cs="Arial" w:eastAsia="Arial" w:hAnsi="Arial"/>
          <w:sz w:val="18"/>
          <w:szCs w:val="18"/>
          <w:color w:val="auto"/>
        </w:rPr>
        <w:t>33,006</w:t>
      </w:r>
    </w:p>
    <w:p>
      <w:pPr>
        <w:spacing w:after="0" w:line="9" w:lineRule="exact"/>
        <w:rPr>
          <w:rFonts w:ascii="Arial" w:cs="Arial" w:eastAsia="Arial" w:hAnsi="Arial"/>
          <w:sz w:val="16"/>
          <w:szCs w:val="16"/>
          <w:color w:val="auto"/>
        </w:rPr>
      </w:pPr>
    </w:p>
    <w:p>
      <w:pPr>
        <w:ind w:left="1155"/>
        <w:spacing w:after="0"/>
        <w:rPr>
          <w:rFonts w:ascii="Arial" w:cs="Arial" w:eastAsia="Arial" w:hAnsi="Arial"/>
          <w:sz w:val="16"/>
          <w:szCs w:val="16"/>
          <w:color w:val="auto"/>
        </w:rPr>
      </w:pPr>
      <w:r>
        <w:rPr>
          <w:rFonts w:ascii="Arial" w:cs="Arial" w:eastAsia="Arial" w:hAnsi="Arial"/>
          <w:sz w:val="18"/>
          <w:szCs w:val="18"/>
          <w:color w:val="auto"/>
        </w:rPr>
        <w:t>2,679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-414020</wp:posOffset>
            </wp:positionV>
            <wp:extent cx="98615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986155" cy="8890"/>
                    </a:xfrm>
                    <a:prstGeom prst="rect">
                      <a:avLst/>
                    </a:prstGeom>
                    <a:noFill/>
                  </pic:spPr>
                </pic:pic>
              </a:graphicData>
            </a:graphic>
          </wp:anchor>
        </w:drawing>
      </w:r>
    </w:p>
    <w:p>
      <w:pPr>
        <w:ind w:left="1055" w:hanging="1055"/>
        <w:spacing w:after="0"/>
        <w:tabs>
          <w:tab w:leader="none" w:pos="10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22,870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14605</wp:posOffset>
            </wp:positionV>
            <wp:extent cx="98615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986155" cy="88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31750</wp:posOffset>
            </wp:positionV>
            <wp:extent cx="98615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986155" cy="8890"/>
                    </a:xfrm>
                    <a:prstGeom prst="rect">
                      <a:avLst/>
                    </a:prstGeom>
                    <a:noFill/>
                  </pic:spPr>
                </pic:pic>
              </a:graphicData>
            </a:graphic>
          </wp:anchor>
        </w:drawing>
      </w:r>
    </w:p>
    <w:p>
      <w:pPr>
        <w:spacing w:after="0" w:line="212" w:lineRule="exact"/>
        <w:rPr>
          <w:sz w:val="20"/>
          <w:szCs w:val="20"/>
          <w:color w:val="auto"/>
        </w:rPr>
      </w:pPr>
    </w:p>
    <w:p>
      <w:pPr>
        <w:sectPr>
          <w:pgSz w:w="11900" w:h="16838" w:orient="portrait"/>
          <w:cols w:equalWidth="0" w:num="2">
            <w:col w:w="7925" w:space="720"/>
            <w:col w:w="2715"/>
          </w:cols>
          <w:pgMar w:left="240" w:top="580" w:right="299" w:bottom="1440" w:gutter="0" w:footer="0" w:header="0"/>
          <w:type w:val="continuous"/>
        </w:sectPr>
      </w:pPr>
    </w:p>
    <w:p>
      <w:pPr>
        <w:spacing w:after="0" w:line="309" w:lineRule="exact"/>
        <w:rPr>
          <w:sz w:val="20"/>
          <w:szCs w:val="20"/>
          <w:color w:val="auto"/>
        </w:rPr>
      </w:pPr>
    </w:p>
    <w:p>
      <w:pPr>
        <w:ind w:left="440" w:hanging="432"/>
        <w:spacing w:after="0" w:line="259" w:lineRule="auto"/>
        <w:tabs>
          <w:tab w:leader="none" w:pos="4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Corporate allocations includes the general corporate expense allocations of $1.6 million for the three months ended March 31, 2014, the impact of the income tax provision, the allocation of corporate insurance premiums, and the attribution of certain assets and liabilities that have historically been held at the Oil States corporate level, but which are specifically identifiable or otherwise allocable to us. The attributed assets and liabilities are included in Civeo’s combined balance sheets.</w:t>
      </w:r>
    </w:p>
    <w:p>
      <w:pPr>
        <w:spacing w:after="0" w:line="200" w:lineRule="exact"/>
        <w:rPr>
          <w:sz w:val="20"/>
          <w:szCs w:val="20"/>
          <w:color w:val="auto"/>
        </w:rPr>
      </w:pPr>
    </w:p>
    <w:p>
      <w:pPr>
        <w:spacing w:after="0" w:line="2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60"/>
          </w:cols>
          <w:pgMar w:left="240" w:top="580" w:right="299" w:bottom="1440" w:gutter="0" w:footer="0" w:header="0"/>
          <w:type w:val="continuous"/>
        </w:sectPr>
      </w:pPr>
    </w:p>
    <w:bookmarkStart w:id="18" w:name="page19"/>
    <w:bookmarkEnd w:id="18"/>
    <w:p>
      <w:pPr>
        <w:ind w:left="3020"/>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color w:val="auto"/>
        </w:rPr>
        <w:t>This quarterly report on Form 10-Q contains certain “forward-looking statements" within the meaning of Section 27A of the Securities Act of 1933 and Section 21E of the Securities Exchange Act of 1934 (the Exchange Act). The Private Securities Litigation Reform Act of 1995 provides safe harbor provisions for forward-looking information. The forward-looking statements can be identified by the use of forward-looking terminology including "may," "expect," "anticipate," "estimate," "continue," "believe," or other similar words. Actual results could differ materially from those projected in the forward-looking statements as a result of a number of important factors. For a discussion of known material factors that could affect our results, please refer to “Risk Factors,” “Forward-Looking Statements,” and "Management’s Discussion and Analysis of Financial Condition and Results of Operations" included in our Annual Report on Form 10-K for the year ended December 31, 2014. Should one or more of these risks or uncertainties materialize, or should the assumptions prove incorrect, actual results may differ materially from those expected, estimated or projected. Our management believes these forward-looking statements are reasonable. However, you should not place undue reliance on these forward-looking statements, which are based only on our current expectations and are not guarantees of future performance. All subsequent written and oral forward-looking statements attributable to us or to persons acting on our behalf are expressly qualified in their entirety by the foregoing. Forward-looking statements speak only as of the date they are made, and we undertake no obligation to publicly update or revise any of them in light of new information, future events or otherwise.</w:t>
      </w:r>
    </w:p>
    <w:p>
      <w:pPr>
        <w:spacing w:after="0" w:line="18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In addition, in certain places in this quarterly report, we refer to reports published by third parties that purport to describe trends or developments in the energy industry. We do so for the convenience of our stockholders and in an effort to provide information available in the market that will assist our investors in a better understanding of the market environment in which we operate. However, we specifically disclaim any responsibility for the accuracy and completeness of such information and undertake no obligation to update such information.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You should read the following discussion and analysis together with our consolidated financial statements and the notes to those statements included elsewhere in this quarterly report on Form 10-Q.</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Spin-off</w:t>
      </w:r>
    </w:p>
    <w:p>
      <w:pPr>
        <w:spacing w:after="0" w:line="225" w:lineRule="exact"/>
        <w:rPr>
          <w:sz w:val="20"/>
          <w:szCs w:val="20"/>
          <w:color w:val="auto"/>
        </w:rPr>
      </w:pPr>
    </w:p>
    <w:p>
      <w:pPr>
        <w:ind w:right="140" w:firstLine="324"/>
        <w:spacing w:after="0" w:line="269" w:lineRule="auto"/>
        <w:rPr>
          <w:sz w:val="20"/>
          <w:szCs w:val="20"/>
          <w:color w:val="auto"/>
        </w:rPr>
      </w:pPr>
      <w:r>
        <w:rPr>
          <w:rFonts w:ascii="Arial" w:cs="Arial" w:eastAsia="Arial" w:hAnsi="Arial"/>
          <w:sz w:val="17"/>
          <w:szCs w:val="17"/>
          <w:color w:val="auto"/>
        </w:rPr>
        <w:t>On May 5, 2014, the Oil States International, Inc. (Oil States) board of directors approved the separation of its Accommodations Segment (Accommodations) into a standalone, publicly traded company, Civeo Corporation (Civeo). In accordance with the Separation and Distribution Agreement, the two companies were separated by Oil States distributing to its stockholders all 106,538,044 shares of common stock of Civeo it held after the market closed on May 30, 2014 (the Spin-Off). Each Oil States stockholder received two shares of Civeo common stock for every one share of Oil States stock held at the close of business on the record date of May 21, 2014. In conjunction with the Spin-Off, Oil States received a private letter ruling from the Internal Revenue Service to the effect that, based on certain facts, assumptions, representations and undertakings set forth in the ruling, for U.S. federal income tax purposes, the distribution of Civeo common stock was not taxable to Oil States or U.S. holders of Oil States common stock. Following the Spin-Off, Oil States retained no ownership interest in Civeo, and each company now has separate public ownership, boards of directors and management. A registration statement on Form 10, as amended through the time of its effectiveness, describing the Spin-Off was filed by Civeo with the U.S. Securities and Exchange Commission (SEC) and was declared effective on May 8, 2014. On June 2, 2014, Civeo common stock began trading the “regular-way” on the New York Stock Exchange under the “CVEO” stock symbol. Pursuant to the Separation and Distribution Agreement with Oil States, on May 28, 2014, we made a special cash distribution to Oil States of $750 million.</w:t>
      </w:r>
    </w:p>
    <w:p>
      <w:pPr>
        <w:spacing w:after="0" w:line="180"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In connection with the Spin-Off, on May 28, 2014, we entered into a $650.0 million, 5-year revolving credit facility and a 5-year U.S. term loan facility totaling $775.0 million. For further discussion, see Note 7 – Debt to the Unaudited Consolidated Financial Statements.</w:t>
      </w:r>
    </w:p>
    <w:p>
      <w:pPr>
        <w:spacing w:after="0" w:line="170" w:lineRule="exact"/>
        <w:rPr>
          <w:sz w:val="20"/>
          <w:szCs w:val="20"/>
          <w:color w:val="auto"/>
        </w:rPr>
      </w:pPr>
    </w:p>
    <w:p>
      <w:pPr>
        <w:jc w:val="both"/>
        <w:ind w:right="60" w:firstLine="324"/>
        <w:spacing w:after="0" w:line="264" w:lineRule="auto"/>
        <w:rPr>
          <w:sz w:val="20"/>
          <w:szCs w:val="20"/>
          <w:color w:val="auto"/>
        </w:rPr>
      </w:pPr>
      <w:r>
        <w:rPr>
          <w:rFonts w:ascii="Arial" w:cs="Arial" w:eastAsia="Arial" w:hAnsi="Arial"/>
          <w:sz w:val="18"/>
          <w:szCs w:val="18"/>
          <w:color w:val="auto"/>
        </w:rPr>
        <w:t>Unless otherwise stated or the context otherwise indicates, all references to “Civeo”, “the Company,” “us,” “our” or “we” for the time period prior to the Spin-Off mean the Accommodations business of Oil States. For time periods after the Spin-Off, these terms refer to the legal entity Civeo Corporation and its consolidated subsidiaries.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i w:val="1"/>
          <w:iCs w:val="1"/>
          <w:color w:val="auto"/>
        </w:rPr>
        <w:t>Redomiciling to Canada</w:t>
      </w:r>
    </w:p>
    <w:p>
      <w:pPr>
        <w:spacing w:after="0" w:line="225" w:lineRule="exact"/>
        <w:rPr>
          <w:sz w:val="20"/>
          <w:szCs w:val="20"/>
          <w:color w:val="auto"/>
        </w:rPr>
      </w:pPr>
    </w:p>
    <w:p>
      <w:pPr>
        <w:ind w:right="160" w:firstLine="324"/>
        <w:spacing w:after="0" w:line="286" w:lineRule="auto"/>
        <w:rPr>
          <w:sz w:val="20"/>
          <w:szCs w:val="20"/>
          <w:color w:val="auto"/>
        </w:rPr>
      </w:pPr>
      <w:r>
        <w:rPr>
          <w:rFonts w:ascii="Arial" w:cs="Arial" w:eastAsia="Arial" w:hAnsi="Arial"/>
          <w:sz w:val="16"/>
          <w:szCs w:val="16"/>
          <w:color w:val="auto"/>
        </w:rPr>
        <w:t>On September 29, 2014, we announced our intention to redomicile the Company to Canada (the Redomicile Transaction). We expect to execute a “self-directed redomiciling” of the Company as permitted under the U.S. Internal Revenue Code. U.S. federal income tax laws permit a company to change its domicile to a foreign jurisdiction without corporate-level U.S. federal income taxes provided that such company has “substantial business activity” in the relevant jurisdiction. “Substantial business activity” is defined as foreign operations consisting of over 25% of the company’s total (i) revenues, (ii) assets,</w:t>
      </w:r>
    </w:p>
    <w:p>
      <w:pPr>
        <w:spacing w:after="0" w:line="2" w:lineRule="exact"/>
        <w:rPr>
          <w:sz w:val="20"/>
          <w:szCs w:val="20"/>
          <w:color w:val="auto"/>
        </w:rPr>
      </w:pPr>
    </w:p>
    <w:p>
      <w:pPr>
        <w:ind w:right="100" w:firstLine="8"/>
        <w:spacing w:after="0" w:line="295" w:lineRule="auto"/>
        <w:tabs>
          <w:tab w:leader="none" w:pos="315" w:val="left"/>
        </w:tabs>
        <w:numPr>
          <w:ilvl w:val="0"/>
          <w:numId w:val="18"/>
        </w:numPr>
        <w:rPr>
          <w:rFonts w:ascii="Arial" w:cs="Arial" w:eastAsia="Arial" w:hAnsi="Arial"/>
          <w:sz w:val="16"/>
          <w:szCs w:val="16"/>
          <w:color w:val="auto"/>
        </w:rPr>
      </w:pPr>
      <w:r>
        <w:rPr>
          <w:rFonts w:ascii="Arial" w:cs="Arial" w:eastAsia="Arial" w:hAnsi="Arial"/>
          <w:sz w:val="16"/>
          <w:szCs w:val="16"/>
          <w:color w:val="auto"/>
        </w:rPr>
        <w:t>employees and (iv) employee compensation. With approximately 50% or more of our operations in Canada based on these metrics, we believe we will qualify for a self-directed redomiciling. We expect to complete the Redomicile Transaction in the second or third quarter of 2015. There is no assurance that we will be able to complete the Redomicile Transaction in a timely manner or at all, and if completed, we may not achieve the expected benefits. For further information about the Redomicile Transaction, please see our definitive proxy statement/prospectus on Schedule 14A filed with the SEC on April 8, 2015.</w:t>
      </w:r>
    </w:p>
    <w:p>
      <w:pPr>
        <w:spacing w:after="0" w:line="162" w:lineRule="exact"/>
        <w:rPr>
          <w:sz w:val="20"/>
          <w:szCs w:val="20"/>
          <w:color w:val="auto"/>
        </w:rPr>
      </w:pPr>
    </w:p>
    <w:p>
      <w:pPr>
        <w:ind w:right="20" w:firstLine="324"/>
        <w:spacing w:after="0" w:line="293" w:lineRule="auto"/>
        <w:rPr>
          <w:sz w:val="20"/>
          <w:szCs w:val="20"/>
          <w:color w:val="auto"/>
        </w:rPr>
      </w:pPr>
      <w:r>
        <w:rPr>
          <w:rFonts w:ascii="Arial" w:cs="Arial" w:eastAsia="Arial" w:hAnsi="Arial"/>
          <w:sz w:val="16"/>
          <w:szCs w:val="16"/>
          <w:color w:val="auto"/>
        </w:rPr>
        <w:t>We have received (1) the required consents of the lenders to amend our Credit Facility, subject to customary conditions, to allow for our planned migration to Canada and (2) commitments from our lenders to (i) borrow under new Canadian tranches of the Credit Facility, (ii) substantially reduce both the existing U.S. term loan and the U.S. revolver and (iii) increase the maximum leverage ratio allowed under the Credit Facility to 4.00 for the fourth quarter of 2015, 4.25 for the first quarter of 2016 and 4.50 beginning with the second quarter of 2016 before decreasing in the first quarter of 2017. We are currently finalizing the documentation of the amended credit facility with our syndicate of banks and expects to complete the documentation before our annual shareholders meeting on May 14, 2015. The amendment, if finalized, would be effective upon completion of the migration to Canada.</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ind w:right="80" w:firstLine="324"/>
        <w:spacing w:after="0" w:line="293" w:lineRule="auto"/>
        <w:rPr>
          <w:sz w:val="20"/>
          <w:szCs w:val="20"/>
          <w:color w:val="auto"/>
        </w:rPr>
      </w:pPr>
      <w:r>
        <w:rPr>
          <w:rFonts w:ascii="Arial" w:cs="Arial" w:eastAsia="Arial" w:hAnsi="Arial"/>
          <w:sz w:val="16"/>
          <w:szCs w:val="16"/>
          <w:color w:val="auto"/>
        </w:rPr>
        <w:t>Prior to the Spin-Off, our financial position, results of operations and cash flows consisted of the Oil States’ Accommodations business and an allocable portion of its corporate costs, which represented a combined reporting entity. The combined financial statements for periods prior to the Spin-Off have been prepared on a stand-alone basis and are derived from the consolidated financial statements and accounting records of Oil States. The combined financial statements reflect our historical financial position, results of operations and cash flows as we were historically managed, in conformity with accounting principles generally accepted in the United States of America (U.S. GAAP). The combined financial statements include certain assets and liabilities that have historically been held at the Oil States corporate level, but are specifically identifiable or otherwise attributable to us.</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All financial information presented after the Spin-Off represents the consolidated results of operations, financial position and cash flows of Civeo.</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Accordingly:</w:t>
      </w:r>
    </w:p>
    <w:p>
      <w:pPr>
        <w:spacing w:after="0" w:line="211" w:lineRule="exact"/>
        <w:rPr>
          <w:sz w:val="20"/>
          <w:szCs w:val="20"/>
          <w:color w:val="auto"/>
        </w:rPr>
      </w:pPr>
    </w:p>
    <w:p>
      <w:pPr>
        <w:ind w:left="980" w:right="60" w:hanging="324"/>
        <w:spacing w:after="0" w:line="274" w:lineRule="auto"/>
        <w:tabs>
          <w:tab w:leader="none" w:pos="9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Our consolidated statements of operations, comprehensive income, cash flows and changes in stockholders’ equity / net investment for the three months ended March 31, 2014 consist entirely of the combined results of the Oil States’ Accommodations business.</w:t>
      </w:r>
    </w:p>
    <w:p>
      <w:pPr>
        <w:ind w:left="980" w:right="60" w:hanging="324"/>
        <w:spacing w:after="0" w:line="250"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consolidated statements of operations, comprehensive income, cash flows and changes in stockholders’ equity / net investment for the three months ended March 31, 2015 consist entirely of the consolidated results of Civeo.</w:t>
      </w: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consolidated balance sheets at March 31, 2015 and December 31, 2014 consist of the consolidated balances of Civeo.</w:t>
      </w:r>
    </w:p>
    <w:p>
      <w:pPr>
        <w:spacing w:after="0" w:line="211" w:lineRule="exact"/>
        <w:rPr>
          <w:sz w:val="20"/>
          <w:szCs w:val="20"/>
          <w:color w:val="auto"/>
        </w:rPr>
      </w:pPr>
    </w:p>
    <w:p>
      <w:pPr>
        <w:jc w:val="both"/>
        <w:ind w:right="80" w:firstLine="324"/>
        <w:spacing w:after="0" w:line="312" w:lineRule="auto"/>
        <w:rPr>
          <w:sz w:val="20"/>
          <w:szCs w:val="20"/>
          <w:color w:val="auto"/>
        </w:rPr>
      </w:pPr>
      <w:r>
        <w:rPr>
          <w:rFonts w:ascii="Arial" w:cs="Arial" w:eastAsia="Arial" w:hAnsi="Arial"/>
          <w:sz w:val="16"/>
          <w:szCs w:val="16"/>
          <w:color w:val="auto"/>
        </w:rPr>
        <w:t>The assets and liabilities in our consolidated financial statements have been reflected on a historical basis, as immediately prior to the Spin-Off all of the assets and liabilities presented were wholly owned by Oil States and were transferred within the Oil States consolidated group. All intercompany transactions and accounts have been eliminated. All affiliate transactions between Civeo and Oil States have been included in these consolidated financial statements.</w:t>
      </w:r>
    </w:p>
    <w:p>
      <w:pPr>
        <w:spacing w:after="0" w:line="147"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The consolidated financial statements for periods prior to the Spin-Off included expense allocations for: (1) certain corporate functions historically provided by Oil States, including, but not limited to finance, legal, risk management, tax, treasury, information technology, human resources, and certain other shared services; (2) certain employee benefits and incentives; and (3) equity-based compensation. These expenses were allocated to us on the basis of direct usage when identifiable, with the remainder allocated based on estimated time spent by Oil States personnel, a pro-rata basis of headcount or other relevant measures of Oil States and its subsidiaries. We consider the basis on which the expenses were allocated to be a reasonable reflection of the utilization of services provided to or the benefit received by us during the periods presented. The allocations may not, however, reflect the expense we would have incurred as an independent, publicly traded company for the periods presented. Actual costs that may have been incurred if we had been a stand-alone company would depend on a number of factors, including the chosen organizational structure, which functions were outsourced or performed by employees and strategic decisions made in areas such as information technology and infrastructure.</w:t>
      </w: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Macroeconomic Environment</w:t>
      </w:r>
    </w:p>
    <w:p>
      <w:pPr>
        <w:spacing w:after="0" w:line="229" w:lineRule="exact"/>
        <w:rPr>
          <w:sz w:val="20"/>
          <w:szCs w:val="20"/>
          <w:color w:val="auto"/>
        </w:rPr>
      </w:pPr>
    </w:p>
    <w:p>
      <w:pPr>
        <w:ind w:right="60" w:firstLine="324"/>
        <w:spacing w:after="0" w:line="291" w:lineRule="auto"/>
        <w:rPr>
          <w:sz w:val="20"/>
          <w:szCs w:val="20"/>
          <w:color w:val="auto"/>
        </w:rPr>
      </w:pPr>
      <w:r>
        <w:rPr>
          <w:rFonts w:ascii="Arial" w:cs="Arial" w:eastAsia="Arial" w:hAnsi="Arial"/>
          <w:sz w:val="16"/>
          <w:szCs w:val="16"/>
          <w:color w:val="auto"/>
        </w:rPr>
        <w:t>We provide workforce accommodations to the natural resource industry in Canada, Australia and the United States. Demand for our services can be attributed to two phases of our customers’ projects: (1) the development or construction phase and (2) the operations or production phase. Initial demand for our services is driven by our customers’ capital spending programs related to the construction and development of oil sands and coal mines and associated infrastructure as well as the exploration for oil and natural gas. Long-term demand for our services is driven by continued development and expansion of natural resource production and operation of oil sands refining facilities. Industry capital spending programs are generally based on the long-term outlook for commodity prices, economic growth and estimates of resource production. As a result, demand for our products and services is largely sensitive to expected commodity prices, principally related to crude oil, metallurgical (met) coal and, to a lesser extent, natural gas.</w:t>
      </w:r>
    </w:p>
    <w:p>
      <w:pPr>
        <w:spacing w:after="0" w:line="167" w:lineRule="exact"/>
        <w:rPr>
          <w:sz w:val="20"/>
          <w:szCs w:val="20"/>
          <w:color w:val="auto"/>
        </w:rPr>
      </w:pPr>
    </w:p>
    <w:p>
      <w:pPr>
        <w:ind w:right="260" w:firstLine="324"/>
        <w:spacing w:after="0" w:line="257" w:lineRule="auto"/>
        <w:rPr>
          <w:sz w:val="20"/>
          <w:szCs w:val="20"/>
          <w:color w:val="auto"/>
        </w:rPr>
      </w:pPr>
      <w:r>
        <w:rPr>
          <w:rFonts w:ascii="Arial" w:cs="Arial" w:eastAsia="Arial" w:hAnsi="Arial"/>
          <w:sz w:val="18"/>
          <w:szCs w:val="18"/>
          <w:color w:val="auto"/>
        </w:rPr>
        <w:t>In Canada, Western Canadian Select (WCS) crude is the benchmark price for our oil sands accommodations’ customers. Pricing for WCS is driven by several factors. A significant factor affecting WCS pricing is the underlying price for West Texas Intermediate (WTI) crude. Another significant factor affecting WCS pricing has been the availability of transportation infrastructure. Historically, WCS has traded at a discount to WTI, creating a “WCS Differential,” due to transportation costs and limited capacity to move Canadian heavy oil production to refineries, primarily in the U.S. Gulf Coast. Depending on the extent of pipeline capacity availability, the WCS Differential has varied.</w:t>
      </w:r>
    </w:p>
    <w:p>
      <w:pPr>
        <w:spacing w:after="0" w:line="188"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In the fourth quarter 2014, global oil prices dropped to their lowest level in five years due to concerns over global oil demand, the economic growth rate in China, the overall economic health of Europe and price cutting by major oil producing countries, such as Saudi Arabia. Increasing global supply, including increased U.S. shale oil production, has also negatively impacted pricing. With falling Brent Crude and WTI oil prices, WCS has also fallen. This trend of depressed oil prices continued into the first quarter of 2015 with prices continuing to fall. WCS prices in the first quarter of 2015 averaged $35.03 per barrel compared to $57.75 in the fourth quarter of 2014. The WCS Differential narrowed from $16.00 per barrel at the end of the fourth quarter of 2014 to $12.55 per barrel by the end of the first quarter of 2015. As of April 24, 2015, the WTI price was $55.55 and the WCS price was $45.40, resulting in a WCS Differential of $10.15.</w:t>
      </w:r>
    </w:p>
    <w:p>
      <w:pPr>
        <w:spacing w:after="0" w:line="189"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There remains a significant risk that prices in the oil sands could continue to deteriorate or remain at current depressed levels going forward. Additionally, if the discount between WCS crude prices and WTI crude prices widens, our oil sands customers are more likely to delay additional investments in their oil sands assets. The continuation of these depressed price levels negatively impacted exploration, development and production activity by Canadian operators and, therefore, demand for our services in 2015.</w:t>
      </w:r>
    </w:p>
    <w:p>
      <w:pPr>
        <w:spacing w:after="0" w:line="187" w:lineRule="exact"/>
        <w:rPr>
          <w:sz w:val="20"/>
          <w:szCs w:val="20"/>
          <w:color w:val="auto"/>
        </w:rPr>
      </w:pPr>
    </w:p>
    <w:p>
      <w:pPr>
        <w:ind w:right="80" w:firstLine="324"/>
        <w:spacing w:after="0" w:line="289" w:lineRule="auto"/>
        <w:rPr>
          <w:sz w:val="20"/>
          <w:szCs w:val="20"/>
          <w:color w:val="auto"/>
        </w:rPr>
      </w:pPr>
      <w:r>
        <w:rPr>
          <w:rFonts w:ascii="Arial" w:cs="Arial" w:eastAsia="Arial" w:hAnsi="Arial"/>
          <w:sz w:val="16"/>
          <w:szCs w:val="16"/>
          <w:color w:val="auto"/>
        </w:rPr>
        <w:t>Our Australian villages in the Bowen Basin primarily serve coal mines in that region. Met coal pricing and growth in production in the Bowen Basin region is influenced by levels of global steel production. Growth in worldwide steel demand has decreased from 3.8% in 2013 to 2.0% in 2014. Furthermore, because Chinese steel production has been growing at a slower pace than that experienced in 2011 and 2012, Chinese demand for imported steel inputs such as met coal and iron ore continued to decrease during 2014 compared to 2013. Because of this, coupled with the fact that Australian met coal output has increased 12% during 2014 compared to 2013, met coal prices have decreased materially from over $160/metric tonne at the beginning of 2013 to approximately $109.50 per metric ton for the second quarter of 2015. Depressed met coal prices have led to the implementation of cost control measures by our customers, some coal mine closures and delays in the start-up of new coal mining projects in Australia. A continued depressed met coal price will impact our customers’ future capital spending programs. Long term demand for steel will be driven by increased steel consumption per capita in developing economies, such as China and India, whose current consumption is a fraction of developed countries.</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580" w:right="259" w:bottom="1440" w:gutter="0" w:footer="0" w:header="0"/>
        </w:sectPr>
      </w:pPr>
    </w:p>
    <w:bookmarkStart w:id="21" w:name="page22"/>
    <w:bookmarkEnd w:id="21"/>
    <w:p>
      <w:pPr>
        <w:ind w:right="80" w:firstLine="324"/>
        <w:spacing w:after="0" w:line="255" w:lineRule="auto"/>
        <w:rPr>
          <w:sz w:val="20"/>
          <w:szCs w:val="20"/>
          <w:color w:val="auto"/>
        </w:rPr>
      </w:pPr>
      <w:r>
        <w:rPr>
          <w:rFonts w:ascii="Arial" w:cs="Arial" w:eastAsia="Arial" w:hAnsi="Arial"/>
          <w:sz w:val="18"/>
          <w:szCs w:val="18"/>
          <w:color w:val="auto"/>
        </w:rPr>
        <w:t>Natural gas and WTI crude oil prices, discussed above, have an impact on the demand for our U.S. accommodations. Prices for natural gas in the U.S. averaged $2.81 per mcf in the first quarter of 2015, a 40% decrease over the average price in the first quarter of 2014. U.S. natural gas production has continued to outpace demand recently, which has caused prices to continue to be weak relative to historical prices. These weaker prices are expected to continue. At these levels, it is uneconomic to increase development in several domestic, gas-focused basins. If natural gas production growth continues to surpass demand in the U.S. and/or the supply of natural gas were to increase, whether the supply comes from conventional or unconventional production or associated natural gas production from oil wells, prices for natural gas could be constrained for an extended period and result in fewer rigs drilling for natural gas in the near-term.</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Recent WTI crude, WCS crude, met coal and natural gas pricing trends are as follows:</w:t>
      </w:r>
    </w:p>
    <w:p>
      <w:pPr>
        <w:spacing w:after="0" w:line="111" w:lineRule="exact"/>
        <w:rPr>
          <w:sz w:val="20"/>
          <w:szCs w:val="20"/>
          <w:color w:val="auto"/>
        </w:rPr>
      </w:pPr>
    </w:p>
    <w:tbl>
      <w:tblPr>
        <w:tblLayout w:type="fixed"/>
        <w:tblInd w:w="1160" w:type="dxa"/>
        <w:tblCellMar>
          <w:top w:w="0" w:type="dxa"/>
          <w:left w:w="0" w:type="dxa"/>
          <w:bottom w:w="0" w:type="dxa"/>
          <w:right w:w="0" w:type="dxa"/>
        </w:tblCellMar>
      </w:tblPr>
      <w:tr>
        <w:trPr>
          <w:trHeight w:val="345"/>
        </w:trPr>
        <w:tc>
          <w:tcPr>
            <w:tcW w:w="2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4"/>
          </w:tcPr>
          <w:p>
            <w:pPr>
              <w:jc w:val="right"/>
              <w:ind w:right="850"/>
              <w:spacing w:after="0"/>
              <w:rPr>
                <w:sz w:val="20"/>
                <w:szCs w:val="20"/>
                <w:color w:val="auto"/>
              </w:rPr>
            </w:pPr>
            <w:r>
              <w:rPr>
                <w:rFonts w:ascii="Arial" w:cs="Arial" w:eastAsia="Arial" w:hAnsi="Arial"/>
                <w:sz w:val="18"/>
                <w:szCs w:val="18"/>
                <w:b w:val="1"/>
                <w:bCs w:val="1"/>
                <w:color w:val="auto"/>
              </w:rPr>
              <w:t xml:space="preserve">Average Price </w:t>
            </w:r>
            <w:r>
              <w:rPr>
                <w:rFonts w:ascii="Arial" w:cs="Arial" w:eastAsia="Arial" w:hAnsi="Arial"/>
                <w:sz w:val="30"/>
                <w:szCs w:val="30"/>
                <w:b w:val="1"/>
                <w:bCs w:val="1"/>
                <w:color w:val="auto"/>
                <w:vertAlign w:val="superscript"/>
              </w:rPr>
              <w:t>(1)</w:t>
            </w: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191"/>
        </w:trPr>
        <w:tc>
          <w:tcPr>
            <w:tcW w:w="2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jc w:val="center"/>
              <w:ind w:right="170"/>
              <w:spacing w:after="0" w:line="191" w:lineRule="exact"/>
              <w:rPr>
                <w:sz w:val="20"/>
                <w:szCs w:val="20"/>
                <w:color w:val="auto"/>
              </w:rPr>
            </w:pPr>
            <w:r>
              <w:rPr>
                <w:rFonts w:ascii="Arial" w:cs="Arial" w:eastAsia="Arial" w:hAnsi="Arial"/>
                <w:sz w:val="18"/>
                <w:szCs w:val="18"/>
                <w:b w:val="1"/>
                <w:bCs w:val="1"/>
                <w:color w:val="auto"/>
              </w:rPr>
              <w:t>WTI</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jc w:val="center"/>
              <w:ind w:right="150"/>
              <w:spacing w:after="0" w:line="191" w:lineRule="exact"/>
              <w:rPr>
                <w:sz w:val="20"/>
                <w:szCs w:val="20"/>
                <w:color w:val="auto"/>
              </w:rPr>
            </w:pPr>
            <w:r>
              <w:rPr>
                <w:rFonts w:ascii="Arial" w:cs="Arial" w:eastAsia="Arial" w:hAnsi="Arial"/>
                <w:sz w:val="18"/>
                <w:szCs w:val="18"/>
                <w:b w:val="1"/>
                <w:bCs w:val="1"/>
                <w:color w:val="auto"/>
                <w:w w:val="95"/>
              </w:rPr>
              <w:t>WCS</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jc w:val="center"/>
              <w:ind w:right="70"/>
              <w:spacing w:after="0" w:line="191" w:lineRule="exact"/>
              <w:rPr>
                <w:sz w:val="20"/>
                <w:szCs w:val="20"/>
                <w:color w:val="auto"/>
              </w:rPr>
            </w:pPr>
            <w:r>
              <w:rPr>
                <w:rFonts w:ascii="Arial" w:cs="Arial" w:eastAsia="Arial" w:hAnsi="Arial"/>
                <w:sz w:val="18"/>
                <w:szCs w:val="18"/>
                <w:b w:val="1"/>
                <w:bCs w:val="1"/>
                <w:color w:val="auto"/>
              </w:rPr>
              <w:t>Hard</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jc w:val="center"/>
              <w:ind w:right="90"/>
              <w:spacing w:after="0" w:line="191" w:lineRule="exact"/>
              <w:rPr>
                <w:sz w:val="20"/>
                <w:szCs w:val="20"/>
                <w:color w:val="auto"/>
              </w:rPr>
            </w:pPr>
            <w:r>
              <w:rPr>
                <w:rFonts w:ascii="Arial" w:cs="Arial" w:eastAsia="Arial" w:hAnsi="Arial"/>
                <w:sz w:val="18"/>
                <w:szCs w:val="18"/>
                <w:b w:val="1"/>
                <w:bCs w:val="1"/>
                <w:color w:val="auto"/>
                <w:w w:val="97"/>
              </w:rPr>
              <w:t>Henry</w:t>
            </w:r>
          </w:p>
        </w:tc>
        <w:tc>
          <w:tcPr>
            <w:tcW w:w="80" w:type="dxa"/>
            <w:vAlign w:val="bottom"/>
          </w:tcPr>
          <w:p>
            <w:pPr>
              <w:spacing w:after="0"/>
              <w:rPr>
                <w:sz w:val="16"/>
                <w:szCs w:val="16"/>
                <w:color w:val="auto"/>
              </w:rPr>
            </w:pPr>
          </w:p>
        </w:tc>
      </w:tr>
      <w:tr>
        <w:trPr>
          <w:trHeight w:val="216"/>
        </w:trPr>
        <w:tc>
          <w:tcPr>
            <w:tcW w:w="2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center"/>
              <w:ind w:right="70"/>
              <w:spacing w:after="0"/>
              <w:rPr>
                <w:sz w:val="20"/>
                <w:szCs w:val="20"/>
                <w:color w:val="auto"/>
              </w:rPr>
            </w:pPr>
            <w:r>
              <w:rPr>
                <w:rFonts w:ascii="Arial" w:cs="Arial" w:eastAsia="Arial" w:hAnsi="Arial"/>
                <w:sz w:val="18"/>
                <w:szCs w:val="18"/>
                <w:b w:val="1"/>
                <w:bCs w:val="1"/>
                <w:color w:val="auto"/>
                <w:w w:val="93"/>
              </w:rPr>
              <w:t>Coking Coal</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center"/>
              <w:ind w:right="90"/>
              <w:spacing w:after="0"/>
              <w:rPr>
                <w:sz w:val="20"/>
                <w:szCs w:val="20"/>
                <w:color w:val="auto"/>
              </w:rPr>
            </w:pPr>
            <w:r>
              <w:rPr>
                <w:rFonts w:ascii="Arial" w:cs="Arial" w:eastAsia="Arial" w:hAnsi="Arial"/>
                <w:sz w:val="18"/>
                <w:szCs w:val="18"/>
                <w:b w:val="1"/>
                <w:bCs w:val="1"/>
                <w:color w:val="auto"/>
                <w:w w:val="97"/>
              </w:rPr>
              <w:t>Hub</w:t>
            </w:r>
          </w:p>
        </w:tc>
        <w:tc>
          <w:tcPr>
            <w:tcW w:w="80" w:type="dxa"/>
            <w:vAlign w:val="bottom"/>
          </w:tcPr>
          <w:p>
            <w:pPr>
              <w:spacing w:after="0"/>
              <w:rPr>
                <w:sz w:val="18"/>
                <w:szCs w:val="18"/>
                <w:color w:val="auto"/>
              </w:rPr>
            </w:pPr>
          </w:p>
        </w:tc>
      </w:tr>
      <w:tr>
        <w:trPr>
          <w:trHeight w:val="216"/>
        </w:trPr>
        <w:tc>
          <w:tcPr>
            <w:tcW w:w="2560" w:type="dxa"/>
            <w:vAlign w:val="bottom"/>
          </w:tcPr>
          <w:p>
            <w:pPr>
              <w:jc w:val="center"/>
              <w:spacing w:after="0"/>
              <w:rPr>
                <w:sz w:val="20"/>
                <w:szCs w:val="20"/>
                <w:color w:val="auto"/>
              </w:rPr>
            </w:pPr>
            <w:r>
              <w:rPr>
                <w:rFonts w:ascii="Arial" w:cs="Arial" w:eastAsia="Arial" w:hAnsi="Arial"/>
                <w:sz w:val="18"/>
                <w:szCs w:val="18"/>
                <w:b w:val="1"/>
                <w:bCs w:val="1"/>
                <w:color w:val="auto"/>
                <w:w w:val="95"/>
              </w:rPr>
              <w:t>Quarter</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center"/>
              <w:ind w:right="170"/>
              <w:spacing w:after="0"/>
              <w:rPr>
                <w:sz w:val="20"/>
                <w:szCs w:val="20"/>
                <w:color w:val="auto"/>
              </w:rPr>
            </w:pPr>
            <w:r>
              <w:rPr>
                <w:rFonts w:ascii="Arial" w:cs="Arial" w:eastAsia="Arial" w:hAnsi="Arial"/>
                <w:sz w:val="18"/>
                <w:szCs w:val="18"/>
                <w:b w:val="1"/>
                <w:bCs w:val="1"/>
                <w:color w:val="auto"/>
                <w:w w:val="96"/>
              </w:rPr>
              <w:t>Crude</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center"/>
              <w:ind w:right="150"/>
              <w:spacing w:after="0"/>
              <w:rPr>
                <w:sz w:val="20"/>
                <w:szCs w:val="20"/>
                <w:color w:val="auto"/>
              </w:rPr>
            </w:pPr>
            <w:r>
              <w:rPr>
                <w:rFonts w:ascii="Arial" w:cs="Arial" w:eastAsia="Arial" w:hAnsi="Arial"/>
                <w:sz w:val="18"/>
                <w:szCs w:val="18"/>
                <w:b w:val="1"/>
                <w:bCs w:val="1"/>
                <w:color w:val="auto"/>
                <w:w w:val="92"/>
              </w:rPr>
              <w:t>Crude</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center"/>
              <w:ind w:right="70"/>
              <w:spacing w:after="0"/>
              <w:rPr>
                <w:sz w:val="20"/>
                <w:szCs w:val="20"/>
                <w:color w:val="auto"/>
              </w:rPr>
            </w:pPr>
            <w:r>
              <w:rPr>
                <w:rFonts w:ascii="Arial" w:cs="Arial" w:eastAsia="Arial" w:hAnsi="Arial"/>
                <w:sz w:val="18"/>
                <w:szCs w:val="18"/>
                <w:b w:val="1"/>
                <w:bCs w:val="1"/>
                <w:color w:val="auto"/>
                <w:w w:val="94"/>
              </w:rPr>
              <w:t>(Met Coal)</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center"/>
              <w:ind w:right="90"/>
              <w:spacing w:after="0"/>
              <w:rPr>
                <w:sz w:val="20"/>
                <w:szCs w:val="20"/>
                <w:color w:val="auto"/>
              </w:rPr>
            </w:pPr>
            <w:r>
              <w:rPr>
                <w:rFonts w:ascii="Arial" w:cs="Arial" w:eastAsia="Arial" w:hAnsi="Arial"/>
                <w:sz w:val="18"/>
                <w:szCs w:val="18"/>
                <w:b w:val="1"/>
                <w:bCs w:val="1"/>
                <w:color w:val="auto"/>
                <w:w w:val="92"/>
              </w:rPr>
              <w:t>Natural Gas</w:t>
            </w:r>
          </w:p>
        </w:tc>
        <w:tc>
          <w:tcPr>
            <w:tcW w:w="80" w:type="dxa"/>
            <w:vAlign w:val="bottom"/>
          </w:tcPr>
          <w:p>
            <w:pPr>
              <w:spacing w:after="0"/>
              <w:rPr>
                <w:sz w:val="18"/>
                <w:szCs w:val="18"/>
                <w:color w:val="auto"/>
              </w:rPr>
            </w:pPr>
          </w:p>
        </w:tc>
      </w:tr>
      <w:tr>
        <w:trPr>
          <w:trHeight w:val="234"/>
        </w:trPr>
        <w:tc>
          <w:tcPr>
            <w:tcW w:w="25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ended</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94"/>
              </w:rPr>
              <w:t>(per bbl)</w:t>
            </w:r>
          </w:p>
        </w:tc>
        <w:tc>
          <w:tcPr>
            <w:tcW w:w="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94"/>
              </w:rPr>
              <w:t>(per bbl)</w:t>
            </w:r>
          </w:p>
        </w:tc>
        <w:tc>
          <w:tcPr>
            <w:tcW w:w="1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0"/>
              </w:rPr>
              <w:t>(per ton)</w:t>
            </w:r>
          </w:p>
        </w:tc>
        <w:tc>
          <w:tcPr>
            <w:tcW w:w="1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0"/>
              </w:rPr>
              <w:t>(per mcf)</w:t>
            </w:r>
          </w:p>
        </w:tc>
        <w:tc>
          <w:tcPr>
            <w:tcW w:w="80" w:type="dxa"/>
            <w:vAlign w:val="bottom"/>
          </w:tcPr>
          <w:p>
            <w:pPr>
              <w:spacing w:after="0"/>
              <w:rPr>
                <w:sz w:val="20"/>
                <w:szCs w:val="20"/>
                <w:color w:val="auto"/>
              </w:rPr>
            </w:pPr>
          </w:p>
        </w:tc>
      </w:tr>
      <w:tr>
        <w:trPr>
          <w:trHeight w:val="210"/>
        </w:trPr>
        <w:tc>
          <w:tcPr>
            <w:tcW w:w="2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3/31/2015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48.49</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117.00</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80" w:type="dxa"/>
            <w:vAlign w:val="bottom"/>
            <w:shd w:val="clear" w:color="auto" w:fill="CCEEFF"/>
          </w:tcPr>
          <w:p>
            <w:pPr>
              <w:spacing w:after="0"/>
              <w:rPr>
                <w:sz w:val="18"/>
                <w:szCs w:val="18"/>
                <w:color w:val="auto"/>
              </w:rPr>
            </w:pPr>
          </w:p>
        </w:tc>
      </w:tr>
      <w:tr>
        <w:trPr>
          <w:trHeight w:val="216"/>
        </w:trPr>
        <w:tc>
          <w:tcPr>
            <w:tcW w:w="2560" w:type="dxa"/>
            <w:vAlign w:val="bottom"/>
          </w:tcPr>
          <w:p>
            <w:pPr>
              <w:jc w:val="center"/>
              <w:spacing w:after="0"/>
              <w:rPr>
                <w:sz w:val="20"/>
                <w:szCs w:val="20"/>
                <w:color w:val="auto"/>
              </w:rPr>
            </w:pPr>
            <w:r>
              <w:rPr>
                <w:rFonts w:ascii="Arial" w:cs="Arial" w:eastAsia="Arial" w:hAnsi="Arial"/>
                <w:sz w:val="18"/>
                <w:szCs w:val="18"/>
                <w:color w:val="auto"/>
                <w:w w:val="90"/>
              </w:rPr>
              <w:t>12/31/2014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73.21</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57.75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119.00</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3.83</w:t>
            </w:r>
          </w:p>
        </w:tc>
        <w:tc>
          <w:tcPr>
            <w:tcW w:w="80" w:type="dxa"/>
            <w:vAlign w:val="bottom"/>
          </w:tcPr>
          <w:p>
            <w:pPr>
              <w:spacing w:after="0"/>
              <w:rPr>
                <w:sz w:val="18"/>
                <w:szCs w:val="18"/>
                <w:color w:val="auto"/>
              </w:rPr>
            </w:pPr>
          </w:p>
        </w:tc>
      </w:tr>
      <w:tr>
        <w:trPr>
          <w:trHeight w:val="216"/>
        </w:trPr>
        <w:tc>
          <w:tcPr>
            <w:tcW w:w="2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9/30/2014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97.60</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78.69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120.00</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80" w:type="dxa"/>
            <w:vAlign w:val="bottom"/>
            <w:shd w:val="clear" w:color="auto" w:fill="CCEEFF"/>
          </w:tcPr>
          <w:p>
            <w:pPr>
              <w:spacing w:after="0"/>
              <w:rPr>
                <w:sz w:val="18"/>
                <w:szCs w:val="18"/>
                <w:color w:val="auto"/>
              </w:rPr>
            </w:pPr>
          </w:p>
        </w:tc>
      </w:tr>
      <w:tr>
        <w:trPr>
          <w:trHeight w:val="216"/>
        </w:trPr>
        <w:tc>
          <w:tcPr>
            <w:tcW w:w="2560" w:type="dxa"/>
            <w:vAlign w:val="bottom"/>
          </w:tcPr>
          <w:p>
            <w:pPr>
              <w:jc w:val="center"/>
              <w:spacing w:after="0"/>
              <w:rPr>
                <w:sz w:val="20"/>
                <w:szCs w:val="20"/>
                <w:color w:val="auto"/>
              </w:rPr>
            </w:pPr>
            <w:r>
              <w:rPr>
                <w:rFonts w:ascii="Arial" w:cs="Arial" w:eastAsia="Arial" w:hAnsi="Arial"/>
                <w:sz w:val="18"/>
                <w:szCs w:val="18"/>
                <w:color w:val="auto"/>
                <w:w w:val="92"/>
              </w:rPr>
              <w:t>6/30/2014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103.06</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83.78</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120.00</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4.58</w:t>
            </w:r>
          </w:p>
        </w:tc>
        <w:tc>
          <w:tcPr>
            <w:tcW w:w="80" w:type="dxa"/>
            <w:vAlign w:val="bottom"/>
          </w:tcPr>
          <w:p>
            <w:pPr>
              <w:spacing w:after="0"/>
              <w:rPr>
                <w:sz w:val="18"/>
                <w:szCs w:val="18"/>
                <w:color w:val="auto"/>
              </w:rPr>
            </w:pPr>
          </w:p>
        </w:tc>
      </w:tr>
      <w:tr>
        <w:trPr>
          <w:trHeight w:val="216"/>
        </w:trPr>
        <w:tc>
          <w:tcPr>
            <w:tcW w:w="2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3/31/2014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98.68</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77.76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143.00</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w:t>
            </w:r>
          </w:p>
        </w:tc>
        <w:tc>
          <w:tcPr>
            <w:tcW w:w="80" w:type="dxa"/>
            <w:vAlign w:val="bottom"/>
            <w:shd w:val="clear" w:color="auto" w:fill="CCEEFF"/>
          </w:tcPr>
          <w:p>
            <w:pPr>
              <w:spacing w:after="0"/>
              <w:rPr>
                <w:sz w:val="18"/>
                <w:szCs w:val="18"/>
                <w:color w:val="auto"/>
              </w:rPr>
            </w:pPr>
          </w:p>
        </w:tc>
      </w:tr>
      <w:tr>
        <w:trPr>
          <w:trHeight w:val="216"/>
        </w:trPr>
        <w:tc>
          <w:tcPr>
            <w:tcW w:w="2560" w:type="dxa"/>
            <w:vAlign w:val="bottom"/>
          </w:tcPr>
          <w:p>
            <w:pPr>
              <w:jc w:val="center"/>
              <w:spacing w:after="0"/>
              <w:rPr>
                <w:sz w:val="20"/>
                <w:szCs w:val="20"/>
                <w:color w:val="auto"/>
              </w:rPr>
            </w:pPr>
            <w:r>
              <w:rPr>
                <w:rFonts w:ascii="Arial" w:cs="Arial" w:eastAsia="Arial" w:hAnsi="Arial"/>
                <w:sz w:val="18"/>
                <w:szCs w:val="18"/>
                <w:color w:val="auto"/>
                <w:w w:val="90"/>
              </w:rPr>
              <w:t>12/31/2013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97.50</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66.34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152.00</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3.85</w:t>
            </w:r>
          </w:p>
        </w:tc>
        <w:tc>
          <w:tcPr>
            <w:tcW w:w="80" w:type="dxa"/>
            <w:vAlign w:val="bottom"/>
          </w:tcPr>
          <w:p>
            <w:pPr>
              <w:spacing w:after="0"/>
              <w:rPr>
                <w:sz w:val="18"/>
                <w:szCs w:val="18"/>
                <w:color w:val="auto"/>
              </w:rPr>
            </w:pPr>
          </w:p>
        </w:tc>
      </w:tr>
      <w:tr>
        <w:trPr>
          <w:trHeight w:val="216"/>
        </w:trPr>
        <w:tc>
          <w:tcPr>
            <w:tcW w:w="2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9/30/2013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105.83</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83.10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145.00</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w:t>
            </w:r>
          </w:p>
        </w:tc>
        <w:tc>
          <w:tcPr>
            <w:tcW w:w="80" w:type="dxa"/>
            <w:vAlign w:val="bottom"/>
            <w:shd w:val="clear" w:color="auto" w:fill="CCEEFF"/>
          </w:tcPr>
          <w:p>
            <w:pPr>
              <w:spacing w:after="0"/>
              <w:rPr>
                <w:sz w:val="18"/>
                <w:szCs w:val="18"/>
                <w:color w:val="auto"/>
              </w:rPr>
            </w:pPr>
          </w:p>
        </w:tc>
      </w:tr>
      <w:tr>
        <w:trPr>
          <w:trHeight w:val="216"/>
        </w:trPr>
        <w:tc>
          <w:tcPr>
            <w:tcW w:w="2560" w:type="dxa"/>
            <w:vAlign w:val="bottom"/>
          </w:tcPr>
          <w:p>
            <w:pPr>
              <w:jc w:val="center"/>
              <w:spacing w:after="0"/>
              <w:rPr>
                <w:sz w:val="20"/>
                <w:szCs w:val="20"/>
                <w:color w:val="auto"/>
              </w:rPr>
            </w:pPr>
            <w:r>
              <w:rPr>
                <w:rFonts w:ascii="Arial" w:cs="Arial" w:eastAsia="Arial" w:hAnsi="Arial"/>
                <w:sz w:val="18"/>
                <w:szCs w:val="18"/>
                <w:color w:val="auto"/>
                <w:w w:val="92"/>
              </w:rPr>
              <w:t>6/30/2013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94.05</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77.48</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172.00</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4.02</w:t>
            </w:r>
          </w:p>
        </w:tc>
        <w:tc>
          <w:tcPr>
            <w:tcW w:w="80" w:type="dxa"/>
            <w:vAlign w:val="bottom"/>
          </w:tcPr>
          <w:p>
            <w:pPr>
              <w:spacing w:after="0"/>
              <w:rPr>
                <w:sz w:val="18"/>
                <w:szCs w:val="18"/>
                <w:color w:val="auto"/>
              </w:rPr>
            </w:pPr>
          </w:p>
        </w:tc>
      </w:tr>
      <w:tr>
        <w:trPr>
          <w:trHeight w:val="216"/>
        </w:trPr>
        <w:tc>
          <w:tcPr>
            <w:tcW w:w="2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3/31/2013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94.33</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165.00</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80" w:type="dxa"/>
            <w:vAlign w:val="bottom"/>
            <w:shd w:val="clear" w:color="auto" w:fill="CCEEFF"/>
          </w:tcPr>
          <w:p>
            <w:pPr>
              <w:spacing w:after="0"/>
              <w:rPr>
                <w:sz w:val="18"/>
                <w:szCs w:val="18"/>
                <w:color w:val="auto"/>
              </w:rPr>
            </w:pPr>
          </w:p>
        </w:tc>
      </w:tr>
      <w:tr>
        <w:trPr>
          <w:trHeight w:val="216"/>
        </w:trPr>
        <w:tc>
          <w:tcPr>
            <w:tcW w:w="2560" w:type="dxa"/>
            <w:vAlign w:val="bottom"/>
          </w:tcPr>
          <w:p>
            <w:pPr>
              <w:jc w:val="center"/>
              <w:spacing w:after="0"/>
              <w:rPr>
                <w:sz w:val="20"/>
                <w:szCs w:val="20"/>
                <w:color w:val="auto"/>
              </w:rPr>
            </w:pPr>
            <w:r>
              <w:rPr>
                <w:rFonts w:ascii="Arial" w:cs="Arial" w:eastAsia="Arial" w:hAnsi="Arial"/>
                <w:sz w:val="18"/>
                <w:szCs w:val="18"/>
                <w:color w:val="auto"/>
                <w:w w:val="90"/>
              </w:rPr>
              <w:t>12/31/2012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88.01</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61.34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170.00</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3.40</w:t>
            </w:r>
          </w:p>
        </w:tc>
        <w:tc>
          <w:tcPr>
            <w:tcW w:w="80" w:type="dxa"/>
            <w:vAlign w:val="bottom"/>
          </w:tcPr>
          <w:p>
            <w:pPr>
              <w:spacing w:after="0"/>
              <w:rPr>
                <w:sz w:val="18"/>
                <w:szCs w:val="18"/>
                <w:color w:val="auto"/>
              </w:rPr>
            </w:pPr>
          </w:p>
        </w:tc>
      </w:tr>
      <w:tr>
        <w:trPr>
          <w:trHeight w:val="216"/>
        </w:trPr>
        <w:tc>
          <w:tcPr>
            <w:tcW w:w="2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9/30/2012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92.17</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76.75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225.00</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80" w:type="dxa"/>
            <w:vAlign w:val="bottom"/>
            <w:shd w:val="clear" w:color="auto" w:fill="CCEEFF"/>
          </w:tcPr>
          <w:p>
            <w:pPr>
              <w:spacing w:after="0"/>
              <w:rPr>
                <w:sz w:val="18"/>
                <w:szCs w:val="18"/>
                <w:color w:val="auto"/>
              </w:rPr>
            </w:pPr>
          </w:p>
        </w:tc>
      </w:tr>
      <w:tr>
        <w:trPr>
          <w:trHeight w:val="216"/>
        </w:trPr>
        <w:tc>
          <w:tcPr>
            <w:tcW w:w="2560" w:type="dxa"/>
            <w:vAlign w:val="bottom"/>
          </w:tcPr>
          <w:p>
            <w:pPr>
              <w:jc w:val="center"/>
              <w:spacing w:after="0"/>
              <w:rPr>
                <w:sz w:val="20"/>
                <w:szCs w:val="20"/>
                <w:color w:val="auto"/>
              </w:rPr>
            </w:pPr>
            <w:r>
              <w:rPr>
                <w:rFonts w:ascii="Arial" w:cs="Arial" w:eastAsia="Arial" w:hAnsi="Arial"/>
                <w:sz w:val="18"/>
                <w:szCs w:val="18"/>
                <w:color w:val="auto"/>
                <w:w w:val="92"/>
              </w:rPr>
              <w:t>6/30/2012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93.38</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73.53</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210.00</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2.29</w:t>
            </w:r>
          </w:p>
        </w:tc>
        <w:tc>
          <w:tcPr>
            <w:tcW w:w="80" w:type="dxa"/>
            <w:vAlign w:val="bottom"/>
          </w:tcPr>
          <w:p>
            <w:pPr>
              <w:spacing w:after="0"/>
              <w:rPr>
                <w:sz w:val="18"/>
                <w:szCs w:val="18"/>
                <w:color w:val="auto"/>
              </w:rPr>
            </w:pPr>
          </w:p>
        </w:tc>
      </w:tr>
      <w:tr>
        <w:trPr>
          <w:trHeight w:val="216"/>
        </w:trPr>
        <w:tc>
          <w:tcPr>
            <w:tcW w:w="2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3/31/2012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102.85</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235.00</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80" w:type="dxa"/>
            <w:vAlign w:val="bottom"/>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898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260" w:hanging="9"/>
        <w:spacing w:after="0" w:line="277" w:lineRule="auto"/>
        <w:tabs>
          <w:tab w:leader="none" w:pos="762" w:val="left"/>
        </w:tabs>
        <w:numPr>
          <w:ilvl w:val="0"/>
          <w:numId w:val="20"/>
        </w:numPr>
        <w:rPr>
          <w:rFonts w:ascii="Arial" w:cs="Arial" w:eastAsia="Arial" w:hAnsi="Arial"/>
          <w:sz w:val="18"/>
          <w:szCs w:val="18"/>
          <w:color w:val="auto"/>
        </w:rPr>
      </w:pPr>
      <w:r>
        <w:rPr>
          <w:rFonts w:ascii="Arial" w:cs="Arial" w:eastAsia="Arial" w:hAnsi="Arial"/>
          <w:sz w:val="18"/>
          <w:szCs w:val="18"/>
          <w:color w:val="auto"/>
        </w:rPr>
        <w:t>Source: WTI crude and natural gas prices from U.S. Energy Information Administration (EIA) and WCS crude prices and Seaborne hard coking coal contract price from Bloomberg.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right="400" w:firstLine="324"/>
        <w:spacing w:after="0" w:line="342" w:lineRule="auto"/>
        <w:rPr>
          <w:sz w:val="20"/>
          <w:szCs w:val="20"/>
          <w:color w:val="auto"/>
        </w:rPr>
      </w:pPr>
      <w:r>
        <w:rPr>
          <w:rFonts w:ascii="Arial" w:cs="Arial" w:eastAsia="Arial" w:hAnsi="Arial"/>
          <w:sz w:val="16"/>
          <w:szCs w:val="16"/>
          <w:color w:val="auto"/>
        </w:rPr>
        <w:t>As noted above, demand for our services is primarily tied to the long-term outlook for crude oil and met coal prices. Other factors that can affect our business and financial results include the general global economic environment and regulatory changes in the U.S., Canada, Australia and other markets.</w:t>
      </w:r>
    </w:p>
    <w:p>
      <w:pPr>
        <w:spacing w:after="0" w:line="124"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Our business is predominantly located in northern Alberta, Canada and Queensland, Australia, and we derive most of our business from resource companies who are developing and producing oil sands and met coal resources and, to a lesser extent, other hydrocarbon and mineral resources. More than three-fourths of our revenue is generated by our large-scale lodge and village facilities. Where traditional accommodations and infrastructure are insufficient, inaccessible or not cost effective, our lodge and village facilities provide comprehensive accommodations services similar to those found in an urban hotel. We typically contract our facilities to our customers on a fee per day basis covering lodging and meals that is based on the duration of their needs which can range from several weeks to several years.</w:t>
      </w:r>
    </w:p>
    <w:p>
      <w:pPr>
        <w:spacing w:after="0" w:line="193" w:lineRule="exact"/>
        <w:rPr>
          <w:sz w:val="20"/>
          <w:szCs w:val="20"/>
          <w:color w:val="auto"/>
        </w:rPr>
      </w:pPr>
    </w:p>
    <w:p>
      <w:pPr>
        <w:ind w:right="360" w:firstLine="324"/>
        <w:spacing w:after="0" w:line="279" w:lineRule="auto"/>
        <w:rPr>
          <w:sz w:val="20"/>
          <w:szCs w:val="20"/>
          <w:color w:val="auto"/>
        </w:rPr>
      </w:pPr>
      <w:r>
        <w:rPr>
          <w:rFonts w:ascii="Arial" w:cs="Arial" w:eastAsia="Arial" w:hAnsi="Arial"/>
          <w:sz w:val="17"/>
          <w:szCs w:val="17"/>
          <w:color w:val="auto"/>
        </w:rPr>
        <w:t>Generally, our customers are making multi-billion dollar investments to develop their prospects, which have estimated reserve lives of ten years to in excess of thirty years. Consequently, these investments are dependent on those customers’ longer-term view of commodity demand and prices. Announcements of certain new and expanded oil sands projects can create the opportunity to extend existing accommodations contracts and incremental contracts for us in Canada. There have been few new or expanded projects announced in recent months.</w:t>
      </w:r>
    </w:p>
    <w:p>
      <w:pPr>
        <w:spacing w:after="0" w:line="171" w:lineRule="exact"/>
        <w:rPr>
          <w:sz w:val="20"/>
          <w:szCs w:val="20"/>
          <w:color w:val="auto"/>
        </w:rPr>
      </w:pPr>
    </w:p>
    <w:p>
      <w:pPr>
        <w:ind w:right="120" w:firstLine="324"/>
        <w:spacing w:after="0" w:line="293" w:lineRule="auto"/>
        <w:rPr>
          <w:sz w:val="20"/>
          <w:szCs w:val="20"/>
          <w:color w:val="auto"/>
        </w:rPr>
      </w:pPr>
      <w:r>
        <w:rPr>
          <w:rFonts w:ascii="Arial" w:cs="Arial" w:eastAsia="Arial" w:hAnsi="Arial"/>
          <w:sz w:val="16"/>
          <w:szCs w:val="16"/>
          <w:color w:val="auto"/>
        </w:rPr>
        <w:t>With the current commodity price environment and expected demand, concerns about take-away capacity out of the oil sands region and continued high costs including labor costs, the current outlook for oil sands activity has continued to deteriorate in 2015. Further, project delays and cancellations have continued into 2015. Although we are currently the primary third-party accommodations provider for the two major construction projects in the oil sands region, the Fort Hills project and the Kearl Project, outlook for additional major oil sands construction projects is limited. Oil sands operators are looking to reduce their costs and capital spending, limiting the demand for accommodations like we provide. As a result, we experienced materially lower revenues and earnings from our Canadian operations in the first quarter of 2015 and expect this trend to continue for the rest of 2015.</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2" w:name="page23"/>
    <w:bookmarkEnd w:id="22"/>
    <w:p>
      <w:pPr>
        <w:ind w:right="40" w:firstLine="324"/>
        <w:spacing w:after="0" w:line="272" w:lineRule="auto"/>
        <w:rPr>
          <w:sz w:val="20"/>
          <w:szCs w:val="20"/>
          <w:color w:val="auto"/>
        </w:rPr>
      </w:pPr>
      <w:r>
        <w:rPr>
          <w:rFonts w:ascii="Arial" w:cs="Arial" w:eastAsia="Arial" w:hAnsi="Arial"/>
          <w:sz w:val="17"/>
          <w:szCs w:val="17"/>
          <w:color w:val="auto"/>
        </w:rPr>
        <w:t>We expanded our Australian room capacity in 2012 and 2013 to meet increasing demand, notably in the Bowen Basin in Queensland and in the Gunnedah Basin in New South Wales to support coal production, and in Western Australia to support LNG and other energy-related projects. In early 2013, a confluence of low met coal pricing, additional carbon and mining taxes on our Australian accommodations customers and several years of cost inflation caused several of our customers to curtail or cease production from higher cost mines and delay or materially reduce their growth plans. This has negatively affected our ability to expand our room count and has led to a decrease in occupancy levels. Despite the repeal of carbon and mining taxes, continued concerns about China’s economy, which significantly influences the global demand for steel, and therefore, met coal, the outlook for met coal demand continues to be negative. As a result, our Australian business continues to experience lower occupancy levels in 2015.</w:t>
      </w:r>
    </w:p>
    <w:p>
      <w:pPr>
        <w:spacing w:after="0" w:line="178"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Exchange rates between the U.S. dollar and the Canadian dollar and between the U.S. dollar and the Australian dollar influence our U.S. reported financial results. Our business has historically derived the vast majority of its revenues and operating income in Canada and Australia. These revenues and profits are translated into U.S. dollars for U.S. GAAP financial reporting purposes. The Canadian dollar was valued at an average exchange rate of U.S. $0.81 for the first quarter 2015 compared to U.S. $0.91 for the first quarter 2014, a decrease of approximately 11%. The Canadian dollar was valued at an exchange rate of $0.79 on March 31, 2015 and $0.86 on December 31, 2014. The Australian dollar was valued at an average exchange rate of U.S. $0.79 for the first quarter 2015 compared to U.S. $0.90 for the first quarter 2014, a decrease of approximately 12%. The Australian dollar was valued at an exchange rate of $0.76 on March 31, 2015 and $0.82 on December 31, 2014. This weakening of the Canadian and Australian dollars has and may continue to have a proportionately negative impact on the translation of earnings generated from our Canadian and Australian subsidiaries and, therefore, our financial results.</w:t>
      </w:r>
    </w:p>
    <w:p>
      <w:pPr>
        <w:spacing w:after="0" w:line="166"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We continue to monitor the global economy, the demand for crude oil, met coal and natural gas and the resultant impact on the capital spending plans of our customers in order to plan our business. We currently expect that our 2015 capital expenditures will total approximately $75 million to $85 million, compared to 2014 capital expenditures of $251 million. Please see “Liquidity and Capital Resources” below for further discussion of 2015 capital expenditures.</w:t>
      </w: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80"/>
          </w:cols>
          <w:pgMar w:left="240" w:top="584" w:right="27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i w:val="1"/>
          <w:iCs w:val="1"/>
          <w:color w:val="auto"/>
        </w:rPr>
        <w:t>Unless otherwise indicated, discussion of results for the three-month period ended March 31, 2015, is based on a comparison with the corresponding period of 2014.</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Consolidated Results of Operations</w:t>
            </w:r>
          </w:p>
        </w:tc>
        <w:tc>
          <w:tcPr>
            <w:tcW w:w="340" w:type="dxa"/>
            <w:vAlign w:val="bottom"/>
          </w:tcPr>
          <w:p>
            <w:pPr>
              <w:spacing w:after="0"/>
              <w:rPr>
                <w:sz w:val="20"/>
                <w:szCs w:val="20"/>
                <w:color w:val="auto"/>
              </w:rPr>
            </w:pPr>
          </w:p>
        </w:tc>
        <w:tc>
          <w:tcPr>
            <w:tcW w:w="3420" w:type="dxa"/>
            <w:vAlign w:val="bottom"/>
            <w:gridSpan w:val="8"/>
            <w:vMerge w:val="restart"/>
          </w:tcPr>
          <w:p>
            <w:pPr>
              <w:jc w:val="center"/>
              <w:ind w:left="830"/>
              <w:spacing w:after="0"/>
              <w:rPr>
                <w:sz w:val="20"/>
                <w:szCs w:val="20"/>
                <w:color w:val="auto"/>
              </w:rPr>
            </w:pPr>
            <w:r>
              <w:rPr>
                <w:rFonts w:ascii="Arial" w:cs="Arial" w:eastAsia="Arial" w:hAnsi="Arial"/>
                <w:sz w:val="18"/>
                <w:szCs w:val="18"/>
                <w:b w:val="1"/>
                <w:bCs w:val="1"/>
                <w:color w:val="auto"/>
              </w:rPr>
              <w:t>THREE MONTHS ENDED</w:t>
            </w:r>
          </w:p>
        </w:tc>
        <w:tc>
          <w:tcPr>
            <w:tcW w:w="1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160" w:type="dxa"/>
            <w:vAlign w:val="bottom"/>
          </w:tcPr>
          <w:p>
            <w:pPr>
              <w:spacing w:after="0"/>
              <w:rPr>
                <w:sz w:val="17"/>
                <w:szCs w:val="17"/>
                <w:color w:val="auto"/>
              </w:rPr>
            </w:pPr>
          </w:p>
        </w:tc>
        <w:tc>
          <w:tcPr>
            <w:tcW w:w="4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20" w:type="dxa"/>
            <w:vAlign w:val="bottom"/>
            <w:gridSpan w:val="8"/>
            <w:vMerge w:val="continue"/>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3"/>
          </w:tcPr>
          <w:p>
            <w:pPr>
              <w:jc w:val="center"/>
              <w:ind w:right="160"/>
              <w:spacing w:after="0"/>
              <w:rPr>
                <w:sz w:val="20"/>
                <w:szCs w:val="20"/>
                <w:color w:val="auto"/>
              </w:rPr>
            </w:pPr>
            <w:r>
              <w:rPr>
                <w:rFonts w:ascii="Arial" w:cs="Arial" w:eastAsia="Arial" w:hAnsi="Arial"/>
                <w:sz w:val="18"/>
                <w:szCs w:val="18"/>
                <w:b w:val="1"/>
                <w:bCs w:val="1"/>
                <w:color w:val="auto"/>
              </w:rPr>
              <w:t>MARCH 31,</w:t>
            </w:r>
          </w:p>
        </w:tc>
        <w:tc>
          <w:tcPr>
            <w:tcW w:w="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center"/>
              <w:ind w:right="230"/>
              <w:spacing w:after="0"/>
              <w:rPr>
                <w:sz w:val="20"/>
                <w:szCs w:val="20"/>
                <w:color w:val="auto"/>
              </w:rPr>
            </w:pPr>
            <w:r>
              <w:rPr>
                <w:rFonts w:ascii="Arial" w:cs="Arial" w:eastAsia="Arial" w:hAnsi="Arial"/>
                <w:sz w:val="18"/>
                <w:szCs w:val="18"/>
                <w:b w:val="1"/>
                <w:bCs w:val="1"/>
                <w:color w:val="auto"/>
                <w:w w:val="89"/>
              </w:rPr>
              <w:t>2014</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Change</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40" w:type="dxa"/>
            <w:vAlign w:val="bottom"/>
          </w:tcPr>
          <w:p>
            <w:pPr>
              <w:jc w:val="right"/>
              <w:ind w:right="90"/>
              <w:spacing w:after="0"/>
              <w:rPr>
                <w:sz w:val="20"/>
                <w:szCs w:val="20"/>
                <w:color w:val="auto"/>
              </w:rPr>
            </w:pPr>
            <w:r>
              <w:rPr>
                <w:rFonts w:ascii="Arial" w:cs="Arial" w:eastAsia="Arial" w:hAnsi="Arial"/>
                <w:sz w:val="18"/>
                <w:szCs w:val="18"/>
                <w:b w:val="1"/>
                <w:bCs w:val="1"/>
                <w:color w:val="auto"/>
                <w:w w:val="88"/>
              </w:rPr>
              <w:t>in thousands)</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020" w:type="dxa"/>
            <w:vAlign w:val="bottom"/>
          </w:tcPr>
          <w:p>
            <w:pPr>
              <w:ind w:left="160"/>
              <w:spacing w:after="0"/>
              <w:rPr>
                <w:sz w:val="20"/>
                <w:szCs w:val="20"/>
                <w:color w:val="auto"/>
              </w:rPr>
            </w:pPr>
            <w:r>
              <w:rPr>
                <w:rFonts w:ascii="Arial" w:cs="Arial" w:eastAsia="Arial" w:hAnsi="Arial"/>
                <w:sz w:val="18"/>
                <w:szCs w:val="18"/>
                <w:color w:val="auto"/>
              </w:rPr>
              <w:t>Canada</w:t>
            </w:r>
          </w:p>
        </w:tc>
        <w:tc>
          <w:tcPr>
            <w:tcW w:w="340" w:type="dxa"/>
            <w:vAlign w:val="bottom"/>
          </w:tcPr>
          <w:p>
            <w:pPr>
              <w:jc w:val="right"/>
              <w:ind w:right="185"/>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116,900</w:t>
            </w:r>
          </w:p>
        </w:tc>
        <w:tc>
          <w:tcPr>
            <w:tcW w:w="120" w:type="dxa"/>
            <w:vAlign w:val="bottom"/>
          </w:tcPr>
          <w:p>
            <w:pPr>
              <w:spacing w:after="0"/>
              <w:rPr>
                <w:sz w:val="18"/>
                <w:szCs w:val="18"/>
                <w:color w:val="auto"/>
              </w:rPr>
            </w:pPr>
          </w:p>
        </w:tc>
        <w:tc>
          <w:tcPr>
            <w:tcW w:w="3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180,324</w:t>
            </w:r>
          </w:p>
        </w:tc>
        <w:tc>
          <w:tcPr>
            <w:tcW w:w="120" w:type="dxa"/>
            <w:vAlign w:val="bottom"/>
          </w:tcPr>
          <w:p>
            <w:pPr>
              <w:spacing w:after="0"/>
              <w:rPr>
                <w:sz w:val="18"/>
                <w:szCs w:val="18"/>
                <w:color w:val="auto"/>
              </w:rPr>
            </w:pPr>
          </w:p>
        </w:tc>
        <w:tc>
          <w:tcPr>
            <w:tcW w:w="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(63,424)</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Australia</w:t>
            </w: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41,859</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55,464</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(13,605)</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020" w:type="dxa"/>
            <w:vAlign w:val="bottom"/>
          </w:tcPr>
          <w:p>
            <w:pPr>
              <w:ind w:left="160"/>
              <w:spacing w:after="0"/>
              <w:rPr>
                <w:sz w:val="20"/>
                <w:szCs w:val="20"/>
                <w:color w:val="auto"/>
              </w:rPr>
            </w:pPr>
            <w:r>
              <w:rPr>
                <w:rFonts w:ascii="Arial" w:cs="Arial" w:eastAsia="Arial" w:hAnsi="Arial"/>
                <w:sz w:val="18"/>
                <w:szCs w:val="18"/>
                <w:color w:val="auto"/>
              </w:rPr>
              <w:t>United States and other</w:t>
            </w: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12,228</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17,011</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(4,783)</w:t>
            </w: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40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revenues</w:t>
            </w:r>
          </w:p>
        </w:tc>
        <w:tc>
          <w:tcPr>
            <w:tcW w:w="34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170,987</w:t>
            </w:r>
          </w:p>
        </w:tc>
        <w:tc>
          <w:tcPr>
            <w:tcW w:w="1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252,799</w:t>
            </w:r>
          </w:p>
        </w:tc>
        <w:tc>
          <w:tcPr>
            <w:tcW w:w="1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(81,812)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Costs and expenses</w:t>
            </w: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Cost of sales and services</w:t>
            </w: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020" w:type="dxa"/>
            <w:vAlign w:val="bottom"/>
          </w:tcPr>
          <w:p>
            <w:pPr>
              <w:ind w:left="320"/>
              <w:spacing w:after="0"/>
              <w:rPr>
                <w:sz w:val="20"/>
                <w:szCs w:val="20"/>
                <w:color w:val="auto"/>
              </w:rPr>
            </w:pPr>
            <w:r>
              <w:rPr>
                <w:rFonts w:ascii="Arial" w:cs="Arial" w:eastAsia="Arial" w:hAnsi="Arial"/>
                <w:sz w:val="18"/>
                <w:szCs w:val="18"/>
                <w:color w:val="auto"/>
              </w:rPr>
              <w:t>Canada</w:t>
            </w: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73,706</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109,695</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(35,989)</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0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Australia</w:t>
            </w: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17,671</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21,028</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(3,357)</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020" w:type="dxa"/>
            <w:vAlign w:val="bottom"/>
          </w:tcPr>
          <w:p>
            <w:pPr>
              <w:ind w:left="320"/>
              <w:spacing w:after="0"/>
              <w:rPr>
                <w:sz w:val="20"/>
                <w:szCs w:val="20"/>
                <w:color w:val="auto"/>
              </w:rPr>
            </w:pPr>
            <w:r>
              <w:rPr>
                <w:rFonts w:ascii="Arial" w:cs="Arial" w:eastAsia="Arial" w:hAnsi="Arial"/>
                <w:sz w:val="18"/>
                <w:szCs w:val="18"/>
                <w:color w:val="auto"/>
              </w:rPr>
              <w:t>United States and other</w:t>
            </w: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11,534</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12,787</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(1,253)</w:t>
            </w: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40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cost of sales and services</w:t>
            </w:r>
          </w:p>
        </w:tc>
        <w:tc>
          <w:tcPr>
            <w:tcW w:w="34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102,911</w:t>
            </w:r>
          </w:p>
        </w:tc>
        <w:tc>
          <w:tcPr>
            <w:tcW w:w="1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143,510</w:t>
            </w:r>
          </w:p>
        </w:tc>
        <w:tc>
          <w:tcPr>
            <w:tcW w:w="1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(40,599)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020" w:type="dxa"/>
            <w:vAlign w:val="bottom"/>
          </w:tcPr>
          <w:p>
            <w:pPr>
              <w:ind w:left="160"/>
              <w:spacing w:after="0"/>
              <w:rPr>
                <w:sz w:val="20"/>
                <w:szCs w:val="20"/>
                <w:color w:val="auto"/>
              </w:rPr>
            </w:pPr>
            <w:r>
              <w:rPr>
                <w:rFonts w:ascii="Arial" w:cs="Arial" w:eastAsia="Arial" w:hAnsi="Arial"/>
                <w:sz w:val="18"/>
                <w:szCs w:val="18"/>
                <w:color w:val="auto"/>
              </w:rPr>
              <w:t>Selling, general and administrative expenses</w:t>
            </w: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16,686</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16,145</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541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Spin-off and formation costs</w:t>
            </w: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(573)</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020" w:type="dxa"/>
            <w:vAlign w:val="bottom"/>
          </w:tcPr>
          <w:p>
            <w:pPr>
              <w:ind w:left="160"/>
              <w:spacing w:after="0"/>
              <w:rPr>
                <w:sz w:val="20"/>
                <w:szCs w:val="20"/>
                <w:color w:val="auto"/>
              </w:rPr>
            </w:pPr>
            <w:r>
              <w:rPr>
                <w:rFonts w:ascii="Arial" w:cs="Arial" w:eastAsia="Arial" w:hAnsi="Arial"/>
                <w:sz w:val="18"/>
                <w:szCs w:val="18"/>
                <w:color w:val="auto"/>
              </w:rPr>
              <w:t>Depreciation and amortization expense</w:t>
            </w: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42,446</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39,599</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2,847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Impairment expense</w:t>
            </w: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2,738</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020" w:type="dxa"/>
            <w:vAlign w:val="bottom"/>
          </w:tcPr>
          <w:p>
            <w:pPr>
              <w:ind w:left="160"/>
              <w:spacing w:after="0"/>
              <w:rPr>
                <w:sz w:val="20"/>
                <w:szCs w:val="20"/>
                <w:color w:val="auto"/>
              </w:rPr>
            </w:pPr>
            <w:r>
              <w:rPr>
                <w:rFonts w:ascii="Arial" w:cs="Arial" w:eastAsia="Arial" w:hAnsi="Arial"/>
                <w:sz w:val="18"/>
                <w:szCs w:val="18"/>
                <w:color w:val="auto"/>
              </w:rPr>
              <w:t>Other operating expense (income)</w:t>
            </w:r>
          </w:p>
        </w:tc>
        <w:tc>
          <w:tcPr>
            <w:tcW w:w="3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1,330</w:t>
            </w:r>
          </w:p>
        </w:tc>
        <w:tc>
          <w:tcPr>
            <w:tcW w:w="1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w:t>
            </w:r>
          </w:p>
        </w:tc>
        <w:tc>
          <w:tcPr>
            <w:tcW w:w="1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40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costs and expenses</w:t>
            </w:r>
          </w:p>
        </w:tc>
        <w:tc>
          <w:tcPr>
            <w:tcW w:w="3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166,111</w:t>
            </w:r>
          </w:p>
        </w:tc>
        <w:tc>
          <w:tcPr>
            <w:tcW w:w="12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199,939</w:t>
            </w:r>
          </w:p>
        </w:tc>
        <w:tc>
          <w:tcPr>
            <w:tcW w:w="12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(33,828)</w:t>
            </w: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Operating income</w:t>
            </w: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4,876</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52,860</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(47,984)</w:t>
            </w: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40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Interest expense and income, net</w:t>
            </w:r>
          </w:p>
        </w:tc>
        <w:tc>
          <w:tcPr>
            <w:tcW w:w="340" w:type="dxa"/>
            <w:vAlign w:val="bottom"/>
          </w:tcPr>
          <w:p>
            <w:pPr>
              <w:spacing w:after="0"/>
              <w:rPr>
                <w:sz w:val="18"/>
                <w:szCs w:val="18"/>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(4,487)</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(4,191)</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(296)</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income</w:t>
            </w:r>
          </w:p>
        </w:tc>
        <w:tc>
          <w:tcPr>
            <w:tcW w:w="3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998</w:t>
            </w:r>
          </w:p>
        </w:tc>
        <w:tc>
          <w:tcPr>
            <w:tcW w:w="12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12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760</w:t>
            </w: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4020" w:type="dxa"/>
            <w:vAlign w:val="bottom"/>
          </w:tcPr>
          <w:p>
            <w:pPr>
              <w:ind w:left="320"/>
              <w:spacing w:after="0"/>
              <w:rPr>
                <w:sz w:val="20"/>
                <w:szCs w:val="20"/>
                <w:color w:val="auto"/>
              </w:rPr>
            </w:pPr>
            <w:r>
              <w:rPr>
                <w:rFonts w:ascii="Arial" w:cs="Arial" w:eastAsia="Arial" w:hAnsi="Arial"/>
                <w:sz w:val="18"/>
                <w:szCs w:val="18"/>
                <w:color w:val="auto"/>
              </w:rPr>
              <w:t>Income before income taxes</w:t>
            </w: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1,387</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48,907</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(47,520)</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tax provision</w:t>
            </w:r>
          </w:p>
        </w:tc>
        <w:tc>
          <w:tcPr>
            <w:tcW w:w="34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(1,157)</w:t>
            </w:r>
          </w:p>
        </w:tc>
        <w:tc>
          <w:tcPr>
            <w:tcW w:w="6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(12,311)</w:t>
            </w:r>
          </w:p>
        </w:tc>
        <w:tc>
          <w:tcPr>
            <w:tcW w:w="6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11,154</w:t>
            </w: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4020" w:type="dxa"/>
            <w:vAlign w:val="bottom"/>
          </w:tcPr>
          <w:p>
            <w:pPr>
              <w:ind w:left="320"/>
              <w:spacing w:after="0"/>
              <w:rPr>
                <w:sz w:val="20"/>
                <w:szCs w:val="20"/>
                <w:color w:val="auto"/>
              </w:rPr>
            </w:pPr>
            <w:r>
              <w:rPr>
                <w:rFonts w:ascii="Arial" w:cs="Arial" w:eastAsia="Arial" w:hAnsi="Arial"/>
                <w:sz w:val="18"/>
                <w:szCs w:val="18"/>
                <w:color w:val="auto"/>
              </w:rPr>
              <w:t>Net income</w:t>
            </w: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230</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36,596</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(36,366)</w:t>
            </w:r>
          </w:p>
        </w:tc>
        <w:tc>
          <w:tcPr>
            <w:tcW w:w="0" w:type="dxa"/>
            <w:vAlign w:val="bottom"/>
          </w:tcPr>
          <w:p>
            <w:pPr>
              <w:spacing w:after="0"/>
              <w:rPr>
                <w:sz w:val="1"/>
                <w:szCs w:val="1"/>
                <w:color w:val="auto"/>
              </w:rPr>
            </w:pPr>
          </w:p>
        </w:tc>
      </w:tr>
      <w:tr>
        <w:trPr>
          <w:trHeight w:val="202"/>
        </w:trPr>
        <w:tc>
          <w:tcPr>
            <w:tcW w:w="1160" w:type="dxa"/>
            <w:vAlign w:val="bottom"/>
          </w:tcPr>
          <w:p>
            <w:pPr>
              <w:spacing w:after="0"/>
              <w:rPr>
                <w:sz w:val="17"/>
                <w:szCs w:val="17"/>
                <w:color w:val="auto"/>
              </w:rPr>
            </w:pPr>
          </w:p>
        </w:tc>
        <w:tc>
          <w:tcPr>
            <w:tcW w:w="40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Less: Net income attributable to noncontrolling</w:t>
            </w:r>
          </w:p>
        </w:tc>
        <w:tc>
          <w:tcPr>
            <w:tcW w:w="340" w:type="dxa"/>
            <w:vAlign w:val="bottom"/>
            <w:shd w:val="clear" w:color="auto" w:fill="CCEEFF"/>
          </w:tcPr>
          <w:p>
            <w:pPr>
              <w:spacing w:after="0"/>
              <w:rPr>
                <w:sz w:val="17"/>
                <w:szCs w:val="17"/>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357</w:t>
            </w: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4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17"/>
        </w:trPr>
        <w:tc>
          <w:tcPr>
            <w:tcW w:w="1160" w:type="dxa"/>
            <w:vAlign w:val="bottom"/>
          </w:tcPr>
          <w:p>
            <w:pPr>
              <w:spacing w:after="0"/>
              <w:rPr>
                <w:sz w:val="18"/>
                <w:szCs w:val="18"/>
                <w:color w:val="auto"/>
              </w:rPr>
            </w:pPr>
          </w:p>
        </w:tc>
        <w:tc>
          <w:tcPr>
            <w:tcW w:w="40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interest</w:t>
            </w:r>
          </w:p>
        </w:tc>
        <w:tc>
          <w:tcPr>
            <w:tcW w:w="340" w:type="dxa"/>
            <w:vAlign w:val="bottom"/>
            <w:shd w:val="clear" w:color="auto" w:fill="CCEEFF"/>
          </w:tcPr>
          <w:p>
            <w:pPr>
              <w:spacing w:after="0"/>
              <w:rPr>
                <w:sz w:val="18"/>
                <w:szCs w:val="18"/>
                <w:color w:val="auto"/>
              </w:rPr>
            </w:pPr>
          </w:p>
        </w:tc>
        <w:tc>
          <w:tcPr>
            <w:tcW w:w="12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4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0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80" w:type="dxa"/>
            <w:vAlign w:val="bottom"/>
            <w:gridSpan w:val="2"/>
          </w:tcPr>
          <w:p>
            <w:pPr>
              <w:ind w:left="1140"/>
              <w:spacing w:after="0"/>
              <w:rPr>
                <w:sz w:val="20"/>
                <w:szCs w:val="20"/>
                <w:color w:val="auto"/>
              </w:rPr>
            </w:pPr>
            <w:r>
              <w:rPr>
                <w:rFonts w:ascii="Arial" w:cs="Arial" w:eastAsia="Arial" w:hAnsi="Arial"/>
                <w:sz w:val="18"/>
                <w:szCs w:val="18"/>
                <w:color w:val="auto"/>
              </w:rPr>
              <w:t>Net income (loss) attributable to Civeo</w:t>
            </w:r>
          </w:p>
        </w:tc>
        <w:tc>
          <w:tcPr>
            <w:tcW w:w="340" w:type="dxa"/>
            <w:vAlign w:val="bottom"/>
          </w:tcPr>
          <w:p>
            <w:pPr>
              <w:jc w:val="right"/>
              <w:ind w:right="185"/>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(16)</w:t>
            </w:r>
          </w:p>
        </w:tc>
        <w:tc>
          <w:tcPr>
            <w:tcW w:w="3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36,239</w:t>
            </w:r>
          </w:p>
        </w:tc>
        <w:tc>
          <w:tcPr>
            <w:tcW w:w="120" w:type="dxa"/>
            <w:vAlign w:val="bottom"/>
          </w:tcPr>
          <w:p>
            <w:pPr>
              <w:spacing w:after="0"/>
              <w:rPr>
                <w:sz w:val="18"/>
                <w:szCs w:val="18"/>
                <w:color w:val="auto"/>
              </w:rPr>
            </w:pPr>
          </w:p>
        </w:tc>
        <w:tc>
          <w:tcPr>
            <w:tcW w:w="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(36,255)</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right="420" w:firstLine="324"/>
        <w:spacing w:after="0" w:line="277" w:lineRule="auto"/>
        <w:rPr>
          <w:sz w:val="20"/>
          <w:szCs w:val="20"/>
          <w:color w:val="auto"/>
        </w:rPr>
      </w:pPr>
      <w:r>
        <w:rPr>
          <w:rFonts w:ascii="Arial" w:cs="Arial" w:eastAsia="Arial" w:hAnsi="Arial"/>
          <w:sz w:val="18"/>
          <w:szCs w:val="18"/>
          <w:color w:val="auto"/>
        </w:rPr>
        <w:t>We reported net loss attributable to Civeo for the quarter ended March 31, 2015 of $16,000, or $0.00 per diluted share. These results compare to net income attributable to Civeo for the quarter ended March 31, 2014 of $36.2 million, or $0.34 per diluted share.</w:t>
      </w:r>
    </w:p>
    <w:p>
      <w:pPr>
        <w:spacing w:after="0" w:line="166" w:lineRule="exact"/>
        <w:rPr>
          <w:sz w:val="20"/>
          <w:szCs w:val="20"/>
          <w:color w:val="auto"/>
        </w:rPr>
      </w:pPr>
    </w:p>
    <w:p>
      <w:pPr>
        <w:jc w:val="both"/>
        <w:ind w:right="200" w:firstLine="324"/>
        <w:spacing w:after="0" w:line="266" w:lineRule="auto"/>
        <w:rPr>
          <w:sz w:val="20"/>
          <w:szCs w:val="20"/>
          <w:color w:val="auto"/>
        </w:rPr>
      </w:pPr>
      <w:r>
        <w:rPr>
          <w:rFonts w:ascii="Arial" w:cs="Arial" w:eastAsia="Arial" w:hAnsi="Arial"/>
          <w:sz w:val="18"/>
          <w:szCs w:val="18"/>
          <w:b w:val="1"/>
          <w:bCs w:val="1"/>
          <w:color w:val="auto"/>
        </w:rPr>
        <w:t xml:space="preserve">Revenues. </w:t>
      </w:r>
      <w:r>
        <w:rPr>
          <w:rFonts w:ascii="Arial" w:cs="Arial" w:eastAsia="Arial" w:hAnsi="Arial"/>
          <w:sz w:val="18"/>
          <w:szCs w:val="18"/>
          <w:color w:val="auto"/>
        </w:rPr>
        <w:t>Consolidated revenues decreased $81.8 million, or 32%, in the first quarter of 2015 compared to the first quarter of 2014. This decline was</w:t>
      </w:r>
      <w:r>
        <w:rPr>
          <w:rFonts w:ascii="Arial" w:cs="Arial" w:eastAsia="Arial" w:hAnsi="Arial"/>
          <w:sz w:val="18"/>
          <w:szCs w:val="18"/>
          <w:b w:val="1"/>
          <w:bCs w:val="1"/>
          <w:color w:val="auto"/>
        </w:rPr>
        <w:t xml:space="preserve"> </w:t>
      </w:r>
      <w:r>
        <w:rPr>
          <w:rFonts w:ascii="Arial" w:cs="Arial" w:eastAsia="Arial" w:hAnsi="Arial"/>
          <w:sz w:val="18"/>
          <w:szCs w:val="18"/>
          <w:color w:val="auto"/>
        </w:rPr>
        <w:t>largely driven by decreases in Canada and Australia, due to lower occupancy, as well as weakening Canadian and Australian dollars, as further described in the segment discussion below.</w:t>
      </w:r>
    </w:p>
    <w:p>
      <w:pPr>
        <w:spacing w:after="0" w:line="176" w:lineRule="exact"/>
        <w:rPr>
          <w:sz w:val="20"/>
          <w:szCs w:val="20"/>
          <w:color w:val="auto"/>
        </w:rPr>
      </w:pPr>
    </w:p>
    <w:p>
      <w:pPr>
        <w:ind w:right="180" w:firstLine="324"/>
        <w:spacing w:after="0" w:line="266" w:lineRule="auto"/>
        <w:rPr>
          <w:sz w:val="20"/>
          <w:szCs w:val="20"/>
          <w:color w:val="auto"/>
        </w:rPr>
      </w:pPr>
      <w:r>
        <w:rPr>
          <w:rFonts w:ascii="Arial" w:cs="Arial" w:eastAsia="Arial" w:hAnsi="Arial"/>
          <w:sz w:val="18"/>
          <w:szCs w:val="18"/>
          <w:b w:val="1"/>
          <w:bCs w:val="1"/>
          <w:color w:val="auto"/>
        </w:rPr>
        <w:t xml:space="preserve">Cost of Sales and Services. </w:t>
      </w:r>
      <w:r>
        <w:rPr>
          <w:rFonts w:ascii="Arial" w:cs="Arial" w:eastAsia="Arial" w:hAnsi="Arial"/>
          <w:sz w:val="18"/>
          <w:szCs w:val="18"/>
          <w:color w:val="auto"/>
        </w:rPr>
        <w:t>Our consolidated cost of sales decreased $40.6 million, or 28%, in the first quarter of 2015 compared to the first quarter of</w:t>
      </w:r>
      <w:r>
        <w:rPr>
          <w:rFonts w:ascii="Arial" w:cs="Arial" w:eastAsia="Arial" w:hAnsi="Arial"/>
          <w:sz w:val="18"/>
          <w:szCs w:val="18"/>
          <w:b w:val="1"/>
          <w:bCs w:val="1"/>
          <w:color w:val="auto"/>
        </w:rPr>
        <w:t xml:space="preserve"> </w:t>
      </w:r>
      <w:r>
        <w:rPr>
          <w:rFonts w:ascii="Arial" w:cs="Arial" w:eastAsia="Arial" w:hAnsi="Arial"/>
          <w:sz w:val="18"/>
          <w:szCs w:val="18"/>
          <w:color w:val="auto"/>
        </w:rPr>
        <w:t>2014 primarily due to decreases in occupancy in both Canada and Australia, as well as the weakening Canadian and Australian dollars. Please see further description in segment discussion below.</w:t>
      </w:r>
    </w:p>
    <w:p>
      <w:pPr>
        <w:spacing w:after="0" w:line="176" w:lineRule="exact"/>
        <w:rPr>
          <w:sz w:val="20"/>
          <w:szCs w:val="20"/>
          <w:color w:val="auto"/>
        </w:rPr>
      </w:pPr>
    </w:p>
    <w:p>
      <w:pPr>
        <w:ind w:right="100" w:firstLine="324"/>
        <w:spacing w:after="0" w:line="266" w:lineRule="auto"/>
        <w:rPr>
          <w:sz w:val="20"/>
          <w:szCs w:val="20"/>
          <w:color w:val="auto"/>
        </w:rPr>
      </w:pPr>
      <w:r>
        <w:rPr>
          <w:rFonts w:ascii="Arial" w:cs="Arial" w:eastAsia="Arial" w:hAnsi="Arial"/>
          <w:sz w:val="18"/>
          <w:szCs w:val="18"/>
          <w:b w:val="1"/>
          <w:bCs w:val="1"/>
          <w:color w:val="auto"/>
        </w:rPr>
        <w:t xml:space="preserve">Selling, General and Administrative Expenses. </w:t>
      </w:r>
      <w:r>
        <w:rPr>
          <w:rFonts w:ascii="Arial" w:cs="Arial" w:eastAsia="Arial" w:hAnsi="Arial"/>
          <w:sz w:val="18"/>
          <w:szCs w:val="18"/>
          <w:color w:val="auto"/>
        </w:rPr>
        <w:t>Selling, general and administrative (SG&amp;A) expense increased $0.5 million, or 3%, in the first quarter</w:t>
      </w:r>
      <w:r>
        <w:rPr>
          <w:rFonts w:ascii="Arial" w:cs="Arial" w:eastAsia="Arial" w:hAnsi="Arial"/>
          <w:sz w:val="18"/>
          <w:szCs w:val="18"/>
          <w:b w:val="1"/>
          <w:bCs w:val="1"/>
          <w:color w:val="auto"/>
        </w:rPr>
        <w:t xml:space="preserve"> </w:t>
      </w:r>
      <w:r>
        <w:rPr>
          <w:rFonts w:ascii="Arial" w:cs="Arial" w:eastAsia="Arial" w:hAnsi="Arial"/>
          <w:sz w:val="18"/>
          <w:szCs w:val="18"/>
          <w:color w:val="auto"/>
        </w:rPr>
        <w:t>of 2015 compared to the first quarter of 2014. Increased costs associated with being a publicly traded company and costs associated with the Redomicile Transaction of $1.2 million were almost entirely offset by lower employee costs.</w:t>
      </w:r>
    </w:p>
    <w:p>
      <w:pPr>
        <w:spacing w:after="0" w:line="176" w:lineRule="exact"/>
        <w:rPr>
          <w:sz w:val="20"/>
          <w:szCs w:val="20"/>
          <w:color w:val="auto"/>
        </w:rPr>
      </w:pPr>
    </w:p>
    <w:p>
      <w:pPr>
        <w:ind w:firstLine="324"/>
        <w:spacing w:after="0" w:line="282" w:lineRule="auto"/>
        <w:rPr>
          <w:sz w:val="20"/>
          <w:szCs w:val="20"/>
          <w:color w:val="auto"/>
        </w:rPr>
      </w:pPr>
      <w:r>
        <w:rPr>
          <w:rFonts w:ascii="Arial" w:cs="Arial" w:eastAsia="Arial" w:hAnsi="Arial"/>
          <w:sz w:val="18"/>
          <w:szCs w:val="18"/>
          <w:b w:val="1"/>
          <w:bCs w:val="1"/>
          <w:color w:val="auto"/>
        </w:rPr>
        <w:t xml:space="preserve">Spin-Off and Formation Costs. </w:t>
      </w:r>
      <w:r>
        <w:rPr>
          <w:rFonts w:ascii="Arial" w:cs="Arial" w:eastAsia="Arial" w:hAnsi="Arial"/>
          <w:sz w:val="18"/>
          <w:szCs w:val="18"/>
          <w:color w:val="auto"/>
        </w:rPr>
        <w:t>Spin-off and formation costs of $0.6 million relate to transition costs incurred during the first quarter of 2014 associated</w:t>
      </w:r>
      <w:r>
        <w:rPr>
          <w:rFonts w:ascii="Arial" w:cs="Arial" w:eastAsia="Arial" w:hAnsi="Arial"/>
          <w:sz w:val="18"/>
          <w:szCs w:val="18"/>
          <w:b w:val="1"/>
          <w:bCs w:val="1"/>
          <w:color w:val="auto"/>
        </w:rPr>
        <w:t xml:space="preserve"> </w:t>
      </w:r>
      <w:r>
        <w:rPr>
          <w:rFonts w:ascii="Arial" w:cs="Arial" w:eastAsia="Arial" w:hAnsi="Arial"/>
          <w:sz w:val="18"/>
          <w:szCs w:val="18"/>
          <w:color w:val="auto"/>
        </w:rPr>
        <w:t>with becoming a stand-alone company.</w:t>
      </w: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580" w:right="259" w:bottom="1440" w:gutter="0" w:footer="0" w:header="0"/>
        </w:sectPr>
      </w:pPr>
    </w:p>
    <w:bookmarkStart w:id="24" w:name="page25"/>
    <w:bookmarkEnd w:id="24"/>
    <w:p>
      <w:pPr>
        <w:ind w:firstLine="324"/>
        <w:spacing w:after="0" w:line="347" w:lineRule="auto"/>
        <w:rPr>
          <w:sz w:val="20"/>
          <w:szCs w:val="20"/>
          <w:color w:val="auto"/>
        </w:rPr>
      </w:pPr>
      <w:r>
        <w:rPr>
          <w:rFonts w:ascii="Arial" w:cs="Arial" w:eastAsia="Arial" w:hAnsi="Arial"/>
          <w:sz w:val="16"/>
          <w:szCs w:val="16"/>
          <w:b w:val="1"/>
          <w:bCs w:val="1"/>
          <w:color w:val="auto"/>
        </w:rPr>
        <w:t xml:space="preserve">Depreciation and Amortization Expense. </w:t>
      </w:r>
      <w:r>
        <w:rPr>
          <w:rFonts w:ascii="Arial" w:cs="Arial" w:eastAsia="Arial" w:hAnsi="Arial"/>
          <w:sz w:val="16"/>
          <w:szCs w:val="16"/>
          <w:color w:val="auto"/>
        </w:rPr>
        <w:t>Depreciation and amortization expense increased $2.8 million, or 7%, in the first quarter of 2015 compared to</w:t>
      </w:r>
      <w:r>
        <w:rPr>
          <w:rFonts w:ascii="Arial" w:cs="Arial" w:eastAsia="Arial" w:hAnsi="Arial"/>
          <w:sz w:val="16"/>
          <w:szCs w:val="16"/>
          <w:b w:val="1"/>
          <w:bCs w:val="1"/>
          <w:color w:val="auto"/>
        </w:rPr>
        <w:t xml:space="preserve"> </w:t>
      </w:r>
      <w:r>
        <w:rPr>
          <w:rFonts w:ascii="Arial" w:cs="Arial" w:eastAsia="Arial" w:hAnsi="Arial"/>
          <w:sz w:val="16"/>
          <w:szCs w:val="16"/>
          <w:color w:val="auto"/>
        </w:rPr>
        <w:t>the first quarter of 2014 primarily due to capital expenditures made during the last twelve months largely related to investments in our Canadian segment.</w:t>
      </w:r>
    </w:p>
    <w:p>
      <w:pPr>
        <w:spacing w:after="0" w:line="116" w:lineRule="exact"/>
        <w:rPr>
          <w:sz w:val="20"/>
          <w:szCs w:val="20"/>
          <w:color w:val="auto"/>
        </w:rPr>
      </w:pPr>
    </w:p>
    <w:p>
      <w:pPr>
        <w:ind w:right="280" w:firstLine="324"/>
        <w:spacing w:after="0" w:line="313" w:lineRule="auto"/>
        <w:rPr>
          <w:sz w:val="20"/>
          <w:szCs w:val="20"/>
          <w:color w:val="auto"/>
        </w:rPr>
      </w:pPr>
      <w:r>
        <w:rPr>
          <w:rFonts w:ascii="Arial" w:cs="Arial" w:eastAsia="Arial" w:hAnsi="Arial"/>
          <w:sz w:val="17"/>
          <w:szCs w:val="17"/>
          <w:b w:val="1"/>
          <w:bCs w:val="1"/>
          <w:color w:val="auto"/>
        </w:rPr>
        <w:t xml:space="preserve">Impairment Expense. </w:t>
      </w:r>
      <w:r>
        <w:rPr>
          <w:rFonts w:ascii="Arial" w:cs="Arial" w:eastAsia="Arial" w:hAnsi="Arial"/>
          <w:sz w:val="17"/>
          <w:szCs w:val="17"/>
          <w:color w:val="auto"/>
        </w:rPr>
        <w:t>Pretax impairment expense of $2.7 million in 2015 related to a decision to sell our U.S. manufacturing facility. As a result, the</w:t>
      </w:r>
      <w:r>
        <w:rPr>
          <w:rFonts w:ascii="Arial" w:cs="Arial" w:eastAsia="Arial" w:hAnsi="Arial"/>
          <w:sz w:val="17"/>
          <w:szCs w:val="17"/>
          <w:b w:val="1"/>
          <w:bCs w:val="1"/>
          <w:color w:val="auto"/>
        </w:rPr>
        <w:t xml:space="preserve"> </w:t>
      </w:r>
      <w:r>
        <w:rPr>
          <w:rFonts w:ascii="Arial" w:cs="Arial" w:eastAsia="Arial" w:hAnsi="Arial"/>
          <w:sz w:val="17"/>
          <w:szCs w:val="17"/>
          <w:color w:val="auto"/>
        </w:rPr>
        <w:t>facility was classified as held for sale at March 31, 2015, and its carrying value was reduced to expected proceeds less cost to sell.</w:t>
      </w:r>
    </w:p>
    <w:p>
      <w:pPr>
        <w:spacing w:after="0" w:line="138" w:lineRule="exact"/>
        <w:rPr>
          <w:sz w:val="20"/>
          <w:szCs w:val="20"/>
          <w:color w:val="auto"/>
        </w:rPr>
      </w:pPr>
    </w:p>
    <w:p>
      <w:pPr>
        <w:ind w:right="280" w:firstLine="324"/>
        <w:spacing w:after="0" w:line="282" w:lineRule="auto"/>
        <w:rPr>
          <w:sz w:val="20"/>
          <w:szCs w:val="20"/>
          <w:color w:val="auto"/>
        </w:rPr>
      </w:pPr>
      <w:r>
        <w:rPr>
          <w:rFonts w:ascii="Arial" w:cs="Arial" w:eastAsia="Arial" w:hAnsi="Arial"/>
          <w:sz w:val="18"/>
          <w:szCs w:val="18"/>
          <w:b w:val="1"/>
          <w:bCs w:val="1"/>
          <w:color w:val="auto"/>
        </w:rPr>
        <w:t xml:space="preserve">Operating Income. </w:t>
      </w:r>
      <w:r>
        <w:rPr>
          <w:rFonts w:ascii="Arial" w:cs="Arial" w:eastAsia="Arial" w:hAnsi="Arial"/>
          <w:sz w:val="18"/>
          <w:szCs w:val="18"/>
          <w:color w:val="auto"/>
        </w:rPr>
        <w:t>Consolidated operating income decreased $48.0 million, or 91%, in the first quarter of 2015 compared to the first quarter of 2014</w:t>
      </w:r>
      <w:r>
        <w:rPr>
          <w:rFonts w:ascii="Arial" w:cs="Arial" w:eastAsia="Arial" w:hAnsi="Arial"/>
          <w:sz w:val="18"/>
          <w:szCs w:val="18"/>
          <w:b w:val="1"/>
          <w:bCs w:val="1"/>
          <w:color w:val="auto"/>
        </w:rPr>
        <w:t xml:space="preserve"> </w:t>
      </w:r>
      <w:r>
        <w:rPr>
          <w:rFonts w:ascii="Arial" w:cs="Arial" w:eastAsia="Arial" w:hAnsi="Arial"/>
          <w:sz w:val="18"/>
          <w:szCs w:val="18"/>
          <w:color w:val="auto"/>
        </w:rPr>
        <w:t>primarily due to lower occupancy levels in Canada and Australia as well as the weakening Canadian and Australian dollars.</w:t>
      </w:r>
    </w:p>
    <w:p>
      <w:pPr>
        <w:spacing w:after="0" w:line="162" w:lineRule="exact"/>
        <w:rPr>
          <w:sz w:val="20"/>
          <w:szCs w:val="20"/>
          <w:color w:val="auto"/>
        </w:rPr>
      </w:pPr>
    </w:p>
    <w:p>
      <w:pPr>
        <w:ind w:right="80" w:firstLine="324"/>
        <w:spacing w:after="0" w:line="314" w:lineRule="auto"/>
        <w:rPr>
          <w:sz w:val="20"/>
          <w:szCs w:val="20"/>
          <w:color w:val="auto"/>
        </w:rPr>
      </w:pPr>
      <w:r>
        <w:rPr>
          <w:rFonts w:ascii="Arial" w:cs="Arial" w:eastAsia="Arial" w:hAnsi="Arial"/>
          <w:sz w:val="16"/>
          <w:szCs w:val="16"/>
          <w:b w:val="1"/>
          <w:bCs w:val="1"/>
          <w:color w:val="auto"/>
        </w:rPr>
        <w:t xml:space="preserve">Interest Expense and Interest Income, net. </w:t>
      </w:r>
      <w:r>
        <w:rPr>
          <w:rFonts w:ascii="Arial" w:cs="Arial" w:eastAsia="Arial" w:hAnsi="Arial"/>
          <w:sz w:val="16"/>
          <w:szCs w:val="16"/>
          <w:color w:val="auto"/>
        </w:rPr>
        <w:t>Net interest expense, including interest expense and income to/from affiliates, increased by $0.3 million, or</w:t>
      </w:r>
      <w:r>
        <w:rPr>
          <w:rFonts w:ascii="Arial" w:cs="Arial" w:eastAsia="Arial" w:hAnsi="Arial"/>
          <w:sz w:val="16"/>
          <w:szCs w:val="16"/>
          <w:b w:val="1"/>
          <w:bCs w:val="1"/>
          <w:color w:val="auto"/>
        </w:rPr>
        <w:t xml:space="preserve"> </w:t>
      </w:r>
      <w:r>
        <w:rPr>
          <w:rFonts w:ascii="Arial" w:cs="Arial" w:eastAsia="Arial" w:hAnsi="Arial"/>
          <w:sz w:val="16"/>
          <w:szCs w:val="16"/>
          <w:color w:val="auto"/>
        </w:rPr>
        <w:t>7%, in the first quarter of 2015 compared to the first quarter of 2014 primarily due to increased interest expense associated with the new credit facility in 2015, which was partially offset by reduced interest expense in 2015 associated with the affiliate debt, which was eliminated as of the Spin-Off.</w:t>
      </w:r>
    </w:p>
    <w:p>
      <w:pPr>
        <w:spacing w:after="0" w:line="142" w:lineRule="exact"/>
        <w:rPr>
          <w:sz w:val="20"/>
          <w:szCs w:val="20"/>
          <w:color w:val="auto"/>
        </w:rPr>
      </w:pPr>
    </w:p>
    <w:p>
      <w:pPr>
        <w:ind w:firstLine="324"/>
        <w:spacing w:after="0" w:line="281" w:lineRule="auto"/>
        <w:rPr>
          <w:sz w:val="20"/>
          <w:szCs w:val="20"/>
          <w:color w:val="auto"/>
        </w:rPr>
      </w:pPr>
      <w:r>
        <w:rPr>
          <w:rFonts w:ascii="Arial" w:cs="Arial" w:eastAsia="Arial" w:hAnsi="Arial"/>
          <w:sz w:val="17"/>
          <w:szCs w:val="17"/>
          <w:b w:val="1"/>
          <w:bCs w:val="1"/>
          <w:color w:val="auto"/>
        </w:rPr>
        <w:t xml:space="preserve">Income Tax Provision. </w:t>
      </w:r>
      <w:r>
        <w:rPr>
          <w:rFonts w:ascii="Arial" w:cs="Arial" w:eastAsia="Arial" w:hAnsi="Arial"/>
          <w:sz w:val="17"/>
          <w:szCs w:val="17"/>
          <w:color w:val="auto"/>
        </w:rPr>
        <w:t>Our income tax expense for the three months ended March 31, 2015 totaled $1.2 million, or 83.4% of pretax income, compared</w:t>
      </w:r>
      <w:r>
        <w:rPr>
          <w:rFonts w:ascii="Arial" w:cs="Arial" w:eastAsia="Arial" w:hAnsi="Arial"/>
          <w:sz w:val="17"/>
          <w:szCs w:val="17"/>
          <w:b w:val="1"/>
          <w:bCs w:val="1"/>
          <w:color w:val="auto"/>
        </w:rPr>
        <w:t xml:space="preserve"> </w:t>
      </w:r>
      <w:r>
        <w:rPr>
          <w:rFonts w:ascii="Arial" w:cs="Arial" w:eastAsia="Arial" w:hAnsi="Arial"/>
          <w:sz w:val="17"/>
          <w:szCs w:val="17"/>
          <w:color w:val="auto"/>
        </w:rPr>
        <w:t>to income tax expense of $12.3 million, or 25.2% of pretax income, for the three months ended March 31, 2014. The increase in the effective tax rate from the prior year was largely the result of a change in the earnings mix between different tax jurisdictions, as well as discrete items totaling $0.5 million related to the impact of a portion of our undistributed foreign earnings which we no longer intend to continue to indefinitely reinvest.</w:t>
      </w:r>
    </w:p>
    <w:p>
      <w:pPr>
        <w:spacing w:after="0" w:line="165" w:lineRule="exact"/>
        <w:rPr>
          <w:sz w:val="20"/>
          <w:szCs w:val="20"/>
          <w:color w:val="auto"/>
        </w:rPr>
      </w:pPr>
    </w:p>
    <w:p>
      <w:pPr>
        <w:jc w:val="both"/>
        <w:ind w:right="180" w:firstLine="324"/>
        <w:spacing w:after="0" w:line="258" w:lineRule="auto"/>
        <w:rPr>
          <w:sz w:val="20"/>
          <w:szCs w:val="20"/>
          <w:color w:val="auto"/>
        </w:rPr>
      </w:pPr>
      <w:r>
        <w:rPr>
          <w:rFonts w:ascii="Arial" w:cs="Arial" w:eastAsia="Arial" w:hAnsi="Arial"/>
          <w:sz w:val="18"/>
          <w:szCs w:val="18"/>
          <w:b w:val="1"/>
          <w:bCs w:val="1"/>
          <w:color w:val="auto"/>
        </w:rPr>
        <w:t xml:space="preserve">Other Comprehensive Income (Loss). </w:t>
      </w:r>
      <w:r>
        <w:rPr>
          <w:rFonts w:ascii="Arial" w:cs="Arial" w:eastAsia="Arial" w:hAnsi="Arial"/>
          <w:sz w:val="18"/>
          <w:szCs w:val="18"/>
          <w:color w:val="auto"/>
        </w:rPr>
        <w:t>Other comprehensive loss increased $124.1 million in the first quarter of 2015 compared to the first quarter of</w:t>
      </w:r>
      <w:r>
        <w:rPr>
          <w:rFonts w:ascii="Arial" w:cs="Arial" w:eastAsia="Arial" w:hAnsi="Arial"/>
          <w:sz w:val="18"/>
          <w:szCs w:val="18"/>
          <w:b w:val="1"/>
          <w:bCs w:val="1"/>
          <w:color w:val="auto"/>
        </w:rPr>
        <w:t xml:space="preserve"> </w:t>
      </w:r>
      <w:r>
        <w:rPr>
          <w:rFonts w:ascii="Arial" w:cs="Arial" w:eastAsia="Arial" w:hAnsi="Arial"/>
          <w:sz w:val="18"/>
          <w:szCs w:val="18"/>
          <w:color w:val="auto"/>
        </w:rPr>
        <w:t>2014 primarily as a result of foreign currency translation adjustments due to changes in the Canadian and Australian dollar exchange rates compared to the U.S. dollar. The Canadian dollar exchange rate compared to the U.S. dollar decreased 9% in the first quarter of 2015 compared to a 4% decrease in the first quarter of 2014. The Australian dollar exchange rate compared to the U.S. dollar decreased 7% in the first quarter of 2015 compared to a 4% increase in the first quarter of 2014.</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230"/>
        </w:trPr>
        <w:tc>
          <w:tcPr>
            <w:tcW w:w="464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Segment Results of Operations – Canadian Segment</w:t>
            </w:r>
          </w:p>
        </w:tc>
        <w:tc>
          <w:tcPr>
            <w:tcW w:w="4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116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920" w:type="dxa"/>
            <w:vAlign w:val="bottom"/>
            <w:gridSpan w:val="8"/>
          </w:tcPr>
          <w:p>
            <w:pPr>
              <w:jc w:val="center"/>
              <w:ind w:left="230"/>
              <w:spacing w:after="0"/>
              <w:rPr>
                <w:sz w:val="20"/>
                <w:szCs w:val="20"/>
                <w:color w:val="auto"/>
              </w:rPr>
            </w:pPr>
            <w:r>
              <w:rPr>
                <w:rFonts w:ascii="Arial" w:cs="Arial" w:eastAsia="Arial" w:hAnsi="Arial"/>
                <w:sz w:val="18"/>
                <w:szCs w:val="18"/>
                <w:b w:val="1"/>
                <w:bCs w:val="1"/>
                <w:color w:val="auto"/>
              </w:rPr>
              <w:t>THREE MONTHS ENDED</w:t>
            </w: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8"/>
                <w:szCs w:val="18"/>
                <w:b w:val="1"/>
                <w:bCs w:val="1"/>
                <w:color w:val="auto"/>
                <w:w w:val="98"/>
              </w:rPr>
              <w:t>MARCH 31,</w:t>
            </w:r>
          </w:p>
        </w:tc>
        <w:tc>
          <w:tcPr>
            <w:tcW w:w="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2015</w:t>
            </w:r>
          </w:p>
        </w:tc>
        <w:tc>
          <w:tcPr>
            <w:tcW w:w="60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2014</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Change</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Revenues ($ in thousands)</w:t>
            </w: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480" w:type="dxa"/>
            <w:vAlign w:val="bottom"/>
          </w:tcPr>
          <w:p>
            <w:pPr>
              <w:ind w:left="160"/>
              <w:spacing w:after="0"/>
              <w:rPr>
                <w:sz w:val="20"/>
                <w:szCs w:val="20"/>
                <w:color w:val="auto"/>
              </w:rPr>
            </w:pPr>
            <w:r>
              <w:rPr>
                <w:rFonts w:ascii="Arial" w:cs="Arial" w:eastAsia="Arial" w:hAnsi="Arial"/>
                <w:sz w:val="18"/>
                <w:szCs w:val="18"/>
                <w:color w:val="auto"/>
              </w:rPr>
              <w:t>Lodge revenue (1)</w:t>
            </w:r>
          </w:p>
        </w:tc>
        <w:tc>
          <w:tcPr>
            <w:tcW w:w="1360" w:type="dxa"/>
            <w:vAlign w:val="bottom"/>
            <w:gridSpan w:val="2"/>
          </w:tcPr>
          <w:p>
            <w:pPr>
              <w:jc w:val="right"/>
              <w:ind w:right="77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87,837</w:t>
            </w:r>
          </w:p>
        </w:tc>
        <w:tc>
          <w:tcPr>
            <w:tcW w:w="180" w:type="dxa"/>
            <w:vAlign w:val="bottom"/>
          </w:tcPr>
          <w:p>
            <w:pPr>
              <w:spacing w:after="0"/>
              <w:rPr>
                <w:sz w:val="18"/>
                <w:szCs w:val="18"/>
                <w:color w:val="auto"/>
              </w:rPr>
            </w:pPr>
          </w:p>
        </w:tc>
        <w:tc>
          <w:tcPr>
            <w:tcW w:w="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122,388</w:t>
            </w:r>
          </w:p>
        </w:tc>
        <w:tc>
          <w:tcPr>
            <w:tcW w:w="200" w:type="dxa"/>
            <w:vAlign w:val="bottom"/>
          </w:tcPr>
          <w:p>
            <w:pPr>
              <w:spacing w:after="0"/>
              <w:rPr>
                <w:sz w:val="18"/>
                <w:szCs w:val="18"/>
                <w:color w:val="auto"/>
              </w:rPr>
            </w:pPr>
          </w:p>
        </w:tc>
        <w:tc>
          <w:tcPr>
            <w:tcW w:w="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(34,551)</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Mobile, open camp and product revenue</w:t>
            </w: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29,063</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57,936</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(28,873)</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48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tcPr>
          <w:p>
            <w:pPr>
              <w:spacing w:after="0"/>
              <w:rPr>
                <w:sz w:val="18"/>
                <w:szCs w:val="18"/>
                <w:color w:val="auto"/>
              </w:rPr>
            </w:pPr>
          </w:p>
        </w:tc>
        <w:tc>
          <w:tcPr>
            <w:tcW w:w="3480" w:type="dxa"/>
            <w:vAlign w:val="bottom"/>
          </w:tcPr>
          <w:p>
            <w:pPr>
              <w:ind w:left="320"/>
              <w:spacing w:after="0"/>
              <w:rPr>
                <w:sz w:val="20"/>
                <w:szCs w:val="20"/>
                <w:color w:val="auto"/>
              </w:rPr>
            </w:pPr>
            <w:r>
              <w:rPr>
                <w:rFonts w:ascii="Arial" w:cs="Arial" w:eastAsia="Arial" w:hAnsi="Arial"/>
                <w:sz w:val="18"/>
                <w:szCs w:val="18"/>
                <w:color w:val="auto"/>
              </w:rPr>
              <w:t>Total revenues</w:t>
            </w:r>
          </w:p>
        </w:tc>
        <w:tc>
          <w:tcPr>
            <w:tcW w:w="1360" w:type="dxa"/>
            <w:vAlign w:val="bottom"/>
            <w:gridSpan w:val="2"/>
          </w:tcPr>
          <w:p>
            <w:pPr>
              <w:jc w:val="right"/>
              <w:ind w:right="77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116,900</w:t>
            </w:r>
          </w:p>
        </w:tc>
        <w:tc>
          <w:tcPr>
            <w:tcW w:w="180" w:type="dxa"/>
            <w:vAlign w:val="bottom"/>
          </w:tcPr>
          <w:p>
            <w:pPr>
              <w:spacing w:after="0"/>
              <w:rPr>
                <w:sz w:val="18"/>
                <w:szCs w:val="18"/>
                <w:color w:val="auto"/>
              </w:rPr>
            </w:pPr>
          </w:p>
        </w:tc>
        <w:tc>
          <w:tcPr>
            <w:tcW w:w="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180,324</w:t>
            </w:r>
          </w:p>
        </w:tc>
        <w:tc>
          <w:tcPr>
            <w:tcW w:w="200" w:type="dxa"/>
            <w:vAlign w:val="bottom"/>
          </w:tcPr>
          <w:p>
            <w:pPr>
              <w:spacing w:after="0"/>
              <w:rPr>
                <w:sz w:val="18"/>
                <w:szCs w:val="18"/>
                <w:color w:val="auto"/>
              </w:rPr>
            </w:pPr>
          </w:p>
        </w:tc>
        <w:tc>
          <w:tcPr>
            <w:tcW w:w="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(63,424)</w:t>
            </w: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34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spacing w:after="0"/>
              <w:rPr>
                <w:sz w:val="18"/>
                <w:szCs w:val="18"/>
                <w:color w:val="auto"/>
              </w:rPr>
            </w:pPr>
          </w:p>
        </w:tc>
        <w:tc>
          <w:tcPr>
            <w:tcW w:w="136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Cost of sales and services ($ in thousands)</w:t>
            </w:r>
          </w:p>
        </w:tc>
        <w:tc>
          <w:tcPr>
            <w:tcW w:w="1360" w:type="dxa"/>
            <w:vAlign w:val="bottom"/>
            <w:gridSpan w:val="2"/>
          </w:tcPr>
          <w:p>
            <w:pPr>
              <w:jc w:val="right"/>
              <w:ind w:right="77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73,706</w:t>
            </w:r>
          </w:p>
        </w:tc>
        <w:tc>
          <w:tcPr>
            <w:tcW w:w="180" w:type="dxa"/>
            <w:vAlign w:val="bottom"/>
          </w:tcPr>
          <w:p>
            <w:pPr>
              <w:spacing w:after="0"/>
              <w:rPr>
                <w:sz w:val="18"/>
                <w:szCs w:val="18"/>
                <w:color w:val="auto"/>
              </w:rPr>
            </w:pPr>
          </w:p>
        </w:tc>
        <w:tc>
          <w:tcPr>
            <w:tcW w:w="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109,695</w:t>
            </w:r>
          </w:p>
        </w:tc>
        <w:tc>
          <w:tcPr>
            <w:tcW w:w="200" w:type="dxa"/>
            <w:vAlign w:val="bottom"/>
          </w:tcPr>
          <w:p>
            <w:pPr>
              <w:spacing w:after="0"/>
              <w:rPr>
                <w:sz w:val="18"/>
                <w:szCs w:val="18"/>
                <w:color w:val="auto"/>
              </w:rPr>
            </w:pPr>
          </w:p>
        </w:tc>
        <w:tc>
          <w:tcPr>
            <w:tcW w:w="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(35,989)</w:t>
            </w: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3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Gross margin as a % of revenues</w:t>
            </w: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36.9%</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gridSpan w:val="2"/>
          </w:tcPr>
          <w:p>
            <w:pPr>
              <w:jc w:val="right"/>
              <w:ind w:right="60"/>
              <w:spacing w:after="0"/>
              <w:rPr>
                <w:sz w:val="20"/>
                <w:szCs w:val="20"/>
                <w:color w:val="auto"/>
              </w:rPr>
            </w:pPr>
            <w:r>
              <w:rPr>
                <w:rFonts w:ascii="Arial" w:cs="Arial" w:eastAsia="Arial" w:hAnsi="Arial"/>
                <w:sz w:val="18"/>
                <w:szCs w:val="18"/>
                <w:color w:val="auto"/>
              </w:rPr>
              <w:t>39.2%</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3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Average Available Lodge Rooms (2)</w:t>
            </w: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13,221</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11,868</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1,353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34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spacing w:after="0"/>
              <w:rPr>
                <w:sz w:val="18"/>
                <w:szCs w:val="18"/>
                <w:color w:val="auto"/>
              </w:rPr>
            </w:pPr>
          </w:p>
        </w:tc>
        <w:tc>
          <w:tcPr>
            <w:tcW w:w="136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RevPAR for Lodges (3)</w:t>
            </w:r>
          </w:p>
        </w:tc>
        <w:tc>
          <w:tcPr>
            <w:tcW w:w="1360" w:type="dxa"/>
            <w:vAlign w:val="bottom"/>
            <w:gridSpan w:val="2"/>
          </w:tcPr>
          <w:p>
            <w:pPr>
              <w:jc w:val="right"/>
              <w:ind w:right="77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74</w:t>
            </w:r>
          </w:p>
        </w:tc>
        <w:tc>
          <w:tcPr>
            <w:tcW w:w="180" w:type="dxa"/>
            <w:vAlign w:val="bottom"/>
          </w:tcPr>
          <w:p>
            <w:pPr>
              <w:spacing w:after="0"/>
              <w:rPr>
                <w:sz w:val="18"/>
                <w:szCs w:val="18"/>
                <w:color w:val="auto"/>
              </w:rPr>
            </w:pPr>
          </w:p>
        </w:tc>
        <w:tc>
          <w:tcPr>
            <w:tcW w:w="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115</w:t>
            </w:r>
          </w:p>
        </w:tc>
        <w:tc>
          <w:tcPr>
            <w:tcW w:w="200" w:type="dxa"/>
            <w:vAlign w:val="bottom"/>
          </w:tcPr>
          <w:p>
            <w:pPr>
              <w:spacing w:after="0"/>
              <w:rPr>
                <w:sz w:val="18"/>
                <w:szCs w:val="18"/>
                <w:color w:val="auto"/>
              </w:rPr>
            </w:pPr>
          </w:p>
        </w:tc>
        <w:tc>
          <w:tcPr>
            <w:tcW w:w="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3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Occupancy in Lodges (4)</w:t>
            </w: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68%</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gridSpan w:val="2"/>
          </w:tcPr>
          <w:p>
            <w:pPr>
              <w:jc w:val="right"/>
              <w:ind w:right="60"/>
              <w:spacing w:after="0"/>
              <w:rPr>
                <w:sz w:val="20"/>
                <w:szCs w:val="20"/>
                <w:color w:val="auto"/>
              </w:rPr>
            </w:pPr>
            <w:r>
              <w:rPr>
                <w:rFonts w:ascii="Arial" w:cs="Arial" w:eastAsia="Arial" w:hAnsi="Arial"/>
                <w:sz w:val="18"/>
                <w:szCs w:val="18"/>
                <w:color w:val="auto"/>
              </w:rPr>
              <w:t>90%</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34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spacing w:after="0"/>
              <w:rPr>
                <w:sz w:val="18"/>
                <w:szCs w:val="18"/>
                <w:color w:val="auto"/>
              </w:rPr>
            </w:pPr>
          </w:p>
        </w:tc>
        <w:tc>
          <w:tcPr>
            <w:tcW w:w="136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vMerge w:val="continue"/>
          </w:tcPr>
          <w:p>
            <w:pPr>
              <w:spacing w:after="0"/>
              <w:rPr>
                <w:sz w:val="20"/>
                <w:szCs w:val="20"/>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Canadian dollar to US dollar</w:t>
            </w:r>
          </w:p>
        </w:tc>
        <w:tc>
          <w:tcPr>
            <w:tcW w:w="1360" w:type="dxa"/>
            <w:vAlign w:val="bottom"/>
            <w:gridSpan w:val="2"/>
          </w:tcPr>
          <w:p>
            <w:pPr>
              <w:jc w:val="right"/>
              <w:ind w:right="77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0.806</w:t>
            </w:r>
          </w:p>
        </w:tc>
        <w:tc>
          <w:tcPr>
            <w:tcW w:w="180" w:type="dxa"/>
            <w:vAlign w:val="bottom"/>
          </w:tcPr>
          <w:p>
            <w:pPr>
              <w:spacing w:after="0"/>
              <w:rPr>
                <w:sz w:val="20"/>
                <w:szCs w:val="20"/>
                <w:color w:val="auto"/>
              </w:rPr>
            </w:pPr>
          </w:p>
        </w:tc>
        <w:tc>
          <w:tcPr>
            <w:tcW w:w="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0.906</w:t>
            </w:r>
          </w:p>
        </w:tc>
        <w:tc>
          <w:tcPr>
            <w:tcW w:w="200" w:type="dxa"/>
            <w:vAlign w:val="bottom"/>
          </w:tcPr>
          <w:p>
            <w:pPr>
              <w:spacing w:after="0"/>
              <w:rPr>
                <w:sz w:val="20"/>
                <w:szCs w:val="20"/>
                <w:color w:val="auto"/>
              </w:rPr>
            </w:pPr>
          </w:p>
        </w:tc>
        <w:tc>
          <w:tcPr>
            <w:tcW w:w="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(0.100)</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980" w:hanging="324"/>
        <w:spacing w:after="0"/>
        <w:tabs>
          <w:tab w:leader="none" w:pos="9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Includes revenue related to rooms as well as the fees associated with catering, laundry and other services including facilities management.</w:t>
      </w:r>
    </w:p>
    <w:p>
      <w:pPr>
        <w:spacing w:after="0" w:line="248" w:lineRule="exact"/>
        <w:rPr>
          <w:rFonts w:ascii="Arial" w:cs="Arial" w:eastAsia="Arial" w:hAnsi="Arial"/>
          <w:sz w:val="16"/>
          <w:szCs w:val="16"/>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Average available rooms include rooms that are utilized for our personnel.</w:t>
      </w:r>
    </w:p>
    <w:p>
      <w:pPr>
        <w:spacing w:after="0" w:line="225" w:lineRule="exact"/>
        <w:rPr>
          <w:rFonts w:ascii="Arial" w:cs="Arial" w:eastAsia="Arial" w:hAnsi="Arial"/>
          <w:sz w:val="18"/>
          <w:szCs w:val="18"/>
          <w:color w:val="auto"/>
        </w:rPr>
      </w:pPr>
    </w:p>
    <w:p>
      <w:pPr>
        <w:ind w:left="980" w:right="200" w:hanging="324"/>
        <w:spacing w:after="0" w:line="277"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RevPAR, or revenue per available room, is defined as lodge revenue divided by the product of (a) average available rooms and (b) days in the period. An available room is defined as a calendar day during which the room is available for occupancy.</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Occupancy represents total billed days divided by rentable days. Rentable days excludes staff rooms and out of service rooms.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-1090930</wp:posOffset>
            </wp:positionV>
            <wp:extent cx="72009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0090" cy="8890"/>
                    </a:xfrm>
                    <a:prstGeom prst="rect">
                      <a:avLst/>
                    </a:prstGeom>
                    <a:noFill/>
                  </pic:spPr>
                </pic:pic>
              </a:graphicData>
            </a:graphic>
          </wp:anchor>
        </w:drawing>
      </w:r>
    </w:p>
    <w:p>
      <w:pPr>
        <w:spacing w:after="0" w:line="205"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color w:val="auto"/>
        </w:rPr>
        <w:t>Our Canadian segment reported revenues in the first quarter of 2015 that were $63.4 million, or 35%, lower than the first quarter of 2014. The weakening of the average exchange rates for the Canadian dollar relative to the U.S. dollar by 11% in the first quarter of 2015 compared to the first quarter of 2014 resulted in a $14.5 million year-over-year reduction in revenues. In addition, the segment experienced a 24% decline in lodge revenues primarily due to a</w:t>
      </w:r>
    </w:p>
    <w:p>
      <w:pPr>
        <w:spacing w:after="0" w:line="261" w:lineRule="auto"/>
        <w:rPr>
          <w:sz w:val="20"/>
          <w:szCs w:val="20"/>
          <w:color w:val="auto"/>
        </w:rPr>
      </w:pPr>
      <w:r>
        <w:rPr>
          <w:rFonts w:ascii="Arial" w:cs="Arial" w:eastAsia="Arial" w:hAnsi="Arial"/>
          <w:sz w:val="18"/>
          <w:szCs w:val="18"/>
          <w:color w:val="auto"/>
        </w:rPr>
        <w:t>28% year-over-year decrease in RevPAR (excluding the impact of the weaker Canadian exchange rates) largely related to reduced occupancy. Lodge revenues in the first quarter of 2015 were positively affected by the opening of the McClelland Lake facility in the summer of 2014.</w:t>
      </w:r>
    </w:p>
    <w:p>
      <w:pPr>
        <w:spacing w:after="0" w:line="184"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Our Canadian segment cost of sales and services decreased $36 million, or 33%, in the first quarter of 2015 compared to the first quarter of 2014 due in part to the weakening of the average exchange rates, as well as lower occupancy.</w:t>
      </w:r>
    </w:p>
    <w:p>
      <w:pPr>
        <w:spacing w:after="0" w:line="170" w:lineRule="exact"/>
        <w:rPr>
          <w:sz w:val="20"/>
          <w:szCs w:val="20"/>
          <w:color w:val="auto"/>
        </w:rPr>
      </w:pPr>
    </w:p>
    <w:p>
      <w:pPr>
        <w:ind w:right="460" w:firstLine="324"/>
        <w:spacing w:after="0" w:line="277" w:lineRule="auto"/>
        <w:rPr>
          <w:sz w:val="20"/>
          <w:szCs w:val="20"/>
          <w:color w:val="auto"/>
        </w:rPr>
      </w:pPr>
      <w:r>
        <w:rPr>
          <w:rFonts w:ascii="Arial" w:cs="Arial" w:eastAsia="Arial" w:hAnsi="Arial"/>
          <w:sz w:val="18"/>
          <w:szCs w:val="18"/>
          <w:color w:val="auto"/>
        </w:rPr>
        <w:t>Our Canadian segment gross margin as a percentage of revenues decreased from 39% in the first quarter of 2014 to 37% in the first quarter of 2015 primarily due to lower contracted room rates in Canada.</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30"/>
        </w:trPr>
        <w:tc>
          <w:tcPr>
            <w:tcW w:w="4520" w:type="dxa"/>
            <w:vAlign w:val="bottom"/>
            <w:gridSpan w:val="2"/>
          </w:tcPr>
          <w:p>
            <w:pPr>
              <w:spacing w:after="0"/>
              <w:rPr>
                <w:sz w:val="20"/>
                <w:szCs w:val="20"/>
                <w:color w:val="auto"/>
              </w:rPr>
            </w:pPr>
            <w:r>
              <w:rPr>
                <w:rFonts w:ascii="Arial" w:cs="Arial" w:eastAsia="Arial" w:hAnsi="Arial"/>
                <w:sz w:val="18"/>
                <w:szCs w:val="18"/>
                <w:b w:val="1"/>
                <w:bCs w:val="1"/>
                <w:i w:val="1"/>
                <w:iCs w:val="1"/>
                <w:color w:val="auto"/>
                <w:w w:val="98"/>
              </w:rPr>
              <w:t>Segment Results of Operations – Australian Segment</w:t>
            </w:r>
          </w:p>
        </w:tc>
        <w:tc>
          <w:tcPr>
            <w:tcW w:w="5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116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40" w:type="dxa"/>
            <w:vAlign w:val="bottom"/>
            <w:gridSpan w:val="8"/>
          </w:tcPr>
          <w:p>
            <w:pPr>
              <w:jc w:val="center"/>
              <w:ind w:left="170"/>
              <w:spacing w:after="0"/>
              <w:rPr>
                <w:sz w:val="20"/>
                <w:szCs w:val="20"/>
                <w:color w:val="auto"/>
              </w:rPr>
            </w:pPr>
            <w:r>
              <w:rPr>
                <w:rFonts w:ascii="Arial" w:cs="Arial" w:eastAsia="Arial" w:hAnsi="Arial"/>
                <w:sz w:val="18"/>
                <w:szCs w:val="18"/>
                <w:b w:val="1"/>
                <w:bCs w:val="1"/>
                <w:color w:val="auto"/>
              </w:rPr>
              <w:t>THREE MONTHS ENDED</w:t>
            </w: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8"/>
                <w:szCs w:val="18"/>
                <w:b w:val="1"/>
                <w:bCs w:val="1"/>
                <w:color w:val="auto"/>
              </w:rPr>
              <w:t>MARCH 31,</w:t>
            </w:r>
          </w:p>
        </w:tc>
        <w:tc>
          <w:tcPr>
            <w:tcW w:w="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2015</w:t>
            </w:r>
          </w:p>
        </w:tc>
        <w:tc>
          <w:tcPr>
            <w:tcW w:w="54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9"/>
              </w:rPr>
              <w:t>2014</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Change</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Revenues ($ in thousands)</w:t>
            </w:r>
          </w:p>
        </w:tc>
        <w:tc>
          <w:tcPr>
            <w:tcW w:w="5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360" w:type="dxa"/>
            <w:vAlign w:val="bottom"/>
          </w:tcPr>
          <w:p>
            <w:pPr>
              <w:ind w:left="160"/>
              <w:spacing w:after="0"/>
              <w:rPr>
                <w:sz w:val="20"/>
                <w:szCs w:val="20"/>
                <w:color w:val="auto"/>
              </w:rPr>
            </w:pPr>
            <w:r>
              <w:rPr>
                <w:rFonts w:ascii="Arial" w:cs="Arial" w:eastAsia="Arial" w:hAnsi="Arial"/>
                <w:sz w:val="18"/>
                <w:szCs w:val="18"/>
                <w:color w:val="auto"/>
              </w:rPr>
              <w:t>Village revenue (1)</w:t>
            </w:r>
          </w:p>
        </w:tc>
        <w:tc>
          <w:tcPr>
            <w:tcW w:w="1580" w:type="dxa"/>
            <w:vAlign w:val="bottom"/>
            <w:gridSpan w:val="2"/>
          </w:tcPr>
          <w:p>
            <w:pPr>
              <w:jc w:val="right"/>
              <w:ind w:right="83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41,859</w:t>
            </w:r>
          </w:p>
        </w:tc>
        <w:tc>
          <w:tcPr>
            <w:tcW w:w="180" w:type="dxa"/>
            <w:vAlign w:val="bottom"/>
          </w:tcPr>
          <w:p>
            <w:pPr>
              <w:spacing w:after="0"/>
              <w:rPr>
                <w:sz w:val="18"/>
                <w:szCs w:val="18"/>
                <w:color w:val="auto"/>
              </w:rPr>
            </w:pPr>
          </w:p>
        </w:tc>
        <w:tc>
          <w:tcPr>
            <w:tcW w:w="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55,464</w:t>
            </w:r>
          </w:p>
        </w:tc>
        <w:tc>
          <w:tcPr>
            <w:tcW w:w="200" w:type="dxa"/>
            <w:vAlign w:val="bottom"/>
          </w:tcPr>
          <w:p>
            <w:pPr>
              <w:spacing w:after="0"/>
              <w:rPr>
                <w:sz w:val="18"/>
                <w:szCs w:val="18"/>
                <w:color w:val="auto"/>
              </w:rPr>
            </w:pPr>
          </w:p>
        </w:tc>
        <w:tc>
          <w:tcPr>
            <w:tcW w:w="3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(13,605)</w:t>
            </w: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3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revenues</w:t>
            </w:r>
          </w:p>
        </w:tc>
        <w:tc>
          <w:tcPr>
            <w:tcW w:w="580" w:type="dxa"/>
            <w:vAlign w:val="bottom"/>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41,859</w:t>
            </w:r>
          </w:p>
        </w:tc>
        <w:tc>
          <w:tcPr>
            <w:tcW w:w="1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55,464</w:t>
            </w:r>
          </w:p>
        </w:tc>
        <w:tc>
          <w:tcPr>
            <w:tcW w:w="20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(13,605)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3360" w:type="dxa"/>
            <w:vAlign w:val="bottom"/>
          </w:tcPr>
          <w:p>
            <w:pPr>
              <w:spacing w:after="0"/>
              <w:rPr>
                <w:sz w:val="18"/>
                <w:szCs w:val="18"/>
                <w:color w:val="auto"/>
              </w:rPr>
            </w:pPr>
          </w:p>
        </w:tc>
        <w:tc>
          <w:tcPr>
            <w:tcW w:w="1580" w:type="dxa"/>
            <w:vAlign w:val="bottom"/>
            <w:gridSpan w:val="2"/>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gridSpan w:val="2"/>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gridSpan w:val="2"/>
          </w:tcPr>
          <w:p>
            <w:pPr>
              <w:spacing w:after="0"/>
              <w:rPr>
                <w:sz w:val="18"/>
                <w:szCs w:val="18"/>
                <w:color w:val="auto"/>
              </w:rPr>
            </w:pPr>
          </w:p>
        </w:tc>
        <w:tc>
          <w:tcPr>
            <w:tcW w:w="13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Cost of sales ($ in thousands)</w:t>
            </w:r>
          </w:p>
        </w:tc>
        <w:tc>
          <w:tcPr>
            <w:tcW w:w="1580" w:type="dxa"/>
            <w:vAlign w:val="bottom"/>
            <w:gridSpan w:val="2"/>
            <w:shd w:val="clear" w:color="auto" w:fill="CCEEFF"/>
          </w:tcPr>
          <w:p>
            <w:pPr>
              <w:jc w:val="right"/>
              <w:ind w:right="83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17,671</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21,028</w:t>
            </w:r>
          </w:p>
        </w:tc>
        <w:tc>
          <w:tcPr>
            <w:tcW w:w="2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w:t>
            </w: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(3,357)</w:t>
            </w: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3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2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Gross margin as a % of revenues</w:t>
            </w:r>
          </w:p>
        </w:tc>
        <w:tc>
          <w:tcPr>
            <w:tcW w:w="5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57.8%</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62.1%</w:t>
            </w: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3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Average Available Village Rooms (2)</w:t>
            </w:r>
          </w:p>
        </w:tc>
        <w:tc>
          <w:tcPr>
            <w:tcW w:w="5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9,296</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9,262</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3360" w:type="dxa"/>
            <w:vAlign w:val="bottom"/>
          </w:tcPr>
          <w:p>
            <w:pPr>
              <w:spacing w:after="0"/>
              <w:rPr>
                <w:sz w:val="18"/>
                <w:szCs w:val="18"/>
                <w:color w:val="auto"/>
              </w:rPr>
            </w:pPr>
          </w:p>
        </w:tc>
        <w:tc>
          <w:tcPr>
            <w:tcW w:w="1580" w:type="dxa"/>
            <w:vAlign w:val="bottom"/>
            <w:gridSpan w:val="2"/>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gridSpan w:val="2"/>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gridSpan w:val="2"/>
          </w:tcPr>
          <w:p>
            <w:pPr>
              <w:spacing w:after="0"/>
              <w:rPr>
                <w:sz w:val="18"/>
                <w:szCs w:val="18"/>
                <w:color w:val="auto"/>
              </w:rPr>
            </w:pPr>
          </w:p>
        </w:tc>
        <w:tc>
          <w:tcPr>
            <w:tcW w:w="13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RevPAR for Villages (3)</w:t>
            </w:r>
          </w:p>
        </w:tc>
        <w:tc>
          <w:tcPr>
            <w:tcW w:w="1580" w:type="dxa"/>
            <w:vAlign w:val="bottom"/>
            <w:gridSpan w:val="2"/>
            <w:shd w:val="clear" w:color="auto" w:fill="CCEEFF"/>
          </w:tcPr>
          <w:p>
            <w:pPr>
              <w:jc w:val="right"/>
              <w:ind w:right="83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2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w:t>
            </w: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3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2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Occupancy in Villages (4)</w:t>
            </w:r>
          </w:p>
        </w:tc>
        <w:tc>
          <w:tcPr>
            <w:tcW w:w="5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76%</w:t>
            </w: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3360" w:type="dxa"/>
            <w:vAlign w:val="bottom"/>
          </w:tcPr>
          <w:p>
            <w:pPr>
              <w:spacing w:after="0"/>
              <w:rPr>
                <w:sz w:val="18"/>
                <w:szCs w:val="18"/>
                <w:color w:val="auto"/>
              </w:rPr>
            </w:pPr>
          </w:p>
        </w:tc>
        <w:tc>
          <w:tcPr>
            <w:tcW w:w="1580" w:type="dxa"/>
            <w:vAlign w:val="bottom"/>
            <w:gridSpan w:val="2"/>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gridSpan w:val="2"/>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gridSpan w:val="2"/>
          </w:tcPr>
          <w:p>
            <w:pPr>
              <w:spacing w:after="0"/>
              <w:rPr>
                <w:sz w:val="18"/>
                <w:szCs w:val="18"/>
                <w:color w:val="auto"/>
              </w:rPr>
            </w:pPr>
          </w:p>
        </w:tc>
        <w:tc>
          <w:tcPr>
            <w:tcW w:w="13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Australian dollar to US dollar</w:t>
            </w:r>
          </w:p>
        </w:tc>
        <w:tc>
          <w:tcPr>
            <w:tcW w:w="1580" w:type="dxa"/>
            <w:vAlign w:val="bottom"/>
            <w:gridSpan w:val="2"/>
            <w:shd w:val="clear" w:color="auto" w:fill="CCEEFF"/>
          </w:tcPr>
          <w:p>
            <w:pPr>
              <w:jc w:val="right"/>
              <w:ind w:right="83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0.786</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0.897</w:t>
            </w:r>
          </w:p>
        </w:tc>
        <w:tc>
          <w:tcPr>
            <w:tcW w:w="2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w:t>
            </w: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(0.111)</w:t>
            </w: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980" w:hanging="324"/>
        <w:spacing w:after="0"/>
        <w:tabs>
          <w:tab w:leader="none" w:pos="9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Includes revenue related to rooms as well as the fees associated with catering, laundry and other services including facilities management.</w:t>
      </w:r>
    </w:p>
    <w:p>
      <w:pPr>
        <w:spacing w:after="0" w:line="248" w:lineRule="exact"/>
        <w:rPr>
          <w:rFonts w:ascii="Arial" w:cs="Arial" w:eastAsia="Arial" w:hAnsi="Arial"/>
          <w:sz w:val="16"/>
          <w:szCs w:val="16"/>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Average available rooms include rooms that are utilized for our personnel.</w:t>
      </w:r>
    </w:p>
    <w:p>
      <w:pPr>
        <w:spacing w:after="0" w:line="225"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RevPAR, or revenue per available room, is defined as village revenue divided by the product of (a) average available rooms and (b) days in the period. An available room is defined as a calendar day during which the room is available for occupancy.</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Occupancy represents total billed days divided by rentable days. Rentable days excludes staff rooms and out of service rooms.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-1090930</wp:posOffset>
            </wp:positionV>
            <wp:extent cx="72009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0090" cy="8890"/>
                    </a:xfrm>
                    <a:prstGeom prst="rect">
                      <a:avLst/>
                    </a:prstGeom>
                    <a:noFill/>
                  </pic:spPr>
                </pic:pic>
              </a:graphicData>
            </a:graphic>
          </wp:anchor>
        </w:drawing>
      </w:r>
    </w:p>
    <w:p>
      <w:pPr>
        <w:spacing w:after="0" w:line="205" w:lineRule="exact"/>
        <w:rPr>
          <w:sz w:val="20"/>
          <w:szCs w:val="20"/>
          <w:color w:val="auto"/>
        </w:rPr>
      </w:pPr>
    </w:p>
    <w:p>
      <w:pPr>
        <w:ind w:right="60" w:firstLine="324"/>
        <w:spacing w:after="0" w:line="302" w:lineRule="auto"/>
        <w:rPr>
          <w:sz w:val="20"/>
          <w:szCs w:val="20"/>
          <w:color w:val="auto"/>
        </w:rPr>
      </w:pPr>
      <w:r>
        <w:rPr>
          <w:rFonts w:ascii="Arial" w:cs="Arial" w:eastAsia="Arial" w:hAnsi="Arial"/>
          <w:sz w:val="16"/>
          <w:szCs w:val="16"/>
          <w:color w:val="auto"/>
        </w:rPr>
        <w:t>Our Australian segment reported revenues in the first quarter of 2015 that were $13.6 million, or 25%, lower than the first quarter of 2014. The weakening of the average exchange rates for Australian dollars relative to the U.S. dollar by 12% in the first quarter of 2015 compared to the first quarter of 2014 resulted in a $5.8 million year-over-year reduction in revenues. Village revenues in the first quarter of 2015 were also negatively impacted by lower occupancy levels in the first quarter 2015 compared to the first quarter of 2014, primarily as a result of the continued slowdown in mining activity.</w:t>
      </w:r>
    </w:p>
    <w:p>
      <w:pPr>
        <w:spacing w:after="0" w:line="154"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Our Australian segment cost of sales decreased $3.4 million, or 16%, in the first quarter of 2015 compared to the first quarter of 2014. The decrease was driven by the weakening of the Australian dollar as well as lower occupancy levels.</w:t>
      </w:r>
    </w:p>
    <w:p>
      <w:pPr>
        <w:spacing w:after="0" w:line="170"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Our Australian segment gross margin as a percentage of revenues decreased to 58% in the first quarter of 2015 from 62% in the first quarter of 2014. This was primarily driven by lower occupancy levels compared to the first quarter of 2014</w:t>
      </w:r>
    </w:p>
    <w:p>
      <w:pPr>
        <w:spacing w:after="0" w:line="200" w:lineRule="exact"/>
        <w:rPr>
          <w:sz w:val="20"/>
          <w:szCs w:val="20"/>
          <w:color w:val="auto"/>
        </w:rPr>
      </w:pPr>
    </w:p>
    <w:p>
      <w:pPr>
        <w:spacing w:after="0" w:line="26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00"/>
          </w:cols>
          <w:pgMar w:left="240" w:top="584" w:right="35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30"/>
        </w:trPr>
        <w:tc>
          <w:tcPr>
            <w:tcW w:w="4620" w:type="dxa"/>
            <w:vAlign w:val="bottom"/>
            <w:gridSpan w:val="2"/>
          </w:tcPr>
          <w:p>
            <w:pPr>
              <w:spacing w:after="0"/>
              <w:rPr>
                <w:sz w:val="20"/>
                <w:szCs w:val="20"/>
                <w:color w:val="auto"/>
              </w:rPr>
            </w:pPr>
            <w:r>
              <w:rPr>
                <w:rFonts w:ascii="Arial" w:cs="Arial" w:eastAsia="Arial" w:hAnsi="Arial"/>
                <w:sz w:val="18"/>
                <w:szCs w:val="18"/>
                <w:b w:val="1"/>
                <w:bCs w:val="1"/>
                <w:i w:val="1"/>
                <w:iCs w:val="1"/>
                <w:color w:val="auto"/>
                <w:w w:val="95"/>
              </w:rPr>
              <w:t>Segment Results of Operations – United States Segment</w:t>
            </w:r>
          </w:p>
        </w:tc>
        <w:tc>
          <w:tcPr>
            <w:tcW w:w="4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116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40" w:type="dxa"/>
            <w:vAlign w:val="bottom"/>
            <w:gridSpan w:val="8"/>
          </w:tcPr>
          <w:p>
            <w:pPr>
              <w:jc w:val="center"/>
              <w:ind w:left="170"/>
              <w:spacing w:after="0"/>
              <w:rPr>
                <w:sz w:val="20"/>
                <w:szCs w:val="20"/>
                <w:color w:val="auto"/>
              </w:rPr>
            </w:pPr>
            <w:r>
              <w:rPr>
                <w:rFonts w:ascii="Arial" w:cs="Arial" w:eastAsia="Arial" w:hAnsi="Arial"/>
                <w:sz w:val="18"/>
                <w:szCs w:val="18"/>
                <w:b w:val="1"/>
                <w:bCs w:val="1"/>
                <w:color w:val="auto"/>
              </w:rPr>
              <w:t>THREE MONTHS ENDED</w:t>
            </w: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8"/>
                <w:szCs w:val="18"/>
                <w:b w:val="1"/>
                <w:bCs w:val="1"/>
                <w:color w:val="auto"/>
              </w:rPr>
              <w:t>MARCH 31,</w:t>
            </w:r>
          </w:p>
        </w:tc>
        <w:tc>
          <w:tcPr>
            <w:tcW w:w="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2015</w:t>
            </w:r>
          </w:p>
        </w:tc>
        <w:tc>
          <w:tcPr>
            <w:tcW w:w="54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9"/>
              </w:rPr>
              <w:t>2014</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Change</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vMerge w:val="restart"/>
          </w:tcPr>
          <w:p>
            <w:pPr>
              <w:spacing w:after="0"/>
              <w:rPr>
                <w:sz w:val="18"/>
                <w:szCs w:val="18"/>
                <w:color w:val="auto"/>
              </w:rPr>
            </w:pPr>
          </w:p>
        </w:tc>
        <w:tc>
          <w:tcPr>
            <w:tcW w:w="3460" w:type="dxa"/>
            <w:vAlign w:val="bottom"/>
          </w:tcPr>
          <w:p>
            <w:pPr>
              <w:spacing w:after="0"/>
              <w:rPr>
                <w:sz w:val="18"/>
                <w:szCs w:val="18"/>
                <w:color w:val="auto"/>
              </w:rPr>
            </w:pPr>
          </w:p>
        </w:tc>
        <w:tc>
          <w:tcPr>
            <w:tcW w:w="1480" w:type="dxa"/>
            <w:vAlign w:val="bottom"/>
            <w:gridSpan w:val="2"/>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gridSpan w:val="2"/>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gridSpan w:val="2"/>
          </w:tcPr>
          <w:p>
            <w:pPr>
              <w:spacing w:after="0"/>
              <w:rPr>
                <w:sz w:val="18"/>
                <w:szCs w:val="18"/>
                <w:color w:val="auto"/>
              </w:rPr>
            </w:pPr>
          </w:p>
        </w:tc>
        <w:tc>
          <w:tcPr>
            <w:tcW w:w="13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Revenues ($ in thousands)</w:t>
            </w:r>
          </w:p>
        </w:tc>
        <w:tc>
          <w:tcPr>
            <w:tcW w:w="1480" w:type="dxa"/>
            <w:vAlign w:val="bottom"/>
            <w:gridSpan w:val="2"/>
            <w:shd w:val="clear" w:color="auto" w:fill="CCEEFF"/>
          </w:tcPr>
          <w:p>
            <w:pPr>
              <w:jc w:val="right"/>
              <w:ind w:right="83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12,228</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17,011</w:t>
            </w:r>
          </w:p>
        </w:tc>
        <w:tc>
          <w:tcPr>
            <w:tcW w:w="2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w:t>
            </w: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(4,783)</w:t>
            </w: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3460" w:type="dxa"/>
            <w:vAlign w:val="bottom"/>
          </w:tcPr>
          <w:p>
            <w:pPr>
              <w:spacing w:after="0"/>
              <w:rPr>
                <w:sz w:val="18"/>
                <w:szCs w:val="18"/>
                <w:color w:val="auto"/>
              </w:rPr>
            </w:pPr>
          </w:p>
        </w:tc>
        <w:tc>
          <w:tcPr>
            <w:tcW w:w="1480" w:type="dxa"/>
            <w:vAlign w:val="bottom"/>
            <w:gridSpan w:val="2"/>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gridSpan w:val="2"/>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gridSpan w:val="2"/>
          </w:tcPr>
          <w:p>
            <w:pPr>
              <w:spacing w:after="0"/>
              <w:rPr>
                <w:sz w:val="18"/>
                <w:szCs w:val="18"/>
                <w:color w:val="auto"/>
              </w:rPr>
            </w:pPr>
          </w:p>
        </w:tc>
        <w:tc>
          <w:tcPr>
            <w:tcW w:w="13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Cost of sales ($ in thousands)</w:t>
            </w:r>
          </w:p>
        </w:tc>
        <w:tc>
          <w:tcPr>
            <w:tcW w:w="1480" w:type="dxa"/>
            <w:vAlign w:val="bottom"/>
            <w:gridSpan w:val="2"/>
            <w:shd w:val="clear" w:color="auto" w:fill="CCEEFF"/>
          </w:tcPr>
          <w:p>
            <w:pPr>
              <w:jc w:val="right"/>
              <w:ind w:right="83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11,534</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12,787</w:t>
            </w:r>
          </w:p>
        </w:tc>
        <w:tc>
          <w:tcPr>
            <w:tcW w:w="2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w:t>
            </w: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(1,253)</w:t>
            </w: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34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2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Gross margin as a % of revenues</w:t>
            </w: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5.7%</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24.8%</w:t>
            </w: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bl>
    <w:p>
      <w:pPr>
        <w:spacing w:after="0" w:line="256" w:lineRule="exact"/>
        <w:rPr>
          <w:sz w:val="20"/>
          <w:szCs w:val="20"/>
          <w:color w:val="auto"/>
        </w:rPr>
      </w:pPr>
    </w:p>
    <w:p>
      <w:pPr>
        <w:ind w:right="620" w:firstLine="324"/>
        <w:spacing w:after="0" w:line="277" w:lineRule="auto"/>
        <w:rPr>
          <w:sz w:val="20"/>
          <w:szCs w:val="20"/>
          <w:color w:val="auto"/>
        </w:rPr>
      </w:pPr>
      <w:r>
        <w:rPr>
          <w:rFonts w:ascii="Arial" w:cs="Arial" w:eastAsia="Arial" w:hAnsi="Arial"/>
          <w:sz w:val="18"/>
          <w:szCs w:val="18"/>
          <w:color w:val="auto"/>
        </w:rPr>
        <w:t>Our United States segment reported revenues in the first quarter of 2015 that were $4.8 million, or 28%, lower than the first quarter of 2014. The reduction was primarily due to lower U.S. drilling activity in the Bakken, Rockies and Texas markets.</w:t>
      </w:r>
    </w:p>
    <w:p>
      <w:pPr>
        <w:spacing w:after="0" w:line="1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United States cost of sales decreased $1.3 million, or 10%, in the first quarter of 2015 compared to the first quarter of 2014. The decrease was driven by overall lower activity levels, partially offset by a $1.1 million write-down of inventory at our U.S. manufacturing facility.</w:t>
      </w:r>
    </w:p>
    <w:p>
      <w:pPr>
        <w:spacing w:after="0" w:line="170"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Our United States segment gross margin as a percentage of revenues decreased from 25% in the first quarter of 2014 to 6% in the first quarter of 2015 primarily due to the $1.1 million inventory write-down, as well as overall lower activity levels.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Our primary liquidity needs are to fund capital expenditures, which in the past have included expanding and improving our accommodations, developing new lodges and villages, purchasing or leasing land under our land banking strategy and for general working capital needs. In addition, capital has been used to repay debt, fund strategic business acquisitions and pay dividends. Following the Spin-Off, our primary sources of funds are available cash, cash flow from operations, borrowings under our credit facility and capital markets transactions.</w:t>
      </w:r>
    </w:p>
    <w:p>
      <w:pPr>
        <w:spacing w:after="0" w:line="57" w:lineRule="exact"/>
        <w:rPr>
          <w:sz w:val="20"/>
          <w:szCs w:val="20"/>
          <w:color w:val="auto"/>
        </w:rPr>
      </w:pPr>
    </w:p>
    <w:tbl>
      <w:tblPr>
        <w:tblLayout w:type="fixed"/>
        <w:tblInd w:w="500" w:type="dxa"/>
        <w:tblCellMar>
          <w:top w:w="0" w:type="dxa"/>
          <w:left w:w="0" w:type="dxa"/>
          <w:bottom w:w="0" w:type="dxa"/>
          <w:right w:w="0" w:type="dxa"/>
        </w:tblCellMar>
      </w:tblPr>
      <w:tr>
        <w:trPr>
          <w:trHeight w:val="345"/>
        </w:trPr>
        <w:tc>
          <w:tcPr>
            <w:tcW w:w="4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rPr>
              <w:t>U.S.</w:t>
            </w:r>
          </w:p>
        </w:tc>
        <w:tc>
          <w:tcPr>
            <w:tcW w:w="220" w:type="dxa"/>
            <w:vAlign w:val="bottom"/>
          </w:tcPr>
          <w:p>
            <w:pPr>
              <w:spacing w:after="0"/>
              <w:rPr>
                <w:sz w:val="24"/>
                <w:szCs w:val="24"/>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Canada</w:t>
            </w:r>
          </w:p>
        </w:tc>
        <w:tc>
          <w:tcPr>
            <w:tcW w:w="120" w:type="dxa"/>
            <w:vAlign w:val="bottom"/>
          </w:tcPr>
          <w:p>
            <w:pPr>
              <w:spacing w:after="0"/>
              <w:rPr>
                <w:sz w:val="24"/>
                <w:szCs w:val="24"/>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88"/>
              </w:rPr>
              <w:t xml:space="preserve">Australia </w:t>
            </w:r>
            <w:r>
              <w:rPr>
                <w:rFonts w:ascii="Arial" w:cs="Arial" w:eastAsia="Arial" w:hAnsi="Arial"/>
                <w:sz w:val="30"/>
                <w:szCs w:val="30"/>
                <w:b w:val="1"/>
                <w:bCs w:val="1"/>
                <w:color w:val="auto"/>
                <w:w w:val="88"/>
                <w:vertAlign w:val="superscript"/>
              </w:rPr>
              <w:t>(1)</w:t>
            </w:r>
          </w:p>
        </w:tc>
        <w:tc>
          <w:tcPr>
            <w:tcW w:w="260" w:type="dxa"/>
            <w:vAlign w:val="bottom"/>
          </w:tcPr>
          <w:p>
            <w:pPr>
              <w:spacing w:after="0"/>
              <w:rPr>
                <w:sz w:val="24"/>
                <w:szCs w:val="24"/>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Total</w:t>
            </w:r>
          </w:p>
        </w:tc>
      </w:tr>
      <w:tr>
        <w:trPr>
          <w:trHeight w:val="210"/>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Lender commitments</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450,000</w:t>
            </w: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18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650,000</w:t>
            </w:r>
          </w:p>
        </w:tc>
        <w:tc>
          <w:tcPr>
            <w:tcW w:w="100" w:type="dxa"/>
            <w:vAlign w:val="bottom"/>
            <w:shd w:val="clear" w:color="auto" w:fill="CCEEFF"/>
          </w:tcPr>
          <w:p>
            <w:pPr>
              <w:spacing w:after="0"/>
              <w:rPr>
                <w:sz w:val="18"/>
                <w:szCs w:val="18"/>
                <w:color w:val="auto"/>
              </w:rPr>
            </w:pPr>
          </w:p>
        </w:tc>
      </w:tr>
      <w:tr>
        <w:trPr>
          <w:trHeight w:val="216"/>
        </w:trPr>
        <w:tc>
          <w:tcPr>
            <w:tcW w:w="4620" w:type="dxa"/>
            <w:vAlign w:val="bottom"/>
          </w:tcPr>
          <w:p>
            <w:pPr>
              <w:ind w:left="120"/>
              <w:spacing w:after="0" w:line="216" w:lineRule="exact"/>
              <w:rPr>
                <w:sz w:val="20"/>
                <w:szCs w:val="20"/>
                <w:color w:val="auto"/>
              </w:rPr>
            </w:pPr>
            <w:r>
              <w:rPr>
                <w:rFonts w:ascii="Arial" w:cs="Arial" w:eastAsia="Arial" w:hAnsi="Arial"/>
                <w:sz w:val="16"/>
                <w:szCs w:val="16"/>
                <w:color w:val="auto"/>
              </w:rPr>
              <w:t xml:space="preserve">Reductions in availability </w:t>
            </w:r>
            <w:r>
              <w:rPr>
                <w:rFonts w:ascii="Arial" w:cs="Arial" w:eastAsia="Arial" w:hAnsi="Arial"/>
                <w:sz w:val="25"/>
                <w:szCs w:val="25"/>
                <w:color w:val="auto"/>
                <w:vertAlign w:val="superscript"/>
              </w:rPr>
              <w:t>(2)</w:t>
            </w:r>
          </w:p>
        </w:tc>
        <w:tc>
          <w:tcPr>
            <w:tcW w:w="28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(251,775)</w:t>
            </w:r>
          </w:p>
        </w:tc>
        <w:tc>
          <w:tcPr>
            <w:tcW w:w="22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(55,950)</w:t>
            </w:r>
          </w:p>
        </w:tc>
        <w:tc>
          <w:tcPr>
            <w:tcW w:w="1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(55,950)</w:t>
            </w:r>
          </w:p>
        </w:tc>
        <w:tc>
          <w:tcPr>
            <w:tcW w:w="2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(363,675)</w:t>
            </w:r>
          </w:p>
        </w:tc>
      </w:tr>
      <w:tr>
        <w:trPr>
          <w:trHeight w:val="216"/>
        </w:trPr>
        <w:tc>
          <w:tcPr>
            <w:tcW w:w="46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Borrowings against revolver capacity</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4620" w:type="dxa"/>
            <w:vAlign w:val="bottom"/>
          </w:tcPr>
          <w:p>
            <w:pPr>
              <w:ind w:left="120"/>
              <w:spacing w:after="0"/>
              <w:rPr>
                <w:sz w:val="20"/>
                <w:szCs w:val="20"/>
                <w:color w:val="auto"/>
              </w:rPr>
            </w:pPr>
            <w:r>
              <w:rPr>
                <w:rFonts w:ascii="Arial" w:cs="Arial" w:eastAsia="Arial" w:hAnsi="Arial"/>
                <w:sz w:val="18"/>
                <w:szCs w:val="18"/>
                <w:color w:val="auto"/>
              </w:rPr>
              <w:t>Outstanding letters of credit</w:t>
            </w:r>
          </w:p>
        </w:tc>
        <w:tc>
          <w:tcPr>
            <w:tcW w:w="28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(715)</w:t>
            </w:r>
          </w:p>
        </w:tc>
        <w:tc>
          <w:tcPr>
            <w:tcW w:w="22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(4,753)</w:t>
            </w:r>
          </w:p>
        </w:tc>
        <w:tc>
          <w:tcPr>
            <w:tcW w:w="12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(5,468)</w:t>
            </w:r>
          </w:p>
        </w:tc>
      </w:tr>
      <w:tr>
        <w:trPr>
          <w:trHeight w:val="210"/>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Unused availability</w:t>
            </w:r>
          </w:p>
        </w:tc>
        <w:tc>
          <w:tcPr>
            <w:tcW w:w="2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197,510</w:t>
            </w: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39,297</w:t>
            </w: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44,050</w:t>
            </w:r>
          </w:p>
        </w:tc>
        <w:tc>
          <w:tcPr>
            <w:tcW w:w="18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280,857</w:t>
            </w:r>
          </w:p>
        </w:tc>
        <w:tc>
          <w:tcPr>
            <w:tcW w:w="100" w:type="dxa"/>
            <w:vAlign w:val="bottom"/>
            <w:shd w:val="clear" w:color="auto" w:fill="CCEEFF"/>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2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58,876</w:t>
            </w:r>
          </w:p>
        </w:tc>
        <w:tc>
          <w:tcPr>
            <w:tcW w:w="2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109,931</w:t>
            </w:r>
          </w:p>
        </w:tc>
        <w:tc>
          <w:tcPr>
            <w:tcW w:w="12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110,990</w:t>
            </w:r>
          </w:p>
        </w:tc>
        <w:tc>
          <w:tcPr>
            <w:tcW w:w="2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279,797</w:t>
            </w:r>
          </w:p>
        </w:tc>
      </w:tr>
      <w:tr>
        <w:trPr>
          <w:trHeight w:val="250"/>
        </w:trPr>
        <w:tc>
          <w:tcPr>
            <w:tcW w:w="4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available liquidity as of March 31, 2015</w:t>
            </w: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256,386</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149,228</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155,040</w:t>
            </w:r>
          </w:p>
        </w:tc>
        <w:tc>
          <w:tcPr>
            <w:tcW w:w="1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560,654</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898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660" w:right="180" w:hanging="328"/>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also have an A$30 million line of credit facility. There were no borrowings or letters of credit outstanding, but we had bank guarantees of $1.1 million under this facility outstanding as of March 31, 2015.</w:t>
      </w:r>
    </w:p>
    <w:p>
      <w:pPr>
        <w:spacing w:after="0" w:line="170" w:lineRule="exact"/>
        <w:rPr>
          <w:rFonts w:ascii="Arial" w:cs="Arial" w:eastAsia="Arial" w:hAnsi="Arial"/>
          <w:sz w:val="18"/>
          <w:szCs w:val="18"/>
          <w:color w:val="auto"/>
        </w:rPr>
      </w:pPr>
    </w:p>
    <w:p>
      <w:pPr>
        <w:ind w:left="660" w:right="120" w:hanging="328"/>
        <w:spacing w:after="0" w:line="308" w:lineRule="auto"/>
        <w:tabs>
          <w:tab w:leader="none" w:pos="6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As of March 31, 2015, our borrowing capacity under our Credit Facility was reduced by $363.7 million as a result of borrowing limitations under a financial covenant. For the purposes of the table, the reduction is shown pro-rata across the tranches of the credit facility.</w:t>
      </w:r>
    </w:p>
    <w:p>
      <w:pPr>
        <w:spacing w:after="0" w:line="147"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Cash totaling $48.9 million was provided by operations during the first quarter of 2015 compared to $90.7 million provided by operations during the first quarter of 2014. The decrease in operating cash flow in 2015 compared to 2014 was primarily due to lower occupancy levels in lodges and villages. During the first quarter of 2015 and 2014, $0.8 million and $6.1 million, respectively, was provided by working capital.</w:t>
      </w:r>
    </w:p>
    <w:p>
      <w:pPr>
        <w:spacing w:after="0" w:line="181"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color w:val="auto"/>
        </w:rPr>
        <w:t>Cash was used in investing activities during the three months ended March 31, 2015 in the amount of $9.6 million compared to cash used in investing activities during the three months ended March 31, 2014 in the amount of $63.3 million. Capital expenditures totaled $10.7 million and $63.5 million during the three months ended March 31, 2015 and 2014, respectively. Capital expenditures in both periods consisted principally of construction and installation of assets for our lodges primarily in support of Canadian oil sands projects. The significant decrease in capital expenditures in 2015 compared to 2014 is primarily a result of the construction of the McClelland Lake Lodge, which was in process in the first quarter of 2014, and completed in mid-2014. No comparable project was under construction in 2015.</w:t>
      </w:r>
    </w:p>
    <w:p>
      <w:pPr>
        <w:spacing w:after="0" w:line="200" w:lineRule="exact"/>
        <w:rPr>
          <w:sz w:val="20"/>
          <w:szCs w:val="20"/>
          <w:color w:val="auto"/>
        </w:rPr>
      </w:pPr>
    </w:p>
    <w:p>
      <w:pPr>
        <w:spacing w:after="0" w:line="23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80"/>
          </w:cols>
          <w:pgMar w:left="240" w:top="584" w:right="279" w:bottom="1440" w:gutter="0" w:footer="0" w:header="0"/>
        </w:sectPr>
      </w:pPr>
    </w:p>
    <w:bookmarkStart w:id="28" w:name="page29"/>
    <w:bookmarkEnd w:id="28"/>
    <w:p>
      <w:pPr>
        <w:ind w:right="20" w:firstLine="324"/>
        <w:spacing w:after="0" w:line="255" w:lineRule="auto"/>
        <w:rPr>
          <w:sz w:val="20"/>
          <w:szCs w:val="20"/>
          <w:color w:val="auto"/>
        </w:rPr>
      </w:pPr>
      <w:r>
        <w:rPr>
          <w:rFonts w:ascii="Arial" w:cs="Arial" w:eastAsia="Arial" w:hAnsi="Arial"/>
          <w:sz w:val="18"/>
          <w:szCs w:val="18"/>
          <w:color w:val="auto"/>
        </w:rPr>
        <w:t>We expect our capital expenditures for 2015 to be in the range of $75 million to $85 million, which excludes approximately $50 million for unannounced and uncommitted projects, the spending for which is contingent on obtaining customer contracts. Whether planned expenditures will actually be spent in 2015 depends on industry conditions, project approvals and schedules, customer room commitments and project and construction timing. We expect to fund these capital expenditures with available cash, internally generated funds and borrowings under our credit facility. The foregoing capital expenditure forecast does not include any funds for strategic acquisitions, which we could pursue depending on the economic environment in our industry and the availability of transactions at prices deemed to be attractive to us.</w:t>
      </w:r>
    </w:p>
    <w:p>
      <w:pPr>
        <w:spacing w:after="0" w:line="193"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At March 31, 2015, we had cash totaling $220.9 million held by foreign subsidiaries, primarily in Canada and Australia. Based on our current forecasts for 2015, we expect that we will be required to reduce our outstanding indebtedness in order to comply with the maximum leverage ratio covenant as required under our Credit Facility, particularly in the third and fourth quarters of 2015 and the first quarter of 2016. If we do not complete the Redomicile Transaction and the amendment to our Credit Facility does not become effective, we expect that we will repatriate a significant portion of such cash to repay indebtedness.</w:t>
      </w:r>
    </w:p>
    <w:p>
      <w:pPr>
        <w:spacing w:after="0" w:line="188" w:lineRule="exact"/>
        <w:rPr>
          <w:sz w:val="20"/>
          <w:szCs w:val="20"/>
          <w:color w:val="auto"/>
        </w:rPr>
      </w:pPr>
    </w:p>
    <w:p>
      <w:pPr>
        <w:jc w:val="both"/>
        <w:ind w:right="180" w:firstLine="324"/>
        <w:spacing w:after="0" w:line="264" w:lineRule="auto"/>
        <w:rPr>
          <w:sz w:val="20"/>
          <w:szCs w:val="20"/>
          <w:color w:val="auto"/>
        </w:rPr>
      </w:pPr>
      <w:r>
        <w:rPr>
          <w:rFonts w:ascii="Arial" w:cs="Arial" w:eastAsia="Arial" w:hAnsi="Arial"/>
          <w:sz w:val="18"/>
          <w:szCs w:val="18"/>
          <w:color w:val="auto"/>
        </w:rPr>
        <w:t>Net cash of $0.5 million was provided by financing activities during the three months ended March 31, 2015 due to proceeds from issuance of common stock associated with stock option exercises. Net cash of $20.2 million was provided by financing activities during the three months ended March 31, 2014, entirely due to contributions from Oil States.</w:t>
      </w:r>
    </w:p>
    <w:p>
      <w:pPr>
        <w:spacing w:after="0" w:line="181" w:lineRule="exact"/>
        <w:rPr>
          <w:sz w:val="20"/>
          <w:szCs w:val="20"/>
          <w:color w:val="auto"/>
        </w:rPr>
      </w:pPr>
    </w:p>
    <w:p>
      <w:pPr>
        <w:ind w:right="40" w:firstLine="324"/>
        <w:spacing w:after="0" w:line="287" w:lineRule="auto"/>
        <w:rPr>
          <w:sz w:val="20"/>
          <w:szCs w:val="20"/>
          <w:color w:val="auto"/>
        </w:rPr>
      </w:pPr>
      <w:r>
        <w:rPr>
          <w:rFonts w:ascii="Arial" w:cs="Arial" w:eastAsia="Arial" w:hAnsi="Arial"/>
          <w:sz w:val="16"/>
          <w:szCs w:val="16"/>
          <w:color w:val="auto"/>
        </w:rPr>
        <w:t>We believe that cash on hand and cash flow from operations will be sufficient to meet our liquidity needs in the coming twelve months. If our plans or assumptions change, or are inaccurate, or if we make acquisitions, we may need to raise additional capital. Acquisitions have been, and our management believes acquisitions will continue to be, an element of our business strategy. The timing, size or success of any acquisition effort and the associated potential capital commitments are unpredictable and uncertain. We may seek to fund all or part of any such efforts with proceeds from debt and/or equity issuances. Our ability to obtain capital for additional projects to implement our growth strategy over the longer term will depend upon our future operating performance, financial condition and, more broadly, on the availability of equity and debt financing. Capital availability will be affected by prevailing conditions in our industry, the global economy, the global financial markets and other factors, many of which are beyond our control. In addition, such additional debt service requirements could be based on higher interest rates and shorter maturities and could impose a significant burden on our results of operations and financial condition, and the issuance of additional equity securities could result in significant dilution to stockholders. In addition, in some cases, we may incur costs to acquire land and/or construct assets without securing a customer contract or prior to finalization of an accommodations contract with a customer. If the contract is not obtained or delayed, the resulting impact could result in an impairment of the related investment.</w:t>
      </w:r>
    </w:p>
    <w:p>
      <w:pPr>
        <w:spacing w:after="0" w:line="169"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b w:val="1"/>
          <w:bCs w:val="1"/>
          <w:color w:val="auto"/>
        </w:rPr>
        <w:t xml:space="preserve">Credit Facility and Long Term Debt. </w:t>
      </w:r>
      <w:r>
        <w:rPr>
          <w:rFonts w:ascii="Arial" w:cs="Arial" w:eastAsia="Arial" w:hAnsi="Arial"/>
          <w:sz w:val="17"/>
          <w:szCs w:val="17"/>
          <w:color w:val="auto"/>
        </w:rPr>
        <w:t>In conjunction with the Spin-Off, on May 28, 2014, we entered into (i) a $650.0 million, 5-year revolving credit</w:t>
      </w:r>
      <w:r>
        <w:rPr>
          <w:rFonts w:ascii="Arial" w:cs="Arial" w:eastAsia="Arial" w:hAnsi="Arial"/>
          <w:sz w:val="17"/>
          <w:szCs w:val="17"/>
          <w:b w:val="1"/>
          <w:bCs w:val="1"/>
          <w:color w:val="auto"/>
        </w:rPr>
        <w:t xml:space="preserve"> </w:t>
      </w:r>
      <w:r>
        <w:rPr>
          <w:rFonts w:ascii="Arial" w:cs="Arial" w:eastAsia="Arial" w:hAnsi="Arial"/>
          <w:sz w:val="17"/>
          <w:szCs w:val="17"/>
          <w:color w:val="auto"/>
        </w:rPr>
        <w:t>facility which is allocated as follows: (A) a $450.0 million senior secured revolving credit facility in favor of Civeo, as borrower, (B) a $100.0 million senior secured revolving credit facility in favor of certain of our Canadian subsidiaries, as borrowers, and (C) a $100.0 million senior secured revolving credit facility in favor of one of our Australian subsidiaries, as borrower, and (ii) a $775.0 million, 5-year term loan facility in favor of Civeo (collectively, the Credit Facility). U.S. dollar amounts outstanding under the Credit Facility bear interest at a variable rate equal to LIBOR plus a margin of 1.75% to 2.75%, or a base rate plus 0.75% to 1.75%, in each case based on a ratio of our total leverage to EBITDA (as defined in the Credit Facility). Canadian dollar amounts outstanding under the Credit Facility bear interest at a variable rate equal to CDOR plus a margin of 1.75% to 2.75%, or a base rate plus a margin of 0.75% to 1.75%, in each case based on a ratio of our total leverage to EBITDA (as defined in the Credit Facility). Australian dollar amounts outstanding under the Credit Facility bear interest at a variable rate equal to BBSY plus a margin of 1.75% to 2.75%, based on a ratio of our total leverage to EBITDA (as defined in the Credit Facility). We paid certain customary fees with respect to the Credit Facility. We have 15 lenders in our Credit Facility with commitments ranging from $20 million to $195 million.</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9" w:name="page30"/>
    <w:bookmarkEnd w:id="29"/>
    <w:p>
      <w:pPr>
        <w:ind w:right="40" w:firstLine="324"/>
        <w:spacing w:after="0" w:line="272" w:lineRule="auto"/>
        <w:rPr>
          <w:sz w:val="20"/>
          <w:szCs w:val="20"/>
          <w:color w:val="auto"/>
        </w:rPr>
      </w:pPr>
      <w:r>
        <w:rPr>
          <w:rFonts w:ascii="Arial" w:cs="Arial" w:eastAsia="Arial" w:hAnsi="Arial"/>
          <w:sz w:val="17"/>
          <w:szCs w:val="17"/>
          <w:color w:val="auto"/>
        </w:rPr>
        <w:t>The Credit Facility contains customary affirmative and negative covenants that, among other things, limit or restrict (i) subsidiary indebtedness, liens and fundamental changes, (ii) asset sales, (iii) margin stock, (iv) specified acquisitions, (v) restrictive agreements, (vi) transactions with affiliates and (vii) investments and other restricted payments, including dividends and other distributions. Specifically, we must maintain an interest coverage ratio, defined as the ratio of consolidated EBITDA (as defined in the Credit Facility) to consolidated interest expense, of at least 3.0 to 1.0 and our maximum leverage ratio, defined as the ratio of total debt to consolidated EBITDA, of no greater than 3.5 to 1.0. Each of the factors considered in the calculations of these ratios are defined in the Credit Facility. EBITDA and consolidated interest, as defined, exclude goodwill impairments, debt discount amortization and other non-cash charges. We were in compliance with these covenants as of March 31, 2015.</w:t>
      </w:r>
    </w:p>
    <w:p>
      <w:pPr>
        <w:spacing w:after="0" w:line="178" w:lineRule="exact"/>
        <w:rPr>
          <w:sz w:val="20"/>
          <w:szCs w:val="20"/>
          <w:color w:val="auto"/>
        </w:rPr>
      </w:pPr>
    </w:p>
    <w:p>
      <w:pPr>
        <w:ind w:right="20" w:firstLine="324"/>
        <w:spacing w:after="0" w:line="293" w:lineRule="auto"/>
        <w:rPr>
          <w:sz w:val="20"/>
          <w:szCs w:val="20"/>
          <w:color w:val="auto"/>
        </w:rPr>
      </w:pPr>
      <w:r>
        <w:rPr>
          <w:rFonts w:ascii="Arial" w:cs="Arial" w:eastAsia="Arial" w:hAnsi="Arial"/>
          <w:sz w:val="16"/>
          <w:szCs w:val="16"/>
          <w:color w:val="auto"/>
        </w:rPr>
        <w:t>We have received (1) the required consents of the lenders to amend our Credit Facility, subject to customary conditions, to allow for our planned migration to Canada and (2) commitments from our lenders to (i) borrow under new Canadian tranches of the Credit Facility, (ii) substantially reduce both the existing U.S. term loan and the U.S. revolver and (iii) increase the maximum leverage ratio allowed under the Credit Facility to 4.00 for the fourth quarter of 2015, 4.25 for the first quarter of 2016 and 4.50 beginning with the second quarter of 2016 before decreasing in the first quarter of 2017. We are currently finalizing the documentation of the amended credit facility with our syndicate of banks and expects to complete the documentation before our annual shareholders meeting on May 14, 2015. The amendment, if finalized, would be effective upon completion of the migration to Canada.</w:t>
      </w:r>
    </w:p>
    <w:p>
      <w:pPr>
        <w:spacing w:after="0" w:line="165"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If the Redomicile Transaction is not completed and the amendment does not become effective, based on our current forecasts for 2015, we expect that we will be required to reduce our outstanding indebtedness by approximately $250 million in order to comply with our maximum leverage ratio covenant as required under our Credit Facility, particularly in the third and fourth quarters of 2015 and the first quarter of 2016. Accordingly, in the event the Redomicile Transaction does not occur, as further discussed below, we currently plan to reduce our term loan with existing cash on hand and cash expected to be generated in 2015.</w:t>
      </w:r>
    </w:p>
    <w:p>
      <w:pPr>
        <w:spacing w:after="0" w:line="184"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b w:val="1"/>
          <w:bCs w:val="1"/>
          <w:color w:val="auto"/>
        </w:rPr>
        <w:t xml:space="preserve">Dividends. </w:t>
      </w:r>
      <w:r>
        <w:rPr>
          <w:rFonts w:ascii="Arial" w:cs="Arial" w:eastAsia="Arial" w:hAnsi="Arial"/>
          <w:sz w:val="17"/>
          <w:szCs w:val="17"/>
          <w:color w:val="auto"/>
        </w:rPr>
        <w:t>We paid quarterly dividends in the amount of $0.13 per share during the third and fourth quarters of 2014. In late December 2014, our board</w:t>
      </w:r>
      <w:r>
        <w:rPr>
          <w:rFonts w:ascii="Arial" w:cs="Arial" w:eastAsia="Arial" w:hAnsi="Arial"/>
          <w:sz w:val="17"/>
          <w:szCs w:val="17"/>
          <w:b w:val="1"/>
          <w:bCs w:val="1"/>
          <w:color w:val="auto"/>
        </w:rPr>
        <w:t xml:space="preserve"> </w:t>
      </w:r>
      <w:r>
        <w:rPr>
          <w:rFonts w:ascii="Arial" w:cs="Arial" w:eastAsia="Arial" w:hAnsi="Arial"/>
          <w:sz w:val="17"/>
          <w:szCs w:val="17"/>
          <w:color w:val="auto"/>
        </w:rPr>
        <w:t>of directors, upon the unanimous recommendation of the value creation committee of the board, unanimously determined to suspend our quarterly dividend in order to maintain our financial flexibility and best position our company for long-term success. The declaration and amount of all dividends will be at the discretion of our board of directors and will depend upon many factors, including our financial condition, results of operations, cash flows, prospects, industry conditions, capital requirements of our business, covenants associated with certain debt obligations, legal requirements, regulatory constraints, industry practice and other factors the board of directors deems relevant. In addition, our ability to pay dividends is limited by covenants in our Credit Facility. Future agreements may also limit our ability to pay dividends, and we may incur incremental taxes in the United States if we are required to repatriate foreign earnings to pay such dividends. If we elect to pay dividends in the future, the amount per share of our dividend payments may be changed, or dividends may again be suspended, without advance notice. The likelihood that dividends will be reduced or suspended is increased during periods of market weakness. There can be no assurance that we will pay a dividend in the future.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March 31, 2015, we had no off-balance sheet arrangements as defined in Item 303(a)(4)(ii) of Regulation S-K.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color w:val="auto"/>
        </w:rPr>
        <w:t>For additional information about our contractual obligations, refer to “Liquidity and Capital Resources—Contractual Obligations” contained in the Information Statement included in our 2014 Annual Report on Form 10-K. As of March 31, 2015, there were no material changes to this disclosure regarding our contractual obligations made in the Annual Report on Form 10-K.</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For a discussion of the critical accounting policies and estimates that we use in the preparation of our consolidated financial statements, see “Management’s Discussion and Analysis of Financial Condition and Results of Operations” in the Information Statement included in our 2014 Annual Report on Form 10-K. These estimates require significant judgments, assumptions and estimates. We have discussed the development, selection and disclosure of these critical accounting policies and estimates with the audit committee of our board of directors. There have been no material changes to the judgments, assumptions and estimates, upon which our critical accounting estimates are based.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Quantitative and Qualitative Disclosures about Market Risk</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principal market risks are our exposure to changes in interest rates and foreign currency exchange rates.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29"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We have credit facilities that are subject to the risk of higher interest charges associated with increases in interest rates. As of March 31, 2015, we had floating-rate obligations totaling $775.0 million outstanding under our credit facilities. These floating-rate obligations expose us to the risk of increased interest expense in the event of increases in short-term interest rates. If floating interest rates increase by 1%, our consolidated interest expense would increase by a total of approximately $7.75 million annually based on our floating-rate debt obligations as of March 31, 2015.</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Rate Risk</w:t>
      </w:r>
    </w:p>
    <w:p>
      <w:pPr>
        <w:spacing w:after="0" w:line="229"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Our operations are conducted in various countries around the world and we receive revenue and pay expenses from these operations in a number of different currencies. As such, our earnings are subject to movements in foreign currency exchange rates when transactions are denominated in (i) currencies other than the U.S. dollar, which is our functional currency, or (ii) the functional currency of our subsidiaries, which is not necessarily the U.S. dollar. Excluding intercompany balances, our Canadian dollar and Australian dollar functional currency net assets total approximately C$1.0 billion and A$766 million, respectively, at March 31, 2015. We use a sensitivity analysis model to measure the impact of a 10% adverse movement of foreign currency exchange rates against the United States dollar. A hypothetical 10% adverse change in the value of the Canadian dollar and Australian dollar relative to the United States dollar as of March 31, 2015 would result in translation adjustments of approximately $102 million and $77 million, respectively, recorded in other comprehensive loss. Although we do not currently have any foreign exchange agreements outstanding, in order to reduce our exposure to fluctuations in currency exchange rates, we may enter into foreign exchange agreements with financial institutions in the future.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As of the end of the period covered by this Quarterly Report on Form 10-Q, we carried out an evaluation, under the supervision and with the participation of our management, including our Chief Executive Officer and Chief Financial Officer, of the effectiveness of the design and operation of our disclosure controls and procedures (as defined in Rules 13a-15(e) and 15d-15(e) of the Exchange Act). Our disclosure controls and procedures are designed to provide reasonable assurance that the information required to be disclosed by us in reports that we file under the Exchange Act is accumulated and communicated to our management, including our Chief Executive Officer and Chief Financial Officer, as appropriate, to allow timely decisions regarding required disclosure and is recorded, processed, summarized and reported within the time periods specified in the rules and forms of the SEC. Based upon that evaluation, our Chief Executive Officer and Chief Financial Officer concluded that our disclosure controls and procedures were effective as of March 31, 2015 at the reasonable assurance level.</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firstLine="324"/>
        <w:spacing w:after="0" w:line="342" w:lineRule="auto"/>
        <w:rPr>
          <w:sz w:val="20"/>
          <w:szCs w:val="20"/>
          <w:color w:val="auto"/>
        </w:rPr>
      </w:pPr>
      <w:r>
        <w:rPr>
          <w:rFonts w:ascii="Arial" w:cs="Arial" w:eastAsia="Arial" w:hAnsi="Arial"/>
          <w:sz w:val="16"/>
          <w:szCs w:val="16"/>
          <w:color w:val="auto"/>
        </w:rPr>
        <w:t>During the three months ended March 31, 2015, there were no changes in our internal control over financial reporting (as defined in Rules 13a-15(f) and 15d-15(f) of the Exchange Act) which have materially affected, or are reasonably likely to materially affect, our internal control over financial reporting.</w:t>
      </w:r>
    </w:p>
    <w:p>
      <w:pPr>
        <w:spacing w:after="0" w:line="36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20"/>
          </w:cols>
          <w:pgMar w:left="240" w:top="580" w:right="339" w:bottom="1440" w:gutter="0" w:footer="0" w:header="0"/>
        </w:sectPr>
      </w:pPr>
    </w:p>
    <w:bookmarkStart w:id="32" w:name="page33"/>
    <w:bookmarkEnd w:id="32"/>
    <w:p>
      <w:pPr>
        <w:jc w:val="center"/>
        <w:ind w:left="340"/>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Legal Proceedings</w:t>
      </w:r>
    </w:p>
    <w:p>
      <w:pPr>
        <w:spacing w:after="0" w:line="229" w:lineRule="exact"/>
        <w:rPr>
          <w:sz w:val="20"/>
          <w:szCs w:val="20"/>
          <w:color w:val="auto"/>
        </w:rPr>
      </w:pPr>
    </w:p>
    <w:p>
      <w:pPr>
        <w:ind w:right="80" w:firstLine="324"/>
        <w:spacing w:after="0" w:line="291" w:lineRule="auto"/>
        <w:rPr>
          <w:sz w:val="20"/>
          <w:szCs w:val="20"/>
          <w:color w:val="auto"/>
        </w:rPr>
      </w:pPr>
      <w:r>
        <w:rPr>
          <w:rFonts w:ascii="Arial" w:cs="Arial" w:eastAsia="Arial" w:hAnsi="Arial"/>
          <w:sz w:val="16"/>
          <w:szCs w:val="16"/>
          <w:color w:val="auto"/>
        </w:rPr>
        <w:t>We are a party to various pending or threatened claims, lawsuits and administrative proceedings seeking damages or other remedies concerning our commercial operations, products, employees and other matters, including occasional claims by individuals alleging exposure to hazardous materials as a result of our products or operations. Some of these claims relate to matters occurring prior to our acquisition of businesses, and some relate to businesses we have sold. In certain cases, we are entitled to indemnification from the sellers of businesses, and in other cases, we have indemnified the buyers of businesses from us. Although we can give no assurance about the outcome of pending legal and administrative proceedings and the effect such outcomes may have on us, we believe that any ultimate liability resulting from the outcome of such proceedings, to the extent not otherwise provided for or covered by indemnity or insurance, will not have a material adverse effect on our consolidated financial position, results of operations or liquidity.</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229" w:lineRule="exact"/>
        <w:rPr>
          <w:sz w:val="20"/>
          <w:szCs w:val="20"/>
          <w:color w:val="auto"/>
        </w:rPr>
      </w:pPr>
    </w:p>
    <w:p>
      <w:pPr>
        <w:ind w:right="540" w:firstLine="324"/>
        <w:spacing w:after="0" w:line="277" w:lineRule="auto"/>
        <w:rPr>
          <w:sz w:val="20"/>
          <w:szCs w:val="20"/>
          <w:color w:val="auto"/>
        </w:rPr>
      </w:pPr>
      <w:r>
        <w:rPr>
          <w:rFonts w:ascii="Arial" w:cs="Arial" w:eastAsia="Arial" w:hAnsi="Arial"/>
          <w:sz w:val="18"/>
          <w:szCs w:val="18"/>
          <w:color w:val="auto"/>
        </w:rPr>
        <w:t>For additional information about our risk factors, please read the section entitled “Risk Factors” in the Information Statement included in our 2014 Annual Report on Form 10-K.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Unregistered Sales of Equity Securities and Use of Proceeds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provides information about purchases of our common stock during the three months ended March 31, 2015.</w:t>
      </w:r>
    </w:p>
    <w:p>
      <w:pPr>
        <w:spacing w:after="0" w:line="216" w:lineRule="exact"/>
        <w:rPr>
          <w:sz w:val="20"/>
          <w:szCs w:val="20"/>
          <w:color w:val="auto"/>
        </w:rPr>
      </w:pPr>
    </w:p>
    <w:tbl>
      <w:tblPr>
        <w:tblLayout w:type="fixed"/>
        <w:tblInd w:w="330" w:type="dxa"/>
        <w:tblCellMar>
          <w:top w:w="0" w:type="dxa"/>
          <w:left w:w="0" w:type="dxa"/>
          <w:bottom w:w="0" w:type="dxa"/>
          <w:right w:w="0" w:type="dxa"/>
        </w:tblCellMar>
      </w:tblPr>
      <w:tr>
        <w:trPr>
          <w:trHeight w:val="214"/>
        </w:trPr>
        <w:tc>
          <w:tcPr>
            <w:tcW w:w="4340" w:type="dxa"/>
            <w:vAlign w:val="bottom"/>
            <w:tcBorders>
              <w:top w:val="single" w:sz="8" w:color="auto"/>
              <w:left w:val="single" w:sz="8" w:color="auto"/>
              <w:right w:val="single" w:sz="8" w:color="auto"/>
            </w:tcBorders>
          </w:tcPr>
          <w:p>
            <w:pPr>
              <w:ind w:left="1920"/>
              <w:spacing w:after="0"/>
              <w:rPr>
                <w:sz w:val="20"/>
                <w:szCs w:val="20"/>
                <w:color w:val="auto"/>
              </w:rPr>
            </w:pPr>
            <w:r>
              <w:rPr>
                <w:rFonts w:ascii="Arial" w:cs="Arial" w:eastAsia="Arial" w:hAnsi="Arial"/>
                <w:sz w:val="18"/>
                <w:szCs w:val="18"/>
                <w:b w:val="1"/>
                <w:bCs w:val="1"/>
                <w:color w:val="auto"/>
              </w:rPr>
              <w:t>Period</w:t>
            </w:r>
          </w:p>
        </w:tc>
        <w:tc>
          <w:tcPr>
            <w:tcW w:w="1560" w:type="dxa"/>
            <w:vAlign w:val="bottom"/>
            <w:tcBorders>
              <w:top w:val="single" w:sz="8" w:color="auto"/>
              <w:right w:val="single" w:sz="8" w:color="auto"/>
            </w:tcBorders>
          </w:tcPr>
          <w:p>
            <w:pPr>
              <w:jc w:val="center"/>
              <w:ind w:right="32"/>
              <w:spacing w:after="0"/>
              <w:rPr>
                <w:sz w:val="20"/>
                <w:szCs w:val="20"/>
                <w:color w:val="auto"/>
              </w:rPr>
            </w:pPr>
            <w:r>
              <w:rPr>
                <w:rFonts w:ascii="Arial" w:cs="Arial" w:eastAsia="Arial" w:hAnsi="Arial"/>
                <w:sz w:val="18"/>
                <w:szCs w:val="18"/>
                <w:b w:val="1"/>
                <w:bCs w:val="1"/>
                <w:color w:val="auto"/>
                <w:w w:val="93"/>
              </w:rPr>
              <w:t>Total Number</w:t>
            </w:r>
          </w:p>
        </w:tc>
        <w:tc>
          <w:tcPr>
            <w:tcW w:w="1560" w:type="dxa"/>
            <w:vAlign w:val="bottom"/>
            <w:tcBorders>
              <w:top w:val="single" w:sz="8" w:color="auto"/>
              <w:right w:val="single" w:sz="8" w:color="auto"/>
            </w:tcBorders>
            <w:gridSpan w:val="2"/>
          </w:tcPr>
          <w:p>
            <w:pPr>
              <w:jc w:val="right"/>
              <w:ind w:right="214"/>
              <w:spacing w:after="0"/>
              <w:rPr>
                <w:sz w:val="20"/>
                <w:szCs w:val="20"/>
                <w:color w:val="auto"/>
              </w:rPr>
            </w:pPr>
            <w:r>
              <w:rPr>
                <w:rFonts w:ascii="Arial" w:cs="Arial" w:eastAsia="Arial" w:hAnsi="Arial"/>
                <w:sz w:val="18"/>
                <w:szCs w:val="18"/>
                <w:b w:val="1"/>
                <w:bCs w:val="1"/>
                <w:color w:val="auto"/>
              </w:rPr>
              <w:t>Average Price</w:t>
            </w:r>
          </w:p>
        </w:tc>
        <w:tc>
          <w:tcPr>
            <w:tcW w:w="14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Total number</w:t>
            </w:r>
          </w:p>
        </w:tc>
        <w:tc>
          <w:tcPr>
            <w:tcW w:w="14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Maximum</w:t>
            </w:r>
          </w:p>
        </w:tc>
      </w:tr>
      <w:tr>
        <w:trPr>
          <w:trHeight w:val="216"/>
        </w:trPr>
        <w:tc>
          <w:tcPr>
            <w:tcW w:w="4340" w:type="dxa"/>
            <w:vAlign w:val="bottom"/>
            <w:tcBorders>
              <w:left w:val="single" w:sz="8" w:color="auto"/>
              <w:right w:val="single" w:sz="8" w:color="auto"/>
            </w:tcBorders>
          </w:tcPr>
          <w:p>
            <w:pPr>
              <w:spacing w:after="0"/>
              <w:rPr>
                <w:sz w:val="18"/>
                <w:szCs w:val="18"/>
                <w:color w:val="auto"/>
              </w:rPr>
            </w:pPr>
          </w:p>
        </w:tc>
        <w:tc>
          <w:tcPr>
            <w:tcW w:w="1560" w:type="dxa"/>
            <w:vAlign w:val="bottom"/>
            <w:tcBorders>
              <w:right w:val="single" w:sz="8" w:color="auto"/>
            </w:tcBorders>
          </w:tcPr>
          <w:p>
            <w:pPr>
              <w:jc w:val="center"/>
              <w:ind w:right="32"/>
              <w:spacing w:after="0"/>
              <w:rPr>
                <w:sz w:val="20"/>
                <w:szCs w:val="20"/>
                <w:color w:val="auto"/>
              </w:rPr>
            </w:pPr>
            <w:r>
              <w:rPr>
                <w:rFonts w:ascii="Arial" w:cs="Arial" w:eastAsia="Arial" w:hAnsi="Arial"/>
                <w:sz w:val="18"/>
                <w:szCs w:val="18"/>
                <w:b w:val="1"/>
                <w:bCs w:val="1"/>
                <w:color w:val="auto"/>
                <w:w w:val="87"/>
              </w:rPr>
              <w:t>of Shares</w:t>
            </w:r>
          </w:p>
        </w:tc>
        <w:tc>
          <w:tcPr>
            <w:tcW w:w="1560" w:type="dxa"/>
            <w:vAlign w:val="bottom"/>
            <w:tcBorders>
              <w:right w:val="single" w:sz="8" w:color="auto"/>
            </w:tcBorders>
            <w:gridSpan w:val="2"/>
          </w:tcPr>
          <w:p>
            <w:pPr>
              <w:jc w:val="right"/>
              <w:ind w:right="174"/>
              <w:spacing w:after="0"/>
              <w:rPr>
                <w:sz w:val="20"/>
                <w:szCs w:val="20"/>
                <w:color w:val="auto"/>
              </w:rPr>
            </w:pPr>
            <w:r>
              <w:rPr>
                <w:rFonts w:ascii="Arial" w:cs="Arial" w:eastAsia="Arial" w:hAnsi="Arial"/>
                <w:sz w:val="18"/>
                <w:szCs w:val="18"/>
                <w:b w:val="1"/>
                <w:bCs w:val="1"/>
                <w:color w:val="auto"/>
              </w:rPr>
              <w:t>Paid per Share</w:t>
            </w:r>
          </w:p>
        </w:tc>
        <w:tc>
          <w:tcPr>
            <w:tcW w:w="14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4"/>
              </w:rPr>
              <w:t>of shares</w:t>
            </w: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number of</w:t>
            </w:r>
          </w:p>
        </w:tc>
      </w:tr>
      <w:tr>
        <w:trPr>
          <w:trHeight w:val="216"/>
        </w:trPr>
        <w:tc>
          <w:tcPr>
            <w:tcW w:w="4340" w:type="dxa"/>
            <w:vAlign w:val="bottom"/>
            <w:tcBorders>
              <w:left w:val="single" w:sz="8" w:color="auto"/>
              <w:right w:val="single" w:sz="8" w:color="auto"/>
            </w:tcBorders>
          </w:tcPr>
          <w:p>
            <w:pPr>
              <w:spacing w:after="0"/>
              <w:rPr>
                <w:sz w:val="18"/>
                <w:szCs w:val="18"/>
                <w:color w:val="auto"/>
              </w:rPr>
            </w:pPr>
          </w:p>
        </w:tc>
        <w:tc>
          <w:tcPr>
            <w:tcW w:w="1560" w:type="dxa"/>
            <w:vAlign w:val="bottom"/>
            <w:tcBorders>
              <w:right w:val="single" w:sz="8" w:color="auto"/>
            </w:tcBorders>
          </w:tcPr>
          <w:p>
            <w:pPr>
              <w:jc w:val="center"/>
              <w:ind w:right="32"/>
              <w:spacing w:after="0"/>
              <w:rPr>
                <w:sz w:val="20"/>
                <w:szCs w:val="20"/>
                <w:color w:val="auto"/>
              </w:rPr>
            </w:pPr>
            <w:r>
              <w:rPr>
                <w:rFonts w:ascii="Arial" w:cs="Arial" w:eastAsia="Arial" w:hAnsi="Arial"/>
                <w:sz w:val="18"/>
                <w:szCs w:val="18"/>
                <w:b w:val="1"/>
                <w:bCs w:val="1"/>
                <w:color w:val="auto"/>
                <w:w w:val="86"/>
              </w:rPr>
              <w:t>Purchased</w:t>
            </w:r>
          </w:p>
        </w:tc>
        <w:tc>
          <w:tcPr>
            <w:tcW w:w="620" w:type="dxa"/>
            <w:vAlign w:val="bottom"/>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purchased as</w:t>
            </w: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shares that</w:t>
            </w:r>
          </w:p>
        </w:tc>
      </w:tr>
      <w:tr>
        <w:trPr>
          <w:trHeight w:val="216"/>
        </w:trPr>
        <w:tc>
          <w:tcPr>
            <w:tcW w:w="4340" w:type="dxa"/>
            <w:vAlign w:val="bottom"/>
            <w:tcBorders>
              <w:left w:val="single" w:sz="8" w:color="auto"/>
              <w:right w:val="single" w:sz="8" w:color="auto"/>
            </w:tcBorders>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c>
          <w:tcPr>
            <w:tcW w:w="620" w:type="dxa"/>
            <w:vAlign w:val="bottom"/>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part of publicly</w:t>
            </w: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may yet be</w:t>
            </w:r>
          </w:p>
        </w:tc>
      </w:tr>
      <w:tr>
        <w:trPr>
          <w:trHeight w:val="216"/>
        </w:trPr>
        <w:tc>
          <w:tcPr>
            <w:tcW w:w="4340" w:type="dxa"/>
            <w:vAlign w:val="bottom"/>
            <w:tcBorders>
              <w:left w:val="single" w:sz="8" w:color="auto"/>
              <w:right w:val="single" w:sz="8" w:color="auto"/>
            </w:tcBorders>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c>
          <w:tcPr>
            <w:tcW w:w="620" w:type="dxa"/>
            <w:vAlign w:val="bottom"/>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announced</w:t>
            </w: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purchased</w:t>
            </w:r>
          </w:p>
        </w:tc>
      </w:tr>
      <w:tr>
        <w:trPr>
          <w:trHeight w:val="197"/>
        </w:trPr>
        <w:tc>
          <w:tcPr>
            <w:tcW w:w="4340" w:type="dxa"/>
            <w:vAlign w:val="bottom"/>
            <w:tcBorders>
              <w:left w:val="single" w:sz="8" w:color="auto"/>
              <w:right w:val="single" w:sz="8" w:color="auto"/>
            </w:tcBorders>
          </w:tcPr>
          <w:p>
            <w:pPr>
              <w:spacing w:after="0"/>
              <w:rPr>
                <w:sz w:val="17"/>
                <w:szCs w:val="17"/>
                <w:color w:val="auto"/>
              </w:rPr>
            </w:pPr>
          </w:p>
        </w:tc>
        <w:tc>
          <w:tcPr>
            <w:tcW w:w="1560" w:type="dxa"/>
            <w:vAlign w:val="bottom"/>
            <w:tcBorders>
              <w:right w:val="single" w:sz="8" w:color="auto"/>
            </w:tcBorders>
          </w:tcPr>
          <w:p>
            <w:pPr>
              <w:spacing w:after="0"/>
              <w:rPr>
                <w:sz w:val="17"/>
                <w:szCs w:val="17"/>
                <w:color w:val="auto"/>
              </w:rPr>
            </w:pPr>
          </w:p>
        </w:tc>
        <w:tc>
          <w:tcPr>
            <w:tcW w:w="620" w:type="dxa"/>
            <w:vAlign w:val="bottom"/>
          </w:tcPr>
          <w:p>
            <w:pPr>
              <w:spacing w:after="0"/>
              <w:rPr>
                <w:sz w:val="17"/>
                <w:szCs w:val="17"/>
                <w:color w:val="auto"/>
              </w:rPr>
            </w:pPr>
          </w:p>
        </w:tc>
        <w:tc>
          <w:tcPr>
            <w:tcW w:w="940" w:type="dxa"/>
            <w:vAlign w:val="bottom"/>
            <w:tcBorders>
              <w:right w:val="single" w:sz="8" w:color="auto"/>
            </w:tcBorders>
          </w:tcPr>
          <w:p>
            <w:pPr>
              <w:spacing w:after="0"/>
              <w:rPr>
                <w:sz w:val="17"/>
                <w:szCs w:val="17"/>
                <w:color w:val="auto"/>
              </w:rPr>
            </w:pPr>
          </w:p>
        </w:tc>
        <w:tc>
          <w:tcPr>
            <w:tcW w:w="1400" w:type="dxa"/>
            <w:vAlign w:val="bottom"/>
            <w:tcBorders>
              <w:right w:val="single" w:sz="8" w:color="auto"/>
            </w:tcBorders>
          </w:tcPr>
          <w:p>
            <w:pPr>
              <w:jc w:val="center"/>
              <w:spacing w:after="0" w:line="197" w:lineRule="exact"/>
              <w:rPr>
                <w:sz w:val="20"/>
                <w:szCs w:val="20"/>
                <w:color w:val="auto"/>
              </w:rPr>
            </w:pPr>
            <w:r>
              <w:rPr>
                <w:rFonts w:ascii="Arial" w:cs="Arial" w:eastAsia="Arial" w:hAnsi="Arial"/>
                <w:sz w:val="18"/>
                <w:szCs w:val="18"/>
                <w:b w:val="1"/>
                <w:bCs w:val="1"/>
                <w:color w:val="auto"/>
                <w:w w:val="88"/>
              </w:rPr>
              <w:t>plans or</w:t>
            </w:r>
          </w:p>
        </w:tc>
        <w:tc>
          <w:tcPr>
            <w:tcW w:w="1420" w:type="dxa"/>
            <w:vAlign w:val="bottom"/>
            <w:tcBorders>
              <w:right w:val="single" w:sz="8" w:color="auto"/>
            </w:tcBorders>
          </w:tcPr>
          <w:p>
            <w:pPr>
              <w:jc w:val="center"/>
              <w:spacing w:after="0" w:line="197" w:lineRule="exact"/>
              <w:rPr>
                <w:sz w:val="20"/>
                <w:szCs w:val="20"/>
                <w:color w:val="auto"/>
              </w:rPr>
            </w:pPr>
            <w:r>
              <w:rPr>
                <w:rFonts w:ascii="Arial" w:cs="Arial" w:eastAsia="Arial" w:hAnsi="Arial"/>
                <w:sz w:val="18"/>
                <w:szCs w:val="18"/>
                <w:b w:val="1"/>
                <w:bCs w:val="1"/>
                <w:color w:val="auto"/>
                <w:w w:val="89"/>
              </w:rPr>
              <w:t>under the plans</w:t>
            </w:r>
          </w:p>
        </w:tc>
      </w:tr>
      <w:tr>
        <w:trPr>
          <w:trHeight w:val="254"/>
        </w:trPr>
        <w:tc>
          <w:tcPr>
            <w:tcW w:w="4340" w:type="dxa"/>
            <w:vAlign w:val="bottom"/>
            <w:tcBorders>
              <w:left w:val="single" w:sz="8" w:color="auto"/>
              <w:bottom w:val="single" w:sz="8" w:color="auto"/>
              <w:right w:val="single" w:sz="8" w:color="auto"/>
            </w:tcBorders>
          </w:tcPr>
          <w:p>
            <w:pPr>
              <w:spacing w:after="0"/>
              <w:rPr>
                <w:sz w:val="22"/>
                <w:szCs w:val="22"/>
                <w:color w:val="auto"/>
              </w:rPr>
            </w:pPr>
          </w:p>
        </w:tc>
        <w:tc>
          <w:tcPr>
            <w:tcW w:w="1560" w:type="dxa"/>
            <w:vAlign w:val="bottom"/>
            <w:tcBorders>
              <w:bottom w:val="single" w:sz="8" w:color="auto"/>
              <w:right w:val="single" w:sz="8" w:color="auto"/>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940" w:type="dxa"/>
            <w:vAlign w:val="bottom"/>
            <w:tcBorders>
              <w:bottom w:val="single" w:sz="8" w:color="auto"/>
              <w:right w:val="single" w:sz="8" w:color="auto"/>
            </w:tcBorders>
          </w:tcPr>
          <w:p>
            <w:pPr>
              <w:spacing w:after="0"/>
              <w:rPr>
                <w:sz w:val="22"/>
                <w:szCs w:val="22"/>
                <w:color w:val="auto"/>
              </w:rPr>
            </w:pPr>
          </w:p>
        </w:tc>
        <w:tc>
          <w:tcPr>
            <w:tcW w:w="1400" w:type="dxa"/>
            <w:vAlign w:val="bottom"/>
            <w:tcBorders>
              <w:bottom w:val="single" w:sz="8" w:color="auto"/>
              <w:right w:val="single" w:sz="8" w:color="auto"/>
            </w:tcBorders>
          </w:tcPr>
          <w:p>
            <w:pPr>
              <w:jc w:val="center"/>
              <w:spacing w:after="0" w:line="253" w:lineRule="exact"/>
              <w:rPr>
                <w:sz w:val="20"/>
                <w:szCs w:val="20"/>
                <w:color w:val="auto"/>
              </w:rPr>
            </w:pPr>
            <w:r>
              <w:rPr>
                <w:rFonts w:ascii="Arial" w:cs="Arial" w:eastAsia="Arial" w:hAnsi="Arial"/>
                <w:sz w:val="18"/>
                <w:szCs w:val="18"/>
                <w:b w:val="1"/>
                <w:bCs w:val="1"/>
                <w:color w:val="auto"/>
                <w:w w:val="85"/>
              </w:rPr>
              <w:t xml:space="preserve">programs </w:t>
            </w:r>
            <w:r>
              <w:rPr>
                <w:rFonts w:ascii="Arial" w:cs="Arial" w:eastAsia="Arial" w:hAnsi="Arial"/>
                <w:sz w:val="29"/>
                <w:szCs w:val="29"/>
                <w:color w:val="auto"/>
                <w:w w:val="85"/>
                <w:vertAlign w:val="superscript"/>
              </w:rPr>
              <w:t>(3)</w:t>
            </w:r>
          </w:p>
        </w:tc>
        <w:tc>
          <w:tcPr>
            <w:tcW w:w="1420" w:type="dxa"/>
            <w:vAlign w:val="bottom"/>
            <w:tcBorders>
              <w:bottom w:val="single" w:sz="8" w:color="auto"/>
              <w:right w:val="single" w:sz="8" w:color="auto"/>
            </w:tcBorders>
          </w:tcPr>
          <w:p>
            <w:pPr>
              <w:jc w:val="center"/>
              <w:spacing w:after="0" w:line="253" w:lineRule="exact"/>
              <w:rPr>
                <w:sz w:val="20"/>
                <w:szCs w:val="20"/>
                <w:color w:val="auto"/>
              </w:rPr>
            </w:pPr>
            <w:r>
              <w:rPr>
                <w:rFonts w:ascii="Arial" w:cs="Arial" w:eastAsia="Arial" w:hAnsi="Arial"/>
                <w:sz w:val="18"/>
                <w:szCs w:val="18"/>
                <w:b w:val="1"/>
                <w:bCs w:val="1"/>
                <w:color w:val="auto"/>
                <w:w w:val="86"/>
              </w:rPr>
              <w:t xml:space="preserve">or programs </w:t>
            </w:r>
            <w:r>
              <w:rPr>
                <w:rFonts w:ascii="Arial" w:cs="Arial" w:eastAsia="Arial" w:hAnsi="Arial"/>
                <w:sz w:val="29"/>
                <w:szCs w:val="29"/>
                <w:color w:val="auto"/>
                <w:w w:val="86"/>
                <w:vertAlign w:val="superscript"/>
              </w:rPr>
              <w:t>(3)</w:t>
            </w:r>
          </w:p>
        </w:tc>
      </w:tr>
      <w:tr>
        <w:trPr>
          <w:trHeight w:val="210"/>
        </w:trPr>
        <w:tc>
          <w:tcPr>
            <w:tcW w:w="434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January 1, 2015 – January 31, 2015</w:t>
            </w:r>
          </w:p>
        </w:tc>
        <w:tc>
          <w:tcPr>
            <w:tcW w:w="1560" w:type="dxa"/>
            <w:vAlign w:val="bottom"/>
            <w:tcBorders>
              <w:bottom w:val="single" w:sz="8" w:color="auto"/>
              <w:right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right w:val="single" w:sz="8" w:color="auto"/>
            </w:tcBorders>
            <w:shd w:val="clear" w:color="auto" w:fill="CCEEFF"/>
          </w:tcPr>
          <w:p>
            <w:pPr>
              <w:jc w:val="right"/>
              <w:ind w:right="114"/>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10"/>
        </w:trPr>
        <w:tc>
          <w:tcPr>
            <w:tcW w:w="43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February 1, 2015 – February 28, 2015</w:t>
            </w:r>
          </w:p>
        </w:tc>
        <w:tc>
          <w:tcPr>
            <w:tcW w:w="1560" w:type="dxa"/>
            <w:vAlign w:val="bottom"/>
            <w:tcBorders>
              <w:bottom w:val="single" w:sz="8" w:color="auto"/>
              <w:right w:val="single" w:sz="8" w:color="auto"/>
            </w:tcBorders>
          </w:tcPr>
          <w:p>
            <w:pPr>
              <w:jc w:val="right"/>
              <w:spacing w:after="0" w:line="210" w:lineRule="exact"/>
              <w:rPr>
                <w:sz w:val="20"/>
                <w:szCs w:val="20"/>
                <w:color w:val="auto"/>
              </w:rPr>
            </w:pPr>
            <w:r>
              <w:rPr>
                <w:rFonts w:ascii="Arial" w:cs="Arial" w:eastAsia="Arial" w:hAnsi="Arial"/>
                <w:sz w:val="15"/>
                <w:szCs w:val="15"/>
                <w:color w:val="auto"/>
              </w:rPr>
              <w:t>30,549</w:t>
            </w:r>
            <w:r>
              <w:rPr>
                <w:rFonts w:ascii="Arial" w:cs="Arial" w:eastAsia="Arial" w:hAnsi="Arial"/>
                <w:sz w:val="24"/>
                <w:szCs w:val="24"/>
                <w:color w:val="auto"/>
                <w:vertAlign w:val="superscript"/>
              </w:rPr>
              <w:t>(1)</w:t>
            </w:r>
          </w:p>
        </w:tc>
        <w:tc>
          <w:tcPr>
            <w:tcW w:w="6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right w:val="single" w:sz="8" w:color="auto"/>
            </w:tcBorders>
          </w:tcPr>
          <w:p>
            <w:pPr>
              <w:jc w:val="right"/>
              <w:spacing w:after="0" w:line="210" w:lineRule="exact"/>
              <w:rPr>
                <w:sz w:val="20"/>
                <w:szCs w:val="20"/>
                <w:color w:val="auto"/>
              </w:rPr>
            </w:pPr>
            <w:r>
              <w:rPr>
                <w:rFonts w:ascii="Arial" w:cs="Arial" w:eastAsia="Arial" w:hAnsi="Arial"/>
                <w:sz w:val="15"/>
                <w:szCs w:val="15"/>
                <w:color w:val="auto"/>
              </w:rPr>
              <w:t>3.88</w:t>
            </w:r>
            <w:r>
              <w:rPr>
                <w:rFonts w:ascii="Arial" w:cs="Arial" w:eastAsia="Arial" w:hAnsi="Arial"/>
                <w:sz w:val="24"/>
                <w:szCs w:val="24"/>
                <w:color w:val="auto"/>
                <w:vertAlign w:val="superscript"/>
              </w:rPr>
              <w:t>(2)</w:t>
            </w:r>
          </w:p>
        </w:tc>
        <w:tc>
          <w:tcPr>
            <w:tcW w:w="140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r>
      <w:tr>
        <w:trPr>
          <w:trHeight w:val="210"/>
        </w:trPr>
        <w:tc>
          <w:tcPr>
            <w:tcW w:w="434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March 1, 2015 - March 31, 2015</w:t>
            </w:r>
          </w:p>
        </w:tc>
        <w:tc>
          <w:tcPr>
            <w:tcW w:w="1560" w:type="dxa"/>
            <w:vAlign w:val="bottom"/>
            <w:tcBorders>
              <w:bottom w:val="single" w:sz="8" w:color="auto"/>
              <w:right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right w:val="single" w:sz="8" w:color="auto"/>
            </w:tcBorders>
            <w:shd w:val="clear" w:color="auto" w:fill="CCEEFF"/>
          </w:tcPr>
          <w:p>
            <w:pPr>
              <w:jc w:val="right"/>
              <w:ind w:right="114"/>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06"/>
        </w:trPr>
        <w:tc>
          <w:tcPr>
            <w:tcW w:w="43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Total</w:t>
            </w:r>
          </w:p>
        </w:tc>
        <w:tc>
          <w:tcPr>
            <w:tcW w:w="1560" w:type="dxa"/>
            <w:vAlign w:val="bottom"/>
            <w:tcBorders>
              <w:bottom w:val="single" w:sz="8" w:color="auto"/>
              <w:right w:val="single" w:sz="8" w:color="auto"/>
            </w:tcBorders>
          </w:tcPr>
          <w:p>
            <w:pPr>
              <w:jc w:val="right"/>
              <w:ind w:right="132"/>
              <w:spacing w:after="0"/>
              <w:rPr>
                <w:sz w:val="20"/>
                <w:szCs w:val="20"/>
                <w:color w:val="auto"/>
              </w:rPr>
            </w:pPr>
            <w:r>
              <w:rPr>
                <w:rFonts w:ascii="Arial" w:cs="Arial" w:eastAsia="Arial" w:hAnsi="Arial"/>
                <w:sz w:val="18"/>
                <w:szCs w:val="18"/>
                <w:color w:val="auto"/>
              </w:rPr>
              <w:t>30,549</w:t>
            </w:r>
          </w:p>
        </w:tc>
        <w:tc>
          <w:tcPr>
            <w:tcW w:w="6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right w:val="single" w:sz="8" w:color="auto"/>
            </w:tcBorders>
          </w:tcPr>
          <w:p>
            <w:pPr>
              <w:jc w:val="right"/>
              <w:ind w:right="114"/>
              <w:spacing w:after="0"/>
              <w:rPr>
                <w:sz w:val="20"/>
                <w:szCs w:val="20"/>
                <w:color w:val="auto"/>
              </w:rPr>
            </w:pPr>
            <w:r>
              <w:rPr>
                <w:rFonts w:ascii="Arial" w:cs="Arial" w:eastAsia="Arial" w:hAnsi="Arial"/>
                <w:sz w:val="18"/>
                <w:szCs w:val="18"/>
                <w:color w:val="auto"/>
              </w:rPr>
              <w:t>3.88</w:t>
            </w:r>
          </w:p>
        </w:tc>
        <w:tc>
          <w:tcPr>
            <w:tcW w:w="140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219710</wp:posOffset>
            </wp:positionH>
            <wp:positionV relativeFrom="paragraph">
              <wp:posOffset>-438785</wp:posOffset>
            </wp:positionV>
            <wp:extent cx="6500495" cy="1460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500495" cy="14605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-147320</wp:posOffset>
            </wp:positionV>
            <wp:extent cx="6500495" cy="1371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500495" cy="137160"/>
                    </a:xfrm>
                    <a:prstGeom prst="rect">
                      <a:avLst/>
                    </a:prstGeom>
                    <a:noFill/>
                  </pic:spPr>
                </pic:pic>
              </a:graphicData>
            </a:graphic>
          </wp:anchor>
        </w:drawing>
      </w:r>
    </w:p>
    <w:p>
      <w:pPr>
        <w:spacing w:after="0" w:line="178" w:lineRule="exact"/>
        <w:rPr>
          <w:sz w:val="20"/>
          <w:szCs w:val="20"/>
          <w:color w:val="auto"/>
        </w:rPr>
      </w:pPr>
    </w:p>
    <w:p>
      <w:pPr>
        <w:ind w:left="660" w:hanging="328"/>
        <w:spacing w:after="0" w:line="258"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Consists of shares surrendered to us by participants in our 2014 Equity Participation Plan to settle the participants’ personal tax liabilities that resulted from the lapsing of restrictions on shares awarded to the participants under the plan.</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price paid per share was based on the closing price of our common stock on February 16, 2015, February 17, 2015 and February 19, 2015 which represents the dates the restrictions lapsed on such shares.</w:t>
      </w: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did not have at any time during the quarter, and currently do not have, a share repurchase program in place.</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  INDEX OF EXHIBITS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960" w:type="dxa"/>
            <w:vAlign w:val="bottom"/>
            <w:gridSpan w:val="2"/>
          </w:tcPr>
          <w:p>
            <w:pPr>
              <w:spacing w:after="0"/>
              <w:rPr>
                <w:sz w:val="20"/>
                <w:szCs w:val="20"/>
                <w:color w:val="auto"/>
              </w:rPr>
            </w:pPr>
            <w:r>
              <w:rPr>
                <w:rFonts w:ascii="Arial" w:cs="Arial" w:eastAsia="Arial" w:hAnsi="Arial"/>
                <w:sz w:val="18"/>
                <w:szCs w:val="18"/>
                <w:b w:val="1"/>
                <w:bCs w:val="1"/>
                <w:color w:val="auto"/>
                <w:w w:val="99"/>
              </w:rPr>
              <w:t>Exhibit No.</w:t>
            </w:r>
          </w:p>
        </w:tc>
        <w:tc>
          <w:tcPr>
            <w:tcW w:w="340" w:type="dxa"/>
            <w:vAlign w:val="bottom"/>
          </w:tcPr>
          <w:p>
            <w:pPr>
              <w:spacing w:after="0"/>
              <w:rPr>
                <w:sz w:val="17"/>
                <w:szCs w:val="17"/>
                <w:color w:val="auto"/>
              </w:rPr>
            </w:pPr>
          </w:p>
        </w:tc>
        <w:tc>
          <w:tcPr>
            <w:tcW w:w="4640" w:type="dxa"/>
            <w:vAlign w:val="bottom"/>
          </w:tcPr>
          <w:p>
            <w:pPr>
              <w:spacing w:after="0"/>
              <w:rPr>
                <w:sz w:val="17"/>
                <w:szCs w:val="17"/>
                <w:color w:val="auto"/>
              </w:rPr>
            </w:pPr>
          </w:p>
        </w:tc>
        <w:tc>
          <w:tcPr>
            <w:tcW w:w="5460" w:type="dxa"/>
            <w:vAlign w:val="bottom"/>
            <w:gridSpan w:val="2"/>
          </w:tcPr>
          <w:p>
            <w:pPr>
              <w:spacing w:after="0"/>
              <w:rPr>
                <w:sz w:val="20"/>
                <w:szCs w:val="20"/>
                <w:color w:val="auto"/>
              </w:rPr>
            </w:pPr>
            <w:r>
              <w:rPr>
                <w:rFonts w:ascii="Arial" w:cs="Arial" w:eastAsia="Arial" w:hAnsi="Arial"/>
                <w:sz w:val="18"/>
                <w:szCs w:val="18"/>
                <w:b w:val="1"/>
                <w:bCs w:val="1"/>
                <w:color w:val="auto"/>
              </w:rPr>
              <w:t>Description</w:t>
            </w:r>
          </w:p>
        </w:tc>
      </w:tr>
      <w:tr>
        <w:trPr>
          <w:trHeight w:val="20"/>
        </w:trPr>
        <w:tc>
          <w:tcPr>
            <w:tcW w:w="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r>
      <w:tr>
        <w:trPr>
          <w:trHeight w:val="438"/>
        </w:trPr>
        <w:tc>
          <w:tcPr>
            <w:tcW w:w="20" w:type="dxa"/>
            <w:vAlign w:val="bottom"/>
          </w:tcPr>
          <w:p>
            <w:pPr>
              <w:spacing w:after="0"/>
              <w:rPr>
                <w:sz w:val="24"/>
                <w:szCs w:val="24"/>
                <w:color w:val="auto"/>
              </w:rPr>
            </w:pPr>
          </w:p>
        </w:tc>
        <w:tc>
          <w:tcPr>
            <w:tcW w:w="880" w:type="dxa"/>
            <w:vAlign w:val="bottom"/>
          </w:tcPr>
          <w:p>
            <w:pPr>
              <w:jc w:val="right"/>
              <w:ind w:right="170"/>
              <w:spacing w:after="0"/>
              <w:rPr>
                <w:sz w:val="20"/>
                <w:szCs w:val="20"/>
                <w:color w:val="auto"/>
              </w:rPr>
            </w:pPr>
            <w:r>
              <w:rPr>
                <w:rFonts w:ascii="Arial" w:cs="Arial" w:eastAsia="Arial" w:hAnsi="Arial"/>
                <w:sz w:val="18"/>
                <w:szCs w:val="18"/>
                <w:color w:val="auto"/>
              </w:rPr>
              <w:t>2.1</w:t>
            </w:r>
          </w:p>
        </w:tc>
        <w:tc>
          <w:tcPr>
            <w:tcW w:w="80" w:type="dxa"/>
            <w:vAlign w:val="bottom"/>
          </w:tcPr>
          <w:p>
            <w:pPr>
              <w:spacing w:after="0"/>
              <w:rPr>
                <w:sz w:val="24"/>
                <w:szCs w:val="24"/>
                <w:color w:val="auto"/>
              </w:rPr>
            </w:pPr>
          </w:p>
        </w:tc>
        <w:tc>
          <w:tcPr>
            <w:tcW w:w="340" w:type="dxa"/>
            <w:vAlign w:val="bottom"/>
          </w:tcPr>
          <w:p>
            <w:pPr>
              <w:ind w:left="80"/>
              <w:spacing w:after="0"/>
              <w:rPr>
                <w:sz w:val="20"/>
                <w:szCs w:val="20"/>
                <w:color w:val="auto"/>
              </w:rPr>
            </w:pPr>
            <w:r>
              <w:rPr>
                <w:rFonts w:ascii="Arial" w:cs="Arial" w:eastAsia="Arial" w:hAnsi="Arial"/>
                <w:sz w:val="18"/>
                <w:szCs w:val="18"/>
                <w:color w:val="auto"/>
              </w:rPr>
              <w:t>—</w:t>
            </w:r>
          </w:p>
        </w:tc>
        <w:tc>
          <w:tcPr>
            <w:tcW w:w="10100" w:type="dxa"/>
            <w:vAlign w:val="bottom"/>
            <w:gridSpan w:val="3"/>
          </w:tcPr>
          <w:p>
            <w:pPr>
              <w:ind w:left="60"/>
              <w:spacing w:after="0"/>
              <w:rPr>
                <w:sz w:val="20"/>
                <w:szCs w:val="20"/>
                <w:color w:val="auto"/>
              </w:rPr>
            </w:pPr>
            <w:r>
              <w:rPr>
                <w:rFonts w:ascii="Arial" w:cs="Arial" w:eastAsia="Arial" w:hAnsi="Arial"/>
                <w:sz w:val="18"/>
                <w:szCs w:val="18"/>
                <w:color w:val="auto"/>
                <w:w w:val="96"/>
              </w:rPr>
              <w:t>Agreement and Plan of Merger, dated as of April 6, 2015, among Civeo Corporation, Civeo Canadian Holdings ULC and Civeo US</w:t>
            </w:r>
          </w:p>
        </w:tc>
      </w:tr>
      <w:tr>
        <w:trPr>
          <w:trHeight w:val="216"/>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100" w:type="dxa"/>
            <w:vAlign w:val="bottom"/>
            <w:gridSpan w:val="3"/>
          </w:tcPr>
          <w:p>
            <w:pPr>
              <w:ind w:left="60"/>
              <w:spacing w:after="0"/>
              <w:rPr>
                <w:sz w:val="20"/>
                <w:szCs w:val="20"/>
                <w:color w:val="auto"/>
              </w:rPr>
            </w:pPr>
            <w:r>
              <w:rPr>
                <w:rFonts w:ascii="Arial" w:cs="Arial" w:eastAsia="Arial" w:hAnsi="Arial"/>
                <w:sz w:val="18"/>
                <w:szCs w:val="18"/>
                <w:color w:val="auto"/>
                <w:w w:val="94"/>
              </w:rPr>
              <w:t>Merger Co (incorporated by reference to Annex A of Civeo Corporation’s definitive proxy statement/prospectus on Schedule 14A filed</w:t>
            </w:r>
          </w:p>
        </w:tc>
      </w:tr>
      <w:tr>
        <w:trPr>
          <w:trHeight w:val="230"/>
        </w:trPr>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100" w:type="dxa"/>
            <w:vAlign w:val="bottom"/>
            <w:gridSpan w:val="3"/>
          </w:tcPr>
          <w:p>
            <w:pPr>
              <w:ind w:left="60"/>
              <w:spacing w:after="0"/>
              <w:rPr>
                <w:sz w:val="20"/>
                <w:szCs w:val="20"/>
                <w:color w:val="auto"/>
              </w:rPr>
            </w:pPr>
            <w:r>
              <w:rPr>
                <w:rFonts w:ascii="Arial" w:cs="Arial" w:eastAsia="Arial" w:hAnsi="Arial"/>
                <w:sz w:val="18"/>
                <w:szCs w:val="18"/>
                <w:color w:val="auto"/>
              </w:rPr>
              <w:t>with the SEC on April 8, 2015).</w:t>
            </w:r>
          </w:p>
        </w:tc>
      </w:tr>
      <w:tr>
        <w:trPr>
          <w:trHeight w:val="418"/>
        </w:trPr>
        <w:tc>
          <w:tcPr>
            <w:tcW w:w="900" w:type="dxa"/>
            <w:vAlign w:val="bottom"/>
            <w:gridSpan w:val="2"/>
          </w:tcPr>
          <w:p>
            <w:pPr>
              <w:jc w:val="right"/>
              <w:ind w:right="70"/>
              <w:spacing w:after="0"/>
              <w:rPr>
                <w:sz w:val="20"/>
                <w:szCs w:val="20"/>
                <w:color w:val="auto"/>
              </w:rPr>
            </w:pPr>
            <w:r>
              <w:rPr>
                <w:rFonts w:ascii="Arial" w:cs="Arial" w:eastAsia="Arial" w:hAnsi="Arial"/>
                <w:sz w:val="18"/>
                <w:szCs w:val="18"/>
                <w:color w:val="auto"/>
              </w:rPr>
              <w:t>31.1*</w:t>
            </w:r>
          </w:p>
        </w:tc>
        <w:tc>
          <w:tcPr>
            <w:tcW w:w="80" w:type="dxa"/>
            <w:vAlign w:val="bottom"/>
          </w:tcPr>
          <w:p>
            <w:pPr>
              <w:spacing w:after="0"/>
              <w:rPr>
                <w:sz w:val="24"/>
                <w:szCs w:val="24"/>
                <w:color w:val="auto"/>
              </w:rPr>
            </w:pPr>
          </w:p>
        </w:tc>
        <w:tc>
          <w:tcPr>
            <w:tcW w:w="10440" w:type="dxa"/>
            <w:vAlign w:val="bottom"/>
            <w:gridSpan w:val="4"/>
          </w:tcPr>
          <w:p>
            <w:pPr>
              <w:ind w:left="80"/>
              <w:spacing w:after="0"/>
              <w:rPr>
                <w:sz w:val="20"/>
                <w:szCs w:val="20"/>
                <w:color w:val="auto"/>
              </w:rPr>
            </w:pPr>
            <w:r>
              <w:rPr>
                <w:rFonts w:ascii="Arial" w:cs="Arial" w:eastAsia="Arial" w:hAnsi="Arial"/>
                <w:sz w:val="18"/>
                <w:szCs w:val="18"/>
                <w:color w:val="auto"/>
                <w:w w:val="94"/>
              </w:rPr>
              <w:t>—  Certification of Chief Executive Officer of Civeo Corporation, pursuant to Rules 13a-14(a) or 15d-14(a) under the Securities Exchange</w:t>
            </w:r>
          </w:p>
        </w:tc>
      </w:tr>
      <w:tr>
        <w:trPr>
          <w:trHeight w:val="230"/>
        </w:trPr>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100" w:type="dxa"/>
            <w:vAlign w:val="bottom"/>
            <w:gridSpan w:val="3"/>
          </w:tcPr>
          <w:p>
            <w:pPr>
              <w:ind w:left="60"/>
              <w:spacing w:after="0"/>
              <w:rPr>
                <w:sz w:val="20"/>
                <w:szCs w:val="20"/>
                <w:color w:val="auto"/>
              </w:rPr>
            </w:pPr>
            <w:r>
              <w:rPr>
                <w:rFonts w:ascii="Arial" w:cs="Arial" w:eastAsia="Arial" w:hAnsi="Arial"/>
                <w:sz w:val="18"/>
                <w:szCs w:val="18"/>
                <w:color w:val="auto"/>
              </w:rPr>
              <w:t>Act of 1934.</w:t>
            </w:r>
          </w:p>
        </w:tc>
      </w:tr>
      <w:tr>
        <w:trPr>
          <w:trHeight w:val="418"/>
        </w:trPr>
        <w:tc>
          <w:tcPr>
            <w:tcW w:w="900" w:type="dxa"/>
            <w:vAlign w:val="bottom"/>
            <w:gridSpan w:val="2"/>
          </w:tcPr>
          <w:p>
            <w:pPr>
              <w:jc w:val="right"/>
              <w:ind w:right="70"/>
              <w:spacing w:after="0"/>
              <w:rPr>
                <w:sz w:val="20"/>
                <w:szCs w:val="20"/>
                <w:color w:val="auto"/>
              </w:rPr>
            </w:pPr>
            <w:r>
              <w:rPr>
                <w:rFonts w:ascii="Arial" w:cs="Arial" w:eastAsia="Arial" w:hAnsi="Arial"/>
                <w:sz w:val="18"/>
                <w:szCs w:val="18"/>
                <w:color w:val="auto"/>
              </w:rPr>
              <w:t>31.2*</w:t>
            </w:r>
          </w:p>
        </w:tc>
        <w:tc>
          <w:tcPr>
            <w:tcW w:w="80" w:type="dxa"/>
            <w:vAlign w:val="bottom"/>
          </w:tcPr>
          <w:p>
            <w:pPr>
              <w:spacing w:after="0"/>
              <w:rPr>
                <w:sz w:val="24"/>
                <w:szCs w:val="24"/>
                <w:color w:val="auto"/>
              </w:rPr>
            </w:pPr>
          </w:p>
        </w:tc>
        <w:tc>
          <w:tcPr>
            <w:tcW w:w="10440" w:type="dxa"/>
            <w:vAlign w:val="bottom"/>
            <w:gridSpan w:val="4"/>
          </w:tcPr>
          <w:p>
            <w:pPr>
              <w:ind w:left="80"/>
              <w:spacing w:after="0"/>
              <w:rPr>
                <w:sz w:val="20"/>
                <w:szCs w:val="20"/>
                <w:color w:val="auto"/>
              </w:rPr>
            </w:pPr>
            <w:r>
              <w:rPr>
                <w:rFonts w:ascii="Arial" w:cs="Arial" w:eastAsia="Arial" w:hAnsi="Arial"/>
                <w:sz w:val="18"/>
                <w:szCs w:val="18"/>
                <w:color w:val="auto"/>
                <w:w w:val="92"/>
              </w:rPr>
              <w:t>—  Certification of Chief Financial Officer of Civeo Corporation, pursuant to Rules 13a-14(a) or 15d-14(a) under the Securities Exchange Act</w:t>
            </w:r>
          </w:p>
        </w:tc>
      </w:tr>
      <w:tr>
        <w:trPr>
          <w:trHeight w:val="230"/>
        </w:trPr>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100" w:type="dxa"/>
            <w:vAlign w:val="bottom"/>
            <w:gridSpan w:val="3"/>
          </w:tcPr>
          <w:p>
            <w:pPr>
              <w:ind w:left="60"/>
              <w:spacing w:after="0"/>
              <w:rPr>
                <w:sz w:val="20"/>
                <w:szCs w:val="20"/>
                <w:color w:val="auto"/>
              </w:rPr>
            </w:pPr>
            <w:r>
              <w:rPr>
                <w:rFonts w:ascii="Arial" w:cs="Arial" w:eastAsia="Arial" w:hAnsi="Arial"/>
                <w:sz w:val="18"/>
                <w:szCs w:val="18"/>
                <w:color w:val="auto"/>
              </w:rPr>
              <w:t>of 1934.</w:t>
            </w:r>
          </w:p>
        </w:tc>
      </w:tr>
      <w:tr>
        <w:trPr>
          <w:trHeight w:val="418"/>
        </w:trPr>
        <w:tc>
          <w:tcPr>
            <w:tcW w:w="20" w:type="dxa"/>
            <w:vAlign w:val="bottom"/>
          </w:tcPr>
          <w:p>
            <w:pPr>
              <w:spacing w:after="0"/>
              <w:rPr>
                <w:sz w:val="24"/>
                <w:szCs w:val="24"/>
                <w:color w:val="auto"/>
              </w:rPr>
            </w:pPr>
          </w:p>
        </w:tc>
        <w:tc>
          <w:tcPr>
            <w:tcW w:w="1300" w:type="dxa"/>
            <w:vAlign w:val="bottom"/>
            <w:gridSpan w:val="3"/>
          </w:tcPr>
          <w:p>
            <w:pPr>
              <w:jc w:val="right"/>
              <w:spacing w:after="0"/>
              <w:rPr>
                <w:sz w:val="20"/>
                <w:szCs w:val="20"/>
                <w:color w:val="auto"/>
              </w:rPr>
            </w:pPr>
            <w:r>
              <w:rPr>
                <w:rFonts w:ascii="Arial" w:cs="Arial" w:eastAsia="Arial" w:hAnsi="Arial"/>
                <w:sz w:val="18"/>
                <w:szCs w:val="18"/>
                <w:color w:val="auto"/>
              </w:rPr>
              <w:t>32.1**   —</w:t>
            </w:r>
          </w:p>
        </w:tc>
        <w:tc>
          <w:tcPr>
            <w:tcW w:w="10100" w:type="dxa"/>
            <w:vAlign w:val="bottom"/>
            <w:gridSpan w:val="3"/>
          </w:tcPr>
          <w:p>
            <w:pPr>
              <w:ind w:left="60"/>
              <w:spacing w:after="0"/>
              <w:rPr>
                <w:sz w:val="20"/>
                <w:szCs w:val="20"/>
                <w:color w:val="auto"/>
              </w:rPr>
            </w:pPr>
            <w:r>
              <w:rPr>
                <w:rFonts w:ascii="Arial" w:cs="Arial" w:eastAsia="Arial" w:hAnsi="Arial"/>
                <w:sz w:val="18"/>
                <w:szCs w:val="18"/>
                <w:color w:val="auto"/>
                <w:w w:val="94"/>
              </w:rPr>
              <w:t>Certification of Chief Executive Officer of Civeo Corporation, pursuant to Rules 13a-14(b) or 15d-14(b) under the Securities Exchange</w:t>
            </w:r>
          </w:p>
        </w:tc>
      </w:tr>
      <w:tr>
        <w:trPr>
          <w:trHeight w:val="230"/>
        </w:trPr>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100" w:type="dxa"/>
            <w:vAlign w:val="bottom"/>
            <w:gridSpan w:val="3"/>
          </w:tcPr>
          <w:p>
            <w:pPr>
              <w:ind w:left="60"/>
              <w:spacing w:after="0"/>
              <w:rPr>
                <w:sz w:val="20"/>
                <w:szCs w:val="20"/>
                <w:color w:val="auto"/>
              </w:rPr>
            </w:pPr>
            <w:r>
              <w:rPr>
                <w:rFonts w:ascii="Arial" w:cs="Arial" w:eastAsia="Arial" w:hAnsi="Arial"/>
                <w:sz w:val="18"/>
                <w:szCs w:val="18"/>
                <w:color w:val="auto"/>
              </w:rPr>
              <w:t>Act of 1934.</w:t>
            </w:r>
          </w:p>
        </w:tc>
      </w:tr>
      <w:tr>
        <w:trPr>
          <w:trHeight w:val="418"/>
        </w:trPr>
        <w:tc>
          <w:tcPr>
            <w:tcW w:w="900" w:type="dxa"/>
            <w:vAlign w:val="bottom"/>
            <w:gridSpan w:val="2"/>
          </w:tcPr>
          <w:p>
            <w:pPr>
              <w:jc w:val="right"/>
              <w:spacing w:after="0"/>
              <w:rPr>
                <w:sz w:val="20"/>
                <w:szCs w:val="20"/>
                <w:color w:val="auto"/>
              </w:rPr>
            </w:pPr>
            <w:r>
              <w:rPr>
                <w:rFonts w:ascii="Arial" w:cs="Arial" w:eastAsia="Arial" w:hAnsi="Arial"/>
                <w:sz w:val="18"/>
                <w:szCs w:val="18"/>
                <w:color w:val="auto"/>
              </w:rPr>
              <w:t>32.2**</w:t>
            </w:r>
          </w:p>
        </w:tc>
        <w:tc>
          <w:tcPr>
            <w:tcW w:w="80" w:type="dxa"/>
            <w:vAlign w:val="bottom"/>
          </w:tcPr>
          <w:p>
            <w:pPr>
              <w:spacing w:after="0"/>
              <w:rPr>
                <w:sz w:val="24"/>
                <w:szCs w:val="24"/>
                <w:color w:val="auto"/>
              </w:rPr>
            </w:pPr>
          </w:p>
        </w:tc>
        <w:tc>
          <w:tcPr>
            <w:tcW w:w="10440" w:type="dxa"/>
            <w:vAlign w:val="bottom"/>
            <w:gridSpan w:val="4"/>
          </w:tcPr>
          <w:p>
            <w:pPr>
              <w:ind w:left="80"/>
              <w:spacing w:after="0"/>
              <w:rPr>
                <w:sz w:val="20"/>
                <w:szCs w:val="20"/>
                <w:color w:val="auto"/>
              </w:rPr>
            </w:pPr>
            <w:r>
              <w:rPr>
                <w:rFonts w:ascii="Arial" w:cs="Arial" w:eastAsia="Arial" w:hAnsi="Arial"/>
                <w:sz w:val="18"/>
                <w:szCs w:val="18"/>
                <w:color w:val="auto"/>
                <w:w w:val="92"/>
              </w:rPr>
              <w:t>—  Certification of Chief Financial Officer of Civeo Corporation, pursuant to Rules 13a-14(b) or 15d-14(b) under the Securities Exchange Act</w:t>
            </w:r>
          </w:p>
        </w:tc>
      </w:tr>
      <w:tr>
        <w:trPr>
          <w:trHeight w:val="230"/>
        </w:trPr>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100" w:type="dxa"/>
            <w:vAlign w:val="bottom"/>
            <w:gridSpan w:val="3"/>
          </w:tcPr>
          <w:p>
            <w:pPr>
              <w:ind w:left="60"/>
              <w:spacing w:after="0"/>
              <w:rPr>
                <w:sz w:val="20"/>
                <w:szCs w:val="20"/>
                <w:color w:val="auto"/>
              </w:rPr>
            </w:pPr>
            <w:r>
              <w:rPr>
                <w:rFonts w:ascii="Arial" w:cs="Arial" w:eastAsia="Arial" w:hAnsi="Arial"/>
                <w:sz w:val="18"/>
                <w:szCs w:val="18"/>
                <w:color w:val="auto"/>
              </w:rPr>
              <w:t>of 1934.</w:t>
            </w:r>
          </w:p>
        </w:tc>
      </w:tr>
      <w:tr>
        <w:trPr>
          <w:trHeight w:val="432"/>
        </w:trPr>
        <w:tc>
          <w:tcPr>
            <w:tcW w:w="20" w:type="dxa"/>
            <w:vAlign w:val="bottom"/>
          </w:tcPr>
          <w:p>
            <w:pPr>
              <w:spacing w:after="0"/>
              <w:rPr>
                <w:sz w:val="24"/>
                <w:szCs w:val="24"/>
                <w:color w:val="auto"/>
              </w:rPr>
            </w:pPr>
          </w:p>
        </w:tc>
        <w:tc>
          <w:tcPr>
            <w:tcW w:w="960" w:type="dxa"/>
            <w:vAlign w:val="bottom"/>
            <w:gridSpan w:val="2"/>
          </w:tcPr>
          <w:p>
            <w:pPr>
              <w:ind w:left="40"/>
              <w:spacing w:after="0"/>
              <w:rPr>
                <w:sz w:val="20"/>
                <w:szCs w:val="20"/>
                <w:color w:val="auto"/>
              </w:rPr>
            </w:pPr>
            <w:r>
              <w:rPr>
                <w:rFonts w:ascii="Arial" w:cs="Arial" w:eastAsia="Arial" w:hAnsi="Arial"/>
                <w:sz w:val="18"/>
                <w:szCs w:val="18"/>
                <w:color w:val="auto"/>
              </w:rPr>
              <w:t>101.INS*</w:t>
            </w:r>
          </w:p>
        </w:tc>
        <w:tc>
          <w:tcPr>
            <w:tcW w:w="340" w:type="dxa"/>
            <w:vAlign w:val="bottom"/>
          </w:tcPr>
          <w:p>
            <w:pPr>
              <w:ind w:left="80"/>
              <w:spacing w:after="0"/>
              <w:rPr>
                <w:sz w:val="20"/>
                <w:szCs w:val="20"/>
                <w:color w:val="auto"/>
              </w:rPr>
            </w:pPr>
            <w:r>
              <w:rPr>
                <w:rFonts w:ascii="Arial" w:cs="Arial" w:eastAsia="Arial" w:hAnsi="Arial"/>
                <w:sz w:val="18"/>
                <w:szCs w:val="18"/>
                <w:color w:val="auto"/>
              </w:rPr>
              <w:t>—</w:t>
            </w:r>
          </w:p>
        </w:tc>
        <w:tc>
          <w:tcPr>
            <w:tcW w:w="10100" w:type="dxa"/>
            <w:vAlign w:val="bottom"/>
            <w:gridSpan w:val="3"/>
          </w:tcPr>
          <w:p>
            <w:pPr>
              <w:ind w:left="60"/>
              <w:spacing w:after="0"/>
              <w:rPr>
                <w:sz w:val="20"/>
                <w:szCs w:val="20"/>
                <w:color w:val="auto"/>
              </w:rPr>
            </w:pPr>
            <w:r>
              <w:rPr>
                <w:rFonts w:ascii="Arial" w:cs="Arial" w:eastAsia="Arial" w:hAnsi="Arial"/>
                <w:sz w:val="18"/>
                <w:szCs w:val="18"/>
                <w:color w:val="auto"/>
              </w:rPr>
              <w:t>XBRL Instance Document</w:t>
            </w:r>
          </w:p>
        </w:tc>
      </w:tr>
      <w:tr>
        <w:trPr>
          <w:trHeight w:val="432"/>
        </w:trPr>
        <w:tc>
          <w:tcPr>
            <w:tcW w:w="980" w:type="dxa"/>
            <w:vAlign w:val="bottom"/>
            <w:gridSpan w:val="3"/>
          </w:tcPr>
          <w:p>
            <w:pPr>
              <w:spacing w:after="0"/>
              <w:rPr>
                <w:sz w:val="20"/>
                <w:szCs w:val="20"/>
                <w:color w:val="auto"/>
              </w:rPr>
            </w:pPr>
            <w:r>
              <w:rPr>
                <w:rFonts w:ascii="Arial" w:cs="Arial" w:eastAsia="Arial" w:hAnsi="Arial"/>
                <w:sz w:val="18"/>
                <w:szCs w:val="18"/>
                <w:color w:val="auto"/>
              </w:rPr>
              <w:t>101.SCH*</w:t>
            </w:r>
          </w:p>
        </w:tc>
        <w:tc>
          <w:tcPr>
            <w:tcW w:w="10440" w:type="dxa"/>
            <w:vAlign w:val="bottom"/>
            <w:gridSpan w:val="4"/>
          </w:tcPr>
          <w:p>
            <w:pPr>
              <w:ind w:left="80"/>
              <w:spacing w:after="0"/>
              <w:rPr>
                <w:sz w:val="20"/>
                <w:szCs w:val="20"/>
                <w:color w:val="auto"/>
              </w:rPr>
            </w:pPr>
            <w:r>
              <w:rPr>
                <w:rFonts w:ascii="Arial" w:cs="Arial" w:eastAsia="Arial" w:hAnsi="Arial"/>
                <w:sz w:val="18"/>
                <w:szCs w:val="18"/>
                <w:color w:val="auto"/>
              </w:rPr>
              <w:t>—  XBRL Taxonomy Extension Schema Document</w:t>
            </w:r>
          </w:p>
        </w:tc>
      </w:tr>
      <w:tr>
        <w:trPr>
          <w:trHeight w:val="432"/>
        </w:trPr>
        <w:tc>
          <w:tcPr>
            <w:tcW w:w="980" w:type="dxa"/>
            <w:vAlign w:val="bottom"/>
            <w:gridSpan w:val="3"/>
          </w:tcPr>
          <w:p>
            <w:pPr>
              <w:spacing w:after="0"/>
              <w:rPr>
                <w:sz w:val="20"/>
                <w:szCs w:val="20"/>
                <w:color w:val="auto"/>
              </w:rPr>
            </w:pPr>
            <w:r>
              <w:rPr>
                <w:rFonts w:ascii="Arial" w:cs="Arial" w:eastAsia="Arial" w:hAnsi="Arial"/>
                <w:sz w:val="18"/>
                <w:szCs w:val="18"/>
                <w:color w:val="auto"/>
              </w:rPr>
              <w:t>101.CAL*</w:t>
            </w:r>
          </w:p>
        </w:tc>
        <w:tc>
          <w:tcPr>
            <w:tcW w:w="10440" w:type="dxa"/>
            <w:vAlign w:val="bottom"/>
            <w:gridSpan w:val="4"/>
          </w:tcPr>
          <w:p>
            <w:pPr>
              <w:ind w:left="80"/>
              <w:spacing w:after="0"/>
              <w:rPr>
                <w:sz w:val="20"/>
                <w:szCs w:val="20"/>
                <w:color w:val="auto"/>
              </w:rPr>
            </w:pPr>
            <w:r>
              <w:rPr>
                <w:rFonts w:ascii="Arial" w:cs="Arial" w:eastAsia="Arial" w:hAnsi="Arial"/>
                <w:sz w:val="18"/>
                <w:szCs w:val="18"/>
                <w:color w:val="auto"/>
              </w:rPr>
              <w:t>—  XBRL Taxonomy Extension Calculation Linkbase Document</w:t>
            </w:r>
          </w:p>
        </w:tc>
      </w:tr>
      <w:tr>
        <w:trPr>
          <w:trHeight w:val="432"/>
        </w:trPr>
        <w:tc>
          <w:tcPr>
            <w:tcW w:w="980" w:type="dxa"/>
            <w:vAlign w:val="bottom"/>
            <w:gridSpan w:val="3"/>
          </w:tcPr>
          <w:p>
            <w:pPr>
              <w:spacing w:after="0"/>
              <w:rPr>
                <w:sz w:val="20"/>
                <w:szCs w:val="20"/>
                <w:color w:val="auto"/>
              </w:rPr>
            </w:pPr>
            <w:r>
              <w:rPr>
                <w:rFonts w:ascii="Arial" w:cs="Arial" w:eastAsia="Arial" w:hAnsi="Arial"/>
                <w:sz w:val="18"/>
                <w:szCs w:val="18"/>
                <w:color w:val="auto"/>
              </w:rPr>
              <w:t>101.DEF*</w:t>
            </w:r>
          </w:p>
        </w:tc>
        <w:tc>
          <w:tcPr>
            <w:tcW w:w="10440" w:type="dxa"/>
            <w:vAlign w:val="bottom"/>
            <w:gridSpan w:val="4"/>
          </w:tcPr>
          <w:p>
            <w:pPr>
              <w:ind w:left="80"/>
              <w:spacing w:after="0"/>
              <w:rPr>
                <w:sz w:val="20"/>
                <w:szCs w:val="20"/>
                <w:color w:val="auto"/>
              </w:rPr>
            </w:pPr>
            <w:r>
              <w:rPr>
                <w:rFonts w:ascii="Arial" w:cs="Arial" w:eastAsia="Arial" w:hAnsi="Arial"/>
                <w:sz w:val="18"/>
                <w:szCs w:val="18"/>
                <w:color w:val="auto"/>
              </w:rPr>
              <w:t>—  XBRL Taxonomy Extension Definition Linkbase Document</w:t>
            </w:r>
          </w:p>
        </w:tc>
      </w:tr>
      <w:tr>
        <w:trPr>
          <w:trHeight w:val="432"/>
        </w:trPr>
        <w:tc>
          <w:tcPr>
            <w:tcW w:w="980" w:type="dxa"/>
            <w:vAlign w:val="bottom"/>
            <w:gridSpan w:val="3"/>
          </w:tcPr>
          <w:p>
            <w:pPr>
              <w:spacing w:after="0"/>
              <w:rPr>
                <w:sz w:val="20"/>
                <w:szCs w:val="20"/>
                <w:color w:val="auto"/>
              </w:rPr>
            </w:pPr>
            <w:r>
              <w:rPr>
                <w:rFonts w:ascii="Arial" w:cs="Arial" w:eastAsia="Arial" w:hAnsi="Arial"/>
                <w:sz w:val="18"/>
                <w:szCs w:val="18"/>
                <w:color w:val="auto"/>
              </w:rPr>
              <w:t>101.LAB*</w:t>
            </w:r>
          </w:p>
        </w:tc>
        <w:tc>
          <w:tcPr>
            <w:tcW w:w="10440" w:type="dxa"/>
            <w:vAlign w:val="bottom"/>
            <w:gridSpan w:val="4"/>
          </w:tcPr>
          <w:p>
            <w:pPr>
              <w:ind w:left="80"/>
              <w:spacing w:after="0"/>
              <w:rPr>
                <w:sz w:val="20"/>
                <w:szCs w:val="20"/>
                <w:color w:val="auto"/>
              </w:rPr>
            </w:pPr>
            <w:r>
              <w:rPr>
                <w:rFonts w:ascii="Arial" w:cs="Arial" w:eastAsia="Arial" w:hAnsi="Arial"/>
                <w:sz w:val="18"/>
                <w:szCs w:val="18"/>
                <w:color w:val="auto"/>
              </w:rPr>
              <w:t>—  XBRL Taxonomy Extension Label Linkbase Document</w:t>
            </w:r>
          </w:p>
        </w:tc>
      </w:tr>
      <w:tr>
        <w:trPr>
          <w:trHeight w:val="432"/>
        </w:trPr>
        <w:tc>
          <w:tcPr>
            <w:tcW w:w="980" w:type="dxa"/>
            <w:vAlign w:val="bottom"/>
            <w:gridSpan w:val="3"/>
          </w:tcPr>
          <w:p>
            <w:pPr>
              <w:spacing w:after="0"/>
              <w:rPr>
                <w:sz w:val="20"/>
                <w:szCs w:val="20"/>
                <w:color w:val="auto"/>
              </w:rPr>
            </w:pPr>
            <w:r>
              <w:rPr>
                <w:rFonts w:ascii="Arial" w:cs="Arial" w:eastAsia="Arial" w:hAnsi="Arial"/>
                <w:sz w:val="18"/>
                <w:szCs w:val="18"/>
                <w:color w:val="auto"/>
              </w:rPr>
              <w:t>101.PRE*</w:t>
            </w:r>
          </w:p>
        </w:tc>
        <w:tc>
          <w:tcPr>
            <w:tcW w:w="340" w:type="dxa"/>
            <w:vAlign w:val="bottom"/>
          </w:tcPr>
          <w:p>
            <w:pPr>
              <w:ind w:left="80"/>
              <w:spacing w:after="0"/>
              <w:rPr>
                <w:sz w:val="20"/>
                <w:szCs w:val="20"/>
                <w:color w:val="auto"/>
              </w:rPr>
            </w:pPr>
            <w:r>
              <w:rPr>
                <w:rFonts w:ascii="Arial" w:cs="Arial" w:eastAsia="Arial" w:hAnsi="Arial"/>
                <w:sz w:val="18"/>
                <w:szCs w:val="18"/>
                <w:color w:val="auto"/>
              </w:rPr>
              <w:t>—</w:t>
            </w:r>
          </w:p>
        </w:tc>
        <w:tc>
          <w:tcPr>
            <w:tcW w:w="10100" w:type="dxa"/>
            <w:vAlign w:val="bottom"/>
            <w:gridSpan w:val="3"/>
          </w:tcPr>
          <w:p>
            <w:pPr>
              <w:ind w:left="60"/>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898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500" w:hanging="492"/>
        <w:spacing w:after="0"/>
        <w:tabs>
          <w:tab w:leader="none" w:pos="5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500" w:hanging="492"/>
        <w:spacing w:after="0"/>
        <w:tabs>
          <w:tab w:leader="none" w:pos="5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11" w:lineRule="exact"/>
        <w:rPr>
          <w:sz w:val="20"/>
          <w:szCs w:val="20"/>
          <w:color w:val="auto"/>
        </w:rPr>
      </w:pPr>
    </w:p>
    <w:p>
      <w:pPr>
        <w:ind w:right="60" w:firstLine="324"/>
        <w:spacing w:after="0" w:line="287" w:lineRule="auto"/>
        <w:rPr>
          <w:sz w:val="20"/>
          <w:szCs w:val="20"/>
          <w:color w:val="auto"/>
        </w:rPr>
      </w:pPr>
      <w:r>
        <w:rPr>
          <w:rFonts w:ascii="Arial" w:cs="Arial" w:eastAsia="Arial" w:hAnsi="Arial"/>
          <w:sz w:val="16"/>
          <w:szCs w:val="16"/>
          <w:color w:val="auto"/>
        </w:rPr>
        <w:t>PLEASE NOTE: Pursuant to the rules and regulations of the Securities and Exchange Commission, we have filed or incorporated by reference the agreements referenced above as exhibits to this Quarterly Report on Form 10-Q. The agreements have been filed to provide investors with information regarding their respective terms. The agreements are not intended to provide any other factual information about Civeo or its business or operations. In particular, the assertions embodied in any representations, warranties and covenants contained in the agreements may be subject to qualifications with respect to knowledge and materiality different from those applicable to investors and may be qualified by information in confidential disclosure schedules not included with the exhibits. These disclosure schedules may contain information that modifies, qualifies and creates exceptions to the representations, warranties and covenants set forth in the agreements. Moreover, certain representations, warranties and covenants in the agreements may have been used for the purpose of allocating risk between the parties, rather than establishing matters as facts. In addition, information concerning the subject matter of the representations, warranties and covenants may have changed after the date of the respective agreement, which subsequent information may or may not be fully reflected in our public disclosures. Accordingly, investors should not rely on the representations, warranties and covenants in the agreements as characterizations of the actual state of facts about Civeo or its business or operations on the date hereof.</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jc w:val="center"/>
        <w:ind w:left="260"/>
        <w:spacing w:after="0"/>
        <w:rPr>
          <w:sz w:val="20"/>
          <w:szCs w:val="20"/>
          <w:color w:val="auto"/>
        </w:rPr>
      </w:pPr>
      <w:r>
        <w:rPr>
          <w:rFonts w:ascii="Arial" w:cs="Arial" w:eastAsia="Arial" w:hAnsi="Arial"/>
          <w:sz w:val="18"/>
          <w:szCs w:val="18"/>
          <w:color w:val="auto"/>
        </w:rPr>
        <w:t>CIVEO CORPORATION</w:t>
      </w:r>
    </w:p>
    <w:p>
      <w:pPr>
        <w:sectPr>
          <w:pgSz w:w="11900" w:h="16838" w:orient="portrait"/>
          <w:cols w:equalWidth="0" w:num="1">
            <w:col w:w="11420"/>
          </w:cols>
          <w:pgMar w:left="240" w:top="580" w:right="239" w:bottom="1440" w:gutter="0" w:footer="0" w:header="0"/>
        </w:sectPr>
      </w:pPr>
    </w:p>
    <w:p>
      <w:pPr>
        <w:spacing w:after="0" w:line="225"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Date:</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color w:val="auto"/>
        </w:rPr>
        <w:t>April 30, 2015</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By</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 Frank C. Steininger</w:t>
      </w:r>
    </w:p>
    <w:p>
      <w:pPr>
        <w:spacing w:after="0" w:line="50" w:lineRule="exact"/>
        <w:rPr>
          <w:sz w:val="20"/>
          <w:szCs w:val="20"/>
          <w:color w:val="auto"/>
        </w:rPr>
      </w:pPr>
    </w:p>
    <w:p>
      <w:pPr>
        <w:sectPr>
          <w:pgSz w:w="11900" w:h="16838" w:orient="portrait"/>
          <w:cols w:equalWidth="0" w:num="4">
            <w:col w:w="2280" w:space="720"/>
            <w:col w:w="2000" w:space="720"/>
            <w:col w:w="880" w:space="720"/>
            <w:col w:w="4100"/>
          </w:cols>
          <w:pgMar w:left="240" w:top="580" w:right="239" w:bottom="1440" w:gutter="0" w:footer="0" w:header="0"/>
          <w:type w:val="continuous"/>
        </w:sectPr>
      </w:pPr>
    </w:p>
    <w:p>
      <w:pPr>
        <w:jc w:val="center"/>
        <w:ind w:left="4600"/>
        <w:spacing w:after="0"/>
        <w:rPr>
          <w:sz w:val="20"/>
          <w:szCs w:val="20"/>
          <w:color w:val="auto"/>
        </w:rPr>
      </w:pPr>
      <w:r>
        <w:rPr>
          <w:rFonts w:ascii="Arial" w:cs="Arial" w:eastAsia="Arial" w:hAnsi="Arial"/>
          <w:sz w:val="18"/>
          <w:szCs w:val="18"/>
          <w:b w:val="1"/>
          <w:bCs w:val="1"/>
          <w:color w:val="auto"/>
        </w:rPr>
        <w:t>Frank C. Steininger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1085850</wp:posOffset>
            </wp:positionH>
            <wp:positionV relativeFrom="paragraph">
              <wp:posOffset>-130810</wp:posOffset>
            </wp:positionV>
            <wp:extent cx="544576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445760" cy="8890"/>
                    </a:xfrm>
                    <a:prstGeom prst="rect">
                      <a:avLst/>
                    </a:prstGeom>
                    <a:noFill/>
                  </pic:spPr>
                </pic:pic>
              </a:graphicData>
            </a:graphic>
          </wp:anchor>
        </w:drawing>
      </w:r>
    </w:p>
    <w:p>
      <w:pPr>
        <w:spacing w:after="0" w:line="3" w:lineRule="exact"/>
        <w:rPr>
          <w:sz w:val="20"/>
          <w:szCs w:val="20"/>
          <w:color w:val="auto"/>
        </w:rPr>
      </w:pPr>
    </w:p>
    <w:p>
      <w:pPr>
        <w:jc w:val="center"/>
        <w:ind w:left="4600"/>
        <w:spacing w:after="0"/>
        <w:rPr>
          <w:sz w:val="20"/>
          <w:szCs w:val="20"/>
          <w:color w:val="auto"/>
        </w:rPr>
      </w:pPr>
      <w:r>
        <w:rPr>
          <w:rFonts w:ascii="Arial" w:cs="Arial" w:eastAsia="Arial" w:hAnsi="Arial"/>
          <w:sz w:val="16"/>
          <w:szCs w:val="16"/>
          <w:b w:val="1"/>
          <w:bCs w:val="1"/>
          <w:color w:val="auto"/>
        </w:rPr>
        <w:t>Senior Vice President, Chief Financial Officer and</w:t>
      </w:r>
    </w:p>
    <w:p>
      <w:pPr>
        <w:spacing w:after="0" w:line="32" w:lineRule="exact"/>
        <w:rPr>
          <w:sz w:val="20"/>
          <w:szCs w:val="20"/>
          <w:color w:val="auto"/>
        </w:rPr>
      </w:pPr>
    </w:p>
    <w:p>
      <w:pPr>
        <w:jc w:val="center"/>
        <w:ind w:left="4600"/>
        <w:spacing w:after="0"/>
        <w:rPr>
          <w:sz w:val="20"/>
          <w:szCs w:val="20"/>
          <w:color w:val="auto"/>
        </w:rPr>
      </w:pPr>
      <w:r>
        <w:rPr>
          <w:rFonts w:ascii="Arial" w:cs="Arial" w:eastAsia="Arial" w:hAnsi="Arial"/>
          <w:sz w:val="16"/>
          <w:szCs w:val="16"/>
          <w:b w:val="1"/>
          <w:bCs w:val="1"/>
          <w:color w:val="auto"/>
        </w:rPr>
        <w:t>Treasurer (Duly Authorized Officer and Principal</w:t>
      </w:r>
    </w:p>
    <w:p>
      <w:pPr>
        <w:spacing w:after="0" w:line="32" w:lineRule="exact"/>
        <w:rPr>
          <w:sz w:val="20"/>
          <w:szCs w:val="20"/>
          <w:color w:val="auto"/>
        </w:rPr>
      </w:pPr>
    </w:p>
    <w:p>
      <w:pPr>
        <w:jc w:val="center"/>
        <w:ind w:left="4600"/>
        <w:spacing w:after="0"/>
        <w:rPr>
          <w:sz w:val="20"/>
          <w:szCs w:val="20"/>
          <w:color w:val="auto"/>
        </w:rPr>
      </w:pPr>
      <w:r>
        <w:rPr>
          <w:rFonts w:ascii="Arial" w:cs="Arial" w:eastAsia="Arial" w:hAnsi="Arial"/>
          <w:sz w:val="18"/>
          <w:szCs w:val="18"/>
          <w:b w:val="1"/>
          <w:bCs w:val="1"/>
          <w:color w:val="auto"/>
        </w:rPr>
        <w:t>Financial Officer)</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type w:val="continuous"/>
        </w:sectPr>
      </w:pPr>
    </w:p>
    <w:bookmarkStart w:id="35" w:name="page36"/>
    <w:bookmarkEnd w:id="35"/>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860" w:type="dxa"/>
            <w:vAlign w:val="bottom"/>
          </w:tcPr>
          <w:p>
            <w:pPr>
              <w:spacing w:after="0"/>
              <w:rPr>
                <w:sz w:val="17"/>
                <w:szCs w:val="17"/>
                <w:color w:val="auto"/>
              </w:rPr>
            </w:pPr>
          </w:p>
        </w:tc>
        <w:tc>
          <w:tcPr>
            <w:tcW w:w="6240" w:type="dxa"/>
            <w:vAlign w:val="bottom"/>
            <w:gridSpan w:val="4"/>
          </w:tcPr>
          <w:p>
            <w:pPr>
              <w:spacing w:after="0"/>
              <w:rPr>
                <w:sz w:val="20"/>
                <w:szCs w:val="20"/>
                <w:color w:val="auto"/>
              </w:rPr>
            </w:pPr>
            <w:r>
              <w:rPr>
                <w:rFonts w:ascii="Arial" w:cs="Arial" w:eastAsia="Arial" w:hAnsi="Arial"/>
                <w:sz w:val="18"/>
                <w:szCs w:val="18"/>
                <w:b w:val="1"/>
                <w:bCs w:val="1"/>
                <w:color w:val="auto"/>
              </w:rPr>
              <w:t>Exhibit Index</w:t>
            </w:r>
          </w:p>
        </w:tc>
      </w:tr>
      <w:tr>
        <w:trPr>
          <w:trHeight w:val="20"/>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r>
      <w:tr>
        <w:trPr>
          <w:trHeight w:val="628"/>
        </w:trPr>
        <w:tc>
          <w:tcPr>
            <w:tcW w:w="20" w:type="dxa"/>
            <w:vAlign w:val="bottom"/>
          </w:tcPr>
          <w:p>
            <w:pPr>
              <w:spacing w:after="0"/>
              <w:rPr>
                <w:sz w:val="24"/>
                <w:szCs w:val="24"/>
                <w:color w:val="auto"/>
              </w:rPr>
            </w:pPr>
          </w:p>
        </w:tc>
        <w:tc>
          <w:tcPr>
            <w:tcW w:w="960" w:type="dxa"/>
            <w:vAlign w:val="bottom"/>
            <w:gridSpan w:val="2"/>
          </w:tcPr>
          <w:p>
            <w:pPr>
              <w:spacing w:after="0"/>
              <w:rPr>
                <w:sz w:val="20"/>
                <w:szCs w:val="20"/>
                <w:color w:val="auto"/>
              </w:rPr>
            </w:pPr>
            <w:r>
              <w:rPr>
                <w:rFonts w:ascii="Arial" w:cs="Arial" w:eastAsia="Arial" w:hAnsi="Arial"/>
                <w:sz w:val="18"/>
                <w:szCs w:val="18"/>
                <w:b w:val="1"/>
                <w:bCs w:val="1"/>
                <w:color w:val="auto"/>
                <w:w w:val="99"/>
              </w:rPr>
              <w:t>Exhibit No.</w:t>
            </w:r>
          </w:p>
        </w:tc>
        <w:tc>
          <w:tcPr>
            <w:tcW w:w="34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460" w:type="dxa"/>
            <w:vAlign w:val="bottom"/>
            <w:gridSpan w:val="3"/>
          </w:tcPr>
          <w:p>
            <w:pPr>
              <w:spacing w:after="0"/>
              <w:rPr>
                <w:sz w:val="20"/>
                <w:szCs w:val="20"/>
                <w:color w:val="auto"/>
              </w:rPr>
            </w:pPr>
            <w:r>
              <w:rPr>
                <w:rFonts w:ascii="Arial" w:cs="Arial" w:eastAsia="Arial" w:hAnsi="Arial"/>
                <w:sz w:val="18"/>
                <w:szCs w:val="18"/>
                <w:b w:val="1"/>
                <w:bCs w:val="1"/>
                <w:color w:val="auto"/>
              </w:rPr>
              <w:t>Description</w:t>
            </w:r>
          </w:p>
        </w:tc>
      </w:tr>
      <w:tr>
        <w:trPr>
          <w:trHeight w:val="20"/>
        </w:trPr>
        <w:tc>
          <w:tcPr>
            <w:tcW w:w="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40" w:type="dxa"/>
            <w:vAlign w:val="bottom"/>
            <w:gridSpan w:val="2"/>
          </w:tcPr>
          <w:p>
            <w:pPr>
              <w:spacing w:after="0" w:line="20" w:lineRule="exact"/>
              <w:rPr>
                <w:sz w:val="1"/>
                <w:szCs w:val="1"/>
                <w:color w:val="auto"/>
              </w:rPr>
            </w:pPr>
          </w:p>
        </w:tc>
        <w:tc>
          <w:tcPr>
            <w:tcW w:w="880" w:type="dxa"/>
            <w:vAlign w:val="bottom"/>
            <w:gridSpan w:val="2"/>
            <w:shd w:val="clear" w:color="auto" w:fill="000000"/>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r>
      <w:tr>
        <w:trPr>
          <w:trHeight w:val="438"/>
        </w:trPr>
        <w:tc>
          <w:tcPr>
            <w:tcW w:w="20" w:type="dxa"/>
            <w:vAlign w:val="bottom"/>
          </w:tcPr>
          <w:p>
            <w:pPr>
              <w:spacing w:after="0"/>
              <w:rPr>
                <w:sz w:val="24"/>
                <w:szCs w:val="24"/>
                <w:color w:val="auto"/>
              </w:rPr>
            </w:pPr>
          </w:p>
        </w:tc>
        <w:tc>
          <w:tcPr>
            <w:tcW w:w="880" w:type="dxa"/>
            <w:vAlign w:val="bottom"/>
          </w:tcPr>
          <w:p>
            <w:pPr>
              <w:jc w:val="right"/>
              <w:ind w:right="170"/>
              <w:spacing w:after="0"/>
              <w:rPr>
                <w:sz w:val="20"/>
                <w:szCs w:val="20"/>
                <w:color w:val="auto"/>
              </w:rPr>
            </w:pPr>
            <w:r>
              <w:rPr>
                <w:rFonts w:ascii="Arial" w:cs="Arial" w:eastAsia="Arial" w:hAnsi="Arial"/>
                <w:sz w:val="18"/>
                <w:szCs w:val="18"/>
                <w:color w:val="auto"/>
              </w:rPr>
              <w:t>2.1</w:t>
            </w:r>
          </w:p>
        </w:tc>
        <w:tc>
          <w:tcPr>
            <w:tcW w:w="80" w:type="dxa"/>
            <w:vAlign w:val="bottom"/>
          </w:tcPr>
          <w:p>
            <w:pPr>
              <w:spacing w:after="0"/>
              <w:rPr>
                <w:sz w:val="24"/>
                <w:szCs w:val="24"/>
                <w:color w:val="auto"/>
              </w:rPr>
            </w:pPr>
          </w:p>
        </w:tc>
        <w:tc>
          <w:tcPr>
            <w:tcW w:w="340" w:type="dxa"/>
            <w:vAlign w:val="bottom"/>
          </w:tcPr>
          <w:p>
            <w:pPr>
              <w:ind w:left="80"/>
              <w:spacing w:after="0"/>
              <w:rPr>
                <w:sz w:val="20"/>
                <w:szCs w:val="20"/>
                <w:color w:val="auto"/>
              </w:rPr>
            </w:pPr>
            <w:r>
              <w:rPr>
                <w:rFonts w:ascii="Arial" w:cs="Arial" w:eastAsia="Arial" w:hAnsi="Arial"/>
                <w:sz w:val="18"/>
                <w:szCs w:val="18"/>
                <w:color w:val="auto"/>
              </w:rPr>
              <w:t>—</w:t>
            </w:r>
          </w:p>
        </w:tc>
        <w:tc>
          <w:tcPr>
            <w:tcW w:w="10100" w:type="dxa"/>
            <w:vAlign w:val="bottom"/>
            <w:gridSpan w:val="5"/>
          </w:tcPr>
          <w:p>
            <w:pPr>
              <w:ind w:left="60"/>
              <w:spacing w:after="0"/>
              <w:rPr>
                <w:sz w:val="20"/>
                <w:szCs w:val="20"/>
                <w:color w:val="auto"/>
              </w:rPr>
            </w:pPr>
            <w:r>
              <w:rPr>
                <w:rFonts w:ascii="Arial" w:cs="Arial" w:eastAsia="Arial" w:hAnsi="Arial"/>
                <w:sz w:val="18"/>
                <w:szCs w:val="18"/>
                <w:color w:val="auto"/>
                <w:w w:val="96"/>
              </w:rPr>
              <w:t>Agreement and Plan of Merger, dated as of April 6, 2015, among Civeo Corporation, Civeo Canadian Holdings ULC and Civeo US</w:t>
            </w:r>
          </w:p>
        </w:tc>
      </w:tr>
      <w:tr>
        <w:trPr>
          <w:trHeight w:val="216"/>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100" w:type="dxa"/>
            <w:vAlign w:val="bottom"/>
            <w:gridSpan w:val="5"/>
          </w:tcPr>
          <w:p>
            <w:pPr>
              <w:ind w:left="60"/>
              <w:spacing w:after="0"/>
              <w:rPr>
                <w:sz w:val="20"/>
                <w:szCs w:val="20"/>
                <w:color w:val="auto"/>
              </w:rPr>
            </w:pPr>
            <w:r>
              <w:rPr>
                <w:rFonts w:ascii="Arial" w:cs="Arial" w:eastAsia="Arial" w:hAnsi="Arial"/>
                <w:sz w:val="18"/>
                <w:szCs w:val="18"/>
                <w:color w:val="auto"/>
                <w:w w:val="94"/>
              </w:rPr>
              <w:t>Merger Co (incorporated by reference to Annex A of Civeo Corporation’s definitive proxy statement/prospectus on Schedule 14A filed</w:t>
            </w:r>
          </w:p>
        </w:tc>
      </w:tr>
      <w:tr>
        <w:trPr>
          <w:trHeight w:val="230"/>
        </w:trPr>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100" w:type="dxa"/>
            <w:vAlign w:val="bottom"/>
            <w:gridSpan w:val="5"/>
          </w:tcPr>
          <w:p>
            <w:pPr>
              <w:ind w:left="60"/>
              <w:spacing w:after="0"/>
              <w:rPr>
                <w:sz w:val="20"/>
                <w:szCs w:val="20"/>
                <w:color w:val="auto"/>
              </w:rPr>
            </w:pPr>
            <w:r>
              <w:rPr>
                <w:rFonts w:ascii="Arial" w:cs="Arial" w:eastAsia="Arial" w:hAnsi="Arial"/>
                <w:sz w:val="18"/>
                <w:szCs w:val="18"/>
                <w:color w:val="auto"/>
              </w:rPr>
              <w:t>with the SEC on April 8, 2015).</w:t>
            </w:r>
          </w:p>
        </w:tc>
      </w:tr>
      <w:tr>
        <w:trPr>
          <w:trHeight w:val="418"/>
        </w:trPr>
        <w:tc>
          <w:tcPr>
            <w:tcW w:w="900" w:type="dxa"/>
            <w:vAlign w:val="bottom"/>
            <w:gridSpan w:val="2"/>
          </w:tcPr>
          <w:p>
            <w:pPr>
              <w:jc w:val="right"/>
              <w:ind w:right="70"/>
              <w:spacing w:after="0"/>
              <w:rPr>
                <w:sz w:val="20"/>
                <w:szCs w:val="20"/>
                <w:color w:val="auto"/>
              </w:rPr>
            </w:pPr>
            <w:r>
              <w:rPr>
                <w:rFonts w:ascii="Arial" w:cs="Arial" w:eastAsia="Arial" w:hAnsi="Arial"/>
                <w:sz w:val="18"/>
                <w:szCs w:val="18"/>
                <w:color w:val="auto"/>
              </w:rPr>
              <w:t>31.1*</w:t>
            </w:r>
          </w:p>
        </w:tc>
        <w:tc>
          <w:tcPr>
            <w:tcW w:w="80" w:type="dxa"/>
            <w:vAlign w:val="bottom"/>
          </w:tcPr>
          <w:p>
            <w:pPr>
              <w:spacing w:after="0"/>
              <w:rPr>
                <w:sz w:val="24"/>
                <w:szCs w:val="24"/>
                <w:color w:val="auto"/>
              </w:rPr>
            </w:pPr>
          </w:p>
        </w:tc>
        <w:tc>
          <w:tcPr>
            <w:tcW w:w="10440" w:type="dxa"/>
            <w:vAlign w:val="bottom"/>
            <w:gridSpan w:val="6"/>
          </w:tcPr>
          <w:p>
            <w:pPr>
              <w:ind w:left="80"/>
              <w:spacing w:after="0"/>
              <w:rPr>
                <w:sz w:val="20"/>
                <w:szCs w:val="20"/>
                <w:color w:val="auto"/>
              </w:rPr>
            </w:pPr>
            <w:r>
              <w:rPr>
                <w:rFonts w:ascii="Arial" w:cs="Arial" w:eastAsia="Arial" w:hAnsi="Arial"/>
                <w:sz w:val="18"/>
                <w:szCs w:val="18"/>
                <w:color w:val="auto"/>
                <w:w w:val="94"/>
              </w:rPr>
              <w:t>—  Certification of Chief Executive Officer of Civeo Corporation, pursuant to Rules 13a-14(a) or 15d-14(a) under the Securities Exchange</w:t>
            </w:r>
          </w:p>
        </w:tc>
      </w:tr>
      <w:tr>
        <w:trPr>
          <w:trHeight w:val="230"/>
        </w:trPr>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100" w:type="dxa"/>
            <w:vAlign w:val="bottom"/>
            <w:gridSpan w:val="5"/>
          </w:tcPr>
          <w:p>
            <w:pPr>
              <w:ind w:left="60"/>
              <w:spacing w:after="0"/>
              <w:rPr>
                <w:sz w:val="20"/>
                <w:szCs w:val="20"/>
                <w:color w:val="auto"/>
              </w:rPr>
            </w:pPr>
            <w:r>
              <w:rPr>
                <w:rFonts w:ascii="Arial" w:cs="Arial" w:eastAsia="Arial" w:hAnsi="Arial"/>
                <w:sz w:val="18"/>
                <w:szCs w:val="18"/>
                <w:color w:val="auto"/>
              </w:rPr>
              <w:t>Act of 1934.</w:t>
            </w:r>
          </w:p>
        </w:tc>
      </w:tr>
      <w:tr>
        <w:trPr>
          <w:trHeight w:val="418"/>
        </w:trPr>
        <w:tc>
          <w:tcPr>
            <w:tcW w:w="900" w:type="dxa"/>
            <w:vAlign w:val="bottom"/>
            <w:gridSpan w:val="2"/>
          </w:tcPr>
          <w:p>
            <w:pPr>
              <w:jc w:val="right"/>
              <w:ind w:right="70"/>
              <w:spacing w:after="0"/>
              <w:rPr>
                <w:sz w:val="20"/>
                <w:szCs w:val="20"/>
                <w:color w:val="auto"/>
              </w:rPr>
            </w:pPr>
            <w:r>
              <w:rPr>
                <w:rFonts w:ascii="Arial" w:cs="Arial" w:eastAsia="Arial" w:hAnsi="Arial"/>
                <w:sz w:val="18"/>
                <w:szCs w:val="18"/>
                <w:color w:val="auto"/>
              </w:rPr>
              <w:t>31.2*</w:t>
            </w:r>
          </w:p>
        </w:tc>
        <w:tc>
          <w:tcPr>
            <w:tcW w:w="80" w:type="dxa"/>
            <w:vAlign w:val="bottom"/>
          </w:tcPr>
          <w:p>
            <w:pPr>
              <w:spacing w:after="0"/>
              <w:rPr>
                <w:sz w:val="24"/>
                <w:szCs w:val="24"/>
                <w:color w:val="auto"/>
              </w:rPr>
            </w:pPr>
          </w:p>
        </w:tc>
        <w:tc>
          <w:tcPr>
            <w:tcW w:w="10440" w:type="dxa"/>
            <w:vAlign w:val="bottom"/>
            <w:gridSpan w:val="6"/>
          </w:tcPr>
          <w:p>
            <w:pPr>
              <w:ind w:left="80"/>
              <w:spacing w:after="0"/>
              <w:rPr>
                <w:sz w:val="20"/>
                <w:szCs w:val="20"/>
                <w:color w:val="auto"/>
              </w:rPr>
            </w:pPr>
            <w:r>
              <w:rPr>
                <w:rFonts w:ascii="Arial" w:cs="Arial" w:eastAsia="Arial" w:hAnsi="Arial"/>
                <w:sz w:val="18"/>
                <w:szCs w:val="18"/>
                <w:color w:val="auto"/>
                <w:w w:val="92"/>
              </w:rPr>
              <w:t>—  Certification of Chief Financial Officer of Civeo Corporation, pursuant to Rules 13a-14(a) or 15d-14(a) under the Securities Exchange Act</w:t>
            </w:r>
          </w:p>
        </w:tc>
      </w:tr>
      <w:tr>
        <w:trPr>
          <w:trHeight w:val="230"/>
        </w:trPr>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100" w:type="dxa"/>
            <w:vAlign w:val="bottom"/>
            <w:gridSpan w:val="5"/>
          </w:tcPr>
          <w:p>
            <w:pPr>
              <w:ind w:left="60"/>
              <w:spacing w:after="0"/>
              <w:rPr>
                <w:sz w:val="20"/>
                <w:szCs w:val="20"/>
                <w:color w:val="auto"/>
              </w:rPr>
            </w:pPr>
            <w:r>
              <w:rPr>
                <w:rFonts w:ascii="Arial" w:cs="Arial" w:eastAsia="Arial" w:hAnsi="Arial"/>
                <w:sz w:val="18"/>
                <w:szCs w:val="18"/>
                <w:color w:val="auto"/>
              </w:rPr>
              <w:t>of 1934.</w:t>
            </w:r>
          </w:p>
        </w:tc>
      </w:tr>
      <w:tr>
        <w:trPr>
          <w:trHeight w:val="418"/>
        </w:trPr>
        <w:tc>
          <w:tcPr>
            <w:tcW w:w="20" w:type="dxa"/>
            <w:vAlign w:val="bottom"/>
          </w:tcPr>
          <w:p>
            <w:pPr>
              <w:spacing w:after="0"/>
              <w:rPr>
                <w:sz w:val="24"/>
                <w:szCs w:val="24"/>
                <w:color w:val="auto"/>
              </w:rPr>
            </w:pPr>
          </w:p>
        </w:tc>
        <w:tc>
          <w:tcPr>
            <w:tcW w:w="1300" w:type="dxa"/>
            <w:vAlign w:val="bottom"/>
            <w:gridSpan w:val="3"/>
          </w:tcPr>
          <w:p>
            <w:pPr>
              <w:jc w:val="right"/>
              <w:spacing w:after="0"/>
              <w:rPr>
                <w:sz w:val="20"/>
                <w:szCs w:val="20"/>
                <w:color w:val="auto"/>
              </w:rPr>
            </w:pPr>
            <w:r>
              <w:rPr>
                <w:rFonts w:ascii="Arial" w:cs="Arial" w:eastAsia="Arial" w:hAnsi="Arial"/>
                <w:sz w:val="18"/>
                <w:szCs w:val="18"/>
                <w:color w:val="auto"/>
              </w:rPr>
              <w:t>32.1**   —</w:t>
            </w:r>
          </w:p>
        </w:tc>
        <w:tc>
          <w:tcPr>
            <w:tcW w:w="10100" w:type="dxa"/>
            <w:vAlign w:val="bottom"/>
            <w:gridSpan w:val="5"/>
          </w:tcPr>
          <w:p>
            <w:pPr>
              <w:ind w:left="60"/>
              <w:spacing w:after="0"/>
              <w:rPr>
                <w:sz w:val="20"/>
                <w:szCs w:val="20"/>
                <w:color w:val="auto"/>
              </w:rPr>
            </w:pPr>
            <w:r>
              <w:rPr>
                <w:rFonts w:ascii="Arial" w:cs="Arial" w:eastAsia="Arial" w:hAnsi="Arial"/>
                <w:sz w:val="18"/>
                <w:szCs w:val="18"/>
                <w:color w:val="auto"/>
                <w:w w:val="94"/>
              </w:rPr>
              <w:t>Certification of Chief Executive Officer of Civeo Corporation, pursuant to Rules 13a-14(b) or 15d-14(b) under the Securities Exchange</w:t>
            </w:r>
          </w:p>
        </w:tc>
      </w:tr>
      <w:tr>
        <w:trPr>
          <w:trHeight w:val="230"/>
        </w:trPr>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100" w:type="dxa"/>
            <w:vAlign w:val="bottom"/>
            <w:gridSpan w:val="5"/>
          </w:tcPr>
          <w:p>
            <w:pPr>
              <w:ind w:left="60"/>
              <w:spacing w:after="0"/>
              <w:rPr>
                <w:sz w:val="20"/>
                <w:szCs w:val="20"/>
                <w:color w:val="auto"/>
              </w:rPr>
            </w:pPr>
            <w:r>
              <w:rPr>
                <w:rFonts w:ascii="Arial" w:cs="Arial" w:eastAsia="Arial" w:hAnsi="Arial"/>
                <w:sz w:val="18"/>
                <w:szCs w:val="18"/>
                <w:color w:val="auto"/>
              </w:rPr>
              <w:t>Act of 1934.</w:t>
            </w:r>
          </w:p>
        </w:tc>
      </w:tr>
      <w:tr>
        <w:trPr>
          <w:trHeight w:val="418"/>
        </w:trPr>
        <w:tc>
          <w:tcPr>
            <w:tcW w:w="900" w:type="dxa"/>
            <w:vAlign w:val="bottom"/>
            <w:gridSpan w:val="2"/>
          </w:tcPr>
          <w:p>
            <w:pPr>
              <w:jc w:val="right"/>
              <w:spacing w:after="0"/>
              <w:rPr>
                <w:sz w:val="20"/>
                <w:szCs w:val="20"/>
                <w:color w:val="auto"/>
              </w:rPr>
            </w:pPr>
            <w:r>
              <w:rPr>
                <w:rFonts w:ascii="Arial" w:cs="Arial" w:eastAsia="Arial" w:hAnsi="Arial"/>
                <w:sz w:val="18"/>
                <w:szCs w:val="18"/>
                <w:color w:val="auto"/>
              </w:rPr>
              <w:t>32.2**</w:t>
            </w:r>
          </w:p>
        </w:tc>
        <w:tc>
          <w:tcPr>
            <w:tcW w:w="80" w:type="dxa"/>
            <w:vAlign w:val="bottom"/>
          </w:tcPr>
          <w:p>
            <w:pPr>
              <w:spacing w:after="0"/>
              <w:rPr>
                <w:sz w:val="24"/>
                <w:szCs w:val="24"/>
                <w:color w:val="auto"/>
              </w:rPr>
            </w:pPr>
          </w:p>
        </w:tc>
        <w:tc>
          <w:tcPr>
            <w:tcW w:w="10440" w:type="dxa"/>
            <w:vAlign w:val="bottom"/>
            <w:gridSpan w:val="6"/>
          </w:tcPr>
          <w:p>
            <w:pPr>
              <w:ind w:left="80"/>
              <w:spacing w:after="0"/>
              <w:rPr>
                <w:sz w:val="20"/>
                <w:szCs w:val="20"/>
                <w:color w:val="auto"/>
              </w:rPr>
            </w:pPr>
            <w:r>
              <w:rPr>
                <w:rFonts w:ascii="Arial" w:cs="Arial" w:eastAsia="Arial" w:hAnsi="Arial"/>
                <w:sz w:val="18"/>
                <w:szCs w:val="18"/>
                <w:color w:val="auto"/>
                <w:w w:val="92"/>
              </w:rPr>
              <w:t>—  Certification of Chief Financial Officer of Civeo Corporation, pursuant to Rules 13a-14(b) or 15d-14(b) under the Securities Exchange Act</w:t>
            </w:r>
          </w:p>
        </w:tc>
      </w:tr>
      <w:tr>
        <w:trPr>
          <w:trHeight w:val="230"/>
        </w:trPr>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100" w:type="dxa"/>
            <w:vAlign w:val="bottom"/>
            <w:gridSpan w:val="5"/>
          </w:tcPr>
          <w:p>
            <w:pPr>
              <w:ind w:left="60"/>
              <w:spacing w:after="0"/>
              <w:rPr>
                <w:sz w:val="20"/>
                <w:szCs w:val="20"/>
                <w:color w:val="auto"/>
              </w:rPr>
            </w:pPr>
            <w:r>
              <w:rPr>
                <w:rFonts w:ascii="Arial" w:cs="Arial" w:eastAsia="Arial" w:hAnsi="Arial"/>
                <w:sz w:val="18"/>
                <w:szCs w:val="18"/>
                <w:color w:val="auto"/>
              </w:rPr>
              <w:t>of 1934.</w:t>
            </w:r>
          </w:p>
        </w:tc>
      </w:tr>
      <w:tr>
        <w:trPr>
          <w:trHeight w:val="432"/>
        </w:trPr>
        <w:tc>
          <w:tcPr>
            <w:tcW w:w="20" w:type="dxa"/>
            <w:vAlign w:val="bottom"/>
          </w:tcPr>
          <w:p>
            <w:pPr>
              <w:spacing w:after="0"/>
              <w:rPr>
                <w:sz w:val="24"/>
                <w:szCs w:val="24"/>
                <w:color w:val="auto"/>
              </w:rPr>
            </w:pPr>
          </w:p>
        </w:tc>
        <w:tc>
          <w:tcPr>
            <w:tcW w:w="960" w:type="dxa"/>
            <w:vAlign w:val="bottom"/>
            <w:gridSpan w:val="2"/>
          </w:tcPr>
          <w:p>
            <w:pPr>
              <w:ind w:left="40"/>
              <w:spacing w:after="0"/>
              <w:rPr>
                <w:sz w:val="20"/>
                <w:szCs w:val="20"/>
                <w:color w:val="auto"/>
              </w:rPr>
            </w:pPr>
            <w:r>
              <w:rPr>
                <w:rFonts w:ascii="Arial" w:cs="Arial" w:eastAsia="Arial" w:hAnsi="Arial"/>
                <w:sz w:val="18"/>
                <w:szCs w:val="18"/>
                <w:color w:val="auto"/>
              </w:rPr>
              <w:t>101.INS*</w:t>
            </w:r>
          </w:p>
        </w:tc>
        <w:tc>
          <w:tcPr>
            <w:tcW w:w="340" w:type="dxa"/>
            <w:vAlign w:val="bottom"/>
          </w:tcPr>
          <w:p>
            <w:pPr>
              <w:ind w:left="80"/>
              <w:spacing w:after="0"/>
              <w:rPr>
                <w:sz w:val="20"/>
                <w:szCs w:val="20"/>
                <w:color w:val="auto"/>
              </w:rPr>
            </w:pPr>
            <w:r>
              <w:rPr>
                <w:rFonts w:ascii="Arial" w:cs="Arial" w:eastAsia="Arial" w:hAnsi="Arial"/>
                <w:sz w:val="18"/>
                <w:szCs w:val="18"/>
                <w:color w:val="auto"/>
              </w:rPr>
              <w:t>—</w:t>
            </w:r>
          </w:p>
        </w:tc>
        <w:tc>
          <w:tcPr>
            <w:tcW w:w="10100" w:type="dxa"/>
            <w:vAlign w:val="bottom"/>
            <w:gridSpan w:val="5"/>
          </w:tcPr>
          <w:p>
            <w:pPr>
              <w:ind w:left="60"/>
              <w:spacing w:after="0"/>
              <w:rPr>
                <w:sz w:val="20"/>
                <w:szCs w:val="20"/>
                <w:color w:val="auto"/>
              </w:rPr>
            </w:pPr>
            <w:r>
              <w:rPr>
                <w:rFonts w:ascii="Arial" w:cs="Arial" w:eastAsia="Arial" w:hAnsi="Arial"/>
                <w:sz w:val="18"/>
                <w:szCs w:val="18"/>
                <w:color w:val="auto"/>
              </w:rPr>
              <w:t>XBRL Instance Document</w:t>
            </w:r>
          </w:p>
        </w:tc>
      </w:tr>
      <w:tr>
        <w:trPr>
          <w:trHeight w:val="432"/>
        </w:trPr>
        <w:tc>
          <w:tcPr>
            <w:tcW w:w="980" w:type="dxa"/>
            <w:vAlign w:val="bottom"/>
            <w:gridSpan w:val="3"/>
          </w:tcPr>
          <w:p>
            <w:pPr>
              <w:spacing w:after="0"/>
              <w:rPr>
                <w:sz w:val="20"/>
                <w:szCs w:val="20"/>
                <w:color w:val="auto"/>
              </w:rPr>
            </w:pPr>
            <w:r>
              <w:rPr>
                <w:rFonts w:ascii="Arial" w:cs="Arial" w:eastAsia="Arial" w:hAnsi="Arial"/>
                <w:sz w:val="18"/>
                <w:szCs w:val="18"/>
                <w:color w:val="auto"/>
              </w:rPr>
              <w:t>101.SCH*</w:t>
            </w:r>
          </w:p>
        </w:tc>
        <w:tc>
          <w:tcPr>
            <w:tcW w:w="10440" w:type="dxa"/>
            <w:vAlign w:val="bottom"/>
            <w:gridSpan w:val="6"/>
          </w:tcPr>
          <w:p>
            <w:pPr>
              <w:ind w:left="80"/>
              <w:spacing w:after="0"/>
              <w:rPr>
                <w:sz w:val="20"/>
                <w:szCs w:val="20"/>
                <w:color w:val="auto"/>
              </w:rPr>
            </w:pPr>
            <w:r>
              <w:rPr>
                <w:rFonts w:ascii="Arial" w:cs="Arial" w:eastAsia="Arial" w:hAnsi="Arial"/>
                <w:sz w:val="18"/>
                <w:szCs w:val="18"/>
                <w:color w:val="auto"/>
              </w:rPr>
              <w:t>—  XBRL Taxonomy Extension Schema Document</w:t>
            </w:r>
          </w:p>
        </w:tc>
      </w:tr>
      <w:tr>
        <w:trPr>
          <w:trHeight w:val="432"/>
        </w:trPr>
        <w:tc>
          <w:tcPr>
            <w:tcW w:w="980" w:type="dxa"/>
            <w:vAlign w:val="bottom"/>
            <w:gridSpan w:val="3"/>
          </w:tcPr>
          <w:p>
            <w:pPr>
              <w:spacing w:after="0"/>
              <w:rPr>
                <w:sz w:val="20"/>
                <w:szCs w:val="20"/>
                <w:color w:val="auto"/>
              </w:rPr>
            </w:pPr>
            <w:r>
              <w:rPr>
                <w:rFonts w:ascii="Arial" w:cs="Arial" w:eastAsia="Arial" w:hAnsi="Arial"/>
                <w:sz w:val="18"/>
                <w:szCs w:val="18"/>
                <w:color w:val="auto"/>
              </w:rPr>
              <w:t>101.CAL*</w:t>
            </w:r>
          </w:p>
        </w:tc>
        <w:tc>
          <w:tcPr>
            <w:tcW w:w="10440" w:type="dxa"/>
            <w:vAlign w:val="bottom"/>
            <w:gridSpan w:val="6"/>
          </w:tcPr>
          <w:p>
            <w:pPr>
              <w:ind w:left="80"/>
              <w:spacing w:after="0"/>
              <w:rPr>
                <w:sz w:val="20"/>
                <w:szCs w:val="20"/>
                <w:color w:val="auto"/>
              </w:rPr>
            </w:pPr>
            <w:r>
              <w:rPr>
                <w:rFonts w:ascii="Arial" w:cs="Arial" w:eastAsia="Arial" w:hAnsi="Arial"/>
                <w:sz w:val="18"/>
                <w:szCs w:val="18"/>
                <w:color w:val="auto"/>
              </w:rPr>
              <w:t>—  XBRL Taxonomy Extension Calculation Linkbase Document</w:t>
            </w:r>
          </w:p>
        </w:tc>
      </w:tr>
      <w:tr>
        <w:trPr>
          <w:trHeight w:val="432"/>
        </w:trPr>
        <w:tc>
          <w:tcPr>
            <w:tcW w:w="980" w:type="dxa"/>
            <w:vAlign w:val="bottom"/>
            <w:gridSpan w:val="3"/>
          </w:tcPr>
          <w:p>
            <w:pPr>
              <w:spacing w:after="0"/>
              <w:rPr>
                <w:sz w:val="20"/>
                <w:szCs w:val="20"/>
                <w:color w:val="auto"/>
              </w:rPr>
            </w:pPr>
            <w:r>
              <w:rPr>
                <w:rFonts w:ascii="Arial" w:cs="Arial" w:eastAsia="Arial" w:hAnsi="Arial"/>
                <w:sz w:val="18"/>
                <w:szCs w:val="18"/>
                <w:color w:val="auto"/>
              </w:rPr>
              <w:t>101.DEF*</w:t>
            </w:r>
          </w:p>
        </w:tc>
        <w:tc>
          <w:tcPr>
            <w:tcW w:w="10440" w:type="dxa"/>
            <w:vAlign w:val="bottom"/>
            <w:gridSpan w:val="6"/>
          </w:tcPr>
          <w:p>
            <w:pPr>
              <w:ind w:left="80"/>
              <w:spacing w:after="0"/>
              <w:rPr>
                <w:sz w:val="20"/>
                <w:szCs w:val="20"/>
                <w:color w:val="auto"/>
              </w:rPr>
            </w:pPr>
            <w:r>
              <w:rPr>
                <w:rFonts w:ascii="Arial" w:cs="Arial" w:eastAsia="Arial" w:hAnsi="Arial"/>
                <w:sz w:val="18"/>
                <w:szCs w:val="18"/>
                <w:color w:val="auto"/>
              </w:rPr>
              <w:t>—  XBRL Taxonomy Extension Definition Linkbase Document</w:t>
            </w:r>
          </w:p>
        </w:tc>
      </w:tr>
      <w:tr>
        <w:trPr>
          <w:trHeight w:val="432"/>
        </w:trPr>
        <w:tc>
          <w:tcPr>
            <w:tcW w:w="980" w:type="dxa"/>
            <w:vAlign w:val="bottom"/>
            <w:gridSpan w:val="3"/>
          </w:tcPr>
          <w:p>
            <w:pPr>
              <w:spacing w:after="0"/>
              <w:rPr>
                <w:sz w:val="20"/>
                <w:szCs w:val="20"/>
                <w:color w:val="auto"/>
              </w:rPr>
            </w:pPr>
            <w:r>
              <w:rPr>
                <w:rFonts w:ascii="Arial" w:cs="Arial" w:eastAsia="Arial" w:hAnsi="Arial"/>
                <w:sz w:val="18"/>
                <w:szCs w:val="18"/>
                <w:color w:val="auto"/>
              </w:rPr>
              <w:t>101.LAB*</w:t>
            </w:r>
          </w:p>
        </w:tc>
        <w:tc>
          <w:tcPr>
            <w:tcW w:w="10440" w:type="dxa"/>
            <w:vAlign w:val="bottom"/>
            <w:gridSpan w:val="6"/>
          </w:tcPr>
          <w:p>
            <w:pPr>
              <w:ind w:left="80"/>
              <w:spacing w:after="0"/>
              <w:rPr>
                <w:sz w:val="20"/>
                <w:szCs w:val="20"/>
                <w:color w:val="auto"/>
              </w:rPr>
            </w:pPr>
            <w:r>
              <w:rPr>
                <w:rFonts w:ascii="Arial" w:cs="Arial" w:eastAsia="Arial" w:hAnsi="Arial"/>
                <w:sz w:val="18"/>
                <w:szCs w:val="18"/>
                <w:color w:val="auto"/>
              </w:rPr>
              <w:t>—  XBRL Taxonomy Extension Label Linkbase Document</w:t>
            </w:r>
          </w:p>
        </w:tc>
      </w:tr>
      <w:tr>
        <w:trPr>
          <w:trHeight w:val="432"/>
        </w:trPr>
        <w:tc>
          <w:tcPr>
            <w:tcW w:w="980" w:type="dxa"/>
            <w:vAlign w:val="bottom"/>
            <w:gridSpan w:val="3"/>
          </w:tcPr>
          <w:p>
            <w:pPr>
              <w:spacing w:after="0"/>
              <w:rPr>
                <w:sz w:val="20"/>
                <w:szCs w:val="20"/>
                <w:color w:val="auto"/>
              </w:rPr>
            </w:pPr>
            <w:r>
              <w:rPr>
                <w:rFonts w:ascii="Arial" w:cs="Arial" w:eastAsia="Arial" w:hAnsi="Arial"/>
                <w:sz w:val="18"/>
                <w:szCs w:val="18"/>
                <w:color w:val="auto"/>
              </w:rPr>
              <w:t>101.PRE*</w:t>
            </w:r>
          </w:p>
        </w:tc>
        <w:tc>
          <w:tcPr>
            <w:tcW w:w="340" w:type="dxa"/>
            <w:vAlign w:val="bottom"/>
          </w:tcPr>
          <w:p>
            <w:pPr>
              <w:ind w:left="80"/>
              <w:spacing w:after="0"/>
              <w:rPr>
                <w:sz w:val="20"/>
                <w:szCs w:val="20"/>
                <w:color w:val="auto"/>
              </w:rPr>
            </w:pPr>
            <w:r>
              <w:rPr>
                <w:rFonts w:ascii="Arial" w:cs="Arial" w:eastAsia="Arial" w:hAnsi="Arial"/>
                <w:sz w:val="18"/>
                <w:szCs w:val="18"/>
                <w:color w:val="auto"/>
              </w:rPr>
              <w:t>—</w:t>
            </w:r>
          </w:p>
        </w:tc>
        <w:tc>
          <w:tcPr>
            <w:tcW w:w="10100" w:type="dxa"/>
            <w:vAlign w:val="bottom"/>
            <w:gridSpan w:val="5"/>
          </w:tcPr>
          <w:p>
            <w:pPr>
              <w:ind w:left="60"/>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898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500" w:hanging="492"/>
        <w:spacing w:after="0"/>
        <w:tabs>
          <w:tab w:leader="none" w:pos="5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500" w:hanging="492"/>
        <w:spacing w:after="0"/>
        <w:tabs>
          <w:tab w:leader="none" w:pos="5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11" w:lineRule="exact"/>
        <w:rPr>
          <w:sz w:val="20"/>
          <w:szCs w:val="20"/>
          <w:color w:val="auto"/>
        </w:rPr>
      </w:pPr>
    </w:p>
    <w:p>
      <w:pPr>
        <w:ind w:right="60" w:firstLine="324"/>
        <w:spacing w:after="0" w:line="287" w:lineRule="auto"/>
        <w:rPr>
          <w:sz w:val="20"/>
          <w:szCs w:val="20"/>
          <w:color w:val="auto"/>
        </w:rPr>
      </w:pPr>
      <w:r>
        <w:rPr>
          <w:rFonts w:ascii="Arial" w:cs="Arial" w:eastAsia="Arial" w:hAnsi="Arial"/>
          <w:sz w:val="16"/>
          <w:szCs w:val="16"/>
          <w:color w:val="auto"/>
        </w:rPr>
        <w:t>PLEASE NOTE: Pursuant to the rules and regulations of the Securities and Exchange Commission, we have filed or incorporated by reference the agreements referenced above as exhibits to this Quarterly Report on Form 10-Q. The agreements have been filed to provide investors with information regarding their respective terms. The agreements are not intended to provide any other factual information about Civeo or its business or operations. In particular, the assertions embodied in any representations, warranties and covenants contained in the agreements may be subject to qualifications with respect to knowledge and materiality different from those applicable to investors and may be qualified by information in confidential disclosure schedules not included with the exhibits. These disclosure schedules may contain information that modifies, qualifies and creates exceptions to the representations, warranties and covenants set forth in the agreements. Moreover, certain representations, warranties and covenants in the agreements may have been used for the purpose of allocating risk between the parties, rather than establishing matters as facts. In addition, information concerning the subject matter of the representations, warranties and covenants may have changed after the date of the respective agreement, which subsequent information may or may not be fully reflected in our public disclosures. Accordingly, investors should not rely on the representations, warranties and covenants in the agreements as characterizations of the actual state of facts about Civeo or its business or operations on the date hereof.</w:t>
      </w:r>
    </w:p>
    <w:p>
      <w:pPr>
        <w:sectPr>
          <w:pgSz w:w="11900" w:h="16838" w:orient="portrait"/>
          <w:cols w:equalWidth="0" w:num="1">
            <w:col w:w="11420"/>
          </w:cols>
          <w:pgMar w:left="240" w:top="567" w:right="2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CIVEO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UNDER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I, Bradley J. Dodson, certify that:</w:t>
      </w:r>
    </w:p>
    <w:p>
      <w:pPr>
        <w:spacing w:after="0" w:line="225" w:lineRule="exact"/>
        <w:rPr>
          <w:sz w:val="20"/>
          <w:szCs w:val="20"/>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Civeo Corporation (Registrant);</w:t>
      </w:r>
    </w:p>
    <w:p>
      <w:pPr>
        <w:spacing w:after="0" w:line="225"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980" w:hanging="324"/>
        <w:spacing w:after="0" w:line="308" w:lineRule="auto"/>
        <w:tabs>
          <w:tab w:leader="none" w:pos="980" w:val="left"/>
        </w:tabs>
        <w:numPr>
          <w:ilvl w:val="0"/>
          <w:numId w:val="2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980" w:hanging="324"/>
        <w:spacing w:after="0" w:line="277" w:lineRule="auto"/>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have:</w:t>
      </w:r>
    </w:p>
    <w:p>
      <w:pPr>
        <w:spacing w:after="0" w:line="170"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300" w:hanging="320"/>
        <w:spacing w:after="0"/>
        <w:tabs>
          <w:tab w:leader="none" w:pos="13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paragraph omitted in accordance with SEC transition instructions;</w:t>
      </w:r>
    </w:p>
    <w:p>
      <w:pPr>
        <w:spacing w:after="0" w:line="225" w:lineRule="exact"/>
        <w:rPr>
          <w:rFonts w:ascii="Arial" w:cs="Arial" w:eastAsia="Arial" w:hAnsi="Arial"/>
          <w:sz w:val="18"/>
          <w:szCs w:val="18"/>
          <w:color w:val="auto"/>
        </w:rPr>
      </w:pPr>
    </w:p>
    <w:p>
      <w:pPr>
        <w:ind w:left="1300" w:hanging="320"/>
        <w:spacing w:after="0" w:line="342" w:lineRule="auto"/>
        <w:tabs>
          <w:tab w:leader="none" w:pos="1300" w:val="left"/>
        </w:tabs>
        <w:numPr>
          <w:ilvl w:val="1"/>
          <w:numId w:val="2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300" w:hanging="320"/>
        <w:spacing w:after="0" w:line="264" w:lineRule="auto"/>
        <w:tabs>
          <w:tab w:leader="none" w:pos="13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980" w:hanging="324"/>
        <w:spacing w:after="0" w:line="342" w:lineRule="auto"/>
        <w:tabs>
          <w:tab w:leader="none" w:pos="9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300" w:hanging="320"/>
        <w:spacing w:after="0" w:line="308" w:lineRule="auto"/>
        <w:tabs>
          <w:tab w:leader="none" w:pos="1300" w:val="left"/>
        </w:tabs>
        <w:numPr>
          <w:ilvl w:val="1"/>
          <w:numId w:val="2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300" w:right="20" w:hanging="320"/>
        <w:spacing w:after="0" w:line="277" w:lineRule="auto"/>
        <w:tabs>
          <w:tab w:leader="none" w:pos="13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7" w:lineRule="exact"/>
        <w:rPr>
          <w:sz w:val="20"/>
          <w:szCs w:val="20"/>
          <w:color w:val="auto"/>
        </w:rPr>
      </w:pPr>
    </w:p>
    <w:p>
      <w:pPr>
        <w:spacing w:after="0"/>
        <w:rPr>
          <w:sz w:val="20"/>
          <w:szCs w:val="20"/>
          <w:color w:val="auto"/>
        </w:rPr>
      </w:pPr>
      <w:r>
        <w:rPr>
          <w:rFonts w:ascii="Arial" w:cs="Arial" w:eastAsia="Arial" w:hAnsi="Arial"/>
          <w:sz w:val="22"/>
          <w:szCs w:val="22"/>
          <w:color w:val="auto"/>
        </w:rPr>
        <w:t>Date: April 30, 2015</w:t>
      </w:r>
    </w:p>
    <w:p>
      <w:pPr>
        <w:spacing w:after="0" w:line="22"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/s/ Bradley J. Dodson</w:t>
      </w:r>
    </w:p>
    <w:p>
      <w:pPr>
        <w:spacing w:after="0" w:line="13"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Bradley J. Dodson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-130810</wp:posOffset>
            </wp:positionV>
            <wp:extent cx="252984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3"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121" w:right="2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CIVEO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UNDER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I, Frank C. Steininger, certify that:</w:t>
      </w:r>
    </w:p>
    <w:p>
      <w:pPr>
        <w:spacing w:after="0" w:line="225" w:lineRule="exact"/>
        <w:rPr>
          <w:sz w:val="20"/>
          <w:szCs w:val="20"/>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Civeo Corporation (Registrant);</w:t>
      </w:r>
    </w:p>
    <w:p>
      <w:pPr>
        <w:spacing w:after="0" w:line="225"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980" w:hanging="324"/>
        <w:spacing w:after="0" w:line="308" w:lineRule="auto"/>
        <w:tabs>
          <w:tab w:leader="none" w:pos="9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980" w:hanging="324"/>
        <w:spacing w:after="0" w:line="277" w:lineRule="auto"/>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have:</w:t>
      </w:r>
    </w:p>
    <w:p>
      <w:pPr>
        <w:spacing w:after="0" w:line="170"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300" w:hanging="320"/>
        <w:spacing w:after="0"/>
        <w:tabs>
          <w:tab w:leader="none" w:pos="13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paragraph omitted in accordance with SEC transition instructions;</w:t>
      </w:r>
    </w:p>
    <w:p>
      <w:pPr>
        <w:spacing w:after="0" w:line="225" w:lineRule="exact"/>
        <w:rPr>
          <w:rFonts w:ascii="Arial" w:cs="Arial" w:eastAsia="Arial" w:hAnsi="Arial"/>
          <w:sz w:val="18"/>
          <w:szCs w:val="18"/>
          <w:color w:val="auto"/>
        </w:rPr>
      </w:pPr>
    </w:p>
    <w:p>
      <w:pPr>
        <w:ind w:left="1300" w:hanging="320"/>
        <w:spacing w:after="0" w:line="342" w:lineRule="auto"/>
        <w:tabs>
          <w:tab w:leader="none" w:pos="1300" w:val="left"/>
        </w:tabs>
        <w:numPr>
          <w:ilvl w:val="1"/>
          <w:numId w:val="3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300" w:hanging="320"/>
        <w:spacing w:after="0" w:line="264" w:lineRule="auto"/>
        <w:tabs>
          <w:tab w:leader="none" w:pos="13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980" w:hanging="324"/>
        <w:spacing w:after="0" w:line="342" w:lineRule="auto"/>
        <w:tabs>
          <w:tab w:leader="none" w:pos="9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300" w:hanging="320"/>
        <w:spacing w:after="0" w:line="308" w:lineRule="auto"/>
        <w:tabs>
          <w:tab w:leader="none" w:pos="1300" w:val="left"/>
        </w:tabs>
        <w:numPr>
          <w:ilvl w:val="1"/>
          <w:numId w:val="3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300" w:right="20" w:hanging="320"/>
        <w:spacing w:after="0" w:line="277" w:lineRule="auto"/>
        <w:tabs>
          <w:tab w:leader="none" w:pos="13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April 30, 2015</w:t>
      </w:r>
    </w:p>
    <w:p>
      <w:pPr>
        <w:spacing w:after="0" w:line="23"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/s/ Frank C. Steininger</w:t>
      </w:r>
    </w:p>
    <w:p>
      <w:pPr>
        <w:spacing w:after="0" w:line="9"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Frank C. Steininger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-130810</wp:posOffset>
            </wp:positionV>
            <wp:extent cx="252984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3"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Senior Vice President, Chief Financial Officer</w:t>
      </w:r>
    </w:p>
    <w:p>
      <w:pPr>
        <w:spacing w:after="0" w:line="9"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and Treasurer</w:t>
      </w:r>
    </w:p>
    <w:p>
      <w:pPr>
        <w:sectPr>
          <w:pgSz w:w="11900" w:h="16838" w:orient="portrait"/>
          <w:cols w:equalWidth="0" w:num="1">
            <w:col w:w="11420"/>
          </w:cols>
          <w:pgMar w:left="240" w:top="121" w:right="2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CIVEO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 1350, 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2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connection with the Quarterly Report on Form 10-Q for the quarterly period ended March 31, 2015 filed with the Securities and Exchange Commission (the “Report”), I, Bradley J. Dodson, President and Chief Executive Officer of Civeo Corporation (the “Company”), hereby certify, to the best of my knowledge, that:</w:t>
      </w:r>
    </w:p>
    <w:p>
      <w:pPr>
        <w:spacing w:after="0" w:line="181" w:lineRule="exact"/>
        <w:rPr>
          <w:sz w:val="20"/>
          <w:szCs w:val="20"/>
          <w:color w:val="auto"/>
        </w:rPr>
      </w:pPr>
    </w:p>
    <w:p>
      <w:pPr>
        <w:ind w:left="980" w:hanging="324"/>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Bradley J. Dodson</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Bradley J. Dodson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253873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3" w:lineRule="exact"/>
        <w:rPr>
          <w:sz w:val="20"/>
          <w:szCs w:val="20"/>
          <w:color w:val="auto"/>
        </w:rPr>
      </w:pPr>
    </w:p>
    <w:p>
      <w:pPr>
        <w:ind w:left="5720"/>
        <w:spacing w:after="0"/>
        <w:tabs>
          <w:tab w:leader="none" w:pos="6280" w:val="left"/>
        </w:tabs>
        <w:rPr>
          <w:sz w:val="20"/>
          <w:szCs w:val="20"/>
          <w:color w:val="auto"/>
        </w:rPr>
      </w:pPr>
      <w:r>
        <w:rPr>
          <w:rFonts w:ascii="Arial" w:cs="Arial" w:eastAsia="Arial" w:hAnsi="Arial"/>
          <w:sz w:val="18"/>
          <w:szCs w:val="18"/>
          <w:color w:val="auto"/>
        </w:rPr>
        <w:t>Date:</w:t>
        <w:tab/>
        <w:t>April 30, 2015</w:t>
      </w:r>
    </w:p>
    <w:p>
      <w:pPr>
        <w:sectPr>
          <w:pgSz w:w="11900" w:h="16838" w:orient="portrait"/>
          <w:cols w:equalWidth="0" w:num="1">
            <w:col w:w="11420"/>
          </w:cols>
          <w:pgMar w:left="240" w:top="121" w:right="2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CIVEO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 1350, 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connection with the Quarterly Report on Form 10-Q for the quarterly period ended March 31, 2015 filed with the Securities and Exchange Commission (the “Report”), I, Frank C. Steininger, Senior Vice President, Chief Financial Officer and Treasurer of Civeo Corporation (the “Company”), hereby certify, to the best of my knowledge, that:</w:t>
      </w:r>
    </w:p>
    <w:p>
      <w:pPr>
        <w:spacing w:after="0" w:line="181" w:lineRule="exact"/>
        <w:rPr>
          <w:sz w:val="20"/>
          <w:szCs w:val="20"/>
          <w:color w:val="auto"/>
        </w:rPr>
      </w:pPr>
    </w:p>
    <w:p>
      <w:pPr>
        <w:ind w:left="980" w:hanging="324"/>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Frank C. Steininger</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Frank C. Steininger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253873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3" w:lineRule="exact"/>
        <w:rPr>
          <w:sz w:val="20"/>
          <w:szCs w:val="20"/>
          <w:color w:val="auto"/>
        </w:rPr>
      </w:pPr>
    </w:p>
    <w:p>
      <w:pPr>
        <w:ind w:left="5720"/>
        <w:spacing w:after="0"/>
        <w:tabs>
          <w:tab w:leader="none" w:pos="6280" w:val="left"/>
        </w:tabs>
        <w:rPr>
          <w:sz w:val="20"/>
          <w:szCs w:val="20"/>
          <w:color w:val="auto"/>
        </w:rPr>
      </w:pPr>
      <w:r>
        <w:rPr>
          <w:rFonts w:ascii="Arial" w:cs="Arial" w:eastAsia="Arial" w:hAnsi="Arial"/>
          <w:sz w:val="18"/>
          <w:szCs w:val="18"/>
          <w:color w:val="auto"/>
        </w:rPr>
        <w:t>Date:</w:t>
        <w:tab/>
        <w:t>April 30, 2015</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E6AFB66"/>
    <w:multiLevelType w:val="hybridMultilevel"/>
    <w:lvl w:ilvl="0">
      <w:lvlJc w:val="left"/>
      <w:lvlText w:val="[%1]"/>
      <w:numFmt w:val="upperLetter"/>
      <w:start w:val="24"/>
    </w:lvl>
  </w:abstractNum>
  <w:abstractNum w:abstractNumId="1">
    <w:nsid w:val="25E45D32"/>
    <w:multiLevelType w:val="hybridMultilevel"/>
    <w:lvl w:ilvl="0">
      <w:lvlJc w:val="left"/>
      <w:lvlText w:val="["/>
      <w:numFmt w:val="bullet"/>
      <w:start w:val="1"/>
    </w:lvl>
  </w:abstractNum>
  <w:abstractNum w:abstractNumId="2">
    <w:nsid w:val="519B500D"/>
    <w:multiLevelType w:val="hybridMultilevel"/>
    <w:lvl w:ilvl="0">
      <w:lvlJc w:val="left"/>
      <w:lvlText w:val="%1."/>
      <w:numFmt w:val="decimal"/>
      <w:start w:val="1"/>
    </w:lvl>
  </w:abstractNum>
  <w:abstractNum w:abstractNumId="3">
    <w:nsid w:val="431BD7B7"/>
    <w:multiLevelType w:val="hybridMultilevel"/>
    <w:lvl w:ilvl="0">
      <w:lvlJc w:val="left"/>
      <w:lvlText w:val="(%1)"/>
      <w:numFmt w:val="lowerRoman"/>
      <w:start w:val="3"/>
    </w:lvl>
  </w:abstractNum>
  <w:abstractNum w:abstractNumId="4">
    <w:nsid w:val="3F2DBA31"/>
    <w:multiLevelType w:val="hybridMultilevel"/>
    <w:lvl w:ilvl="0">
      <w:lvlJc w:val="left"/>
      <w:lvlText w:val="●"/>
      <w:numFmt w:val="bullet"/>
      <w:start w:val="1"/>
    </w:lvl>
  </w:abstractNum>
  <w:abstractNum w:abstractNumId="5">
    <w:nsid w:val="7C83E458"/>
    <w:multiLevelType w:val="hybridMultilevel"/>
    <w:lvl w:ilvl="0">
      <w:lvlJc w:val="left"/>
      <w:lvlText w:val="%1."/>
      <w:numFmt w:val="decimal"/>
      <w:start w:val="2"/>
    </w:lvl>
  </w:abstractNum>
  <w:abstractNum w:abstractNumId="6">
    <w:nsid w:val="257130A3"/>
    <w:multiLevelType w:val="hybridMultilevel"/>
    <w:lvl w:ilvl="0">
      <w:lvlJc w:val="left"/>
      <w:lvlText w:val="%1."/>
      <w:numFmt w:val="decimal"/>
      <w:start w:val="3"/>
    </w:lvl>
  </w:abstractNum>
  <w:abstractNum w:abstractNumId="7">
    <w:nsid w:val="62BBD95A"/>
    <w:multiLevelType w:val="hybridMultilevel"/>
    <w:lvl w:ilvl="0">
      <w:lvlJc w:val="left"/>
      <w:lvlText w:val="%1."/>
      <w:numFmt w:val="decimal"/>
      <w:start w:val="4"/>
    </w:lvl>
  </w:abstractNum>
  <w:abstractNum w:abstractNumId="8">
    <w:nsid w:val="436C6125"/>
    <w:multiLevelType w:val="hybridMultilevel"/>
    <w:lvl w:ilvl="0">
      <w:lvlJc w:val="left"/>
      <w:lvlText w:val="%1."/>
      <w:numFmt w:val="decimal"/>
      <w:start w:val="5"/>
    </w:lvl>
  </w:abstractNum>
  <w:abstractNum w:abstractNumId="9">
    <w:nsid w:val="628C895D"/>
    <w:multiLevelType w:val="hybridMultilevel"/>
    <w:lvl w:ilvl="0">
      <w:lvlJc w:val="left"/>
      <w:lvlText w:val="%1."/>
      <w:numFmt w:val="decimal"/>
      <w:start w:val="6"/>
    </w:lvl>
  </w:abstractNum>
  <w:abstractNum w:abstractNumId="10">
    <w:nsid w:val="333AB105"/>
    <w:multiLevelType w:val="hybridMultilevel"/>
    <w:lvl w:ilvl="0">
      <w:lvlJc w:val="left"/>
      <w:lvlText w:val="%1."/>
      <w:numFmt w:val="decimal"/>
      <w:start w:val="7"/>
    </w:lvl>
  </w:abstractNum>
  <w:abstractNum w:abstractNumId="11">
    <w:nsid w:val="721DA317"/>
    <w:multiLevelType w:val="hybridMultilevel"/>
    <w:lvl w:ilvl="0">
      <w:lvlJc w:val="left"/>
      <w:lvlText w:val="%1."/>
      <w:numFmt w:val="decimal"/>
      <w:start w:val="8"/>
    </w:lvl>
  </w:abstractNum>
  <w:abstractNum w:abstractNumId="12">
    <w:nsid w:val="2443A858"/>
    <w:multiLevelType w:val="hybridMultilevel"/>
    <w:lvl w:ilvl="0">
      <w:lvlJc w:val="left"/>
      <w:lvlText w:val="%1."/>
      <w:numFmt w:val="decimal"/>
      <w:start w:val="9"/>
    </w:lvl>
  </w:abstractNum>
  <w:abstractNum w:abstractNumId="13">
    <w:nsid w:val="2D1D5AE9"/>
    <w:multiLevelType w:val="hybridMultilevel"/>
    <w:lvl w:ilvl="0">
      <w:lvlJc w:val="left"/>
      <w:lvlText w:val="%1."/>
      <w:numFmt w:val="decimal"/>
      <w:start w:val="13"/>
    </w:lvl>
  </w:abstractNum>
  <w:abstractNum w:abstractNumId="14">
    <w:nsid w:val="6763845E"/>
    <w:multiLevelType w:val="hybridMultilevel"/>
    <w:lvl w:ilvl="0">
      <w:lvlJc w:val="left"/>
      <w:lvlText w:val="$"/>
      <w:numFmt w:val="bullet"/>
      <w:start w:val="1"/>
    </w:lvl>
  </w:abstractNum>
  <w:abstractNum w:abstractNumId="15">
    <w:nsid w:val="75A2A8D4"/>
    <w:multiLevelType w:val="hybridMultilevel"/>
    <w:lvl w:ilvl="0">
      <w:lvlJc w:val="left"/>
      <w:lvlText w:val="$"/>
      <w:numFmt w:val="bullet"/>
      <w:start w:val="1"/>
    </w:lvl>
  </w:abstractNum>
  <w:abstractNum w:abstractNumId="16">
    <w:nsid w:val="8EDBDAB"/>
    <w:multiLevelType w:val="hybridMultilevel"/>
    <w:lvl w:ilvl="0">
      <w:lvlJc w:val="left"/>
      <w:lvlText w:val="(%1)"/>
      <w:numFmt w:val="decimal"/>
      <w:start w:val="1"/>
    </w:lvl>
  </w:abstractNum>
  <w:abstractNum w:abstractNumId="17">
    <w:nsid w:val="79838CB2"/>
    <w:multiLevelType w:val="hybridMultilevel"/>
    <w:lvl w:ilvl="0">
      <w:lvlJc w:val="left"/>
      <w:lvlText w:val="(%1)"/>
      <w:numFmt w:val="lowerRoman"/>
      <w:start w:val="3"/>
    </w:lvl>
  </w:abstractNum>
  <w:abstractNum w:abstractNumId="18">
    <w:nsid w:val="4353D0CD"/>
    <w:multiLevelType w:val="hybridMultilevel"/>
    <w:lvl w:ilvl="0">
      <w:lvlJc w:val="left"/>
      <w:lvlText w:val="●"/>
      <w:numFmt w:val="bullet"/>
      <w:start w:val="1"/>
    </w:lvl>
  </w:abstractNum>
  <w:abstractNum w:abstractNumId="19">
    <w:nsid w:val="B03E0C6"/>
    <w:multiLevelType w:val="hybridMultilevel"/>
    <w:lvl w:ilvl="0">
      <w:lvlJc w:val="left"/>
      <w:lvlText w:val="(%1)"/>
      <w:numFmt w:val="decimal"/>
      <w:start w:val="1"/>
    </w:lvl>
  </w:abstractNum>
  <w:abstractNum w:abstractNumId="20">
    <w:nsid w:val="189A769B"/>
    <w:multiLevelType w:val="hybridMultilevel"/>
    <w:lvl w:ilvl="0">
      <w:lvlJc w:val="left"/>
      <w:lvlText w:val="(%1)"/>
      <w:numFmt w:val="decimal"/>
      <w:start w:val="1"/>
    </w:lvl>
  </w:abstractNum>
  <w:abstractNum w:abstractNumId="21">
    <w:nsid w:val="54E49EB4"/>
    <w:multiLevelType w:val="hybridMultilevel"/>
    <w:lvl w:ilvl="0">
      <w:lvlJc w:val="left"/>
      <w:lvlText w:val="(%1)"/>
      <w:numFmt w:val="decimal"/>
      <w:start w:val="1"/>
    </w:lvl>
  </w:abstractNum>
  <w:abstractNum w:abstractNumId="22">
    <w:nsid w:val="71F32454"/>
    <w:multiLevelType w:val="hybridMultilevel"/>
    <w:lvl w:ilvl="0">
      <w:lvlJc w:val="left"/>
      <w:lvlText w:val="(%1)"/>
      <w:numFmt w:val="decimal"/>
      <w:start w:val="1"/>
    </w:lvl>
  </w:abstractNum>
  <w:abstractNum w:abstractNumId="23">
    <w:nsid w:val="2CA88611"/>
    <w:multiLevelType w:val="hybridMultilevel"/>
    <w:lvl w:ilvl="0">
      <w:lvlJc w:val="left"/>
      <w:lvlText w:val="(%1)"/>
      <w:numFmt w:val="decimal"/>
      <w:start w:val="1"/>
    </w:lvl>
  </w:abstractNum>
  <w:abstractNum w:abstractNumId="24">
    <w:nsid w:val="836C40E"/>
    <w:multiLevelType w:val="hybridMultilevel"/>
    <w:lvl w:ilvl="0">
      <w:lvlJc w:val="left"/>
      <w:lvlText w:val="*"/>
      <w:numFmt w:val="bullet"/>
      <w:start w:val="1"/>
    </w:lvl>
  </w:abstractNum>
  <w:abstractNum w:abstractNumId="25">
    <w:nsid w:val="2901D82"/>
    <w:multiLevelType w:val="hybridMultilevel"/>
    <w:lvl w:ilvl="0">
      <w:lvlJc w:val="left"/>
      <w:lvlText w:val="**"/>
      <w:numFmt w:val="bullet"/>
      <w:start w:val="1"/>
    </w:lvl>
  </w:abstractNum>
  <w:abstractNum w:abstractNumId="26">
    <w:nsid w:val="3A95F874"/>
    <w:multiLevelType w:val="hybridMultilevel"/>
    <w:lvl w:ilvl="0">
      <w:lvlJc w:val="left"/>
      <w:lvlText w:val="*"/>
      <w:numFmt w:val="bullet"/>
      <w:start w:val="1"/>
    </w:lvl>
  </w:abstractNum>
  <w:abstractNum w:abstractNumId="27">
    <w:nsid w:val="8138641"/>
    <w:multiLevelType w:val="hybridMultilevel"/>
    <w:lvl w:ilvl="0">
      <w:lvlJc w:val="left"/>
      <w:lvlText w:val="**"/>
      <w:numFmt w:val="bullet"/>
      <w:start w:val="1"/>
    </w:lvl>
  </w:abstractNum>
  <w:abstractNum w:abstractNumId="28">
    <w:nsid w:val="1E7FF521"/>
    <w:multiLevelType w:val="hybridMultilevel"/>
    <w:lvl w:ilvl="0">
      <w:lvlJc w:val="left"/>
      <w:lvlText w:val="%1."/>
      <w:numFmt w:val="decimal"/>
      <w:start w:val="1"/>
    </w:lvl>
    <w:lvl w:ilvl="1">
      <w:lvlJc w:val="left"/>
      <w:lvlText w:val="%2."/>
      <w:numFmt w:val="lowerLetter"/>
      <w:start w:val="1"/>
    </w:lvl>
  </w:abstractNum>
  <w:abstractNum w:abstractNumId="29">
    <w:nsid w:val="7C3DBD3D"/>
    <w:multiLevelType w:val="hybridMultilevel"/>
    <w:lvl w:ilvl="0">
      <w:lvlJc w:val="left"/>
      <w:lvlText w:val="%1."/>
      <w:numFmt w:val="decimal"/>
      <w:start w:val="1"/>
    </w:lvl>
    <w:lvl w:ilvl="1">
      <w:lvlJc w:val="left"/>
      <w:lvlText w:val="%2."/>
      <w:numFmt w:val="lowerLetter"/>
      <w:start w:val="1"/>
    </w:lvl>
  </w:abstractNum>
  <w:abstractNum w:abstractNumId="30">
    <w:nsid w:val="737B8DDC"/>
    <w:multiLevelType w:val="hybridMultilevel"/>
    <w:lvl w:ilvl="0">
      <w:lvlJc w:val="left"/>
      <w:lvlText w:val="%1."/>
      <w:numFmt w:val="decimal"/>
      <w:start w:val="1"/>
    </w:lvl>
  </w:abstractNum>
  <w:abstractNum w:abstractNumId="31">
    <w:nsid w:val="6CEAF08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2019-12-09T03:51:26Z</dcterms:created>
  <dcterms:modified xsi:type="dcterms:W3CDTF">2019-12-09T03:51:26Z</dcterms:modified>
</cp:coreProperties>
</file>