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36"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29, 2015</w:t>
      </w:r>
    </w:p>
    <w:p>
      <w:pPr>
        <w:spacing w:after="0" w:line="24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2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46-3831207</w:t>
            </w:r>
          </w:p>
        </w:tc>
      </w:tr>
      <w:tr>
        <w:trPr>
          <w:trHeight w:val="216"/>
        </w:trPr>
        <w:tc>
          <w:tcPr>
            <w:tcW w:w="332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(Address and zip code of principal executive offices)</w:t>
      </w:r>
    </w:p>
    <w:p>
      <w:pPr>
        <w:spacing w:after="0" w:line="23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jc w:val="both"/>
        <w:ind w:right="4440" w:firstLine="8"/>
        <w:spacing w:after="0" w:line="598" w:lineRule="auto"/>
        <w:tabs>
          <w:tab w:leader="none" w:pos="382"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[_] Soliciting material pursuant to Rule 14a-12 under the Exchange Act (17 CFR 240.14a-12)</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  Pre-commencement communications pursuant to Rule 14d-2(b) under the Exchange Act (17 CFR 240.14d-2(b))</w:t>
      </w:r>
    </w:p>
    <w:p>
      <w:pPr>
        <w:spacing w:after="0" w:line="25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April 29, 2015, Civeo Corporation (the "Company") issued a press release announcing its financial condition and results of operations for the quarter ended March 31, 2015. A copy of the press release is furnished as Exhibit 99.1 to this report on Form 8-K, and is incorporated herein by reference.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in this Item 2.02 and the exhibit hereto shall not be deemed to be "filed" for purposes of Section 18 of the Securities Exchange Act of 1934, as amended, and shall not be incorporated by reference into any filings made by Civeo Corporation under the Securities Act of 1933, as amended, or the Exchange Act, except as may be expressly set forth by specific reference in such filing.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April 29, 2015, the Company issued a press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72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1280" w:type="dxa"/>
            <w:vAlign w:val="bottom"/>
          </w:tcPr>
          <w:p>
            <w:pPr>
              <w:spacing w:after="0"/>
              <w:rPr>
                <w:sz w:val="16"/>
                <w:szCs w:val="16"/>
                <w:color w:val="auto"/>
              </w:rPr>
            </w:pPr>
          </w:p>
        </w:tc>
        <w:tc>
          <w:tcPr>
            <w:tcW w:w="9540" w:type="dxa"/>
            <w:vAlign w:val="bottom"/>
            <w:gridSpan w:val="2"/>
          </w:tcPr>
          <w:p>
            <w:pPr>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6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128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Press Release dated April 29, 2015</w:t>
            </w:r>
          </w:p>
        </w:tc>
      </w:tr>
      <w:tr>
        <w:trPr>
          <w:trHeight w:val="645"/>
        </w:trPr>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77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2015</w:t>
      </w: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C. Steininger</w:t>
            </w:r>
          </w:p>
        </w:tc>
        <w:tc>
          <w:tcPr>
            <w:tcW w:w="2280" w:type="dxa"/>
            <w:vAlign w:val="bottom"/>
          </w:tcPr>
          <w:p>
            <w:pPr>
              <w:spacing w:after="0"/>
              <w:rPr>
                <w:sz w:val="20"/>
                <w:szCs w:val="20"/>
                <w:color w:val="auto"/>
              </w:rPr>
            </w:pPr>
          </w:p>
        </w:tc>
      </w:tr>
      <w:tr>
        <w:trPr>
          <w:trHeight w:val="229"/>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Frank C. Steininger</w:t>
            </w:r>
          </w:p>
        </w:tc>
        <w:tc>
          <w:tcPr>
            <w:tcW w:w="2280" w:type="dxa"/>
            <w:vAlign w:val="bottom"/>
          </w:tcPr>
          <w:p>
            <w:pPr>
              <w:spacing w:after="0"/>
              <w:rPr>
                <w:sz w:val="19"/>
                <w:szCs w:val="19"/>
                <w:color w:val="auto"/>
              </w:rPr>
            </w:pPr>
          </w:p>
        </w:tc>
      </w:tr>
      <w:tr>
        <w:trPr>
          <w:trHeight w:val="21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w w:val="93"/>
              </w:rPr>
              <w:t>Senior Vice President, Chief Financial</w:t>
            </w:r>
          </w:p>
        </w:tc>
        <w:tc>
          <w:tcPr>
            <w:tcW w:w="228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Officer and Treasurer</w:t>
            </w:r>
          </w:p>
        </w:tc>
        <w:tc>
          <w:tcPr>
            <w:tcW w:w="2280" w:type="dxa"/>
            <w:vAlign w:val="bottom"/>
          </w:tcPr>
          <w:p>
            <w:pPr>
              <w:spacing w:after="0"/>
              <w:rPr>
                <w:sz w:val="20"/>
                <w:szCs w:val="20"/>
                <w:color w:val="auto"/>
              </w:rPr>
            </w:pPr>
          </w:p>
        </w:tc>
      </w:tr>
      <w:tr>
        <w:trPr>
          <w:trHeight w:val="2077"/>
        </w:trPr>
        <w:tc>
          <w:tcPr>
            <w:tcW w:w="6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1"/>
        </w:trPr>
        <w:tc>
          <w:tcPr>
            <w:tcW w:w="6280" w:type="dxa"/>
            <w:vAlign w:val="bottom"/>
            <w:shd w:val="clear" w:color="auto" w:fill="808080"/>
          </w:tcPr>
          <w:p>
            <w:pPr>
              <w:spacing w:after="0"/>
              <w:rPr>
                <w:sz w:val="5"/>
                <w:szCs w:val="5"/>
                <w:color w:val="auto"/>
              </w:rPr>
            </w:pPr>
          </w:p>
        </w:tc>
        <w:tc>
          <w:tcPr>
            <w:tcW w:w="286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72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1280" w:type="dxa"/>
            <w:vAlign w:val="bottom"/>
          </w:tcPr>
          <w:p>
            <w:pPr>
              <w:spacing w:after="0"/>
              <w:rPr>
                <w:sz w:val="16"/>
                <w:szCs w:val="16"/>
                <w:color w:val="auto"/>
              </w:rPr>
            </w:pPr>
          </w:p>
        </w:tc>
        <w:tc>
          <w:tcPr>
            <w:tcW w:w="9540" w:type="dxa"/>
            <w:vAlign w:val="bottom"/>
            <w:gridSpan w:val="2"/>
          </w:tcPr>
          <w:p>
            <w:pPr>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6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128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Press Release dated April 29, 2015</w:t>
            </w:r>
          </w:p>
        </w:tc>
      </w:tr>
      <w:tr>
        <w:trPr>
          <w:trHeight w:val="1320"/>
        </w:trPr>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77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72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Announces First Quarter 2015 Earnings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Strong operating cash flows after capital expenditures driven by cost containment and capital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0" w:lineRule="auto"/>
        <w:rPr>
          <w:sz w:val="20"/>
          <w:szCs w:val="20"/>
          <w:color w:val="auto"/>
        </w:rPr>
      </w:pPr>
      <w:r>
        <w:rPr>
          <w:rFonts w:ascii="Arial" w:cs="Arial" w:eastAsia="Arial" w:hAnsi="Arial"/>
          <w:sz w:val="22"/>
          <w:szCs w:val="22"/>
          <w:color w:val="auto"/>
        </w:rPr>
        <w:t>Announcing receipt of necessary lender commitments to amend credit facility, expanding leverage covenants and allowing for planned migration 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Civeo's focus remains on maximizing occupancy and revenues, reducing costs and limiting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HOUSTON, April 29, 2015 (GLOBE NEWSWIRE) -- Civeo Corporation (NYSE:CVEO) today reported financial results for the first quarter ended March 31, 2015.</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Bradley J. Dodson, President and Chief Executive Officer of Civeo, said, "We are pleased with our results for the first quarter 2015, in light of difficult market conditions, as well as our ability to increase operating cash flows after capital expenditures when compared to the first quarter 2014. We remain confident in our team's ability to manage through the headwinds and continue meeting and exceeding the needs of our clients to generate the best possible results for shareholders."</w:t>
      </w:r>
    </w:p>
    <w:p>
      <w:pPr>
        <w:spacing w:after="0" w:line="143" w:lineRule="exact"/>
        <w:rPr>
          <w:sz w:val="20"/>
          <w:szCs w:val="20"/>
          <w:color w:val="auto"/>
        </w:rPr>
      </w:pPr>
    </w:p>
    <w:p>
      <w:pPr>
        <w:ind w:right="120"/>
        <w:spacing w:after="0" w:line="247" w:lineRule="auto"/>
        <w:rPr>
          <w:sz w:val="20"/>
          <w:szCs w:val="20"/>
          <w:color w:val="auto"/>
        </w:rPr>
      </w:pPr>
      <w:r>
        <w:rPr>
          <w:rFonts w:ascii="Arial" w:cs="Arial" w:eastAsia="Arial" w:hAnsi="Arial"/>
          <w:sz w:val="21"/>
          <w:szCs w:val="21"/>
          <w:color w:val="auto"/>
        </w:rPr>
        <w:t>Mr. Dodson continued, "We are starting to see opportunities emerge in our legacy oil sands markets driven by turnaround and maintenance activity. However, our customers remain cautious regarding their commitments to capital spending, making timing difficult to predict. In addition, we remain cautiously optimistic on the prospect of LNG development on the west coast of Canada, an opportunity for which Civeo has land banked several potential lodge locations. In the first quarter, we were awarded multi-year contracts for certain of our lodges and villages in both Canada and Australia, as well as some shorter-term lodge contracts and a build-for-sale contract. In our U.S. operations, we have been negatively impacted by the unprecedented swiftness of the rig count correction, which has resulted in lower operating results."</w:t>
      </w:r>
    </w:p>
    <w:p>
      <w:pPr>
        <w:spacing w:after="0" w:line="178" w:lineRule="exact"/>
        <w:rPr>
          <w:sz w:val="20"/>
          <w:szCs w:val="20"/>
          <w:color w:val="auto"/>
        </w:rPr>
      </w:pPr>
    </w:p>
    <w:p>
      <w:pPr>
        <w:ind w:right="440"/>
        <w:spacing w:after="0" w:line="236" w:lineRule="auto"/>
        <w:rPr>
          <w:sz w:val="20"/>
          <w:szCs w:val="20"/>
          <w:color w:val="auto"/>
        </w:rPr>
      </w:pPr>
      <w:r>
        <w:rPr>
          <w:rFonts w:ascii="Arial" w:cs="Arial" w:eastAsia="Arial" w:hAnsi="Arial"/>
          <w:sz w:val="22"/>
          <w:szCs w:val="22"/>
          <w:color w:val="auto"/>
        </w:rPr>
        <w:t>Mr. Dodson concluded, "We remain focused on completing our previously announced migration to Canada and are making substantial progress. We have received the necessary commitments from our lending group to allow us to navigate through this difficult period. The shareholder vote to approve the migration is scheduled for May 14, 2015. Operationally, we continue to aggressively pursue opportunities for both new and existing assets, while vigilantly managing operating costs and capital spending."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QUARTER 2015 RESULTS</w:t>
      </w:r>
    </w:p>
    <w:p>
      <w:pPr>
        <w:spacing w:after="0" w:line="206" w:lineRule="exact"/>
        <w:rPr>
          <w:sz w:val="20"/>
          <w:szCs w:val="20"/>
          <w:color w:val="auto"/>
        </w:rPr>
      </w:pPr>
    </w:p>
    <w:p>
      <w:pPr>
        <w:jc w:val="both"/>
        <w:ind w:right="160"/>
        <w:spacing w:after="0" w:line="238" w:lineRule="auto"/>
        <w:rPr>
          <w:sz w:val="20"/>
          <w:szCs w:val="20"/>
          <w:color w:val="auto"/>
        </w:rPr>
      </w:pPr>
      <w:r>
        <w:rPr>
          <w:rFonts w:ascii="Arial" w:cs="Arial" w:eastAsia="Arial" w:hAnsi="Arial"/>
          <w:sz w:val="22"/>
          <w:szCs w:val="22"/>
          <w:color w:val="auto"/>
        </w:rPr>
        <w:t>In the first quarter of 2015, the Company generated revenues of $171.0 million, EBITDA of $48.1 million and Adjusted EBITDA of $53.0 million. Net loss for the quarter was essentially zero, inclusive of a $2.4 million (or $0.02 per diluted share) after-tax loss related to a decision to close Civeo's U.S. manufacturing facility and a $0.8 million (or $0.01 per diluted share) after-tax loss from costs incurred in connection with the proposed migration to Canada.</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(EBITDA is defined as net income plus interest, taxes, depreciation and amortization and Adjusted EBITDA is defined as EBITDA adjusted to exclude impairment charges and certain other costs such as those incurred associated with the spin-off and the migration).</w:t>
      </w:r>
    </w:p>
    <w:p>
      <w:pPr>
        <w:spacing w:after="0" w:line="186" w:lineRule="exact"/>
        <w:rPr>
          <w:sz w:val="20"/>
          <w:szCs w:val="20"/>
          <w:color w:val="auto"/>
        </w:rPr>
      </w:pPr>
    </w:p>
    <w:p>
      <w:pPr>
        <w:jc w:val="both"/>
        <w:ind w:right="600"/>
        <w:spacing w:after="0"/>
        <w:rPr>
          <w:sz w:val="20"/>
          <w:szCs w:val="20"/>
          <w:color w:val="auto"/>
        </w:rPr>
      </w:pPr>
      <w:r>
        <w:rPr>
          <w:rFonts w:ascii="Arial" w:cs="Arial" w:eastAsia="Arial" w:hAnsi="Arial"/>
          <w:sz w:val="22"/>
          <w:szCs w:val="22"/>
          <w:color w:val="auto"/>
        </w:rPr>
        <w:t>In the first quarter of 2014, the Company generated revenues of $252.8 million. Net income in the year ago period was $36.2 million, or $0.34 per diluted share. EBITDA and Adjusted EBITDA in the first quarter of 2014 was $92.3 million and $92.9 million, respectively.</w:t>
      </w:r>
    </w:p>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Revenues and Adjusted EBITDA declined in 2015 as compared to 2014 primarily due to lower occupancy levels in the Company's Australian villages and Canadian lodges. In addition, first quarter 2015 results were impacted by the unfavorable impact of a stronger U.S. dollar compared to the Canadian dollar and the Australian dollar, which declined in relative value by 11% and 12%, respectively, on a year-over-year basis.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(Unless otherwise noted, the following discussion compares the quarterly results for the first quarter of 2015 to the results for the first quarter of 2014. The 2015 results discussed below exclude the migration expenses noted above.)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The Canadian segment generated revenues of $116.9 million and EBITDA of $37.5 million for the first quarter of 2015 compared to revenues and EBITDA of $180.3 million and $61.8 million, respectively, in the first quarter of 2014. The Company's first quarter 2015 results were negatively impacted by a weaker Canadian dollar relative to the U.S. dollar, which reduced revenues by $14.5 million and EBITDA by $4.6 million. Excluding the year-over-year impact of exchange rates, revenues would have decreased $48.9 million and EBITDA would have decreased by $19.7 million. On a constant currency basis, revenues decreased due to reduced occupancy at lodges, as well as lower contract camp revenue due to large pipeline projects that did not recur in 2015. These items were partially offset by the opening of the Company's McClelland Lake lodge in the second quarter of 2014. Additionally, SG&amp;A expenses were lower year-over-year due to cost containment efforts that resulted in lower compensation expense and overhead costs. RevPAR decreased 36% year-over-year to $74 in the first quarter of 2015, compared to $115 in the first quarter of 2014. The RevPAR decrease was attributable to declining foreign exchange rates and lower occupancy.</w:t>
      </w:r>
    </w:p>
    <w:p>
      <w:pPr>
        <w:sectPr>
          <w:pgSz w:w="11900" w:h="16838" w:orient="portrait"/>
          <w:cols w:equalWidth="0" w:num="1">
            <w:col w:w="11420"/>
          </w:cols>
          <w:pgMar w:left="240" w:top="118"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Australia</w:t>
      </w:r>
    </w:p>
    <w:p>
      <w:pPr>
        <w:spacing w:after="0" w:line="207"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The Australian segment generated revenues of $41.9 million and EBITDA of $20.7 million for the first quarter of 2015 compared to revenues of $55.5 million and EBITDA of $30.8 million in the first quarter of 2014. The Company's first quarter 2015 results were negatively impacted by a weaker Australian dollar relative to the U.S. dollar, which reduced revenues by $5.8 million and EBITDA by $2.9 million. Excluding the year-over-year impact of exchange rates, revenues would have decreased $7.8 million and EBITDA would have decreased $7.2 million. On a constant currency basis, the revenue and EBITDA declines were primarily due to lower occupancy resulting from reduced customer commitments and lower overall customer activity and spending in the Bowen Basin. RevPAR decreased 25% year-over-year to $50 in the first quarter of 2015, compared to $67 in the first quarter of 2014. The RevPAR decrease was attributable to the weaker Australian dollar and lower occupancy levels for the Australian villages.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The U.S. segment generated revenues of $12.2 million, EBITDA of ($3.6) million and Adjusted EBITDA of $0.1 million for the first quarter of 2015, compared to revenues, EBITDA and Adjusted EBITDA of $17.0 million, $3.1 million and $3.2 million, respectively, in the first quarter of 2014. Adjusted EBITDA decreased year-over-year due to lower U.S. drilling activity in the Bakken, Rockies and Texas markets, increased competition and lower pricing.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Company recognized income tax expense of $1.1 million, which resulted in an effective tax rate of 83.4% in the first quarter of 2015 compared to income tax expense of $12.3 million, and an effective tax rate of 25.2%, in the first quarter of 2014. The increase in the effective tax rate from the prior year was largely the result of a change in the earnings mix between different tax jurisdictions, as well as discrete items totaling $0.5 million related the impact of a portion of our undistributed foreign earnings which we no longer intend to continue to indefinitely reinvest. The Company expects its consolidated effective tax rate to approximate 50% for the remainder of 2015.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 AND COMMITMENTS TO AMEND CREDIT FACILITY</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The Company invested $10.7 million in capital expenditures during the first quarter of 2015. Capital spending during the quarter was primarily related to routine capital maintenance spending in Canada and Australia. The Company currently expects capital expenditures of approximately $75 million to $85 million for full year 2015.</w:t>
      </w:r>
    </w:p>
    <w:p>
      <w:pPr>
        <w:spacing w:after="0" w:line="18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As of the end of the first quarter, the Company had total liquidity of approximately $560.7 million, comprising $280.9 million available under its credit facilities and $279.8 million of cash on hand.</w:t>
      </w:r>
    </w:p>
    <w:p>
      <w:pPr>
        <w:spacing w:after="0" w:line="173"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Civeo has received (1) the required consents of the lenders to amend its Credit Facility, subject to customary conditions, to allow for its planned migration to Canada and (2) commitments from its lenders to (i) borrow under new Canadian tranches of the Credit Facility, (ii) substantially reduce both the existing U.S. term loan and the U.S. revolver and (iii) increase the maximum leverage ratio allowed under the Credit Facility to 4.00 for the fourth quarter of 2015, 4.25 for the first quarter of 2016 and 4.50 beginning with the second quarter of 2016 before decreasing in the first quarter of 2017. The Company is currently finalizing the documentation of the amended credit facility with its syndicate of banks and expects to complete the documentation before its annual shareholders meeting on May 14. The amendment, if finalized, would be effective upon completion of the migration to Canada.</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Frank Steininger, Senior Vice President, Chief Financial Officer and Treasurer, said, "The amendment of our credit facility will be an important milestone for Civeo as it will permit our migration to Canada. We plan to use our existing cash to significantly reduce our overall indebtedness. Once finalized, the amended credit agreement will give Civeo increased borrowing capacity and access to capital in Canada, the jurisdiction where we conduct the majority of our business, and allow for better operating flexibility."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MANAGEMENT GUIDANCE</w:t>
      </w:r>
    </w:p>
    <w:p>
      <w:pPr>
        <w:spacing w:after="0" w:line="206"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The Company achieved first quarter 2015 revenue and Adjusted EBITDA that was in line with its previously issued guidance and is maintaining its 2015 full year guidance as previously provided. The Company today issued second quarter 2015 guidance of $135 million to $144 million in revenues and $29 million to $33 million in EBITDA. The Company's full year 2015 guidance is revenues of $520 million to $560 million and EBITDA of $130 million to $150 million.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 CONFERENCE CALL</w:t>
      </w:r>
    </w:p>
    <w:p>
      <w:pPr>
        <w:spacing w:after="0" w:line="206" w:lineRule="exact"/>
        <w:rPr>
          <w:sz w:val="20"/>
          <w:szCs w:val="20"/>
          <w:color w:val="auto"/>
        </w:rPr>
      </w:pPr>
    </w:p>
    <w:p>
      <w:pPr>
        <w:ind w:right="300"/>
        <w:spacing w:after="0" w:line="235" w:lineRule="auto"/>
        <w:rPr>
          <w:sz w:val="20"/>
          <w:szCs w:val="20"/>
          <w:color w:val="auto"/>
        </w:rPr>
      </w:pPr>
      <w:r>
        <w:rPr>
          <w:rFonts w:ascii="Arial" w:cs="Arial" w:eastAsia="Arial" w:hAnsi="Arial"/>
          <w:sz w:val="22"/>
          <w:szCs w:val="22"/>
          <w:color w:val="auto"/>
        </w:rPr>
        <w:t>Civeo will answer questions about its first quarter 2015 financial results during an investor conference call tomorrow, April 30, 2015 at 11:00 am Eastern time. This call is being webcast and can be accessed at Civeo's web site at http://www.civeo.com. Participants may also join the conference call by dialing (888) 517-2458 in the United States or by dialing +1 847 413 3538 internationally and using the passcode of 8946507. A replay of the conference call will be available ninety minutes after the completion of the call by dialing (888) 843-7419 in the United States or by dialing +1 630 652 3042 internationally and entering the passcode of 8946507.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ectPr>
          <w:pgSz w:w="11900" w:h="16838" w:orient="portrait"/>
          <w:cols w:equalWidth="0" w:num="1">
            <w:col w:w="11400"/>
          </w:cols>
          <w:pgMar w:left="240" w:top="118" w:right="259" w:bottom="263" w:gutter="0" w:footer="0" w:header="0"/>
        </w:sectPr>
      </w:pPr>
    </w:p>
    <w:bookmarkStart w:id="6" w:name="page7"/>
    <w:bookmarkEnd w:id="6"/>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22,000 rooms. Civeo is publicly traded under the symbol "CVEO" on the NYSE. For more information, please visit Civeo's website at http://www.civeo.com.</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risks associated with obtaining any required shareholder approval, completion of the amendment of the Company's credit facility and changes in tax laws or their interpretations, the ability to realize the anticipated benefits thereof, the impact thereof on the Company's relationships, including with employees, customers, competitors and investors, and other factors discussed in the "Business" and "Risk Factors" sections of the Company's annual report on Form 10-K for the year ended December 31, 2014, the definitive proxy statement/prospectus with respect to the migration filed with the Securities and Exchange Commission ("SEC") on April 8, 2015 and the Company's subsequent SEC filings.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ADDITIONAL INFORMATION</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communication does not constitute an offer to sell or the solicitation of an offer to buy our securities or the solicitation of any vote or approval. In connection with the proposed migration, on April 7, 2015, Civeo Canadian Holdings ULC, a subsidiary of the Company ("Civeo Canada"), filed with the SEC an amendment to its registration statement on Form S-4 (Registration No. 333-201335) that includes a preliminary prospectus of Civeo Canada and a preliminary proxy statement of the Company, which registration statement was declared effective on April 7, 2015. Each of the Company and Civeo Canada filed the definitive proxy statement/prospectus with the SEC on April 8, 2015, which was mailed to shareholders of the Company on or about April 13, 2015.</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INVESTORS ARE ADVISED TO READ THE DEFINITIVE PROXY STATEMENT/PROSPECTUS (INCLUDING ALL AMENDMENTS AND SUPPLEMENTS THERETO) CAREFULLY AND ANY OTHER MATERIALS IF AND WHEN THEY BECOME AVAILABLE BECAUSE THEY CONTAIN AND WILL CONTAIN IMPORTANT INFORMATION ABOUT THE PROPOSED MIGRATION AND CIVEO. Investors may obtain a free copy of the definitive proxy statement/prospectus and other relevant documents (when available) filed and to be filed with the SEC from the SEC's web site at www.sec.gov or at Civeo's web site at www.civeo.com. Investors will also be able to obtain, without charge, a copy of the definitive proxy statement/prospectus and other relevant documents (when available) by directing a request by mail or telephone to Investor Relations, Civeo Corporation, 333 Clay Street, Suite 4980, Houston, TX 77002, telephone 713.510.2400.</w:t>
      </w:r>
    </w:p>
    <w:p>
      <w:pPr>
        <w:spacing w:after="0" w:line="15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The Company and its directors and officers may be deemed to be participants in the solicitation of proxies from the Company's shareholders in connection with the proposed migration. Information about these persons is set forth in the definitive proxy statement/prospectus and in documents subsequently filed by its directors and officers under the Securities Exchange Act of 1934, as amended. Investors may obtain additional information regarding the interests of such persons, which may be different from those of the Company's shareholders generally, by reading the definitive proxy statement/prospectus and other relevant documents regarding the proposed redomicile transaction filed and to be filed with the SEC.</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34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7780" w:type="dxa"/>
            <w:vAlign w:val="bottom"/>
          </w:tcPr>
          <w:p>
            <w:pPr>
              <w:spacing w:after="0"/>
              <w:rPr>
                <w:sz w:val="23"/>
                <w:szCs w:val="23"/>
                <w:color w:val="auto"/>
              </w:rPr>
            </w:pPr>
          </w:p>
        </w:tc>
        <w:tc>
          <w:tcPr>
            <w:tcW w:w="2320" w:type="dxa"/>
            <w:vAlign w:val="bottom"/>
            <w:gridSpan w:val="3"/>
          </w:tcPr>
          <w:p>
            <w:pPr>
              <w:jc w:val="center"/>
              <w:ind w:left="1079"/>
              <w:spacing w:after="0"/>
              <w:rPr>
                <w:sz w:val="20"/>
                <w:szCs w:val="20"/>
                <w:color w:val="auto"/>
              </w:rPr>
            </w:pPr>
            <w:r>
              <w:rPr>
                <w:rFonts w:ascii="Arial" w:cs="Arial" w:eastAsia="Arial" w:hAnsi="Arial"/>
                <w:sz w:val="16"/>
                <w:szCs w:val="16"/>
                <w:b w:val="1"/>
                <w:bCs w:val="1"/>
                <w:color w:val="auto"/>
              </w:rPr>
              <w:t>MARCH 31,</w:t>
            </w:r>
          </w:p>
        </w:tc>
        <w:tc>
          <w:tcPr>
            <w:tcW w:w="1160" w:type="dxa"/>
            <w:vAlign w:val="bottom"/>
          </w:tcPr>
          <w:p>
            <w:pPr>
              <w:spacing w:after="0"/>
              <w:rPr>
                <w:sz w:val="23"/>
                <w:szCs w:val="23"/>
                <w:color w:val="auto"/>
              </w:rPr>
            </w:pPr>
          </w:p>
        </w:tc>
      </w:tr>
      <w:tr>
        <w:trPr>
          <w:trHeight w:val="263"/>
        </w:trPr>
        <w:tc>
          <w:tcPr>
            <w:tcW w:w="7780" w:type="dxa"/>
            <w:vAlign w:val="bottom"/>
          </w:tcPr>
          <w:p>
            <w:pPr>
              <w:spacing w:after="0"/>
              <w:rPr>
                <w:sz w:val="22"/>
                <w:szCs w:val="22"/>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541"/>
        </w:trPr>
        <w:tc>
          <w:tcPr>
            <w:tcW w:w="7780" w:type="dxa"/>
            <w:vAlign w:val="bottom"/>
          </w:tcPr>
          <w:p>
            <w:pPr>
              <w:spacing w:after="0"/>
              <w:rPr>
                <w:sz w:val="20"/>
                <w:szCs w:val="20"/>
                <w:color w:val="auto"/>
              </w:rPr>
            </w:pPr>
            <w:r>
              <w:rPr>
                <w:rFonts w:ascii="Arial" w:cs="Arial" w:eastAsia="Arial" w:hAnsi="Arial"/>
                <w:sz w:val="16"/>
                <w:szCs w:val="16"/>
                <w:color w:val="auto"/>
              </w:rPr>
              <w:t>Revenues</w:t>
            </w:r>
          </w:p>
        </w:tc>
        <w:tc>
          <w:tcPr>
            <w:tcW w:w="1700" w:type="dxa"/>
            <w:vAlign w:val="bottom"/>
          </w:tcPr>
          <w:p>
            <w:pPr>
              <w:jc w:val="right"/>
              <w:spacing w:after="0"/>
              <w:rPr>
                <w:sz w:val="20"/>
                <w:szCs w:val="20"/>
                <w:color w:val="auto"/>
              </w:rPr>
            </w:pPr>
            <w:r>
              <w:rPr>
                <w:rFonts w:ascii="Arial" w:cs="Arial" w:eastAsia="Arial" w:hAnsi="Arial"/>
                <w:sz w:val="16"/>
                <w:szCs w:val="16"/>
                <w:color w:val="auto"/>
              </w:rPr>
              <w:t>$ 170,987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$ 252,799</w:t>
            </w:r>
          </w:p>
        </w:tc>
      </w:tr>
      <w:tr>
        <w:trPr>
          <w:trHeight w:val="540"/>
        </w:trPr>
        <w:tc>
          <w:tcPr>
            <w:tcW w:w="7780" w:type="dxa"/>
            <w:vAlign w:val="bottom"/>
          </w:tcPr>
          <w:p>
            <w:pPr>
              <w:spacing w:after="0"/>
              <w:rPr>
                <w:sz w:val="20"/>
                <w:szCs w:val="20"/>
                <w:color w:val="auto"/>
              </w:rPr>
            </w:pPr>
            <w:r>
              <w:rPr>
                <w:rFonts w:ascii="Arial" w:cs="Arial" w:eastAsia="Arial" w:hAnsi="Arial"/>
                <w:sz w:val="16"/>
                <w:szCs w:val="16"/>
                <w:color w:val="auto"/>
              </w:rPr>
              <w:t>Costs and expenses: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Cost of sales and services</w:t>
            </w:r>
          </w:p>
        </w:tc>
        <w:tc>
          <w:tcPr>
            <w:tcW w:w="1700" w:type="dxa"/>
            <w:vAlign w:val="bottom"/>
          </w:tcPr>
          <w:p>
            <w:pPr>
              <w:jc w:val="right"/>
              <w:spacing w:after="0"/>
              <w:rPr>
                <w:sz w:val="20"/>
                <w:szCs w:val="20"/>
                <w:color w:val="auto"/>
              </w:rPr>
            </w:pPr>
            <w:r>
              <w:rPr>
                <w:rFonts w:ascii="Arial" w:cs="Arial" w:eastAsia="Arial" w:hAnsi="Arial"/>
                <w:sz w:val="16"/>
                <w:szCs w:val="16"/>
                <w:color w:val="auto"/>
              </w:rPr>
              <w:t>102,911</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143,510</w:t>
            </w: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700" w:type="dxa"/>
            <w:vAlign w:val="bottom"/>
          </w:tcPr>
          <w:p>
            <w:pPr>
              <w:jc w:val="right"/>
              <w:spacing w:after="0"/>
              <w:rPr>
                <w:sz w:val="20"/>
                <w:szCs w:val="20"/>
                <w:color w:val="auto"/>
              </w:rPr>
            </w:pPr>
            <w:r>
              <w:rPr>
                <w:rFonts w:ascii="Arial" w:cs="Arial" w:eastAsia="Arial" w:hAnsi="Arial"/>
                <w:sz w:val="16"/>
                <w:szCs w:val="16"/>
                <w:color w:val="auto"/>
              </w:rPr>
              <w:t>16,686</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16,145</w:t>
            </w: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Spin-off and formation costs</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700" w:type="dxa"/>
            <w:vAlign w:val="bottom"/>
          </w:tcPr>
          <w:p>
            <w:pPr>
              <w:jc w:val="right"/>
              <w:spacing w:after="0"/>
              <w:rPr>
                <w:sz w:val="20"/>
                <w:szCs w:val="20"/>
                <w:color w:val="auto"/>
              </w:rPr>
            </w:pPr>
            <w:r>
              <w:rPr>
                <w:rFonts w:ascii="Arial" w:cs="Arial" w:eastAsia="Arial" w:hAnsi="Arial"/>
                <w:sz w:val="16"/>
                <w:szCs w:val="16"/>
                <w:color w:val="auto"/>
              </w:rPr>
              <w:t>42,446</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39,599</w:t>
            </w: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Impairment expense</w:t>
            </w:r>
          </w:p>
        </w:tc>
        <w:tc>
          <w:tcPr>
            <w:tcW w:w="1700" w:type="dxa"/>
            <w:vAlign w:val="bottom"/>
          </w:tcPr>
          <w:p>
            <w:pPr>
              <w:jc w:val="right"/>
              <w:spacing w:after="0"/>
              <w:rPr>
                <w:sz w:val="20"/>
                <w:szCs w:val="20"/>
                <w:color w:val="auto"/>
              </w:rPr>
            </w:pPr>
            <w:r>
              <w:rPr>
                <w:rFonts w:ascii="Arial" w:cs="Arial" w:eastAsia="Arial" w:hAnsi="Arial"/>
                <w:sz w:val="16"/>
                <w:szCs w:val="16"/>
                <w:color w:val="auto"/>
              </w:rPr>
              <w:t>2,738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118"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ind w:left="220"/>
              <w:spacing w:after="0"/>
              <w:rPr>
                <w:sz w:val="20"/>
                <w:szCs w:val="20"/>
                <w:color w:val="auto"/>
              </w:rPr>
            </w:pPr>
            <w:r>
              <w:rPr>
                <w:rFonts w:ascii="Arial" w:cs="Arial" w:eastAsia="Arial" w:hAnsi="Arial"/>
                <w:sz w:val="16"/>
                <w:szCs w:val="16"/>
                <w:color w:val="auto"/>
              </w:rPr>
              <w:t>Other operating expense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8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166,111</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199,939</w:t>
            </w:r>
          </w:p>
        </w:tc>
        <w:tc>
          <w:tcPr>
            <w:tcW w:w="0" w:type="dxa"/>
            <w:vAlign w:val="bottom"/>
          </w:tcPr>
          <w:p>
            <w:pPr>
              <w:spacing w:after="0"/>
              <w:rPr>
                <w:sz w:val="1"/>
                <w:szCs w:val="1"/>
                <w:color w:val="auto"/>
              </w:rPr>
            </w:pPr>
          </w:p>
        </w:tc>
      </w:tr>
      <w:tr>
        <w:trPr>
          <w:trHeight w:val="271"/>
        </w:trPr>
        <w:tc>
          <w:tcPr>
            <w:tcW w:w="7780" w:type="dxa"/>
            <w:vAlign w:val="bottom"/>
          </w:tcPr>
          <w:p>
            <w:pPr>
              <w:spacing w:after="0"/>
              <w:rPr>
                <w:sz w:val="20"/>
                <w:szCs w:val="20"/>
                <w:color w:val="auto"/>
              </w:rPr>
            </w:pPr>
            <w:r>
              <w:rPr>
                <w:rFonts w:ascii="Arial" w:cs="Arial" w:eastAsia="Arial" w:hAnsi="Arial"/>
                <w:sz w:val="16"/>
                <w:szCs w:val="16"/>
                <w:color w:val="auto"/>
              </w:rPr>
              <w:t>Operating income</w:t>
            </w:r>
          </w:p>
        </w:tc>
        <w:tc>
          <w:tcPr>
            <w:tcW w:w="1700" w:type="dxa"/>
            <w:vAlign w:val="bottom"/>
          </w:tcPr>
          <w:p>
            <w:pPr>
              <w:jc w:val="right"/>
              <w:spacing w:after="0"/>
              <w:rPr>
                <w:sz w:val="20"/>
                <w:szCs w:val="20"/>
                <w:color w:val="auto"/>
              </w:rPr>
            </w:pPr>
            <w:r>
              <w:rPr>
                <w:rFonts w:ascii="Arial" w:cs="Arial" w:eastAsia="Arial" w:hAnsi="Arial"/>
                <w:sz w:val="16"/>
                <w:szCs w:val="16"/>
                <w:color w:val="auto"/>
              </w:rPr>
              <w:t>4,876</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52,860</w:t>
            </w:r>
          </w:p>
        </w:tc>
        <w:tc>
          <w:tcPr>
            <w:tcW w:w="0" w:type="dxa"/>
            <w:vAlign w:val="bottom"/>
          </w:tcPr>
          <w:p>
            <w:pPr>
              <w:spacing w:after="0"/>
              <w:rPr>
                <w:sz w:val="1"/>
                <w:szCs w:val="1"/>
                <w:color w:val="auto"/>
              </w:rPr>
            </w:pPr>
          </w:p>
        </w:tc>
      </w:tr>
      <w:tr>
        <w:trPr>
          <w:trHeight w:val="540"/>
        </w:trPr>
        <w:tc>
          <w:tcPr>
            <w:tcW w:w="778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1700" w:type="dxa"/>
            <w:vAlign w:val="bottom"/>
          </w:tcPr>
          <w:p>
            <w:pPr>
              <w:jc w:val="right"/>
              <w:spacing w:after="0"/>
              <w:rPr>
                <w:sz w:val="20"/>
                <w:szCs w:val="20"/>
                <w:color w:val="auto"/>
              </w:rPr>
            </w:pPr>
            <w:r>
              <w:rPr>
                <w:rFonts w:ascii="Arial" w:cs="Arial" w:eastAsia="Arial" w:hAnsi="Arial"/>
                <w:sz w:val="16"/>
                <w:szCs w:val="16"/>
                <w:color w:val="auto"/>
              </w:rPr>
              <w:t>(5,609)</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Interest income</w:t>
            </w:r>
          </w:p>
        </w:tc>
        <w:tc>
          <w:tcPr>
            <w:tcW w:w="1700" w:type="dxa"/>
            <w:vAlign w:val="bottom"/>
          </w:tcPr>
          <w:p>
            <w:pPr>
              <w:jc w:val="right"/>
              <w:spacing w:after="0"/>
              <w:rPr>
                <w:sz w:val="20"/>
                <w:szCs w:val="20"/>
                <w:color w:val="auto"/>
              </w:rPr>
            </w:pPr>
            <w:r>
              <w:rPr>
                <w:rFonts w:ascii="Arial" w:cs="Arial" w:eastAsia="Arial" w:hAnsi="Arial"/>
                <w:sz w:val="16"/>
                <w:szCs w:val="16"/>
                <w:color w:val="auto"/>
              </w:rPr>
              <w:t>1,122</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0"/>
                <w:szCs w:val="20"/>
                <w:color w:val="auto"/>
              </w:rPr>
            </w:pPr>
            <w:r>
              <w:rPr>
                <w:rFonts w:ascii="Arial" w:cs="Arial" w:eastAsia="Arial" w:hAnsi="Arial"/>
                <w:sz w:val="16"/>
                <w:szCs w:val="16"/>
                <w:color w:val="auto"/>
              </w:rPr>
              <w:t>Other income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71"/>
        </w:trPr>
        <w:tc>
          <w:tcPr>
            <w:tcW w:w="7780" w:type="dxa"/>
            <w:vAlign w:val="bottom"/>
          </w:tcPr>
          <w:p>
            <w:pPr>
              <w:ind w:left="220"/>
              <w:spacing w:after="0"/>
              <w:rPr>
                <w:sz w:val="20"/>
                <w:szCs w:val="20"/>
                <w:color w:val="auto"/>
              </w:rPr>
            </w:pPr>
            <w:r>
              <w:rPr>
                <w:rFonts w:ascii="Arial" w:cs="Arial" w:eastAsia="Arial" w:hAnsi="Arial"/>
                <w:sz w:val="16"/>
                <w:szCs w:val="16"/>
                <w:color w:val="auto"/>
              </w:rPr>
              <w:t>Income before income taxes</w:t>
            </w:r>
          </w:p>
        </w:tc>
        <w:tc>
          <w:tcPr>
            <w:tcW w:w="1700" w:type="dxa"/>
            <w:vAlign w:val="bottom"/>
          </w:tcPr>
          <w:p>
            <w:pPr>
              <w:jc w:val="right"/>
              <w:spacing w:after="0"/>
              <w:rPr>
                <w:sz w:val="20"/>
                <w:szCs w:val="20"/>
                <w:color w:val="auto"/>
              </w:rPr>
            </w:pPr>
            <w:r>
              <w:rPr>
                <w:rFonts w:ascii="Arial" w:cs="Arial" w:eastAsia="Arial" w:hAnsi="Arial"/>
                <w:sz w:val="16"/>
                <w:szCs w:val="16"/>
                <w:color w:val="auto"/>
              </w:rPr>
              <w:t>1,387</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48,907</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0"/>
                <w:szCs w:val="20"/>
                <w:color w:val="auto"/>
              </w:rPr>
            </w:pPr>
            <w:r>
              <w:rPr>
                <w:rFonts w:ascii="Arial" w:cs="Arial" w:eastAsia="Arial" w:hAnsi="Arial"/>
                <w:sz w:val="16"/>
                <w:szCs w:val="16"/>
                <w:color w:val="auto"/>
              </w:rPr>
              <w:t>Income tax provision</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(12,311)</w:t>
            </w:r>
          </w:p>
        </w:tc>
        <w:tc>
          <w:tcPr>
            <w:tcW w:w="0" w:type="dxa"/>
            <w:vAlign w:val="bottom"/>
          </w:tcPr>
          <w:p>
            <w:pPr>
              <w:spacing w:after="0"/>
              <w:rPr>
                <w:sz w:val="1"/>
                <w:szCs w:val="1"/>
                <w:color w:val="auto"/>
              </w:rPr>
            </w:pPr>
          </w:p>
        </w:tc>
      </w:tr>
      <w:tr>
        <w:trPr>
          <w:trHeight w:val="271"/>
        </w:trPr>
        <w:tc>
          <w:tcPr>
            <w:tcW w:w="7780" w:type="dxa"/>
            <w:vAlign w:val="bottom"/>
          </w:tcPr>
          <w:p>
            <w:pPr>
              <w:spacing w:after="0"/>
              <w:rPr>
                <w:sz w:val="20"/>
                <w:szCs w:val="20"/>
                <w:color w:val="auto"/>
              </w:rPr>
            </w:pPr>
            <w:r>
              <w:rPr>
                <w:rFonts w:ascii="Arial" w:cs="Arial" w:eastAsia="Arial" w:hAnsi="Arial"/>
                <w:sz w:val="16"/>
                <w:szCs w:val="16"/>
                <w:color w:val="auto"/>
              </w:rPr>
              <w:t>Net income</w:t>
            </w:r>
          </w:p>
        </w:tc>
        <w:tc>
          <w:tcPr>
            <w:tcW w:w="170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36,596</w:t>
            </w:r>
          </w:p>
        </w:tc>
        <w:tc>
          <w:tcPr>
            <w:tcW w:w="0" w:type="dxa"/>
            <w:vAlign w:val="bottom"/>
          </w:tcPr>
          <w:p>
            <w:pPr>
              <w:spacing w:after="0"/>
              <w:rPr>
                <w:sz w:val="1"/>
                <w:szCs w:val="1"/>
                <w:color w:val="auto"/>
              </w:rPr>
            </w:pPr>
          </w:p>
        </w:tc>
      </w:tr>
      <w:tr>
        <w:trPr>
          <w:trHeight w:val="263"/>
        </w:trPr>
        <w:tc>
          <w:tcPr>
            <w:tcW w:w="7780" w:type="dxa"/>
            <w:vAlign w:val="bottom"/>
          </w:tcPr>
          <w:p>
            <w:pPr>
              <w:ind w:left="220"/>
              <w:spacing w:after="0"/>
              <w:rPr>
                <w:sz w:val="20"/>
                <w:szCs w:val="20"/>
                <w:color w:val="auto"/>
              </w:rPr>
            </w:pPr>
            <w:r>
              <w:rPr>
                <w:rFonts w:ascii="Arial" w:cs="Arial" w:eastAsia="Arial" w:hAnsi="Arial"/>
                <w:sz w:val="16"/>
                <w:szCs w:val="16"/>
                <w:color w:val="auto"/>
              </w:rPr>
              <w:t>Less: Net income attributable to noncontrolling interest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(16)</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$ 36,239</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auto"/>
              </w:rPr>
              <w:t>Net income (loss) per share attributable to Civeo Corporation common stockholders:</w:t>
            </w: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Basic</w:t>
            </w:r>
          </w:p>
        </w:tc>
        <w:tc>
          <w:tcPr>
            <w:tcW w:w="170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$ 0.34</w:t>
            </w:r>
          </w:p>
        </w:tc>
        <w:tc>
          <w:tcPr>
            <w:tcW w:w="0" w:type="dxa"/>
            <w:vAlign w:val="bottom"/>
          </w:tcPr>
          <w:p>
            <w:pPr>
              <w:spacing w:after="0"/>
              <w:rPr>
                <w:sz w:val="1"/>
                <w:szCs w:val="1"/>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Diluted</w:t>
            </w:r>
          </w:p>
        </w:tc>
        <w:tc>
          <w:tcPr>
            <w:tcW w:w="170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$ 0.34</w:t>
            </w:r>
          </w:p>
        </w:tc>
        <w:tc>
          <w:tcPr>
            <w:tcW w:w="0" w:type="dxa"/>
            <w:vAlign w:val="bottom"/>
          </w:tcPr>
          <w:p>
            <w:pPr>
              <w:spacing w:after="0"/>
              <w:rPr>
                <w:sz w:val="1"/>
                <w:szCs w:val="1"/>
                <w:color w:val="auto"/>
              </w:rPr>
            </w:pPr>
          </w:p>
        </w:tc>
      </w:tr>
      <w:tr>
        <w:trPr>
          <w:trHeight w:val="540"/>
        </w:trPr>
        <w:tc>
          <w:tcPr>
            <w:tcW w:w="778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(1):</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Basic</w:t>
            </w:r>
          </w:p>
        </w:tc>
        <w:tc>
          <w:tcPr>
            <w:tcW w:w="1700" w:type="dxa"/>
            <w:vAlign w:val="bottom"/>
          </w:tcPr>
          <w:p>
            <w:pPr>
              <w:jc w:val="right"/>
              <w:spacing w:after="0"/>
              <w:rPr>
                <w:sz w:val="20"/>
                <w:szCs w:val="20"/>
                <w:color w:val="auto"/>
              </w:rPr>
            </w:pPr>
            <w:r>
              <w:rPr>
                <w:rFonts w:ascii="Arial" w:cs="Arial" w:eastAsia="Arial" w:hAnsi="Arial"/>
                <w:sz w:val="16"/>
                <w:szCs w:val="16"/>
                <w:color w:val="auto"/>
              </w:rPr>
              <w:t>106,460</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106,293</w:t>
            </w:r>
          </w:p>
        </w:tc>
        <w:tc>
          <w:tcPr>
            <w:tcW w:w="0" w:type="dxa"/>
            <w:vAlign w:val="bottom"/>
          </w:tcPr>
          <w:p>
            <w:pPr>
              <w:spacing w:after="0"/>
              <w:rPr>
                <w:sz w:val="1"/>
                <w:szCs w:val="1"/>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Diluted</w:t>
            </w:r>
          </w:p>
        </w:tc>
        <w:tc>
          <w:tcPr>
            <w:tcW w:w="1700" w:type="dxa"/>
            <w:vAlign w:val="bottom"/>
          </w:tcPr>
          <w:p>
            <w:pPr>
              <w:jc w:val="right"/>
              <w:spacing w:after="0"/>
              <w:rPr>
                <w:sz w:val="20"/>
                <w:szCs w:val="20"/>
                <w:color w:val="auto"/>
              </w:rPr>
            </w:pPr>
            <w:r>
              <w:rPr>
                <w:rFonts w:ascii="Arial" w:cs="Arial" w:eastAsia="Arial" w:hAnsi="Arial"/>
                <w:sz w:val="16"/>
                <w:szCs w:val="16"/>
                <w:color w:val="auto"/>
              </w:rPr>
              <w:t>106,460</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106,460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firstLine="9"/>
        <w:spacing w:after="0" w:line="251"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May 30, 2014, 106,538 thousand shares of our common stock were distributed to Oil States stockholders in connection with the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320"/>
        <w:spacing w:after="0"/>
        <w:rPr>
          <w:sz w:val="20"/>
          <w:szCs w:val="20"/>
          <w:color w:val="auto"/>
        </w:rPr>
      </w:pPr>
      <w:r>
        <w:rPr>
          <w:rFonts w:ascii="Arial" w:cs="Arial" w:eastAsia="Arial" w:hAnsi="Arial"/>
          <w:sz w:val="16"/>
          <w:szCs w:val="16"/>
          <w:b w:val="1"/>
          <w:bCs w:val="1"/>
          <w:color w:val="auto"/>
        </w:rPr>
        <w:t>UNAUDITED CIVEO CORPORATION</w:t>
      </w:r>
    </w:p>
    <w:p>
      <w:pPr>
        <w:spacing w:after="0" w:line="86" w:lineRule="exact"/>
        <w:rPr>
          <w:sz w:val="20"/>
          <w:szCs w:val="20"/>
          <w:color w:val="auto"/>
        </w:rPr>
      </w:pPr>
    </w:p>
    <w:p>
      <w:pPr>
        <w:jc w:val="center"/>
        <w:ind w:right="5320"/>
        <w:spacing w:after="0"/>
        <w:rPr>
          <w:sz w:val="20"/>
          <w:szCs w:val="20"/>
          <w:color w:val="auto"/>
        </w:rPr>
      </w:pPr>
      <w:r>
        <w:rPr>
          <w:rFonts w:ascii="Arial" w:cs="Arial" w:eastAsia="Arial" w:hAnsi="Arial"/>
          <w:sz w:val="16"/>
          <w:szCs w:val="16"/>
          <w:b w:val="1"/>
          <w:bCs w:val="1"/>
          <w:color w:val="auto"/>
        </w:rPr>
        <w:t>CONSOLIDATED BALANCE SHEETS</w:t>
      </w:r>
    </w:p>
    <w:p>
      <w:pPr>
        <w:spacing w:after="0" w:line="86" w:lineRule="exact"/>
        <w:rPr>
          <w:sz w:val="20"/>
          <w:szCs w:val="20"/>
          <w:color w:val="auto"/>
        </w:rPr>
      </w:pPr>
    </w:p>
    <w:p>
      <w:pPr>
        <w:jc w:val="center"/>
        <w:ind w:right="5320"/>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MARCH 31,</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71"/>
        </w:trPr>
        <w:tc>
          <w:tcPr>
            <w:tcW w:w="3580" w:type="dxa"/>
            <w:vAlign w:val="bottom"/>
          </w:tcPr>
          <w:p>
            <w:pPr>
              <w:spacing w:after="0"/>
              <w:rPr>
                <w:sz w:val="23"/>
                <w:szCs w:val="23"/>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(UNAUDITED)</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Current assets: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080" w:type="dxa"/>
            <w:vAlign w:val="bottom"/>
          </w:tcPr>
          <w:p>
            <w:pPr>
              <w:jc w:val="right"/>
              <w:spacing w:after="0"/>
              <w:rPr>
                <w:sz w:val="20"/>
                <w:szCs w:val="20"/>
                <w:color w:val="auto"/>
              </w:rPr>
            </w:pPr>
            <w:r>
              <w:rPr>
                <w:rFonts w:ascii="Arial" w:cs="Arial" w:eastAsia="Arial" w:hAnsi="Arial"/>
                <w:sz w:val="16"/>
                <w:szCs w:val="16"/>
                <w:color w:val="auto"/>
              </w:rPr>
              <w:t>$ 279,797</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$ 263,314</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080" w:type="dxa"/>
            <w:vAlign w:val="bottom"/>
          </w:tcPr>
          <w:p>
            <w:pPr>
              <w:jc w:val="right"/>
              <w:spacing w:after="0"/>
              <w:rPr>
                <w:sz w:val="20"/>
                <w:szCs w:val="20"/>
                <w:color w:val="auto"/>
              </w:rPr>
            </w:pPr>
            <w:r>
              <w:rPr>
                <w:rFonts w:ascii="Arial" w:cs="Arial" w:eastAsia="Arial" w:hAnsi="Arial"/>
                <w:sz w:val="16"/>
                <w:szCs w:val="16"/>
                <w:color w:val="auto"/>
              </w:rPr>
              <w:t>128,246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160,253</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080" w:type="dxa"/>
            <w:vAlign w:val="bottom"/>
          </w:tcPr>
          <w:p>
            <w:pPr>
              <w:jc w:val="right"/>
              <w:spacing w:after="0"/>
              <w:rPr>
                <w:sz w:val="20"/>
                <w:szCs w:val="20"/>
                <w:color w:val="auto"/>
              </w:rPr>
            </w:pPr>
            <w:r>
              <w:rPr>
                <w:rFonts w:ascii="Arial" w:cs="Arial" w:eastAsia="Arial" w:hAnsi="Arial"/>
                <w:sz w:val="16"/>
                <w:szCs w:val="16"/>
                <w:color w:val="auto"/>
              </w:rPr>
              <w:t>9,836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13,228</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Assets held for sale</w:t>
            </w:r>
          </w:p>
        </w:tc>
        <w:tc>
          <w:tcPr>
            <w:tcW w:w="1080" w:type="dxa"/>
            <w:vAlign w:val="bottom"/>
          </w:tcPr>
          <w:p>
            <w:pPr>
              <w:jc w:val="right"/>
              <w:spacing w:after="0"/>
              <w:rPr>
                <w:sz w:val="20"/>
                <w:szCs w:val="20"/>
                <w:color w:val="auto"/>
              </w:rPr>
            </w:pPr>
            <w:r>
              <w:rPr>
                <w:rFonts w:ascii="Arial" w:cs="Arial" w:eastAsia="Arial" w:hAnsi="Arial"/>
                <w:sz w:val="16"/>
                <w:szCs w:val="16"/>
                <w:color w:val="auto"/>
              </w:rPr>
              <w:t>8,656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35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30,346</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27,161</w:t>
            </w:r>
          </w:p>
        </w:tc>
        <w:tc>
          <w:tcPr>
            <w:tcW w:w="0" w:type="dxa"/>
            <w:vAlign w:val="bottom"/>
          </w:tcPr>
          <w:p>
            <w:pPr>
              <w:spacing w:after="0"/>
              <w:rPr>
                <w:sz w:val="1"/>
                <w:szCs w:val="1"/>
                <w:color w:val="auto"/>
              </w:rPr>
            </w:pPr>
          </w:p>
        </w:tc>
      </w:tr>
      <w:tr>
        <w:trPr>
          <w:trHeight w:val="271"/>
        </w:trPr>
        <w:tc>
          <w:tcPr>
            <w:tcW w:w="35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080" w:type="dxa"/>
            <w:vAlign w:val="bottom"/>
          </w:tcPr>
          <w:p>
            <w:pPr>
              <w:jc w:val="right"/>
              <w:spacing w:after="0"/>
              <w:rPr>
                <w:sz w:val="20"/>
                <w:szCs w:val="20"/>
                <w:color w:val="auto"/>
              </w:rPr>
            </w:pPr>
            <w:r>
              <w:rPr>
                <w:rFonts w:ascii="Arial" w:cs="Arial" w:eastAsia="Arial" w:hAnsi="Arial"/>
                <w:sz w:val="16"/>
                <w:szCs w:val="16"/>
                <w:color w:val="auto"/>
              </w:rPr>
              <w:t>456,881</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463,956</w:t>
            </w:r>
          </w:p>
        </w:tc>
        <w:tc>
          <w:tcPr>
            <w:tcW w:w="0" w:type="dxa"/>
            <w:vAlign w:val="bottom"/>
          </w:tcPr>
          <w:p>
            <w:pPr>
              <w:spacing w:after="0"/>
              <w:rPr>
                <w:sz w:val="1"/>
                <w:szCs w:val="1"/>
                <w:color w:val="auto"/>
              </w:rPr>
            </w:pP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080" w:type="dxa"/>
            <w:vAlign w:val="bottom"/>
          </w:tcPr>
          <w:p>
            <w:pPr>
              <w:jc w:val="right"/>
              <w:spacing w:after="0"/>
              <w:rPr>
                <w:sz w:val="20"/>
                <w:szCs w:val="20"/>
                <w:color w:val="auto"/>
              </w:rPr>
            </w:pPr>
            <w:r>
              <w:rPr>
                <w:rFonts w:ascii="Arial" w:cs="Arial" w:eastAsia="Arial" w:hAnsi="Arial"/>
                <w:sz w:val="16"/>
                <w:szCs w:val="16"/>
                <w:color w:val="auto"/>
              </w:rPr>
              <w:t>1,128,162</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1,248,430</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Goodwill, net</w:t>
            </w:r>
          </w:p>
        </w:tc>
        <w:tc>
          <w:tcPr>
            <w:tcW w:w="1080" w:type="dxa"/>
            <w:vAlign w:val="bottom"/>
          </w:tcPr>
          <w:p>
            <w:pPr>
              <w:jc w:val="right"/>
              <w:spacing w:after="0"/>
              <w:rPr>
                <w:sz w:val="20"/>
                <w:szCs w:val="20"/>
                <w:color w:val="auto"/>
              </w:rPr>
            </w:pPr>
            <w:r>
              <w:rPr>
                <w:rFonts w:ascii="Arial" w:cs="Arial" w:eastAsia="Arial" w:hAnsi="Arial"/>
                <w:sz w:val="16"/>
                <w:szCs w:val="16"/>
                <w:color w:val="auto"/>
              </w:rPr>
              <w:t>44,555</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45,260</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080" w:type="dxa"/>
            <w:vAlign w:val="bottom"/>
          </w:tcPr>
          <w:p>
            <w:pPr>
              <w:jc w:val="right"/>
              <w:spacing w:after="0"/>
              <w:rPr>
                <w:sz w:val="20"/>
                <w:szCs w:val="20"/>
                <w:color w:val="auto"/>
              </w:rPr>
            </w:pPr>
            <w:r>
              <w:rPr>
                <w:rFonts w:ascii="Arial" w:cs="Arial" w:eastAsia="Arial" w:hAnsi="Arial"/>
                <w:sz w:val="16"/>
                <w:szCs w:val="16"/>
                <w:color w:val="auto"/>
              </w:rPr>
              <w:t>45,068</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50,882</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20,633</w:t>
            </w:r>
          </w:p>
        </w:tc>
        <w:tc>
          <w:tcPr>
            <w:tcW w:w="0" w:type="dxa"/>
            <w:vAlign w:val="bottom"/>
          </w:tcPr>
          <w:p>
            <w:pPr>
              <w:spacing w:after="0"/>
              <w:rPr>
                <w:sz w:val="1"/>
                <w:szCs w:val="1"/>
                <w:color w:val="auto"/>
              </w:rPr>
            </w:pPr>
          </w:p>
        </w:tc>
      </w:tr>
      <w:tr>
        <w:trPr>
          <w:trHeight w:val="264"/>
        </w:trPr>
        <w:tc>
          <w:tcPr>
            <w:tcW w:w="35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$ 1,694,799</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$ 1,829,161</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$ 27,748</w:t>
            </w:r>
          </w:p>
        </w:tc>
        <w:tc>
          <w:tcPr>
            <w:tcW w:w="1200" w:type="dxa"/>
            <w:vAlign w:val="bottom"/>
          </w:tcPr>
          <w:p>
            <w:pPr>
              <w:jc w:val="right"/>
              <w:spacing w:after="0"/>
              <w:rPr>
                <w:sz w:val="20"/>
                <w:szCs w:val="20"/>
                <w:color w:val="auto"/>
              </w:rPr>
            </w:pPr>
            <w:r>
              <w:rPr>
                <w:rFonts w:ascii="Arial" w:cs="Arial" w:eastAsia="Arial" w:hAnsi="Arial"/>
                <w:sz w:val="16"/>
                <w:szCs w:val="16"/>
                <w:color w:val="auto"/>
              </w:rPr>
              <w:t>$ 36,277</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16,393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22,512</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080" w:type="dxa"/>
            <w:vAlign w:val="bottom"/>
          </w:tcPr>
          <w:p>
            <w:pPr>
              <w:jc w:val="right"/>
              <w:spacing w:after="0"/>
              <w:rPr>
                <w:sz w:val="20"/>
                <w:szCs w:val="20"/>
                <w:color w:val="auto"/>
              </w:rPr>
            </w:pPr>
            <w:r>
              <w:rPr>
                <w:rFonts w:ascii="Arial" w:cs="Arial" w:eastAsia="Arial" w:hAnsi="Arial"/>
                <w:sz w:val="16"/>
                <w:szCs w:val="16"/>
                <w:color w:val="auto"/>
              </w:rPr>
              <w:t>29,063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19,375</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080" w:type="dxa"/>
            <w:vAlign w:val="bottom"/>
          </w:tcPr>
          <w:p>
            <w:pPr>
              <w:jc w:val="right"/>
              <w:spacing w:after="0"/>
              <w:rPr>
                <w:sz w:val="20"/>
                <w:szCs w:val="20"/>
                <w:color w:val="auto"/>
              </w:rPr>
            </w:pPr>
            <w:r>
              <w:rPr>
                <w:rFonts w:ascii="Arial" w:cs="Arial" w:eastAsia="Arial" w:hAnsi="Arial"/>
                <w:sz w:val="16"/>
                <w:szCs w:val="16"/>
                <w:color w:val="auto"/>
              </w:rPr>
              <w:t>12,241</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18,539</w:t>
            </w:r>
          </w:p>
        </w:tc>
        <w:tc>
          <w:tcPr>
            <w:tcW w:w="0" w:type="dxa"/>
            <w:vAlign w:val="bottom"/>
          </w:tcPr>
          <w:p>
            <w:pPr>
              <w:spacing w:after="0"/>
              <w:rPr>
                <w:sz w:val="1"/>
                <w:szCs w:val="1"/>
                <w:color w:val="auto"/>
              </w:rPr>
            </w:pPr>
          </w:p>
        </w:tc>
      </w:tr>
      <w:tr>
        <w:trPr>
          <w:trHeight w:val="263"/>
        </w:trPr>
        <w:tc>
          <w:tcPr>
            <w:tcW w:w="358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21,657</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21,677</w:t>
            </w:r>
          </w:p>
        </w:tc>
        <w:tc>
          <w:tcPr>
            <w:tcW w:w="0" w:type="dxa"/>
            <w:vAlign w:val="bottom"/>
          </w:tcPr>
          <w:p>
            <w:pPr>
              <w:spacing w:after="0"/>
              <w:rPr>
                <w:sz w:val="1"/>
                <w:szCs w:val="1"/>
                <w:color w:val="auto"/>
              </w:rPr>
            </w:pPr>
          </w:p>
        </w:tc>
      </w:tr>
      <w:tr>
        <w:trPr>
          <w:trHeight w:val="271"/>
        </w:trPr>
        <w:tc>
          <w:tcPr>
            <w:tcW w:w="35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107,102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118,441</w:t>
            </w:r>
          </w:p>
        </w:tc>
        <w:tc>
          <w:tcPr>
            <w:tcW w:w="0" w:type="dxa"/>
            <w:vAlign w:val="bottom"/>
          </w:tcPr>
          <w:p>
            <w:pPr>
              <w:spacing w:after="0"/>
              <w:rPr>
                <w:sz w:val="1"/>
                <w:szCs w:val="1"/>
                <w:color w:val="auto"/>
              </w:rPr>
            </w:pP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1080" w:type="dxa"/>
            <w:vAlign w:val="bottom"/>
          </w:tcPr>
          <w:p>
            <w:pPr>
              <w:jc w:val="right"/>
              <w:spacing w:after="0"/>
              <w:rPr>
                <w:sz w:val="20"/>
                <w:szCs w:val="20"/>
                <w:color w:val="auto"/>
              </w:rPr>
            </w:pPr>
            <w:r>
              <w:rPr>
                <w:rFonts w:ascii="Arial" w:cs="Arial" w:eastAsia="Arial" w:hAnsi="Arial"/>
                <w:sz w:val="16"/>
                <w:szCs w:val="16"/>
                <w:color w:val="auto"/>
              </w:rPr>
              <w:t>745,937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755,625</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53,379</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55,500</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37,458</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39,486</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1" w:right="3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943,876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969,052</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Stockholders' equity:</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1,074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1,067</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080" w:type="dxa"/>
            <w:vAlign w:val="bottom"/>
          </w:tcPr>
          <w:p>
            <w:pPr>
              <w:jc w:val="right"/>
              <w:spacing w:after="0"/>
              <w:rPr>
                <w:sz w:val="20"/>
                <w:szCs w:val="20"/>
                <w:color w:val="auto"/>
              </w:rPr>
            </w:pPr>
            <w:r>
              <w:rPr>
                <w:rFonts w:ascii="Arial" w:cs="Arial" w:eastAsia="Arial" w:hAnsi="Arial"/>
                <w:sz w:val="16"/>
                <w:szCs w:val="16"/>
                <w:color w:val="auto"/>
              </w:rPr>
              <w:t>1,301,761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1,300,042</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080" w:type="dxa"/>
            <w:vAlign w:val="bottom"/>
          </w:tcPr>
          <w:p>
            <w:pPr>
              <w:jc w:val="right"/>
              <w:spacing w:after="0"/>
              <w:rPr>
                <w:sz w:val="20"/>
                <w:szCs w:val="20"/>
                <w:color w:val="auto"/>
              </w:rPr>
            </w:pPr>
            <w:r>
              <w:rPr>
                <w:rFonts w:ascii="Arial" w:cs="Arial" w:eastAsia="Arial" w:hAnsi="Arial"/>
                <w:sz w:val="16"/>
                <w:szCs w:val="16"/>
                <w:color w:val="auto"/>
              </w:rPr>
              <w:t>(244,633)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(244,617)</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Treasury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3"/>
        </w:trPr>
        <w:tc>
          <w:tcPr>
            <w:tcW w:w="358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(309,329)</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(198,491)</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4"/>
        </w:trPr>
        <w:tc>
          <w:tcPr>
            <w:tcW w:w="3580" w:type="dxa"/>
            <w:vAlign w:val="bottom"/>
          </w:tcPr>
          <w:p>
            <w:pPr>
              <w:ind w:left="340"/>
              <w:spacing w:after="0"/>
              <w:rPr>
                <w:sz w:val="20"/>
                <w:szCs w:val="20"/>
                <w:color w:val="auto"/>
              </w:rPr>
            </w:pPr>
            <w:r>
              <w:rPr>
                <w:rFonts w:ascii="Arial" w:cs="Arial" w:eastAsia="Arial" w:hAnsi="Arial"/>
                <w:sz w:val="16"/>
                <w:szCs w:val="16"/>
                <w:color w:val="auto"/>
              </w:rPr>
              <w:t>Total Civeo Corporation stockholders' equity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748,755</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858,001</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4"/>
        </w:trPr>
        <w:tc>
          <w:tcPr>
            <w:tcW w:w="35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2,108</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4"/>
        </w:trPr>
        <w:tc>
          <w:tcPr>
            <w:tcW w:w="3580" w:type="dxa"/>
            <w:vAlign w:val="bottom"/>
          </w:tcPr>
          <w:p>
            <w:pPr>
              <w:ind w:left="140"/>
              <w:spacing w:after="0"/>
              <w:rPr>
                <w:sz w:val="20"/>
                <w:szCs w:val="20"/>
                <w:color w:val="auto"/>
              </w:rPr>
            </w:pPr>
            <w:r>
              <w:rPr>
                <w:rFonts w:ascii="Arial" w:cs="Arial" w:eastAsia="Arial" w:hAnsi="Arial"/>
                <w:sz w:val="16"/>
                <w:szCs w:val="16"/>
                <w:color w:val="auto"/>
              </w:rPr>
              <w:t>Total stockholders' equity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750,923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860,109</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4"/>
        </w:trPr>
        <w:tc>
          <w:tcPr>
            <w:tcW w:w="358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$ 1,694,799</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$ 1,829,161</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
        </w:trPr>
        <w:tc>
          <w:tcPr>
            <w:tcW w:w="3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79"/>
        </w:trPr>
        <w:tc>
          <w:tcPr>
            <w:tcW w:w="4920" w:type="dxa"/>
            <w:vAlign w:val="bottom"/>
            <w:gridSpan w:val="4"/>
          </w:tcPr>
          <w:p>
            <w:pPr>
              <w:jc w:val="center"/>
              <w:ind w:left="2779"/>
              <w:spacing w:after="0"/>
              <w:rPr>
                <w:sz w:val="20"/>
                <w:szCs w:val="20"/>
                <w:color w:val="auto"/>
              </w:rPr>
            </w:pPr>
            <w:r>
              <w:rPr>
                <w:rFonts w:ascii="Arial" w:cs="Arial" w:eastAsia="Arial" w:hAnsi="Arial"/>
                <w:sz w:val="16"/>
                <w:szCs w:val="16"/>
                <w:b w:val="1"/>
                <w:bCs w:val="1"/>
                <w:color w:val="auto"/>
                <w:w w:val="99"/>
              </w:rPr>
              <w:t>CIVEO CORPORATION</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860" w:type="dxa"/>
            <w:vAlign w:val="bottom"/>
            <w:gridSpan w:val="9"/>
          </w:tcPr>
          <w:p>
            <w:pPr>
              <w:jc w:val="center"/>
              <w:ind w:left="839"/>
              <w:spacing w:after="0"/>
              <w:rPr>
                <w:sz w:val="20"/>
                <w:szCs w:val="20"/>
                <w:color w:val="auto"/>
              </w:rPr>
            </w:pPr>
            <w:r>
              <w:rPr>
                <w:rFonts w:ascii="Arial" w:cs="Arial" w:eastAsia="Arial" w:hAnsi="Arial"/>
                <w:sz w:val="16"/>
                <w:szCs w:val="16"/>
                <w:b w:val="1"/>
                <w:bCs w:val="1"/>
                <w:color w:val="auto"/>
              </w:rPr>
              <w:t>UNAUDITED CONSOLIDATED STATEMENTS OF CASH FLOWS</w:t>
            </w:r>
          </w:p>
        </w:tc>
        <w:tc>
          <w:tcPr>
            <w:tcW w:w="920" w:type="dxa"/>
            <w:vAlign w:val="bottom"/>
          </w:tcPr>
          <w:p>
            <w:pPr>
              <w:spacing w:after="0"/>
              <w:rPr>
                <w:sz w:val="23"/>
                <w:szCs w:val="23"/>
                <w:color w:val="auto"/>
              </w:rPr>
            </w:pPr>
          </w:p>
        </w:tc>
      </w:tr>
      <w:tr>
        <w:trPr>
          <w:trHeight w:val="270"/>
        </w:trPr>
        <w:tc>
          <w:tcPr>
            <w:tcW w:w="4920" w:type="dxa"/>
            <w:vAlign w:val="bottom"/>
            <w:gridSpan w:val="4"/>
          </w:tcPr>
          <w:p>
            <w:pPr>
              <w:jc w:val="center"/>
              <w:ind w:left="279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540"/>
        </w:trPr>
        <w:tc>
          <w:tcPr>
            <w:tcW w:w="3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3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MARCH 31,</w:t>
            </w:r>
          </w:p>
        </w:tc>
      </w:tr>
      <w:tr>
        <w:trPr>
          <w:trHeight w:val="263"/>
        </w:trPr>
        <w:tc>
          <w:tcPr>
            <w:tcW w:w="3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r>
      <w:tr>
        <w:trPr>
          <w:trHeight w:val="541"/>
        </w:trPr>
        <w:tc>
          <w:tcPr>
            <w:tcW w:w="358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$ 230</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$ 36,596</w:t>
            </w:r>
          </w:p>
        </w:tc>
      </w:tr>
      <w:tr>
        <w:trPr>
          <w:trHeight w:val="270"/>
        </w:trPr>
        <w:tc>
          <w:tcPr>
            <w:tcW w:w="6860" w:type="dxa"/>
            <w:vAlign w:val="bottom"/>
            <w:gridSpan w:val="9"/>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20" w:type="dxa"/>
            <w:vAlign w:val="bottom"/>
          </w:tcPr>
          <w:p>
            <w:pPr>
              <w:spacing w:after="0"/>
              <w:rPr>
                <w:sz w:val="23"/>
                <w:szCs w:val="23"/>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42,446</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39,599</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Impairment charges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3,753</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Deferred income tax provision (benefit)</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(801)</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5,179</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Non-cash compensation charge</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1,223</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Losses (gains) on disposals of assets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(341)</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Provision for loss on receivables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730</w:t>
            </w: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845</w:t>
            </w:r>
          </w:p>
        </w:tc>
        <w:tc>
          <w:tcPr>
            <w:tcW w:w="92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19,835</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(8,130)</w:t>
            </w:r>
          </w:p>
        </w:tc>
      </w:tr>
      <w:tr>
        <w:trPr>
          <w:trHeight w:val="270"/>
        </w:trPr>
        <w:tc>
          <w:tcPr>
            <w:tcW w:w="35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1,256</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6,141</w:t>
            </w:r>
          </w:p>
        </w:tc>
      </w:tr>
      <w:tr>
        <w:trPr>
          <w:trHeight w:val="270"/>
        </w:trPr>
        <w:tc>
          <w:tcPr>
            <w:tcW w:w="358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(10,680)</w:t>
            </w:r>
          </w:p>
        </w:tc>
        <w:tc>
          <w:tcPr>
            <w:tcW w:w="920" w:type="dxa"/>
            <w:vAlign w:val="bottom"/>
          </w:tcPr>
          <w:p>
            <w:pPr>
              <w:jc w:val="right"/>
              <w:spacing w:after="0"/>
              <w:rPr>
                <w:sz w:val="20"/>
                <w:szCs w:val="20"/>
                <w:color w:val="auto"/>
              </w:rPr>
            </w:pPr>
            <w:r>
              <w:rPr>
                <w:rFonts w:ascii="Arial" w:cs="Arial" w:eastAsia="Arial" w:hAnsi="Arial"/>
                <w:sz w:val="16"/>
                <w:szCs w:val="16"/>
                <w:color w:val="auto"/>
              </w:rPr>
              <w:t>9,436</w:t>
            </w:r>
          </w:p>
        </w:tc>
      </w:tr>
      <w:tr>
        <w:trPr>
          <w:trHeight w:val="270"/>
        </w:trPr>
        <w:tc>
          <w:tcPr>
            <w:tcW w:w="3580" w:type="dxa"/>
            <w:vAlign w:val="bottom"/>
          </w:tcPr>
          <w:p>
            <w:pPr>
              <w:ind w:left="280"/>
              <w:spacing w:after="0"/>
              <w:rPr>
                <w:sz w:val="20"/>
                <w:szCs w:val="20"/>
                <w:color w:val="auto"/>
              </w:rPr>
            </w:pPr>
            <w:r>
              <w:rPr>
                <w:rFonts w:ascii="Arial" w:cs="Arial" w:eastAsia="Arial" w:hAnsi="Arial"/>
                <w:sz w:val="16"/>
                <w:szCs w:val="16"/>
                <w:color w:val="auto"/>
              </w:rPr>
              <w:t>Taxes payable</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(6,483)</w:t>
            </w:r>
          </w:p>
        </w:tc>
        <w:tc>
          <w:tcPr>
            <w:tcW w:w="920" w:type="dxa"/>
            <w:vAlign w:val="bottom"/>
          </w:tcPr>
          <w:p>
            <w:pPr>
              <w:jc w:val="right"/>
              <w:spacing w:after="0"/>
              <w:rPr>
                <w:sz w:val="20"/>
                <w:szCs w:val="20"/>
                <w:color w:val="auto"/>
              </w:rPr>
            </w:pPr>
            <w:r>
              <w:rPr>
                <w:rFonts w:ascii="Arial" w:cs="Arial" w:eastAsia="Arial" w:hAnsi="Arial"/>
                <w:sz w:val="16"/>
                <w:szCs w:val="16"/>
                <w:color w:val="auto"/>
              </w:rPr>
              <w:t>(6,399)</w:t>
            </w:r>
          </w:p>
        </w:tc>
      </w:tr>
      <w:tr>
        <w:trPr>
          <w:trHeight w:val="263"/>
        </w:trPr>
        <w:tc>
          <w:tcPr>
            <w:tcW w:w="3580" w:type="dxa"/>
            <w:vAlign w:val="bottom"/>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(3,111)</w:t>
            </w: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w:t>
            </w:r>
          </w:p>
        </w:tc>
      </w:tr>
      <w:tr>
        <w:trPr>
          <w:trHeight w:val="271"/>
        </w:trPr>
        <w:tc>
          <w:tcPr>
            <w:tcW w:w="358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48,902</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90,713</w:t>
            </w: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920" w:type="dxa"/>
            <w:vAlign w:val="bottom"/>
            <w:gridSpan w:val="4"/>
          </w:tcPr>
          <w:p>
            <w:pPr>
              <w:ind w:left="220"/>
              <w:spacing w:after="0"/>
              <w:rPr>
                <w:sz w:val="20"/>
                <w:szCs w:val="20"/>
                <w:color w:val="auto"/>
              </w:rPr>
            </w:pPr>
            <w:r>
              <w:rPr>
                <w:rFonts w:ascii="Arial" w:cs="Arial" w:eastAsia="Arial" w:hAnsi="Arial"/>
                <w:sz w:val="16"/>
                <w:szCs w:val="16"/>
                <w:color w:val="auto"/>
              </w:rPr>
              <w:t>Capital expenditures, including capitalized interest</w:t>
            </w: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(10,702)</w:t>
            </w:r>
          </w:p>
        </w:tc>
        <w:tc>
          <w:tcPr>
            <w:tcW w:w="920" w:type="dxa"/>
            <w:vAlign w:val="bottom"/>
          </w:tcPr>
          <w:p>
            <w:pPr>
              <w:jc w:val="right"/>
              <w:spacing w:after="0"/>
              <w:rPr>
                <w:sz w:val="20"/>
                <w:szCs w:val="20"/>
                <w:color w:val="auto"/>
              </w:rPr>
            </w:pPr>
            <w:r>
              <w:rPr>
                <w:rFonts w:ascii="Arial" w:cs="Arial" w:eastAsia="Arial" w:hAnsi="Arial"/>
                <w:sz w:val="16"/>
                <w:szCs w:val="16"/>
                <w:color w:val="auto"/>
              </w:rPr>
              <w:t>(63,525)</w:t>
            </w:r>
          </w:p>
        </w:tc>
      </w:tr>
      <w:tr>
        <w:trPr>
          <w:trHeight w:val="263"/>
        </w:trPr>
        <w:tc>
          <w:tcPr>
            <w:tcW w:w="4920" w:type="dxa"/>
            <w:vAlign w:val="bottom"/>
            <w:gridSpan w:val="4"/>
          </w:tcPr>
          <w:p>
            <w:pPr>
              <w:ind w:left="220"/>
              <w:spacing w:after="0"/>
              <w:rPr>
                <w:sz w:val="20"/>
                <w:szCs w:val="20"/>
                <w:color w:val="auto"/>
              </w:rPr>
            </w:pPr>
            <w:r>
              <w:rPr>
                <w:rFonts w:ascii="Arial" w:cs="Arial" w:eastAsia="Arial" w:hAnsi="Arial"/>
                <w:sz w:val="16"/>
                <w:szCs w:val="16"/>
                <w:color w:val="auto"/>
              </w:rPr>
              <w:t>Proceeds from disposition of property, plant and equipment</w:t>
            </w:r>
          </w:p>
        </w:tc>
        <w:tc>
          <w:tcPr>
            <w:tcW w:w="940" w:type="dxa"/>
            <w:vAlign w:val="bottom"/>
          </w:tcPr>
          <w:p>
            <w:pPr>
              <w:spacing w:after="0"/>
              <w:rPr>
                <w:sz w:val="22"/>
                <w:szCs w:val="22"/>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1,127</w:t>
            </w: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71"/>
        </w:trPr>
        <w:tc>
          <w:tcPr>
            <w:tcW w:w="3580" w:type="dxa"/>
            <w:vAlign w:val="bottom"/>
          </w:tcPr>
          <w:p>
            <w:pPr>
              <w:ind w:left="280"/>
              <w:spacing w:after="0"/>
              <w:rPr>
                <w:sz w:val="20"/>
                <w:szCs w:val="20"/>
                <w:color w:val="auto"/>
              </w:rPr>
            </w:pPr>
            <w:r>
              <w:rPr>
                <w:rFonts w:ascii="Arial" w:cs="Arial" w:eastAsia="Arial" w:hAnsi="Arial"/>
                <w:sz w:val="16"/>
                <w:szCs w:val="16"/>
                <w:color w:val="auto"/>
              </w:rPr>
              <w:t>Net cash flows used in investing activities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(9,575)</w:t>
            </w:r>
          </w:p>
        </w:tc>
        <w:tc>
          <w:tcPr>
            <w:tcW w:w="920" w:type="dxa"/>
            <w:vAlign w:val="bottom"/>
          </w:tcPr>
          <w:p>
            <w:pPr>
              <w:jc w:val="right"/>
              <w:spacing w:after="0"/>
              <w:rPr>
                <w:sz w:val="20"/>
                <w:szCs w:val="20"/>
                <w:color w:val="auto"/>
              </w:rPr>
            </w:pPr>
            <w:r>
              <w:rPr>
                <w:rFonts w:ascii="Arial" w:cs="Arial" w:eastAsia="Arial" w:hAnsi="Arial"/>
                <w:sz w:val="16"/>
                <w:szCs w:val="16"/>
                <w:color w:val="auto"/>
              </w:rPr>
              <w:t>(63,295)</w:t>
            </w: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500</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3580" w:type="dxa"/>
            <w:vAlign w:val="bottom"/>
          </w:tcPr>
          <w:p>
            <w:pPr>
              <w:ind w:left="220"/>
              <w:spacing w:after="0"/>
              <w:rPr>
                <w:sz w:val="20"/>
                <w:szCs w:val="20"/>
                <w:color w:val="auto"/>
              </w:rPr>
            </w:pPr>
            <w:r>
              <w:rPr>
                <w:rFonts w:ascii="Arial" w:cs="Arial" w:eastAsia="Arial" w:hAnsi="Arial"/>
                <w:sz w:val="16"/>
                <w:szCs w:val="16"/>
                <w:color w:val="auto"/>
              </w:rPr>
              <w:t>Contributions from Oil States</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20,193</w:t>
            </w:r>
          </w:p>
        </w:tc>
      </w:tr>
      <w:tr>
        <w:trPr>
          <w:trHeight w:val="271"/>
        </w:trPr>
        <w:tc>
          <w:tcPr>
            <w:tcW w:w="3580" w:type="dxa"/>
            <w:vAlign w:val="bottom"/>
          </w:tcPr>
          <w:p>
            <w:pPr>
              <w:ind w:left="280"/>
              <w:spacing w:after="0"/>
              <w:rPr>
                <w:sz w:val="20"/>
                <w:szCs w:val="20"/>
                <w:color w:val="auto"/>
              </w:rPr>
            </w:pPr>
            <w:r>
              <w:rPr>
                <w:rFonts w:ascii="Arial" w:cs="Arial" w:eastAsia="Arial" w:hAnsi="Arial"/>
                <w:sz w:val="16"/>
                <w:szCs w:val="16"/>
                <w:color w:val="auto"/>
              </w:rPr>
              <w:t>Net cash flows provided by financing activities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500</w:t>
            </w:r>
          </w:p>
        </w:tc>
        <w:tc>
          <w:tcPr>
            <w:tcW w:w="920" w:type="dxa"/>
            <w:vAlign w:val="bottom"/>
          </w:tcPr>
          <w:p>
            <w:pPr>
              <w:jc w:val="right"/>
              <w:spacing w:after="0"/>
              <w:rPr>
                <w:sz w:val="20"/>
                <w:szCs w:val="20"/>
                <w:color w:val="auto"/>
              </w:rPr>
            </w:pPr>
            <w:r>
              <w:rPr>
                <w:rFonts w:ascii="Arial" w:cs="Arial" w:eastAsia="Arial" w:hAnsi="Arial"/>
                <w:sz w:val="16"/>
                <w:szCs w:val="16"/>
                <w:color w:val="auto"/>
              </w:rPr>
              <w:t>20,193</w:t>
            </w: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(23,344)</w:t>
            </w:r>
          </w:p>
        </w:tc>
        <w:tc>
          <w:tcPr>
            <w:tcW w:w="920" w:type="dxa"/>
            <w:vAlign w:val="bottom"/>
          </w:tcPr>
          <w:p>
            <w:pPr>
              <w:jc w:val="right"/>
              <w:spacing w:after="0"/>
              <w:rPr>
                <w:sz w:val="20"/>
                <w:szCs w:val="20"/>
                <w:color w:val="auto"/>
              </w:rPr>
            </w:pPr>
            <w:r>
              <w:rPr>
                <w:rFonts w:ascii="Arial" w:cs="Arial" w:eastAsia="Arial" w:hAnsi="Arial"/>
                <w:sz w:val="16"/>
                <w:szCs w:val="16"/>
                <w:color w:val="auto"/>
              </w:rPr>
              <w:t>(6,988)</w:t>
            </w:r>
          </w:p>
        </w:tc>
      </w:tr>
      <w:tr>
        <w:trPr>
          <w:trHeight w:val="533"/>
        </w:trPr>
        <w:tc>
          <w:tcPr>
            <w:tcW w:w="358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16,483</w:t>
            </w:r>
          </w:p>
        </w:tc>
        <w:tc>
          <w:tcPr>
            <w:tcW w:w="6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40,623</w:t>
            </w:r>
          </w:p>
        </w:tc>
      </w:tr>
      <w:tr>
        <w:trPr>
          <w:trHeight w:val="541"/>
        </w:trPr>
        <w:tc>
          <w:tcPr>
            <w:tcW w:w="358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263,314</w:t>
            </w: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224,128</w:t>
            </w:r>
          </w:p>
        </w:tc>
      </w:tr>
      <w:tr>
        <w:trPr>
          <w:trHeight w:val="263"/>
        </w:trPr>
        <w:tc>
          <w:tcPr>
            <w:tcW w:w="3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Borders>
              <w:bottom w:val="single" w:sz="8" w:color="auto"/>
            </w:tcBorders>
            <w:gridSpan w:val="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64"/>
        </w:trPr>
        <w:tc>
          <w:tcPr>
            <w:tcW w:w="358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$ 279,797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$ 264,751</w:t>
            </w:r>
          </w:p>
        </w:tc>
      </w:tr>
    </w:tbl>
    <w:p>
      <w:pPr>
        <w:spacing w:after="0" w:line="200" w:lineRule="exact"/>
        <w:rPr>
          <w:sz w:val="20"/>
          <w:szCs w:val="20"/>
          <w:color w:val="auto"/>
        </w:rPr>
      </w:pPr>
    </w:p>
    <w:p>
      <w:pPr>
        <w:sectPr>
          <w:pgSz w:w="11900" w:h="16838" w:orient="portrait"/>
          <w:cols w:equalWidth="0" w:num="1">
            <w:col w:w="10139"/>
          </w:cols>
          <w:pgMar w:left="320" w:top="141" w:right="1440"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CIVEO CORPORATION</w:t>
      </w:r>
    </w:p>
    <w:p>
      <w:pPr>
        <w:sectPr>
          <w:pgSz w:w="11900" w:h="16838" w:orient="portrait"/>
          <w:cols w:equalWidth="0" w:num="1">
            <w:col w:w="10139"/>
          </w:cols>
          <w:pgMar w:left="320" w:top="141" w:right="1440" w:bottom="0" w:gutter="0" w:footer="0" w:header="0"/>
          <w:type w:val="continuous"/>
        </w:sectPr>
      </w:pPr>
    </w:p>
    <w:bookmarkStart w:id="9" w:name="page10"/>
    <w:bookmarkEnd w:id="9"/>
    <w:p>
      <w:pPr>
        <w:spacing w:after="0" w:line="32" w:lineRule="exact"/>
        <w:rPr>
          <w:sz w:val="20"/>
          <w:szCs w:val="20"/>
          <w:color w:val="auto"/>
        </w:rPr>
      </w:pPr>
    </w:p>
    <w:p>
      <w:pPr>
        <w:jc w:val="center"/>
        <w:ind w:right="6820"/>
        <w:spacing w:after="0"/>
        <w:rPr>
          <w:sz w:val="20"/>
          <w:szCs w:val="20"/>
          <w:color w:val="auto"/>
        </w:rPr>
      </w:pPr>
      <w:r>
        <w:rPr>
          <w:rFonts w:ascii="Arial" w:cs="Arial" w:eastAsia="Arial" w:hAnsi="Arial"/>
          <w:sz w:val="16"/>
          <w:szCs w:val="16"/>
          <w:b w:val="1"/>
          <w:bCs w:val="1"/>
          <w:color w:val="auto"/>
        </w:rPr>
        <w:t>SEGMENT DATA</w:t>
      </w:r>
    </w:p>
    <w:p>
      <w:pPr>
        <w:spacing w:after="0" w:line="86" w:lineRule="exact"/>
        <w:rPr>
          <w:sz w:val="20"/>
          <w:szCs w:val="20"/>
          <w:color w:val="auto"/>
        </w:rPr>
      </w:pPr>
    </w:p>
    <w:p>
      <w:pPr>
        <w:jc w:val="center"/>
        <w:ind w:right="6820"/>
        <w:spacing w:after="0"/>
        <w:rPr>
          <w:sz w:val="20"/>
          <w:szCs w:val="20"/>
          <w:color w:val="auto"/>
        </w:rPr>
      </w:pPr>
      <w:r>
        <w:rPr>
          <w:rFonts w:ascii="Arial" w:cs="Arial" w:eastAsia="Arial" w:hAnsi="Arial"/>
          <w:sz w:val="16"/>
          <w:szCs w:val="16"/>
          <w:b w:val="1"/>
          <w:bCs w:val="1"/>
          <w:color w:val="auto"/>
        </w:rPr>
        <w:t>(in thousands)</w:t>
      </w:r>
    </w:p>
    <w:p>
      <w:pPr>
        <w:spacing w:after="0" w:line="86" w:lineRule="exact"/>
        <w:rPr>
          <w:sz w:val="20"/>
          <w:szCs w:val="20"/>
          <w:color w:val="auto"/>
        </w:rPr>
      </w:pPr>
    </w:p>
    <w:p>
      <w:pPr>
        <w:jc w:val="center"/>
        <w:ind w:right="6820"/>
        <w:spacing w:after="0"/>
        <w:rPr>
          <w:sz w:val="20"/>
          <w:szCs w:val="20"/>
          <w:color w:val="auto"/>
        </w:rPr>
      </w:pPr>
      <w:r>
        <w:rPr>
          <w:rFonts w:ascii="Arial" w:cs="Arial" w:eastAsia="Arial" w:hAnsi="Arial"/>
          <w:sz w:val="16"/>
          <w:szCs w:val="16"/>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63"/>
        </w:trPr>
        <w:tc>
          <w:tcPr>
            <w:tcW w:w="2500" w:type="dxa"/>
            <w:vAlign w:val="bottom"/>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0"/>
                <w:szCs w:val="20"/>
                <w:color w:val="auto"/>
              </w:rPr>
            </w:pPr>
            <w:r>
              <w:rPr>
                <w:rFonts w:ascii="Arial" w:cs="Arial" w:eastAsia="Arial" w:hAnsi="Arial"/>
                <w:sz w:val="16"/>
                <w:szCs w:val="16"/>
                <w:color w:val="auto"/>
              </w:rPr>
              <w:t>Revenues</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20" w:type="dxa"/>
            <w:vAlign w:val="bottom"/>
          </w:tcPr>
          <w:p>
            <w:pPr>
              <w:jc w:val="right"/>
              <w:spacing w:after="0"/>
              <w:rPr>
                <w:sz w:val="20"/>
                <w:szCs w:val="20"/>
                <w:color w:val="auto"/>
              </w:rPr>
            </w:pPr>
            <w:r>
              <w:rPr>
                <w:rFonts w:ascii="Arial" w:cs="Arial" w:eastAsia="Arial" w:hAnsi="Arial"/>
                <w:sz w:val="16"/>
                <w:szCs w:val="16"/>
                <w:color w:val="auto"/>
              </w:rPr>
              <w:t>$ 116,900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$ 180,324</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20" w:type="dxa"/>
            <w:vAlign w:val="bottom"/>
          </w:tcPr>
          <w:p>
            <w:pPr>
              <w:jc w:val="right"/>
              <w:spacing w:after="0"/>
              <w:rPr>
                <w:sz w:val="20"/>
                <w:szCs w:val="20"/>
                <w:color w:val="auto"/>
              </w:rPr>
            </w:pPr>
            <w:r>
              <w:rPr>
                <w:rFonts w:ascii="Arial" w:cs="Arial" w:eastAsia="Arial" w:hAnsi="Arial"/>
                <w:sz w:val="16"/>
                <w:szCs w:val="16"/>
                <w:color w:val="auto"/>
              </w:rPr>
              <w:t>41,859</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55,464</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12,228</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17,011</w:t>
            </w:r>
          </w:p>
        </w:tc>
        <w:tc>
          <w:tcPr>
            <w:tcW w:w="0" w:type="dxa"/>
            <w:vAlign w:val="bottom"/>
          </w:tcPr>
          <w:p>
            <w:pPr>
              <w:spacing w:after="0"/>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$ 170,987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$ 252,799</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20" w:type="dxa"/>
            <w:vAlign w:val="bottom"/>
          </w:tcPr>
          <w:p>
            <w:pPr>
              <w:jc w:val="right"/>
              <w:spacing w:after="0"/>
              <w:rPr>
                <w:sz w:val="20"/>
                <w:szCs w:val="20"/>
                <w:color w:val="auto"/>
              </w:rPr>
            </w:pPr>
            <w:r>
              <w:rPr>
                <w:rFonts w:ascii="Arial" w:cs="Arial" w:eastAsia="Arial" w:hAnsi="Arial"/>
                <w:sz w:val="16"/>
                <w:szCs w:val="16"/>
                <w:color w:val="auto"/>
              </w:rPr>
              <w:t>$ 37,512</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$ 61,795</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20" w:type="dxa"/>
            <w:vAlign w:val="bottom"/>
          </w:tcPr>
          <w:p>
            <w:pPr>
              <w:jc w:val="right"/>
              <w:spacing w:after="0"/>
              <w:rPr>
                <w:sz w:val="20"/>
                <w:szCs w:val="20"/>
                <w:color w:val="auto"/>
              </w:rPr>
            </w:pPr>
            <w:r>
              <w:rPr>
                <w:rFonts w:ascii="Arial" w:cs="Arial" w:eastAsia="Arial" w:hAnsi="Arial"/>
                <w:sz w:val="16"/>
                <w:szCs w:val="16"/>
                <w:color w:val="auto"/>
              </w:rPr>
              <w:t>20,723</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30,804</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spacing w:after="0"/>
              <w:rPr>
                <w:sz w:val="20"/>
                <w:szCs w:val="20"/>
                <w:color w:val="auto"/>
              </w:rPr>
            </w:pPr>
            <w:r>
              <w:rPr>
                <w:rFonts w:ascii="Arial" w:cs="Arial" w:eastAsia="Arial" w:hAnsi="Arial"/>
                <w:sz w:val="16"/>
                <w:szCs w:val="16"/>
                <w:color w:val="auto"/>
              </w:rPr>
              <w:t>(3,616)</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(6,545)</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w:t>
            </w:r>
          </w:p>
        </w:tc>
        <w:tc>
          <w:tcPr>
            <w:tcW w:w="0" w:type="dxa"/>
            <w:vAlign w:val="bottom"/>
          </w:tcPr>
          <w:p>
            <w:pPr>
              <w:spacing w:after="0"/>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EBITDA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$ 48,074</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$ 92,340</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20" w:type="dxa"/>
            <w:vAlign w:val="bottom"/>
          </w:tcPr>
          <w:p>
            <w:pPr>
              <w:jc w:val="right"/>
              <w:spacing w:after="0"/>
              <w:rPr>
                <w:sz w:val="20"/>
                <w:szCs w:val="20"/>
                <w:color w:val="auto"/>
              </w:rPr>
            </w:pPr>
            <w:r>
              <w:rPr>
                <w:rFonts w:ascii="Arial" w:cs="Arial" w:eastAsia="Arial" w:hAnsi="Arial"/>
                <w:sz w:val="16"/>
                <w:szCs w:val="16"/>
                <w:color w:val="auto"/>
              </w:rPr>
              <w:t>$ 37,512</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$ 61,800</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20" w:type="dxa"/>
            <w:vAlign w:val="bottom"/>
          </w:tcPr>
          <w:p>
            <w:pPr>
              <w:jc w:val="right"/>
              <w:spacing w:after="0"/>
              <w:rPr>
                <w:sz w:val="20"/>
                <w:szCs w:val="20"/>
                <w:color w:val="auto"/>
              </w:rPr>
            </w:pPr>
            <w:r>
              <w:rPr>
                <w:rFonts w:ascii="Arial" w:cs="Arial" w:eastAsia="Arial" w:hAnsi="Arial"/>
                <w:sz w:val="16"/>
                <w:szCs w:val="16"/>
                <w:color w:val="auto"/>
              </w:rPr>
              <w:t>20,723</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30,804</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3,166</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adjusted EBITDA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$ 52,987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$ 92,913</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20" w:type="dxa"/>
            <w:vAlign w:val="bottom"/>
          </w:tcPr>
          <w:p>
            <w:pPr>
              <w:jc w:val="right"/>
              <w:spacing w:after="0"/>
              <w:rPr>
                <w:sz w:val="20"/>
                <w:szCs w:val="20"/>
                <w:color w:val="auto"/>
              </w:rPr>
            </w:pPr>
            <w:r>
              <w:rPr>
                <w:rFonts w:ascii="Arial" w:cs="Arial" w:eastAsia="Arial" w:hAnsi="Arial"/>
                <w:sz w:val="16"/>
                <w:szCs w:val="16"/>
                <w:color w:val="auto"/>
              </w:rPr>
              <w:t>$ 12,120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$ 42,042</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20" w:type="dxa"/>
            <w:vAlign w:val="bottom"/>
          </w:tcPr>
          <w:p>
            <w:pPr>
              <w:jc w:val="right"/>
              <w:spacing w:after="0"/>
              <w:rPr>
                <w:sz w:val="20"/>
                <w:szCs w:val="20"/>
                <w:color w:val="auto"/>
              </w:rPr>
            </w:pPr>
            <w:r>
              <w:rPr>
                <w:rFonts w:ascii="Arial" w:cs="Arial" w:eastAsia="Arial" w:hAnsi="Arial"/>
                <w:sz w:val="16"/>
                <w:szCs w:val="16"/>
                <w:color w:val="auto"/>
              </w:rPr>
              <w:t>6,727</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15,843</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spacing w:after="0"/>
              <w:rPr>
                <w:sz w:val="20"/>
                <w:szCs w:val="20"/>
                <w:color w:val="auto"/>
              </w:rPr>
            </w:pPr>
            <w:r>
              <w:rPr>
                <w:rFonts w:ascii="Arial" w:cs="Arial" w:eastAsia="Arial" w:hAnsi="Arial"/>
                <w:sz w:val="16"/>
                <w:szCs w:val="16"/>
                <w:color w:val="auto"/>
              </w:rPr>
              <w:t>(6,894)</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operating income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$ 4,876</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$ 52,860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firstLine="9"/>
        <w:spacing w:after="0" w:line="248"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plus interest, taxes, depreciation and amortization. The term Adjusted EBITDA is defined as EBITDA adjusted to exclude impairment charges and certain other costs such as those incurred associated with the Spin-Off.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7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ectPr>
          <w:pgSz w:w="11900" w:h="16870" w:orient="portrait"/>
          <w:cols w:equalWidth="0" w:num="1">
            <w:col w:w="11260"/>
          </w:cols>
          <w:pgMar w:left="320" w:top="12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Income tax provision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EBITDA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EBITDA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Transition costs (a)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Migration costs (b)</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Loss on assets held for sale (c)</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gridSpan w:val="3"/>
          </w:tcPr>
          <w:p>
            <w:pPr>
              <w:ind w:left="1980"/>
              <w:spacing w:after="0"/>
              <w:rPr>
                <w:sz w:val="20"/>
                <w:szCs w:val="20"/>
                <w:color w:val="auto"/>
              </w:rPr>
            </w:pPr>
            <w:r>
              <w:rPr>
                <w:rFonts w:ascii="Arial" w:cs="Arial" w:eastAsia="Arial" w:hAnsi="Arial"/>
                <w:sz w:val="16"/>
                <w:szCs w:val="16"/>
                <w:b w:val="1"/>
                <w:bCs w:val="1"/>
                <w:color w:val="auto"/>
              </w:rPr>
              <w:t>MARCH 31,</w:t>
            </w:r>
          </w:p>
        </w:tc>
        <w:tc>
          <w:tcPr>
            <w:tcW w:w="1680" w:type="dxa"/>
            <w:vAlign w:val="bottom"/>
          </w:tcPr>
          <w:p>
            <w:pPr>
              <w:spacing w:after="0"/>
              <w:rPr>
                <w:sz w:val="18"/>
                <w:szCs w:val="18"/>
                <w:color w:val="auto"/>
              </w:rPr>
            </w:pPr>
          </w:p>
        </w:tc>
      </w:tr>
      <w:tr>
        <w:trPr>
          <w:trHeight w:val="263"/>
        </w:trPr>
        <w:tc>
          <w:tcPr>
            <w:tcW w:w="23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2014</w:t>
            </w:r>
          </w:p>
        </w:tc>
      </w:tr>
      <w:tr>
        <w:trPr>
          <w:trHeight w:val="541"/>
        </w:trPr>
        <w:tc>
          <w:tcPr>
            <w:tcW w:w="2360" w:type="dxa"/>
            <w:vAlign w:val="bottom"/>
          </w:tcPr>
          <w:p>
            <w:pPr>
              <w:jc w:val="right"/>
              <w:spacing w:after="0"/>
              <w:rPr>
                <w:sz w:val="20"/>
                <w:szCs w:val="20"/>
                <w:color w:val="auto"/>
              </w:rPr>
            </w:pPr>
            <w:r>
              <w:rPr>
                <w:rFonts w:ascii="Arial" w:cs="Arial" w:eastAsia="Arial" w:hAnsi="Arial"/>
                <w:sz w:val="16"/>
                <w:szCs w:val="16"/>
                <w:color w:val="auto"/>
              </w:rPr>
              <w:t>$ (16)</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$ 36,239</w:t>
            </w:r>
          </w:p>
        </w:tc>
      </w:tr>
      <w:tr>
        <w:trPr>
          <w:trHeight w:val="270"/>
        </w:trPr>
        <w:tc>
          <w:tcPr>
            <w:tcW w:w="2360" w:type="dxa"/>
            <w:vAlign w:val="bottom"/>
          </w:tcPr>
          <w:p>
            <w:pPr>
              <w:jc w:val="right"/>
              <w:spacing w:after="0"/>
              <w:rPr>
                <w:sz w:val="20"/>
                <w:szCs w:val="20"/>
                <w:color w:val="auto"/>
              </w:rPr>
            </w:pPr>
            <w:r>
              <w:rPr>
                <w:rFonts w:ascii="Arial" w:cs="Arial" w:eastAsia="Arial" w:hAnsi="Arial"/>
                <w:sz w:val="16"/>
                <w:szCs w:val="16"/>
                <w:color w:val="auto"/>
              </w:rPr>
              <w:t>1,157</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12,311</w:t>
            </w:r>
          </w:p>
        </w:tc>
      </w:tr>
      <w:tr>
        <w:trPr>
          <w:trHeight w:val="270"/>
        </w:trPr>
        <w:tc>
          <w:tcPr>
            <w:tcW w:w="2360" w:type="dxa"/>
            <w:vAlign w:val="bottom"/>
          </w:tcPr>
          <w:p>
            <w:pPr>
              <w:jc w:val="right"/>
              <w:spacing w:after="0"/>
              <w:rPr>
                <w:sz w:val="20"/>
                <w:szCs w:val="20"/>
                <w:color w:val="auto"/>
              </w:rPr>
            </w:pPr>
            <w:r>
              <w:rPr>
                <w:rFonts w:ascii="Arial" w:cs="Arial" w:eastAsia="Arial" w:hAnsi="Arial"/>
                <w:sz w:val="16"/>
                <w:szCs w:val="16"/>
                <w:color w:val="auto"/>
              </w:rPr>
              <w:t>42,446</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39,599</w:t>
            </w:r>
          </w:p>
        </w:tc>
      </w:tr>
      <w:tr>
        <w:trPr>
          <w:trHeight w:val="270"/>
        </w:trPr>
        <w:tc>
          <w:tcPr>
            <w:tcW w:w="2360" w:type="dxa"/>
            <w:vAlign w:val="bottom"/>
          </w:tcPr>
          <w:p>
            <w:pPr>
              <w:jc w:val="right"/>
              <w:spacing w:after="0"/>
              <w:rPr>
                <w:sz w:val="20"/>
                <w:szCs w:val="20"/>
                <w:color w:val="auto"/>
              </w:rPr>
            </w:pPr>
            <w:r>
              <w:rPr>
                <w:rFonts w:ascii="Arial" w:cs="Arial" w:eastAsia="Arial" w:hAnsi="Arial"/>
                <w:sz w:val="16"/>
                <w:szCs w:val="16"/>
                <w:color w:val="auto"/>
              </w:rPr>
              <w:t>(1,122)</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63"/>
        </w:trPr>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5,609</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w:t>
            </w:r>
          </w:p>
        </w:tc>
      </w:tr>
      <w:tr>
        <w:trPr>
          <w:trHeight w:val="264"/>
        </w:trPr>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$ 48,074</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$ 92,340</w:t>
            </w:r>
          </w:p>
        </w:tc>
      </w:tr>
      <w:tr>
        <w:trPr>
          <w:trHeight w:val="541"/>
        </w:trPr>
        <w:tc>
          <w:tcPr>
            <w:tcW w:w="23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70"/>
        </w:trPr>
        <w:tc>
          <w:tcPr>
            <w:tcW w:w="2360" w:type="dxa"/>
            <w:vAlign w:val="bottom"/>
          </w:tcPr>
          <w:p>
            <w:pPr>
              <w:jc w:val="right"/>
              <w:spacing w:after="0"/>
              <w:rPr>
                <w:sz w:val="20"/>
                <w:szCs w:val="20"/>
                <w:color w:val="auto"/>
              </w:rPr>
            </w:pPr>
            <w:r>
              <w:rPr>
                <w:rFonts w:ascii="Arial" w:cs="Arial" w:eastAsia="Arial" w:hAnsi="Arial"/>
                <w:sz w:val="16"/>
                <w:szCs w:val="16"/>
                <w:color w:val="auto"/>
              </w:rPr>
              <w:t>1,160</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$ 52,987</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$ 92,913</w:t>
            </w: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ectPr>
          <w:pgSz w:w="11900" w:h="16870" w:orient="portrait"/>
          <w:cols w:equalWidth="0" w:num="2">
            <w:col w:w="5700" w:space="720"/>
            <w:col w:w="4840"/>
          </w:cols>
          <w:pgMar w:left="320" w:top="121" w:right="319" w:bottom="0" w:gutter="0" w:footer="0" w:header="0"/>
          <w:type w:val="continuous"/>
        </w:sectPr>
      </w:pPr>
    </w:p>
    <w:bookmarkStart w:id="10" w:name="page11"/>
    <w:bookmarkEnd w:id="10"/>
    <w:p>
      <w:pPr>
        <w:ind w:left="80" w:right="40" w:firstLine="9"/>
        <w:spacing w:after="0" w:line="260"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transition costs incurred associated with becoming a stand-alone company. The $0.6 million in costs ($0.4 million after-tax, or $0.00 per diluted share), which are primarily corporate in nature, are included in Spin-off and formation costs on the unaudited statements of operations.</w:t>
      </w:r>
    </w:p>
    <w:p>
      <w:pPr>
        <w:spacing w:after="0" w:line="330" w:lineRule="exact"/>
        <w:rPr>
          <w:rFonts w:ascii="Arial" w:cs="Arial" w:eastAsia="Arial" w:hAnsi="Arial"/>
          <w:sz w:val="16"/>
          <w:szCs w:val="16"/>
          <w:color w:val="auto"/>
        </w:rPr>
      </w:pPr>
    </w:p>
    <w:p>
      <w:pPr>
        <w:jc w:val="both"/>
        <w:ind w:left="80" w:firstLine="9"/>
        <w:spacing w:after="0" w:line="260"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costs incurred associated with the Company's proposed redomiciliation to Canada. The $1.1 million in costs ($0.8 million after-tax, or $0.01 per diluted share, respectively), which are primarily corporate in nature, are included in Selling, general and administrative costs on the statements of operations.</w:t>
      </w:r>
    </w:p>
    <w:p>
      <w:pPr>
        <w:spacing w:after="0" w:line="330" w:lineRule="exact"/>
        <w:rPr>
          <w:rFonts w:ascii="Arial" w:cs="Arial" w:eastAsia="Arial" w:hAnsi="Arial"/>
          <w:sz w:val="16"/>
          <w:szCs w:val="16"/>
          <w:color w:val="auto"/>
        </w:rPr>
      </w:pPr>
    </w:p>
    <w:p>
      <w:pPr>
        <w:ind w:left="80" w:right="240" w:firstLine="9"/>
        <w:spacing w:after="0" w:line="253" w:lineRule="auto"/>
        <w:tabs>
          <w:tab w:leader="none" w:pos="31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the first quarter 2015 decision to close a manufacturing facility in the United States. As a result, the related assets were written down to their estimated sales proceeds, less costs to sell. We recorded a pre-tax loss of $3.8 million ($2.4 million after-tax, or $0.02 per diluted share), of which $1.1 million is included in cost of sales and services and $2.7 million is included in impairment expense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364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7620" w:type="dxa"/>
            <w:vAlign w:val="bottom"/>
          </w:tcPr>
          <w:p>
            <w:pPr>
              <w:spacing w:after="0"/>
              <w:rPr>
                <w:sz w:val="23"/>
                <w:szCs w:val="23"/>
                <w:color w:val="auto"/>
              </w:rPr>
            </w:pPr>
          </w:p>
        </w:tc>
        <w:tc>
          <w:tcPr>
            <w:tcW w:w="2420" w:type="dxa"/>
            <w:vAlign w:val="bottom"/>
            <w:gridSpan w:val="3"/>
          </w:tcPr>
          <w:p>
            <w:pPr>
              <w:jc w:val="center"/>
              <w:ind w:left="1139"/>
              <w:spacing w:after="0"/>
              <w:rPr>
                <w:sz w:val="20"/>
                <w:szCs w:val="20"/>
                <w:color w:val="auto"/>
              </w:rPr>
            </w:pPr>
            <w:r>
              <w:rPr>
                <w:rFonts w:ascii="Arial" w:cs="Arial" w:eastAsia="Arial" w:hAnsi="Arial"/>
                <w:sz w:val="16"/>
                <w:szCs w:val="16"/>
                <w:b w:val="1"/>
                <w:bCs w:val="1"/>
                <w:color w:val="auto"/>
              </w:rPr>
              <w:t>MARCH 31,</w:t>
            </w:r>
          </w:p>
        </w:tc>
        <w:tc>
          <w:tcPr>
            <w:tcW w:w="1220" w:type="dxa"/>
            <w:vAlign w:val="bottom"/>
          </w:tcPr>
          <w:p>
            <w:pPr>
              <w:spacing w:after="0"/>
              <w:rPr>
                <w:sz w:val="23"/>
                <w:szCs w:val="23"/>
                <w:color w:val="auto"/>
              </w:rPr>
            </w:pPr>
          </w:p>
        </w:tc>
      </w:tr>
      <w:tr>
        <w:trPr>
          <w:trHeight w:val="263"/>
        </w:trPr>
        <w:tc>
          <w:tcPr>
            <w:tcW w:w="7620" w:type="dxa"/>
            <w:vAlign w:val="bottom"/>
          </w:tcPr>
          <w:p>
            <w:pPr>
              <w:spacing w:after="0"/>
              <w:rPr>
                <w:sz w:val="22"/>
                <w:szCs w:val="22"/>
                <w:color w:val="auto"/>
              </w:rPr>
            </w:pPr>
          </w:p>
        </w:tc>
        <w:tc>
          <w:tcPr>
            <w:tcW w:w="17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r>
      <w:tr>
        <w:trPr>
          <w:trHeight w:val="541"/>
        </w:trPr>
        <w:tc>
          <w:tcPr>
            <w:tcW w:w="762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620" w:type="dxa"/>
            <w:vAlign w:val="bottom"/>
          </w:tcPr>
          <w:p>
            <w:pPr>
              <w:ind w:left="220"/>
              <w:spacing w:after="0"/>
              <w:rPr>
                <w:sz w:val="20"/>
                <w:szCs w:val="20"/>
                <w:color w:val="auto"/>
              </w:rPr>
            </w:pPr>
            <w:r>
              <w:rPr>
                <w:rFonts w:ascii="Arial" w:cs="Arial" w:eastAsia="Arial" w:hAnsi="Arial"/>
                <w:sz w:val="16"/>
                <w:szCs w:val="16"/>
                <w:color w:val="auto"/>
              </w:rPr>
              <w:t>Revenues ($ in thousands)</w:t>
            </w: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7620" w:type="dxa"/>
            <w:vAlign w:val="bottom"/>
          </w:tcPr>
          <w:p>
            <w:pPr>
              <w:ind w:left="280"/>
              <w:spacing w:after="0"/>
              <w:rPr>
                <w:sz w:val="20"/>
                <w:szCs w:val="20"/>
                <w:color w:val="auto"/>
              </w:rPr>
            </w:pPr>
            <w:r>
              <w:rPr>
                <w:rFonts w:ascii="Arial" w:cs="Arial" w:eastAsia="Arial" w:hAnsi="Arial"/>
                <w:sz w:val="16"/>
                <w:szCs w:val="16"/>
                <w:color w:val="auto"/>
              </w:rPr>
              <w:t>Lodge revenues (1)</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$ 87,837</w:t>
            </w:r>
          </w:p>
        </w:tc>
        <w:tc>
          <w:tcPr>
            <w:tcW w:w="5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$ 122,388</w:t>
            </w:r>
          </w:p>
        </w:tc>
      </w:tr>
      <w:tr>
        <w:trPr>
          <w:trHeight w:val="263"/>
        </w:trPr>
        <w:tc>
          <w:tcPr>
            <w:tcW w:w="7620" w:type="dxa"/>
            <w:vAlign w:val="bottom"/>
          </w:tcPr>
          <w:p>
            <w:pPr>
              <w:ind w:left="280"/>
              <w:spacing w:after="0"/>
              <w:rPr>
                <w:sz w:val="20"/>
                <w:szCs w:val="20"/>
                <w:color w:val="auto"/>
              </w:rPr>
            </w:pPr>
            <w:r>
              <w:rPr>
                <w:rFonts w:ascii="Arial" w:cs="Arial" w:eastAsia="Arial" w:hAnsi="Arial"/>
                <w:sz w:val="16"/>
                <w:szCs w:val="16"/>
                <w:color w:val="auto"/>
              </w:rPr>
              <w:t>Mobile, open camp and product revenues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29,063</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57,936</w:t>
            </w:r>
          </w:p>
        </w:tc>
      </w:tr>
      <w:tr>
        <w:trPr>
          <w:trHeight w:val="271"/>
        </w:trPr>
        <w:tc>
          <w:tcPr>
            <w:tcW w:w="7620" w:type="dxa"/>
            <w:vAlign w:val="bottom"/>
          </w:tcPr>
          <w:p>
            <w:pPr>
              <w:ind w:left="340"/>
              <w:spacing w:after="0"/>
              <w:rPr>
                <w:sz w:val="20"/>
                <w:szCs w:val="20"/>
                <w:color w:val="auto"/>
              </w:rPr>
            </w:pPr>
            <w:r>
              <w:rPr>
                <w:rFonts w:ascii="Arial" w:cs="Arial" w:eastAsia="Arial" w:hAnsi="Arial"/>
                <w:sz w:val="16"/>
                <w:szCs w:val="16"/>
                <w:color w:val="auto"/>
              </w:rPr>
              <w:t>Total Canadian revenues</w:t>
            </w:r>
          </w:p>
        </w:tc>
        <w:tc>
          <w:tcPr>
            <w:tcW w:w="1780" w:type="dxa"/>
            <w:vAlign w:val="bottom"/>
          </w:tcPr>
          <w:p>
            <w:pPr>
              <w:jc w:val="right"/>
              <w:spacing w:after="0"/>
              <w:rPr>
                <w:sz w:val="20"/>
                <w:szCs w:val="20"/>
                <w:color w:val="auto"/>
              </w:rPr>
            </w:pPr>
            <w:r>
              <w:rPr>
                <w:rFonts w:ascii="Arial" w:cs="Arial" w:eastAsia="Arial" w:hAnsi="Arial"/>
                <w:sz w:val="16"/>
                <w:szCs w:val="16"/>
                <w:color w:val="auto"/>
              </w:rPr>
              <w:t>$ 116,900</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$ 180,324</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Average available lodge rooms (2)</w:t>
            </w:r>
          </w:p>
        </w:tc>
        <w:tc>
          <w:tcPr>
            <w:tcW w:w="1780" w:type="dxa"/>
            <w:vAlign w:val="bottom"/>
          </w:tcPr>
          <w:p>
            <w:pPr>
              <w:jc w:val="right"/>
              <w:spacing w:after="0"/>
              <w:rPr>
                <w:sz w:val="20"/>
                <w:szCs w:val="20"/>
                <w:color w:val="auto"/>
              </w:rPr>
            </w:pPr>
            <w:r>
              <w:rPr>
                <w:rFonts w:ascii="Arial" w:cs="Arial" w:eastAsia="Arial" w:hAnsi="Arial"/>
                <w:sz w:val="16"/>
                <w:szCs w:val="16"/>
                <w:color w:val="auto"/>
              </w:rPr>
              <w:t>13,221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11,868</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RevPAR for lodges (3)</w:t>
            </w:r>
          </w:p>
        </w:tc>
        <w:tc>
          <w:tcPr>
            <w:tcW w:w="1780" w:type="dxa"/>
            <w:vAlign w:val="bottom"/>
          </w:tcPr>
          <w:p>
            <w:pPr>
              <w:jc w:val="right"/>
              <w:spacing w:after="0"/>
              <w:rPr>
                <w:sz w:val="20"/>
                <w:szCs w:val="20"/>
                <w:color w:val="auto"/>
              </w:rPr>
            </w:pPr>
            <w:r>
              <w:rPr>
                <w:rFonts w:ascii="Arial" w:cs="Arial" w:eastAsia="Arial" w:hAnsi="Arial"/>
                <w:sz w:val="16"/>
                <w:szCs w:val="16"/>
                <w:color w:val="auto"/>
              </w:rPr>
              <w:t>$ 74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$ 115</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Occupancy in lodges (4)</w:t>
            </w:r>
          </w:p>
        </w:tc>
        <w:tc>
          <w:tcPr>
            <w:tcW w:w="178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$ 0.806</w:t>
            </w: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$ 0.906</w:t>
            </w:r>
          </w:p>
        </w:tc>
      </w:tr>
      <w:tr>
        <w:trPr>
          <w:trHeight w:val="810"/>
        </w:trPr>
        <w:tc>
          <w:tcPr>
            <w:tcW w:w="762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620" w:type="dxa"/>
            <w:vAlign w:val="bottom"/>
          </w:tcPr>
          <w:p>
            <w:pPr>
              <w:ind w:left="220"/>
              <w:spacing w:after="0"/>
              <w:rPr>
                <w:sz w:val="20"/>
                <w:szCs w:val="20"/>
                <w:color w:val="auto"/>
              </w:rPr>
            </w:pPr>
            <w:r>
              <w:rPr>
                <w:rFonts w:ascii="Arial" w:cs="Arial" w:eastAsia="Arial" w:hAnsi="Arial"/>
                <w:sz w:val="16"/>
                <w:szCs w:val="16"/>
                <w:color w:val="auto"/>
              </w:rPr>
              <w:t>Revenues ($ in thousands)</w:t>
            </w: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7620" w:type="dxa"/>
            <w:vAlign w:val="bottom"/>
          </w:tcPr>
          <w:p>
            <w:pPr>
              <w:ind w:left="280"/>
              <w:spacing w:after="0"/>
              <w:rPr>
                <w:sz w:val="20"/>
                <w:szCs w:val="20"/>
                <w:color w:val="auto"/>
              </w:rPr>
            </w:pPr>
            <w:r>
              <w:rPr>
                <w:rFonts w:ascii="Arial" w:cs="Arial" w:eastAsia="Arial" w:hAnsi="Arial"/>
                <w:sz w:val="16"/>
                <w:szCs w:val="16"/>
                <w:color w:val="auto"/>
              </w:rPr>
              <w:t>Village revenues (1)</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$ 41,859</w:t>
            </w:r>
          </w:p>
        </w:tc>
        <w:tc>
          <w:tcPr>
            <w:tcW w:w="5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$ 55,464</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Average available village rooms (2)</w:t>
            </w:r>
          </w:p>
        </w:tc>
        <w:tc>
          <w:tcPr>
            <w:tcW w:w="1780" w:type="dxa"/>
            <w:vAlign w:val="bottom"/>
          </w:tcPr>
          <w:p>
            <w:pPr>
              <w:jc w:val="right"/>
              <w:spacing w:after="0"/>
              <w:rPr>
                <w:sz w:val="20"/>
                <w:szCs w:val="20"/>
                <w:color w:val="auto"/>
              </w:rPr>
            </w:pPr>
            <w:r>
              <w:rPr>
                <w:rFonts w:ascii="Arial" w:cs="Arial" w:eastAsia="Arial" w:hAnsi="Arial"/>
                <w:sz w:val="16"/>
                <w:szCs w:val="16"/>
                <w:color w:val="auto"/>
              </w:rPr>
              <w:t>9,296</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9,262</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RevPAR for villages (3)</w:t>
            </w:r>
          </w:p>
        </w:tc>
        <w:tc>
          <w:tcPr>
            <w:tcW w:w="1780" w:type="dxa"/>
            <w:vAlign w:val="bottom"/>
          </w:tcPr>
          <w:p>
            <w:pPr>
              <w:jc w:val="right"/>
              <w:spacing w:after="0"/>
              <w:rPr>
                <w:sz w:val="20"/>
                <w:szCs w:val="20"/>
                <w:color w:val="auto"/>
              </w:rPr>
            </w:pPr>
            <w:r>
              <w:rPr>
                <w:rFonts w:ascii="Arial" w:cs="Arial" w:eastAsia="Arial" w:hAnsi="Arial"/>
                <w:sz w:val="16"/>
                <w:szCs w:val="16"/>
                <w:color w:val="auto"/>
              </w:rPr>
              <w:t>$ 50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$ 67</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Occupancy in villages (4)</w:t>
            </w:r>
          </w:p>
        </w:tc>
        <w:tc>
          <w:tcPr>
            <w:tcW w:w="178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$ 0.786</w:t>
            </w: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$ 0.897</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291"/>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356" w:lineRule="exact"/>
        <w:rPr>
          <w:rFonts w:ascii="Arial" w:cs="Arial" w:eastAsia="Arial" w:hAnsi="Arial"/>
          <w:sz w:val="16"/>
          <w:szCs w:val="16"/>
          <w:color w:val="auto"/>
        </w:rPr>
      </w:pPr>
    </w:p>
    <w:p>
      <w:pPr>
        <w:ind w:left="380" w:hanging="291"/>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356" w:lineRule="exact"/>
        <w:rPr>
          <w:rFonts w:ascii="Arial" w:cs="Arial" w:eastAsia="Arial" w:hAnsi="Arial"/>
          <w:sz w:val="16"/>
          <w:szCs w:val="16"/>
          <w:color w:val="auto"/>
        </w:rPr>
      </w:pPr>
    </w:p>
    <w:p>
      <w:pPr>
        <w:ind w:left="80" w:right="20" w:firstLine="9"/>
        <w:spacing w:after="0" w:line="260" w:lineRule="auto"/>
        <w:tabs>
          <w:tab w:leader="none" w:pos="36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330" w:lineRule="exact"/>
        <w:rPr>
          <w:rFonts w:ascii="Arial" w:cs="Arial" w:eastAsia="Arial" w:hAnsi="Arial"/>
          <w:sz w:val="16"/>
          <w:szCs w:val="16"/>
          <w:color w:val="auto"/>
        </w:rPr>
      </w:pPr>
    </w:p>
    <w:p>
      <w:pPr>
        <w:ind w:left="380" w:hanging="291"/>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Company Contact:</w:t>
      </w:r>
    </w:p>
    <w:p>
      <w:pPr>
        <w:ind w:left="960"/>
        <w:spacing w:after="0" w:line="238" w:lineRule="auto"/>
        <w:rPr>
          <w:sz w:val="20"/>
          <w:szCs w:val="20"/>
          <w:color w:val="auto"/>
        </w:rPr>
      </w:pPr>
      <w:r>
        <w:rPr>
          <w:rFonts w:ascii="Courier New" w:cs="Courier New" w:eastAsia="Courier New" w:hAnsi="Courier New"/>
          <w:sz w:val="18"/>
          <w:szCs w:val="18"/>
          <w:color w:val="auto"/>
        </w:rPr>
        <w:t>Frank C. Steininger</w:t>
      </w:r>
    </w:p>
    <w:p>
      <w:pPr>
        <w:ind w:left="960"/>
        <w:spacing w:after="0"/>
        <w:rPr>
          <w:sz w:val="20"/>
          <w:szCs w:val="20"/>
          <w:color w:val="auto"/>
        </w:rPr>
      </w:pPr>
      <w:r>
        <w:rPr>
          <w:rFonts w:ascii="Courier New" w:cs="Courier New" w:eastAsia="Courier New" w:hAnsi="Courier New"/>
          <w:sz w:val="18"/>
          <w:szCs w:val="18"/>
          <w:color w:val="auto"/>
        </w:rPr>
        <w:t>Civeo Corporation</w:t>
      </w:r>
    </w:p>
    <w:p>
      <w:pPr>
        <w:ind w:left="960"/>
        <w:spacing w:after="0" w:line="237" w:lineRule="auto"/>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8"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11340"/>
      </w:cols>
      <w:pgMar w:left="240" w:top="452" w:right="31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2019-12-09T03:12:32Z</dcterms:created>
  <dcterms:modified xsi:type="dcterms:W3CDTF">2019-12-09T03:12:32Z</dcterms:modified>
</cp:coreProperties>
</file>