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SVP, Australia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02/11/2019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33,012</w:t>
            </w:r>
          </w:p>
        </w:tc>
        <w:tc>
          <w:tcPr>
            <w:tcW w:w="660" w:type="dxa"/>
            <w:vAlign w:val="bottom"/>
            <w:tcBorders>
              <w:bottom w:val="single" w:sz="8" w:color="2C2C2C"/>
            </w:tcBorders>
          </w:tcPr>
          <w:p>
            <w:pPr>
              <w:ind w:left="300"/>
              <w:spacing w:after="0" w:line="321" w:lineRule="exact"/>
              <w:rPr>
                <w:sz w:val="20"/>
                <w:szCs w:val="20"/>
                <w:color w:val="auto"/>
              </w:rPr>
            </w:pPr>
            <w:r>
              <w:rPr>
                <w:rFonts w:ascii="Arial" w:cs="Arial" w:eastAsia="Arial" w:hAnsi="Arial"/>
                <w:sz w:val="34"/>
                <w:szCs w:val="34"/>
                <w:color w:val="0000FF"/>
                <w:vertAlign w:val="subscript"/>
              </w:rPr>
              <w:t>A</w:t>
            </w:r>
            <w:r>
              <w:rPr>
                <w:rFonts w:ascii="Arial" w:cs="Arial" w:eastAsia="Arial" w:hAnsi="Arial"/>
                <w:sz w:val="11"/>
                <w:szCs w:val="11"/>
                <w:color w:val="008000"/>
              </w:rPr>
              <w:t>(1)</w:t>
            </w:r>
          </w:p>
        </w:tc>
        <w:tc>
          <w:tcPr>
            <w:tcW w:w="5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79"/>
              <w:spacing w:after="0"/>
              <w:rPr>
                <w:sz w:val="20"/>
                <w:szCs w:val="20"/>
                <w:color w:val="auto"/>
              </w:rPr>
            </w:pPr>
            <w:r>
              <w:rPr>
                <w:rFonts w:ascii="Arial" w:cs="Arial" w:eastAsia="Arial" w:hAnsi="Arial"/>
                <w:sz w:val="17"/>
                <w:szCs w:val="17"/>
                <w:color w:val="0000FF"/>
              </w:rPr>
              <w:t>114,926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02/13/2019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16,506</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2.48</w:t>
            </w:r>
            <w:r>
              <w:rPr>
                <w:rFonts w:ascii="Arial" w:cs="Arial" w:eastAsia="Arial" w:hAnsi="Arial"/>
                <w:sz w:val="22"/>
                <w:szCs w:val="22"/>
                <w:color w:val="008000"/>
                <w:vertAlign w:val="superscript"/>
              </w:rPr>
              <w:t>(2)</w:t>
            </w:r>
          </w:p>
        </w:tc>
        <w:tc>
          <w:tcPr>
            <w:tcW w:w="122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7"/>
                <w:szCs w:val="17"/>
                <w:color w:val="0000FF"/>
              </w:rPr>
              <w:t>98,420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02/11/2019</w:t>
            </w:r>
          </w:p>
        </w:tc>
        <w:tc>
          <w:tcPr>
            <w:tcW w:w="1180" w:type="dxa"/>
            <w:vAlign w:val="bottom"/>
          </w:tcPr>
          <w:p>
            <w:pPr>
              <w:spacing w:after="0"/>
              <w:rPr>
                <w:sz w:val="21"/>
                <w:szCs w:val="21"/>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1"/>
                <w:szCs w:val="21"/>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33,012</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2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33,012</w:t>
            </w:r>
          </w:p>
        </w:tc>
        <w:tc>
          <w:tcPr>
            <w:tcW w:w="16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180,434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common share. The deferred shares vest at various times based on the grant date. 33,012 shares vested on February 11, 2019.</w:t>
      </w:r>
    </w:p>
    <w:p>
      <w:pPr>
        <w:spacing w:after="0" w:line="63" w:lineRule="exact"/>
        <w:rPr>
          <w:rFonts w:ascii="Arial" w:cs="Arial" w:eastAsia="Arial" w:hAnsi="Arial"/>
          <w:sz w:val="12"/>
          <w:szCs w:val="12"/>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pursuant to a plan of disposition adopted in accordance with Rule 10b5-1 of the Securities Exchange Act of 1934 (the "10b5-1 Plan"), Mr. McCann sold 16,506 shares in multiple trades at prices ranging from $2.44 to $2.53.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2019-12-24T08:38:50Z</dcterms:created>
  <dcterms:modified xsi:type="dcterms:W3CDTF">2019-12-24T08:38:50Z</dcterms:modified>
</cp:coreProperties>
</file>