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July 28, 2023</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00"/>
          </w:cols>
          <w:pgMar w:left="320" w:top="1390" w:right="379" w:bottom="1440" w:gutter="0" w:footer="0" w:header="0"/>
        </w:sectPr>
      </w:pPr>
    </w:p>
    <w:p>
      <w:pPr>
        <w:spacing w:after="0" w:line="274"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40" w:space="720"/>
            <w:col w:w="2680"/>
          </w:cols>
          <w:pgMar w:left="320" w:top="1390" w:right="37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40"/>
          </w:cols>
          <w:pgMar w:left="320" w:top="1390" w:right="37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6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00"/>
          </w:cols>
          <w:pgMar w:left="320" w:top="1390" w:right="379" w:bottom="1440" w:gutter="0" w:footer="0" w:header="0"/>
          <w:type w:val="continuous"/>
        </w:sectPr>
      </w:pPr>
    </w:p>
    <w:p>
      <w:pPr>
        <w:spacing w:after="0" w:line="17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80"/>
            <w:col w:w="4740"/>
          </w:cols>
          <w:pgMar w:left="320" w:top="1390"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00"/>
          </w:cols>
          <w:pgMar w:left="320" w:top="1390" w:right="379" w:bottom="1440" w:gutter="0" w:footer="0" w:header="0"/>
          <w:type w:val="continuous"/>
        </w:sectPr>
      </w:pPr>
    </w:p>
    <w:p>
      <w:pPr>
        <w:spacing w:after="0" w:line="3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2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21"/>
        </w:trPr>
        <w:tc>
          <w:tcPr>
            <w:tcW w:w="3760" w:type="dxa"/>
            <w:vAlign w:val="bottom"/>
            <w:tcBorders>
              <w:left w:val="single" w:sz="8" w:color="00000A"/>
              <w:bottom w:val="single" w:sz="8" w:color="00000A"/>
              <w:right w:val="single" w:sz="8" w:color="00000A"/>
            </w:tcBorders>
          </w:tcPr>
          <w:p>
            <w:pPr>
              <w:spacing w:after="0"/>
              <w:rPr>
                <w:sz w:val="10"/>
                <w:szCs w:val="10"/>
                <w:color w:val="auto"/>
              </w:rPr>
            </w:pPr>
          </w:p>
        </w:tc>
        <w:tc>
          <w:tcPr>
            <w:tcW w:w="2620" w:type="dxa"/>
            <w:vAlign w:val="bottom"/>
            <w:tcBorders>
              <w:bottom w:val="single" w:sz="8" w:color="00000A"/>
              <w:right w:val="single" w:sz="8" w:color="00000A"/>
            </w:tcBorders>
          </w:tcPr>
          <w:p>
            <w:pPr>
              <w:spacing w:after="0"/>
              <w:rPr>
                <w:sz w:val="10"/>
                <w:szCs w:val="10"/>
                <w:color w:val="auto"/>
              </w:rPr>
            </w:pPr>
          </w:p>
        </w:tc>
        <w:tc>
          <w:tcPr>
            <w:tcW w:w="4820" w:type="dxa"/>
            <w:vAlign w:val="bottom"/>
            <w:tcBorders>
              <w:bottom w:val="single" w:sz="8" w:color="00000A"/>
              <w:right w:val="single" w:sz="8" w:color="00000A"/>
            </w:tcBorders>
          </w:tcPr>
          <w:p>
            <w:pPr>
              <w:spacing w:after="0"/>
              <w:rPr>
                <w:sz w:val="10"/>
                <w:szCs w:val="1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22"/>
          <w:szCs w:val="22"/>
          <w:color w:val="auto"/>
        </w:rPr>
        <w:t>On July 28, 2023, Civeo Corporation (“Civeo”) issued a press release announcing its financial condition and results of operations as of and for the quarter ended June 30, 2023. A copy of the press release is furnished as Exhibit 99.1 to this report on Form 8-K, and is incorporated herein by reference.</w:t>
      </w:r>
    </w:p>
    <w:p>
      <w:pPr>
        <w:spacing w:after="0" w:line="2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Exhibit</w:t>
            </w:r>
          </w:p>
        </w:tc>
        <w:tc>
          <w:tcPr>
            <w:tcW w:w="1040" w:type="dxa"/>
            <w:vAlign w:val="bottom"/>
          </w:tcPr>
          <w:p>
            <w:pPr>
              <w:spacing w:after="0"/>
              <w:rPr>
                <w:sz w:val="21"/>
                <w:szCs w:val="21"/>
                <w:color w:val="auto"/>
              </w:rPr>
            </w:pPr>
          </w:p>
        </w:tc>
        <w:tc>
          <w:tcPr>
            <w:tcW w:w="946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4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5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4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Press Release dated July 28, 2023</w:t>
            </w:r>
          </w:p>
        </w:tc>
        <w:tc>
          <w:tcPr>
            <w:tcW w:w="652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4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1374"/>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July 28, 2023</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40"/>
          </w:cols>
          <w:pgMar w:left="320" w:top="130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Second Quarter 2023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Highlights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second quarter revenues of $178.8 million, net income of $4.5 million and operating cash flow of $19.4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second quarter Adjusted EBITDA of $31.6 million and free cash flow of $12.9 million;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Recorded highest quarterly occupancy in Civeo’s Australian owned-villages since 2014; and</w:t>
      </w:r>
    </w:p>
    <w:p>
      <w:pPr>
        <w:spacing w:after="0" w:line="1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debt and continued to return capital to shareholders through the share repurchase program.</w:t>
      </w:r>
    </w:p>
    <w:p>
      <w:pPr>
        <w:spacing w:after="0" w:line="243"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HOUSTON and CALGARY, July 28, 2023 (BUSINESS WIRE) -- Civeo Corporation (NYSE:CVEO) today reported financial and operating results for the second quarter ended June 30, 2023.</w:t>
      </w:r>
    </w:p>
    <w:p>
      <w:pPr>
        <w:spacing w:after="0" w:line="7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the second quarter of 2023, we delivered financial results in line with our expectations while continuing to operate safely and effectively. We generated solid free cash flow in the quarter which was used to repurchase approximately 212,000 Civeo shares and pay down $6.5</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million in debt. The second quarter’s results demonstrate the value of our diversified revenue drivers and were notable for the significant year-over-year growth in our Australian segment, driven by a 33% increase in integrated services revenue related to new contracts as well as a 14% increase in Australian owned-village revenue. This quarter’s Australian village occupancy marks the highest level we’ve experienced since 2014. The improvement in Australia in the quarter was offset by lower LNG-related Canadian lodge occupancy and mobile camp activity,” said Bradley J. Dodson, Civeo's President and 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Mr. Dodson concluded, “As we highlighted on the first quarter earnings conference call, our two strategic priorities for the remainder of 2023</w:t>
      </w:r>
    </w:p>
    <w:p>
      <w:pPr>
        <w:spacing w:after="0" w:line="8"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were mitigating inflationary pressures in our Western Australian integrated services business and evaluating commercial alternatives for our Canadian McClelland Lake lodge assets. I'm happy to report that during the second quarter we made progress on both. We will provide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updates regarding these developments on our earnings conference call later today.”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2023 Results</w:t>
      </w:r>
    </w:p>
    <w:p>
      <w:pPr>
        <w:spacing w:after="0" w:line="14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 the second quarter of 2023, Civeo generated revenues of $178.8 million and reported net income of $4.5 million, or $0.30 per diluted share. During the second quarter of 2023, Civeo produced operating cash flow of $19.4 million, Adjusted EBITDA of $31.6 million and free cash flow of $12.9 million.</w:t>
      </w:r>
    </w:p>
    <w:p>
      <w:pPr>
        <w:spacing w:after="0" w:line="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By comparison, in the second quarter of 2022, Civeo generated revenues of $185.0 million and reported net income of $9.1 million, or $0.54 per diluted share. During the second quarter of 2022, Civeo produced operating cash flow of $21.7 million, Adjusted EBITDA of $37.1 million and free cash flow of $17.6 million.</w:t>
      </w:r>
    </w:p>
    <w:p>
      <w:pPr>
        <w:spacing w:after="0" w:line="95"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The year-over-year decrease in Adjusted EBITDA in the second quarter of 2023 was primarily driven by lower Canadian LNG-related lodge occupancy and mobile camp activity, partially offset by increased billed rooms at the Australian Bowen Basin villages.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2023 to the results for the second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During the second quarter of 2023, the Canadian segment generated revenues of $95.5 million, operating income of $3.2 million and Adjusted EBITDA of $19.8 million, compared to revenues of $109.0 million, operating income of $11.2 million and Adjusted EBITDA of $28.7 million in the second quarter of 2022. Results from the second quarter of 2023 reflect the impact of a weakened Canadian dollar relative to the U.S. dollar, which decreased revenues and Adjusted EBITDA by $5.1 million and $1.1 million, respectively.</w:t>
      </w:r>
    </w:p>
    <w:p>
      <w:pPr>
        <w:spacing w:after="0" w:line="22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 constant currency basis, the Canadian segment experienced an 8% period-over-period decrease in revenues largely related to Canadian mobile camp activity winding down as well as a 6% year-over-year decrease in Canadian lodge billed rooms. Adjusted EBITDA for the Canadian segment decreased 27% due to the aforementioned dynamics as well as inflationary pressures across the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ectPr>
          <w:pgSz w:w="11900" w:h="16838" w:orient="portrait"/>
          <w:cols w:equalWidth="0" w:num="1">
            <w:col w:w="11220"/>
          </w:cols>
          <w:pgMar w:left="320" w:top="895" w:right="359" w:bottom="1440" w:gutter="0" w:footer="0" w:header="0"/>
        </w:sectPr>
      </w:pPr>
    </w:p>
    <w:bookmarkStart w:id="5" w:name="page6"/>
    <w:bookmarkEnd w:id="5"/>
    <w:p>
      <w:pPr>
        <w:ind w:right="200"/>
        <w:spacing w:after="0" w:line="258" w:lineRule="auto"/>
        <w:rPr>
          <w:sz w:val="20"/>
          <w:szCs w:val="20"/>
          <w:color w:val="auto"/>
        </w:rPr>
      </w:pPr>
      <w:r>
        <w:rPr>
          <w:rFonts w:ascii="Arial" w:cs="Arial" w:eastAsia="Arial" w:hAnsi="Arial"/>
          <w:sz w:val="18"/>
          <w:szCs w:val="18"/>
          <w:color w:val="auto"/>
        </w:rPr>
        <w:t>During the second quarter of 2023, the Australian segment generated revenues of $ 82.5 million, operating income of $9.2 million and Adjusted EBITDA of $19.6 million, compared to revenues of $67.8 million, operating income of $ 5.5 million and Adjusted EBITDA of $15.5 million in the second quarter of 2022. Results from the second quarter of 2023 reflect the impact of a weakened Australian dollar relative to the U.S. dollar, which decreased revenues and Adjusted EBITDA by $5.7 million and $1.3 million, respectively.</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a constant currency basis, the Australian segment experienced a 30% period-over-period increase in revenues primarily driven by increased integrated services revenue related to new contracts as well as a 16% year-over-year increase in village billed rooms. Adjusted EBITDA for the Australian segment increased 35% due the aforementioned dynamics, partially offset by a weakened Australian dollar relative to the U.S. dollar.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As of June 30, 2023, Civeo had total liquidity of approximately $89.0 million, consisting of $77.6 million available under its revolving credit facilities and $11.4 million of cash on hand.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Civeo’s total debt outstanding on June 30, 2023 was $136.1 million, a $6.5 million decrease since March 31,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1.2x as of June 30, 2023.</w:t>
      </w:r>
    </w:p>
    <w:p>
      <w:pPr>
        <w:spacing w:after="0" w:line="13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During the second quarter of 2023, Civeo invested $6.9 million in capital expenditures compared to $5.1 million invested during the second quarter of 2022. Capital expenditures in both periods were predominantly related to maintenance spending on the Company’s lodges and villages.</w:t>
      </w:r>
    </w:p>
    <w:p>
      <w:pPr>
        <w:spacing w:after="0" w:line="211"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In the second quarter of 2023, Civeo repurchased approximately 212,000 shares through its share repurchase program for a total of approximately $4.2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2023 Guidance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2023, Civeo is increasing the lower end of its previously provided revenue and Adjusted EBITDA guidance ranges. The</w:t>
      </w:r>
    </w:p>
    <w:p>
      <w:pPr>
        <w:spacing w:after="0" w:line="8"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revised revenue and Adjusted EBITDA guidance ranges are $640 million to $650 million and $90 million to $95 million, respectively. The Company is decreasing full year 2023 capital expenditure guidance to a range of $35 million to $40 million. The $10 million decrease in</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capital expenditure guidance is entirely driven by downward revisions to the scope of the customer-funded infrastructure upgrades to three Australian villages announced last quarter. As these upgrades will be fully funded by the customer upfront, this change will not impact our 2023 free cash flow guidance.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Civeo will host a conference call to discuss its second quarter 2023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13740254#. A replay will be available after the call by dialing (844) 512-2921 in the United States or (412) 317-6671 internationally and using the conference ID 13740254#.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20"/>
        <w:spacing w:after="0" w:line="254"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26 lodges and villages in Canada, Australia and the U.S., with an aggregate of approximately 28,000 rooms. Civeo is publicly traded under the symbol CVEO on the New York Stock Exchange. For more information, please visit Civeo's website at www.civeo.com.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00"/>
        <w:spacing w:after="0" w:line="272" w:lineRule="auto"/>
        <w:rPr>
          <w:sz w:val="20"/>
          <w:szCs w:val="20"/>
          <w:color w:val="auto"/>
        </w:rPr>
      </w:pPr>
      <w:r>
        <w:rPr>
          <w:rFonts w:ascii="Arial" w:cs="Arial" w:eastAsia="Arial" w:hAnsi="Arial"/>
          <w:sz w:val="17"/>
          <w:szCs w:val="17"/>
          <w:color w:val="auto"/>
        </w:rPr>
        <w:t>This news release contains forward-looking statements within the meaning of the Securities Act of 1933 and Section 21E of the Securities Exchange Act of 1934. Forward-looking statements are those that do not state historical facts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are, therefore, inherently subject to risks and uncertainties. The forward-looking statements herein, including the statements regarding Civeo’s future plans and outlook, strategic priorities, guidance, current trends and liquidity needs, are based on then current expectations and entail various risks and uncertainties that could cause actual results to differ materially from those expressed or implied by these forward-looking statements. Such risks and</w:t>
      </w:r>
    </w:p>
    <w:p>
      <w:pPr>
        <w:sectPr>
          <w:pgSz w:w="11900" w:h="16838" w:orient="portrait"/>
          <w:cols w:equalWidth="0" w:num="1">
            <w:col w:w="11220"/>
          </w:cols>
          <w:pgMar w:left="320" w:top="896" w:right="35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2020"/>
        <w:spacing w:after="0" w:line="254"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896"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r>
      <w:tr>
        <w:trPr>
          <w:trHeight w:val="258"/>
        </w:trPr>
        <w:tc>
          <w:tcPr>
            <w:tcW w:w="4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508"/>
        </w:trPr>
        <w:tc>
          <w:tcPr>
            <w:tcW w:w="432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178,843</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184,954</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346,434</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350,632</w:t>
            </w:r>
          </w:p>
        </w:tc>
      </w:tr>
      <w:tr>
        <w:trPr>
          <w:trHeight w:val="499"/>
        </w:trPr>
        <w:tc>
          <w:tcPr>
            <w:tcW w:w="432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432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131,425</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130,053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264,939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255,896</w:t>
            </w:r>
          </w:p>
        </w:tc>
      </w:tr>
      <w:tr>
        <w:trPr>
          <w:trHeight w:val="243"/>
        </w:trPr>
        <w:tc>
          <w:tcPr>
            <w:tcW w:w="43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16,459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17,682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32,649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32,895</w:t>
            </w:r>
          </w:p>
        </w:tc>
      </w:tr>
      <w:tr>
        <w:trPr>
          <w:trHeight w:val="257"/>
        </w:trPr>
        <w:tc>
          <w:tcPr>
            <w:tcW w:w="432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20,701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23,083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42,363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43,210</w:t>
            </w:r>
          </w:p>
        </w:tc>
      </w:tr>
      <w:tr>
        <w:trPr>
          <w:trHeight w:val="255"/>
        </w:trPr>
        <w:tc>
          <w:tcPr>
            <w:tcW w:w="432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r>
      <w:tr>
        <w:trPr>
          <w:trHeight w:val="223"/>
        </w:trPr>
        <w:tc>
          <w:tcPr>
            <w:tcW w:w="4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168,671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340,166</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332,153</w:t>
            </w:r>
          </w:p>
        </w:tc>
      </w:tr>
      <w:tr>
        <w:trPr>
          <w:trHeight w:val="238"/>
        </w:trPr>
        <w:tc>
          <w:tcPr>
            <w:tcW w:w="4320" w:type="dxa"/>
            <w:vAlign w:val="bottom"/>
          </w:tcPr>
          <w:p>
            <w:pPr>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10,172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14,242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6,268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18,479</w:t>
            </w:r>
          </w:p>
        </w:tc>
      </w:tr>
      <w:tr>
        <w:trPr>
          <w:trHeight w:val="500"/>
        </w:trPr>
        <w:tc>
          <w:tcPr>
            <w:tcW w:w="432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(7,260)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(5,076)</w:t>
            </w:r>
          </w:p>
        </w:tc>
      </w:tr>
      <w:tr>
        <w:trPr>
          <w:trHeight w:val="256"/>
        </w:trPr>
        <w:tc>
          <w:tcPr>
            <w:tcW w:w="432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55"/>
        </w:trPr>
        <w:tc>
          <w:tcPr>
            <w:tcW w:w="432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2,111</w:t>
            </w:r>
          </w:p>
        </w:tc>
      </w:tr>
      <w:tr>
        <w:trPr>
          <w:trHeight w:val="224"/>
        </w:trPr>
        <w:tc>
          <w:tcPr>
            <w:tcW w:w="4320" w:type="dxa"/>
            <w:vAlign w:val="bottom"/>
          </w:tcPr>
          <w:p>
            <w:pPr>
              <w:ind w:left="1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7,045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12,051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15,516</w:t>
            </w:r>
          </w:p>
        </w:tc>
      </w:tr>
      <w:tr>
        <w:trPr>
          <w:trHeight w:val="255"/>
        </w:trPr>
        <w:tc>
          <w:tcPr>
            <w:tcW w:w="4320" w:type="dxa"/>
            <w:vAlign w:val="bottom"/>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(3,378)</w:t>
            </w:r>
          </w:p>
        </w:tc>
      </w:tr>
      <w:tr>
        <w:trPr>
          <w:trHeight w:val="238"/>
        </w:trPr>
        <w:tc>
          <w:tcPr>
            <w:tcW w:w="43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4,167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10,230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12,138</w:t>
            </w:r>
          </w:p>
        </w:tc>
      </w:tr>
      <w:tr>
        <w:trPr>
          <w:trHeight w:val="241"/>
        </w:trPr>
        <w:tc>
          <w:tcPr>
            <w:tcW w:w="432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1,160</w:t>
            </w:r>
          </w:p>
        </w:tc>
      </w:tr>
      <w:tr>
        <w:trPr>
          <w:trHeight w:val="238"/>
        </w:trPr>
        <w:tc>
          <w:tcPr>
            <w:tcW w:w="432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4,463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10,978</w:t>
            </w:r>
          </w:p>
        </w:tc>
      </w:tr>
      <w:tr>
        <w:trPr>
          <w:trHeight w:val="249"/>
        </w:trPr>
        <w:tc>
          <w:tcPr>
            <w:tcW w:w="432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977</w:t>
            </w:r>
          </w:p>
        </w:tc>
      </w:tr>
      <w:tr>
        <w:trPr>
          <w:trHeight w:val="215"/>
        </w:trPr>
        <w:tc>
          <w:tcPr>
            <w:tcW w:w="432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10,001</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66"/>
        </w:trPr>
        <w:tc>
          <w:tcPr>
            <w:tcW w:w="458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shareholders: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6"/>
        </w:trPr>
        <w:tc>
          <w:tcPr>
            <w:tcW w:w="432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(0.13)</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0.60</w:t>
            </w:r>
          </w:p>
        </w:tc>
      </w:tr>
      <w:tr>
        <w:trPr>
          <w:trHeight w:val="243"/>
        </w:trPr>
        <w:tc>
          <w:tcPr>
            <w:tcW w:w="432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0.54</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(0.13)</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0.60</w:t>
            </w:r>
          </w:p>
        </w:tc>
      </w:tr>
      <w:tr>
        <w:trPr>
          <w:trHeight w:val="513"/>
        </w:trPr>
        <w:tc>
          <w:tcPr>
            <w:tcW w:w="432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14,970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14,148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15,064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14,122</w:t>
            </w:r>
          </w:p>
        </w:tc>
      </w:tr>
      <w:tr>
        <w:trPr>
          <w:trHeight w:val="257"/>
        </w:trPr>
        <w:tc>
          <w:tcPr>
            <w:tcW w:w="432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14,275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15,064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14,271</w:t>
            </w:r>
          </w:p>
        </w:tc>
      </w:tr>
    </w:tbl>
    <w:p>
      <w:pPr>
        <w:sectPr>
          <w:pgSz w:w="11900" w:h="16838" w:orient="portrait"/>
          <w:cols w:equalWidth="0" w:num="1">
            <w:col w:w="9180"/>
          </w:cols>
          <w:pgMar w:left="1360" w:top="886"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221"/>
        </w:trPr>
        <w:tc>
          <w:tcPr>
            <w:tcW w:w="3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June 30, 2023</w:t>
            </w:r>
          </w:p>
        </w:tc>
        <w:tc>
          <w:tcPr>
            <w:tcW w:w="180" w:type="dxa"/>
            <w:vAlign w:val="bottom"/>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8"/>
        </w:trPr>
        <w:tc>
          <w:tcPr>
            <w:tcW w:w="376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11,421</w:t>
            </w: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140,090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119,755</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7,171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8,204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22"/>
        </w:trPr>
        <w:tc>
          <w:tcPr>
            <w:tcW w:w="37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8,992</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175,878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153,549</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275,561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301,890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7,522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80,635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81,747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14,023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15,722</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5,343</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0" w:type="dxa"/>
            <w:vAlign w:val="bottom"/>
          </w:tcPr>
          <w:p>
            <w:pPr>
              <w:spacing w:after="0"/>
              <w:rPr>
                <w:sz w:val="1"/>
                <w:szCs w:val="1"/>
                <w:color w:val="auto"/>
              </w:rPr>
            </w:pPr>
          </w:p>
        </w:tc>
      </w:tr>
      <w:tr>
        <w:trPr>
          <w:trHeight w:val="210"/>
        </w:trPr>
        <w:tc>
          <w:tcPr>
            <w:tcW w:w="376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558,962</w:t>
            </w: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47,763</w:t>
            </w: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51,087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27,524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39,211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14,664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28,448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22"/>
        </w:trPr>
        <w:tc>
          <w:tcPr>
            <w:tcW w:w="376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9,534</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8,342</w:t>
            </w: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102,682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128,257</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120,999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102,505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11,446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12,771</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19,874</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14,172</w:t>
            </w: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263,629</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262,483</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1,626,556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1,624,512</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(939,983)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(930,123)</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(9,063)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22"/>
        </w:trPr>
        <w:tc>
          <w:tcPr>
            <w:tcW w:w="376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(385,350)</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(385,187)</w:t>
            </w:r>
          </w:p>
        </w:tc>
        <w:tc>
          <w:tcPr>
            <w:tcW w:w="0" w:type="dxa"/>
            <w:vAlign w:val="bottom"/>
          </w:tcPr>
          <w:p>
            <w:pPr>
              <w:spacing w:after="0"/>
              <w:rPr>
                <w:sz w:val="1"/>
                <w:szCs w:val="1"/>
                <w:color w:val="auto"/>
              </w:rPr>
            </w:pPr>
          </w:p>
        </w:tc>
      </w:tr>
      <w:tr>
        <w:trPr>
          <w:trHeight w:val="210"/>
        </w:trPr>
        <w:tc>
          <w:tcPr>
            <w:tcW w:w="376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292,160</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300,139</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10"/>
        </w:trPr>
        <w:tc>
          <w:tcPr>
            <w:tcW w:w="376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295,333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303,701</w:t>
            </w:r>
          </w:p>
        </w:tc>
        <w:tc>
          <w:tcPr>
            <w:tcW w:w="0" w:type="dxa"/>
            <w:vAlign w:val="bottom"/>
          </w:tcPr>
          <w:p>
            <w:pPr>
              <w:spacing w:after="0"/>
              <w:rPr>
                <w:sz w:val="1"/>
                <w:szCs w:val="1"/>
                <w:color w:val="auto"/>
              </w:rPr>
            </w:pPr>
          </w:p>
        </w:tc>
      </w:tr>
      <w:tr>
        <w:trPr>
          <w:trHeight w:val="210"/>
        </w:trPr>
        <w:tc>
          <w:tcPr>
            <w:tcW w:w="376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558,962</w:t>
            </w: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20"/>
        <w:spacing w:after="0"/>
        <w:rPr>
          <w:sz w:val="20"/>
          <w:szCs w:val="20"/>
          <w:color w:val="auto"/>
        </w:rPr>
      </w:pPr>
      <w:r>
        <w:rPr>
          <w:rFonts w:ascii="Arial" w:cs="Arial" w:eastAsia="Arial" w:hAnsi="Arial"/>
          <w:sz w:val="16"/>
          <w:szCs w:val="16"/>
          <w:b w:val="1"/>
          <w:bCs w:val="1"/>
          <w:color w:val="auto"/>
        </w:rPr>
        <w:t>Six Months Ended</w:t>
      </w:r>
    </w:p>
    <w:p>
      <w:pPr>
        <w:jc w:val="center"/>
        <w:ind w:left="5820"/>
        <w:spacing w:after="0"/>
        <w:rPr>
          <w:sz w:val="20"/>
          <w:szCs w:val="20"/>
          <w:color w:val="auto"/>
        </w:rPr>
      </w:pPr>
      <w:r>
        <w:rPr>
          <w:rFonts w:ascii="Arial" w:cs="Arial" w:eastAsia="Arial" w:hAnsi="Arial"/>
          <w:sz w:val="16"/>
          <w:szCs w:val="16"/>
          <w:b w:val="1"/>
          <w:bCs w:val="1"/>
          <w:color w:val="auto"/>
        </w:rPr>
        <w:t>June 30,</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487"/>
        </w:trPr>
        <w:tc>
          <w:tcPr>
            <w:tcW w:w="58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582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(2,144)</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12,138</w:t>
            </w:r>
          </w:p>
        </w:tc>
      </w:tr>
      <w:tr>
        <w:trPr>
          <w:trHeight w:val="198"/>
        </w:trPr>
        <w:tc>
          <w:tcPr>
            <w:tcW w:w="582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42,363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43,210</w:t>
            </w:r>
          </w:p>
        </w:tc>
      </w:tr>
      <w:tr>
        <w:trPr>
          <w:trHeight w:val="256"/>
        </w:trPr>
        <w:tc>
          <w:tcPr>
            <w:tcW w:w="582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3,985</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3,256</w:t>
            </w: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1,974</w:t>
            </w: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(2,445)</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(1,895)</w:t>
            </w: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1,544</w:t>
            </w: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58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(19,669)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(23,119)</w:t>
            </w:r>
          </w:p>
        </w:tc>
      </w:tr>
      <w:tr>
        <w:trPr>
          <w:trHeight w:val="243"/>
        </w:trPr>
        <w:tc>
          <w:tcPr>
            <w:tcW w:w="58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(1,180)</w:t>
            </w:r>
          </w:p>
        </w:tc>
      </w:tr>
      <w:tr>
        <w:trPr>
          <w:trHeight w:val="257"/>
        </w:trPr>
        <w:tc>
          <w:tcPr>
            <w:tcW w:w="58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(14,713)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(6,713)</w:t>
            </w:r>
          </w:p>
        </w:tc>
      </w:tr>
      <w:tr>
        <w:trPr>
          <w:trHeight w:val="257"/>
        </w:trPr>
        <w:tc>
          <w:tcPr>
            <w:tcW w:w="582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46"/>
        </w:trPr>
        <w:tc>
          <w:tcPr>
            <w:tcW w:w="582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9,538</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w:t>
            </w:r>
          </w:p>
        </w:tc>
      </w:tr>
      <w:tr>
        <w:trPr>
          <w:trHeight w:val="233"/>
        </w:trPr>
        <w:tc>
          <w:tcPr>
            <w:tcW w:w="582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23,631</w:t>
            </w:r>
          </w:p>
        </w:tc>
      </w:tr>
      <w:tr>
        <w:trPr>
          <w:trHeight w:val="500"/>
        </w:trPr>
        <w:tc>
          <w:tcPr>
            <w:tcW w:w="58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58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(11,717)</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(8,647)</w:t>
            </w: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3,302</w:t>
            </w:r>
          </w:p>
        </w:tc>
      </w:tr>
      <w:tr>
        <w:trPr>
          <w:trHeight w:val="246"/>
        </w:trPr>
        <w:tc>
          <w:tcPr>
            <w:tcW w:w="58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233"/>
        </w:trPr>
        <w:tc>
          <w:tcPr>
            <w:tcW w:w="582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(8,998)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(5,155)</w:t>
            </w:r>
          </w:p>
        </w:tc>
      </w:tr>
      <w:tr>
        <w:trPr>
          <w:trHeight w:val="500"/>
        </w:trPr>
        <w:tc>
          <w:tcPr>
            <w:tcW w:w="58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582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(14,942)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(15,763)</w:t>
            </w:r>
          </w:p>
        </w:tc>
      </w:tr>
      <w:tr>
        <w:trPr>
          <w:trHeight w:val="256"/>
        </w:trPr>
        <w:tc>
          <w:tcPr>
            <w:tcW w:w="582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15,993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(2,576)</w:t>
            </w: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(7,970)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49"/>
        </w:trPr>
        <w:tc>
          <w:tcPr>
            <w:tcW w:w="582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r>
      <w:tr>
        <w:trPr>
          <w:trHeight w:val="244"/>
        </w:trPr>
        <w:tc>
          <w:tcPr>
            <w:tcW w:w="582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(6,919)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(19,894)</w:t>
            </w:r>
          </w:p>
        </w:tc>
      </w:tr>
      <w:tr>
        <w:trPr>
          <w:trHeight w:val="492"/>
        </w:trPr>
        <w:tc>
          <w:tcPr>
            <w:tcW w:w="58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0"/>
        </w:trPr>
        <w:tc>
          <w:tcPr>
            <w:tcW w:w="58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505"/>
        </w:trPr>
        <w:tc>
          <w:tcPr>
            <w:tcW w:w="58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r>
      <w:tr>
        <w:trPr>
          <w:trHeight w:val="237"/>
        </w:trPr>
        <w:tc>
          <w:tcPr>
            <w:tcW w:w="58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11,421</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4,782</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1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(unaudited)</w:t>
      </w:r>
    </w:p>
    <w:p>
      <w:pPr>
        <w:spacing w:after="0" w:line="49"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7"/>
        </w:trPr>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20" w:type="dxa"/>
            <w:vAlign w:val="bottom"/>
          </w:tcPr>
          <w:p>
            <w:pPr>
              <w:ind w:left="20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95,470</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109,023</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184,923</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204,975</w:t>
            </w: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82,544</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67,820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159,533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131,349</w:t>
            </w:r>
          </w:p>
        </w:tc>
        <w:tc>
          <w:tcPr>
            <w:tcW w:w="0" w:type="dxa"/>
            <w:vAlign w:val="bottom"/>
          </w:tcPr>
          <w:p>
            <w:pPr>
              <w:spacing w:after="0"/>
              <w:rPr>
                <w:sz w:val="1"/>
                <w:szCs w:val="1"/>
                <w:color w:val="auto"/>
              </w:rPr>
            </w:pPr>
          </w:p>
        </w:tc>
      </w:tr>
      <w:tr>
        <w:trPr>
          <w:trHeight w:val="249"/>
        </w:trPr>
        <w:tc>
          <w:tcPr>
            <w:tcW w:w="3420" w:type="dxa"/>
            <w:vAlign w:val="bottom"/>
          </w:tcPr>
          <w:p>
            <w:pPr>
              <w:ind w:left="200"/>
              <w:spacing w:after="0"/>
              <w:rPr>
                <w:sz w:val="20"/>
                <w:szCs w:val="20"/>
                <w:color w:val="auto"/>
              </w:rPr>
            </w:pPr>
            <w:r>
              <w:rPr>
                <w:rFonts w:ascii="Arial" w:cs="Arial" w:eastAsia="Arial" w:hAnsi="Arial"/>
                <w:sz w:val="16"/>
                <w:szCs w:val="16"/>
                <w:color w:val="auto"/>
              </w:rPr>
              <w:t>Other (2)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8,111</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14,308</w:t>
            </w:r>
          </w:p>
        </w:tc>
        <w:tc>
          <w:tcPr>
            <w:tcW w:w="0" w:type="dxa"/>
            <w:vAlign w:val="bottom"/>
          </w:tcPr>
          <w:p>
            <w:pPr>
              <w:spacing w:after="0"/>
              <w:rPr>
                <w:sz w:val="1"/>
                <w:szCs w:val="1"/>
                <w:color w:val="auto"/>
              </w:rPr>
            </w:pPr>
          </w:p>
        </w:tc>
      </w:tr>
      <w:tr>
        <w:trPr>
          <w:trHeight w:val="223"/>
        </w:trPr>
        <w:tc>
          <w:tcPr>
            <w:tcW w:w="342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178,843</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184,954</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346,434</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350,632</w:t>
            </w:r>
          </w:p>
        </w:tc>
        <w:tc>
          <w:tcPr>
            <w:tcW w:w="0" w:type="dxa"/>
            <w:vAlign w:val="bottom"/>
          </w:tcPr>
          <w:p>
            <w:pPr>
              <w:spacing w:after="0"/>
              <w:rPr>
                <w:sz w:val="1"/>
                <w:szCs w:val="1"/>
                <w:color w:val="auto"/>
              </w:rPr>
            </w:pPr>
          </w:p>
        </w:tc>
      </w:tr>
      <w:tr>
        <w:trPr>
          <w:trHeight w:val="21"/>
        </w:trPr>
        <w:tc>
          <w:tcPr>
            <w:tcW w:w="342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19,818</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28,659</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31,829</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45,878</w:t>
            </w:r>
          </w:p>
        </w:tc>
        <w:tc>
          <w:tcPr>
            <w:tcW w:w="0" w:type="dxa"/>
            <w:vAlign w:val="bottom"/>
          </w:tcPr>
          <w:p>
            <w:pPr>
              <w:spacing w:after="0"/>
              <w:rPr>
                <w:sz w:val="1"/>
                <w:szCs w:val="1"/>
                <w:color w:val="auto"/>
              </w:rPr>
            </w:pPr>
          </w:p>
        </w:tc>
      </w:tr>
      <w:tr>
        <w:trPr>
          <w:trHeight w:val="256"/>
        </w:trPr>
        <w:tc>
          <w:tcPr>
            <w:tcW w:w="342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19,606</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15,537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33,815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30,974</w:t>
            </w:r>
          </w:p>
        </w:tc>
        <w:tc>
          <w:tcPr>
            <w:tcW w:w="0" w:type="dxa"/>
            <w:vAlign w:val="bottom"/>
          </w:tcPr>
          <w:p>
            <w:pPr>
              <w:spacing w:after="0"/>
              <w:rPr>
                <w:sz w:val="1"/>
                <w:szCs w:val="1"/>
                <w:color w:val="auto"/>
              </w:rPr>
            </w:pPr>
          </w:p>
        </w:tc>
      </w:tr>
      <w:tr>
        <w:trPr>
          <w:trHeight w:val="249"/>
        </w:trPr>
        <w:tc>
          <w:tcPr>
            <w:tcW w:w="342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(7,828)</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(7,118)</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(14,212)</w:t>
            </w:r>
          </w:p>
        </w:tc>
        <w:tc>
          <w:tcPr>
            <w:tcW w:w="0" w:type="dxa"/>
            <w:vAlign w:val="bottom"/>
          </w:tcPr>
          <w:p>
            <w:pPr>
              <w:spacing w:after="0"/>
              <w:rPr>
                <w:sz w:val="1"/>
                <w:szCs w:val="1"/>
                <w:color w:val="auto"/>
              </w:rPr>
            </w:pPr>
          </w:p>
        </w:tc>
      </w:tr>
      <w:tr>
        <w:trPr>
          <w:trHeight w:val="209"/>
        </w:trPr>
        <w:tc>
          <w:tcPr>
            <w:tcW w:w="342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31,596</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51,762</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62,640</w:t>
            </w:r>
          </w:p>
        </w:tc>
        <w:tc>
          <w:tcPr>
            <w:tcW w:w="0" w:type="dxa"/>
            <w:vAlign w:val="bottom"/>
          </w:tcPr>
          <w:p>
            <w:pPr>
              <w:spacing w:after="0"/>
              <w:rPr>
                <w:sz w:val="1"/>
                <w:szCs w:val="1"/>
                <w:color w:val="auto"/>
              </w:rPr>
            </w:pPr>
          </w:p>
        </w:tc>
      </w:tr>
      <w:tr>
        <w:trPr>
          <w:trHeight w:val="21"/>
        </w:trPr>
        <w:tc>
          <w:tcPr>
            <w:tcW w:w="342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19,818</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28,659</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31,829</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45,878</w:t>
            </w:r>
          </w:p>
        </w:tc>
        <w:tc>
          <w:tcPr>
            <w:tcW w:w="0" w:type="dxa"/>
            <w:vAlign w:val="bottom"/>
          </w:tcPr>
          <w:p>
            <w:pPr>
              <w:spacing w:after="0"/>
              <w:rPr>
                <w:sz w:val="1"/>
                <w:szCs w:val="1"/>
                <w:color w:val="auto"/>
              </w:rPr>
            </w:pPr>
          </w:p>
        </w:tc>
      </w:tr>
      <w:tr>
        <w:trPr>
          <w:trHeight w:val="257"/>
        </w:trPr>
        <w:tc>
          <w:tcPr>
            <w:tcW w:w="342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19,606</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15,537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33,815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30,974</w:t>
            </w:r>
          </w:p>
        </w:tc>
        <w:tc>
          <w:tcPr>
            <w:tcW w:w="0" w:type="dxa"/>
            <w:vAlign w:val="bottom"/>
          </w:tcPr>
          <w:p>
            <w:pPr>
              <w:spacing w:after="0"/>
              <w:rPr>
                <w:sz w:val="1"/>
                <w:szCs w:val="1"/>
                <w:color w:val="auto"/>
              </w:rPr>
            </w:pPr>
          </w:p>
        </w:tc>
      </w:tr>
      <w:tr>
        <w:trPr>
          <w:trHeight w:val="249"/>
        </w:trPr>
        <w:tc>
          <w:tcPr>
            <w:tcW w:w="342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(7,828)</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(7,118)</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(14,212)</w:t>
            </w:r>
          </w:p>
        </w:tc>
        <w:tc>
          <w:tcPr>
            <w:tcW w:w="0" w:type="dxa"/>
            <w:vAlign w:val="bottom"/>
          </w:tcPr>
          <w:p>
            <w:pPr>
              <w:spacing w:after="0"/>
              <w:rPr>
                <w:sz w:val="1"/>
                <w:szCs w:val="1"/>
                <w:color w:val="auto"/>
              </w:rPr>
            </w:pPr>
          </w:p>
        </w:tc>
      </w:tr>
      <w:tr>
        <w:trPr>
          <w:trHeight w:val="210"/>
        </w:trPr>
        <w:tc>
          <w:tcPr>
            <w:tcW w:w="342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31,596</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51,762</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62,640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3,177</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11,197</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(1,325)</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15,235</w:t>
            </w:r>
          </w:p>
        </w:tc>
        <w:tc>
          <w:tcPr>
            <w:tcW w:w="0" w:type="dxa"/>
            <w:vAlign w:val="bottom"/>
          </w:tcPr>
          <w:p>
            <w:pPr>
              <w:spacing w:after="0"/>
              <w:rPr>
                <w:sz w:val="1"/>
                <w:szCs w:val="1"/>
                <w:color w:val="auto"/>
              </w:rPr>
            </w:pPr>
          </w:p>
        </w:tc>
      </w:tr>
      <w:tr>
        <w:trPr>
          <w:trHeight w:val="257"/>
        </w:trPr>
        <w:tc>
          <w:tcPr>
            <w:tcW w:w="342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9,176</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14,073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11,587</w:t>
            </w:r>
          </w:p>
        </w:tc>
        <w:tc>
          <w:tcPr>
            <w:tcW w:w="0" w:type="dxa"/>
            <w:vAlign w:val="bottom"/>
          </w:tcPr>
          <w:p>
            <w:pPr>
              <w:spacing w:after="0"/>
              <w:rPr>
                <w:sz w:val="1"/>
                <w:szCs w:val="1"/>
                <w:color w:val="auto"/>
              </w:rPr>
            </w:pPr>
          </w:p>
        </w:tc>
      </w:tr>
      <w:tr>
        <w:trPr>
          <w:trHeight w:val="249"/>
        </w:trPr>
        <w:tc>
          <w:tcPr>
            <w:tcW w:w="342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(6,480)</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w:t>
            </w:r>
          </w:p>
        </w:tc>
        <w:tc>
          <w:tcPr>
            <w:tcW w:w="0" w:type="dxa"/>
            <w:vAlign w:val="bottom"/>
          </w:tcPr>
          <w:p>
            <w:pPr>
              <w:spacing w:after="0"/>
              <w:rPr>
                <w:sz w:val="1"/>
                <w:szCs w:val="1"/>
                <w:color w:val="auto"/>
              </w:rPr>
            </w:pPr>
          </w:p>
        </w:tc>
      </w:tr>
      <w:tr>
        <w:trPr>
          <w:trHeight w:val="210"/>
        </w:trPr>
        <w:tc>
          <w:tcPr>
            <w:tcW w:w="3420" w:type="dxa"/>
            <w:vAlign w:val="bottom"/>
          </w:tcPr>
          <w:p>
            <w:pPr>
              <w:ind w:left="440"/>
              <w:spacing w:after="0"/>
              <w:rPr>
                <w:sz w:val="20"/>
                <w:szCs w:val="20"/>
                <w:color w:val="auto"/>
              </w:rPr>
            </w:pPr>
            <w:r>
              <w:rPr>
                <w:rFonts w:ascii="Arial" w:cs="Arial" w:eastAsia="Arial" w:hAnsi="Arial"/>
                <w:sz w:val="16"/>
                <w:szCs w:val="16"/>
                <w:color w:val="auto"/>
              </w:rPr>
              <w:t>Total 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10,172</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14,242</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6,268</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48" w:hanging="248"/>
        <w:spacing w:after="0"/>
        <w:tabs>
          <w:tab w:leader="none" w:pos="248" w:val="left"/>
        </w:tabs>
        <w:numPr>
          <w:ilvl w:val="0"/>
          <w:numId w:val="4"/>
        </w:numPr>
        <w:rPr>
          <w:rFonts w:ascii="Arial" w:cs="Arial" w:eastAsia="Arial" w:hAnsi="Arial"/>
          <w:sz w:val="16"/>
          <w:szCs w:val="16"/>
          <w:color w:val="auto"/>
        </w:rPr>
      </w:pPr>
      <w:r>
        <w:rPr>
          <w:rFonts w:ascii="Arial" w:cs="Arial" w:eastAsia="Arial" w:hAnsi="Arial"/>
          <w:sz w:val="16"/>
          <w:szCs w:val="16"/>
          <w:color w:val="auto"/>
        </w:rPr>
        <w:t>Please see Non-GAAP Reconciliation Schedule.</w:t>
      </w:r>
    </w:p>
    <w:p>
      <w:pPr>
        <w:spacing w:after="0" w:line="248" w:lineRule="exact"/>
        <w:rPr>
          <w:rFonts w:ascii="Arial" w:cs="Arial" w:eastAsia="Arial" w:hAnsi="Arial"/>
          <w:sz w:val="16"/>
          <w:szCs w:val="16"/>
          <w:color w:val="auto"/>
        </w:rPr>
      </w:pPr>
    </w:p>
    <w:p>
      <w:pPr>
        <w:ind w:left="8" w:right="3080" w:hanging="8"/>
        <w:spacing w:after="0" w:line="225" w:lineRule="auto"/>
        <w:tabs>
          <w:tab w:leader="none" w:pos="251"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to the first quarter of 2023, we presented the U.S. operating segment as a separate reportable segment. Our operating segment in the U.S. no longer meets the reportable segment quantitative thresholds, and is included within the Other and Corporate, other and eliminations categories. Prior periods have been adjusted.</w:t>
      </w:r>
    </w:p>
    <w:p>
      <w:pPr>
        <w:sectPr>
          <w:pgSz w:w="11900" w:h="16838" w:orient="portrait"/>
          <w:cols w:equalWidth="0" w:num="1">
            <w:col w:w="9168"/>
          </w:cols>
          <w:pgMar w:left="1372" w:top="891" w:right="1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Twelve Months</w:t>
            </w:r>
          </w:p>
        </w:tc>
      </w:tr>
      <w:tr>
        <w:trPr>
          <w:trHeight w:val="227"/>
        </w:trPr>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Ended June 30,</w:t>
            </w:r>
          </w:p>
        </w:tc>
      </w:tr>
      <w:tr>
        <w:trPr>
          <w:trHeight w:val="246"/>
        </w:trPr>
        <w:tc>
          <w:tcPr>
            <w:tcW w:w="17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528"/>
        </w:trPr>
        <w:tc>
          <w:tcPr>
            <w:tcW w:w="176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31,596</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37,078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51,762</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31,596</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37,078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51,762</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62,640</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12,912</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17,561</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10,763</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18,286</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Net Leverage Ratio (3)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ind w:left="980"/>
              <w:spacing w:after="0"/>
              <w:rPr>
                <w:sz w:val="20"/>
                <w:szCs w:val="20"/>
                <w:color w:val="auto"/>
              </w:rPr>
            </w:pPr>
            <w:r>
              <w:rPr>
                <w:rFonts w:ascii="Arial" w:cs="Arial" w:eastAsia="Arial" w:hAnsi="Arial"/>
                <w:sz w:val="16"/>
                <w:szCs w:val="16"/>
                <w:color w:val="auto"/>
              </w:rPr>
              <w:t>1.2x</w:t>
            </w:r>
          </w:p>
        </w:tc>
      </w:tr>
    </w:tbl>
    <w:p>
      <w:pPr>
        <w:spacing w:after="0" w:line="320" w:lineRule="exact"/>
        <w:rPr>
          <w:sz w:val="20"/>
          <w:szCs w:val="20"/>
          <w:color w:val="auto"/>
        </w:rPr>
      </w:pPr>
    </w:p>
    <w:p>
      <w:pPr>
        <w:ind w:left="332" w:right="60" w:hanging="332"/>
        <w:spacing w:after="0" w:line="257"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6" w:lineRule="exact"/>
        <w:rPr>
          <w:rFonts w:ascii="Arial" w:cs="Arial" w:eastAsia="Arial" w:hAnsi="Arial"/>
          <w:sz w:val="16"/>
          <w:szCs w:val="16"/>
          <w:color w:val="auto"/>
        </w:rPr>
      </w:pPr>
    </w:p>
    <w:p>
      <w:pPr>
        <w:ind w:left="332" w:right="140"/>
        <w:spacing w:after="0" w:line="293"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41"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46"/>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29"/>
        </w:trPr>
        <w:tc>
          <w:tcPr>
            <w:tcW w:w="328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4,463</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9,568</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(1,890)</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10,978</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(8,871)</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1,821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5,135</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20,701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23,083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42,363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43,210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86,367</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2,608</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13,658</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31,596</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51,762</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62,640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96,170</w:t>
            </w:r>
          </w:p>
        </w:tc>
        <w:tc>
          <w:tcPr>
            <w:tcW w:w="0" w:type="dxa"/>
            <w:vAlign w:val="bottom"/>
          </w:tcPr>
          <w:p>
            <w:pPr>
              <w:spacing w:after="0"/>
              <w:rPr>
                <w:sz w:val="1"/>
                <w:szCs w:val="1"/>
                <w:color w:val="auto"/>
              </w:rPr>
            </w:pPr>
          </w:p>
        </w:tc>
      </w:tr>
      <w:tr>
        <w:trPr>
          <w:trHeight w:val="258"/>
        </w:trPr>
        <w:tc>
          <w:tcPr>
            <w:tcW w:w="328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8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31,596</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37,078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51,762</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62,640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101,891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52" w:right="340" w:hanging="328"/>
        <w:spacing w:after="0" w:line="270"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fourth quarter of 2022. In the fourth quarter of 2022, we recorded a pre-tax loss related to the impairment of long-lived assets in our Australian segment of $3.8 million and a pre-tax loss related to the impairment of long-lived assets in the U.S. of $1.9 million.</w:t>
      </w:r>
    </w:p>
    <w:p>
      <w:pPr>
        <w:spacing w:after="0" w:line="202" w:lineRule="exact"/>
        <w:rPr>
          <w:rFonts w:ascii="Arial" w:cs="Arial" w:eastAsia="Arial" w:hAnsi="Arial"/>
          <w:sz w:val="16"/>
          <w:szCs w:val="16"/>
          <w:color w:val="auto"/>
        </w:rPr>
      </w:pPr>
    </w:p>
    <w:p>
      <w:pPr>
        <w:ind w:left="332" w:hanging="332"/>
        <w:spacing w:after="0" w:line="259"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w:t>
      </w:r>
    </w:p>
    <w:p>
      <w:pPr>
        <w:sectPr>
          <w:pgSz w:w="11900" w:h="16838" w:orient="portrait"/>
          <w:cols w:equalWidth="0" w:num="1">
            <w:col w:w="11232"/>
          </w:cols>
          <w:pgMar w:left="328" w:top="891" w:right="339" w:bottom="1440" w:gutter="0" w:footer="0" w:header="0"/>
        </w:sectPr>
      </w:pPr>
    </w:p>
    <w:bookmarkStart w:id="12" w:name="page13"/>
    <w:bookmarkEnd w:id="12"/>
    <w:p>
      <w:pPr>
        <w:ind w:left="332"/>
        <w:spacing w:after="0"/>
        <w:rPr>
          <w:sz w:val="20"/>
          <w:szCs w:val="20"/>
          <w:color w:val="auto"/>
        </w:rPr>
      </w:pPr>
      <w:r>
        <w:rPr>
          <w:rFonts w:ascii="Arial" w:cs="Arial" w:eastAsia="Arial" w:hAnsi="Arial"/>
          <w:sz w:val="16"/>
          <w:szCs w:val="16"/>
          <w:color w:val="auto"/>
        </w:rPr>
        <w:t>service obligations. Civeo uses Free Cash Flow to compare and to understand, manage, make operating decisions and evaluate Civeo's business.</w:t>
      </w:r>
    </w:p>
    <w:p>
      <w:pPr>
        <w:spacing w:after="0" w:line="248" w:lineRule="exact"/>
        <w:rPr>
          <w:sz w:val="20"/>
          <w:szCs w:val="20"/>
          <w:color w:val="auto"/>
        </w:rPr>
      </w:pPr>
    </w:p>
    <w:p>
      <w:pPr>
        <w:ind w:left="332" w:right="680"/>
        <w:spacing w:after="0" w:line="293" w:lineRule="auto"/>
        <w:rPr>
          <w:sz w:val="20"/>
          <w:szCs w:val="20"/>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41"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528"/>
        </w:trPr>
        <w:tc>
          <w:tcPr>
            <w:tcW w:w="44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19,403</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21,678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19,761</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23,631</w:t>
            </w:r>
          </w:p>
        </w:tc>
        <w:tc>
          <w:tcPr>
            <w:tcW w:w="0" w:type="dxa"/>
            <w:vAlign w:val="bottom"/>
          </w:tcPr>
          <w:p>
            <w:pPr>
              <w:spacing w:after="0"/>
              <w:rPr>
                <w:sz w:val="1"/>
                <w:szCs w:val="1"/>
                <w:color w:val="auto"/>
              </w:rPr>
            </w:pPr>
          </w:p>
        </w:tc>
      </w:tr>
      <w:tr>
        <w:trPr>
          <w:trHeight w:val="270"/>
        </w:trPr>
        <w:tc>
          <w:tcPr>
            <w:tcW w:w="44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(5,055)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(11,717)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171"/>
        </w:trPr>
        <w:tc>
          <w:tcPr>
            <w:tcW w:w="4400" w:type="dxa"/>
            <w:vAlign w:val="bottom"/>
          </w:tcPr>
          <w:p>
            <w:pPr>
              <w:ind w:left="120"/>
              <w:spacing w:after="0" w:line="171" w:lineRule="exact"/>
              <w:rPr>
                <w:sz w:val="20"/>
                <w:szCs w:val="20"/>
                <w:color w:val="auto"/>
              </w:rPr>
            </w:pPr>
            <w:r>
              <w:rPr>
                <w:rFonts w:ascii="Arial" w:cs="Arial" w:eastAsia="Arial" w:hAnsi="Arial"/>
                <w:sz w:val="16"/>
                <w:szCs w:val="16"/>
                <w:color w:val="auto"/>
              </w:rPr>
              <w:t>Proceeds from dispositions of property, plant and</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454</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938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2,719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199"/>
        </w:trPr>
        <w:tc>
          <w:tcPr>
            <w:tcW w:w="440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12,912</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17,561</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10,763</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18,286</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32" w:hanging="332"/>
        <w:spacing w:after="0" w:line="260"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1" w:lineRule="exact"/>
        <w:rPr>
          <w:rFonts w:ascii="Arial" w:cs="Arial" w:eastAsia="Arial" w:hAnsi="Arial"/>
          <w:sz w:val="16"/>
          <w:szCs w:val="16"/>
          <w:color w:val="auto"/>
        </w:rPr>
      </w:pPr>
    </w:p>
    <w:p>
      <w:pPr>
        <w:ind w:left="332" w:right="260"/>
        <w:spacing w:after="0" w:line="293"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18"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As of June 30,</w:t>
            </w:r>
          </w:p>
        </w:tc>
      </w:tr>
      <w:tr>
        <w:trPr>
          <w:trHeight w:val="221"/>
        </w:trPr>
        <w:tc>
          <w:tcPr>
            <w:tcW w:w="6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473"/>
        </w:trPr>
        <w:tc>
          <w:tcPr>
            <w:tcW w:w="6280" w:type="dxa"/>
            <w:vAlign w:val="bottom"/>
          </w:tcPr>
          <w:p>
            <w:pPr>
              <w:spacing w:after="0"/>
              <w:rPr>
                <w:sz w:val="20"/>
                <w:szCs w:val="20"/>
                <w:color w:val="auto"/>
              </w:rPr>
            </w:pPr>
            <w:r>
              <w:rPr>
                <w:rFonts w:ascii="Arial" w:cs="Arial" w:eastAsia="Arial" w:hAnsi="Arial"/>
                <w:sz w:val="16"/>
                <w:szCs w:val="16"/>
                <w:color w:val="auto"/>
              </w:rPr>
              <w:t>Total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136,105</w:t>
            </w:r>
          </w:p>
        </w:tc>
      </w:tr>
      <w:tr>
        <w:trPr>
          <w:trHeight w:val="219"/>
        </w:trPr>
        <w:tc>
          <w:tcPr>
            <w:tcW w:w="628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w:t>
            </w:r>
          </w:p>
        </w:tc>
      </w:tr>
      <w:tr>
        <w:trPr>
          <w:trHeight w:val="213"/>
        </w:trPr>
        <w:tc>
          <w:tcPr>
            <w:tcW w:w="628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124,684</w:t>
            </w: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7"/>
        </w:trPr>
        <w:tc>
          <w:tcPr>
            <w:tcW w:w="6280" w:type="dxa"/>
            <w:vAlign w:val="bottom"/>
          </w:tcPr>
          <w:p>
            <w:pPr>
              <w:spacing w:after="0"/>
              <w:rPr>
                <w:sz w:val="20"/>
                <w:szCs w:val="20"/>
                <w:color w:val="auto"/>
              </w:rPr>
            </w:pPr>
            <w:r>
              <w:rPr>
                <w:rFonts w:ascii="Arial" w:cs="Arial" w:eastAsia="Arial" w:hAnsi="Arial"/>
                <w:sz w:val="16"/>
                <w:szCs w:val="16"/>
                <w:color w:val="auto"/>
              </w:rPr>
              <w:t>Adjusted EBITDA for the twelve months ended June 30, 2023 (a)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101,891</w:t>
            </w:r>
          </w:p>
        </w:tc>
      </w:tr>
      <w:tr>
        <w:trPr>
          <w:trHeight w:val="216"/>
        </w:trPr>
        <w:tc>
          <w:tcPr>
            <w:tcW w:w="628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3,857</w:t>
            </w:r>
          </w:p>
        </w:tc>
      </w:tr>
      <w:tr>
        <w:trPr>
          <w:trHeight w:val="219"/>
        </w:trPr>
        <w:tc>
          <w:tcPr>
            <w:tcW w:w="628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628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105,867</w:t>
            </w:r>
          </w:p>
        </w:tc>
      </w:tr>
      <w:tr>
        <w:trPr>
          <w:trHeight w:val="21"/>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6280" w:type="dxa"/>
            <w:vAlign w:val="bottom"/>
          </w:tcPr>
          <w:p>
            <w:pPr>
              <w:ind w:left="100"/>
              <w:spacing w:after="0"/>
              <w:rPr>
                <w:sz w:val="20"/>
                <w:szCs w:val="20"/>
                <w:color w:val="auto"/>
              </w:rPr>
            </w:pPr>
            <w:r>
              <w:rPr>
                <w:rFonts w:ascii="Arial" w:cs="Arial" w:eastAsia="Arial" w:hAnsi="Arial"/>
                <w:sz w:val="16"/>
                <w:szCs w:val="16"/>
                <w:color w:val="auto"/>
              </w:rPr>
              <w:t>Net leverage ratio (b)</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1.2x</w:t>
            </w:r>
          </w:p>
        </w:tc>
      </w:tr>
    </w:tbl>
    <w:p>
      <w:pPr>
        <w:spacing w:after="0" w:line="200" w:lineRule="exact"/>
        <w:rPr>
          <w:sz w:val="20"/>
          <w:szCs w:val="20"/>
          <w:color w:val="auto"/>
        </w:rPr>
      </w:pPr>
    </w:p>
    <w:p>
      <w:pPr>
        <w:spacing w:after="0" w:line="214" w:lineRule="exact"/>
        <w:rPr>
          <w:sz w:val="20"/>
          <w:szCs w:val="20"/>
          <w:color w:val="auto"/>
        </w:rPr>
      </w:pPr>
    </w:p>
    <w:p>
      <w:pPr>
        <w:ind w:left="352" w:right="3400" w:hanging="10"/>
        <w:spacing w:after="0"/>
        <w:tabs>
          <w:tab w:leader="none" w:pos="579"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spacing w:after="0" w:line="10" w:lineRule="exact"/>
        <w:rPr>
          <w:rFonts w:ascii="Arial" w:cs="Arial" w:eastAsia="Arial" w:hAnsi="Arial"/>
          <w:sz w:val="16"/>
          <w:szCs w:val="16"/>
          <w:color w:val="auto"/>
        </w:rPr>
      </w:pPr>
    </w:p>
    <w:p>
      <w:pPr>
        <w:ind w:left="592" w:hanging="250"/>
        <w:spacing w:after="0"/>
        <w:tabs>
          <w:tab w:leader="none" w:pos="592"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1152"/>
          </w:cols>
          <w:pgMar w:left="328" w:top="899" w:right="419" w:bottom="1440" w:gutter="0" w:footer="0" w:header="0"/>
        </w:sectPr>
      </w:pPr>
    </w:p>
    <w:bookmarkStart w:id="13" w:name="page14"/>
    <w:bookmarkEnd w:id="13"/>
    <w:p>
      <w:pPr>
        <w:jc w:val="center"/>
        <w:ind w:right="-3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7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left="6652"/>
        <w:spacing w:after="0"/>
        <w:rPr>
          <w:sz w:val="20"/>
          <w:szCs w:val="20"/>
          <w:color w:val="auto"/>
        </w:rPr>
      </w:pPr>
      <w:r>
        <w:rPr>
          <w:rFonts w:ascii="Arial" w:cs="Arial" w:eastAsia="Arial" w:hAnsi="Arial"/>
          <w:sz w:val="16"/>
          <w:szCs w:val="16"/>
          <w:b w:val="1"/>
          <w:bCs w:val="1"/>
          <w:color w:val="auto"/>
        </w:rPr>
        <w:t>Year Ending December 31, 2023</w:t>
      </w:r>
    </w:p>
    <w:p>
      <w:pPr>
        <w:spacing w:after="0" w:line="121" w:lineRule="exact"/>
        <w:rPr>
          <w:sz w:val="20"/>
          <w:szCs w:val="20"/>
          <w:color w:val="auto"/>
        </w:rPr>
      </w:pPr>
    </w:p>
    <w:p>
      <w:pPr>
        <w:ind w:left="2072"/>
        <w:spacing w:after="0"/>
        <w:tabs>
          <w:tab w:leader="none" w:pos="6552" w:val="left"/>
          <w:tab w:leader="none" w:pos="7372" w:val="left"/>
          <w:tab w:leader="none" w:pos="7952" w:val="left"/>
          <w:tab w:leader="none" w:pos="8772"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p>
    <w:p>
      <w:pPr>
        <w:spacing w:after="0" w:line="343" w:lineRule="exact"/>
        <w:rPr>
          <w:sz w:val="20"/>
          <w:szCs w:val="20"/>
          <w:color w:val="auto"/>
        </w:rPr>
      </w:pPr>
    </w:p>
    <w:p>
      <w:pPr>
        <w:ind w:left="332" w:hanging="332"/>
        <w:spacing w:after="0" w:line="276" w:lineRule="auto"/>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230"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spacing w:after="0"/>
              <w:rPr>
                <w:sz w:val="20"/>
                <w:szCs w:val="20"/>
                <w:color w:val="auto"/>
              </w:rPr>
            </w:pPr>
            <w:r>
              <w:rPr>
                <w:rFonts w:ascii="Arial" w:cs="Arial" w:eastAsia="Arial" w:hAnsi="Arial"/>
                <w:sz w:val="16"/>
                <w:szCs w:val="16"/>
                <w:b w:val="1"/>
                <w:bCs w:val="1"/>
                <w:color w:val="auto"/>
              </w:rPr>
              <w:t>Year Ending December 31, 2023</w:t>
            </w:r>
          </w:p>
        </w:tc>
      </w:tr>
      <w:tr>
        <w:trPr>
          <w:trHeight w:val="227"/>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00" w:type="dxa"/>
            <w:vAlign w:val="bottom"/>
          </w:tcPr>
          <w:p>
            <w:pPr>
              <w:spacing w:after="0"/>
              <w:rPr>
                <w:sz w:val="19"/>
                <w:szCs w:val="19"/>
                <w:color w:val="auto"/>
              </w:rPr>
            </w:pPr>
          </w:p>
        </w:tc>
      </w:tr>
      <w:tr>
        <w:trPr>
          <w:trHeight w:val="312"/>
        </w:trPr>
        <w:tc>
          <w:tcPr>
            <w:tcW w:w="482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7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center"/>
              <w:ind w:left="119"/>
              <w:spacing w:after="0"/>
              <w:rPr>
                <w:sz w:val="20"/>
                <w:szCs w:val="20"/>
                <w:color w:val="auto"/>
              </w:rPr>
            </w:pPr>
            <w:r>
              <w:rPr>
                <w:rFonts w:ascii="Arial" w:cs="Arial" w:eastAsia="Arial" w:hAnsi="Arial"/>
                <w:sz w:val="16"/>
                <w:szCs w:val="16"/>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center"/>
              <w:ind w:left="139"/>
              <w:spacing w:after="0"/>
              <w:rPr>
                <w:sz w:val="20"/>
                <w:szCs w:val="20"/>
                <w:color w:val="auto"/>
              </w:rPr>
            </w:pPr>
            <w:r>
              <w:rPr>
                <w:rFonts w:ascii="Arial" w:cs="Arial" w:eastAsia="Arial" w:hAnsi="Arial"/>
                <w:sz w:val="16"/>
                <w:szCs w:val="16"/>
                <w:color w:val="auto"/>
              </w:rPr>
              <w:t>13.0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center"/>
              <w:ind w:left="139"/>
              <w:spacing w:after="0"/>
              <w:rPr>
                <w:sz w:val="20"/>
                <w:szCs w:val="20"/>
                <w:color w:val="auto"/>
              </w:rPr>
            </w:pPr>
            <w:r>
              <w:rPr>
                <w:rFonts w:ascii="Arial" w:cs="Arial" w:eastAsia="Arial" w:hAnsi="Arial"/>
                <w:sz w:val="16"/>
                <w:szCs w:val="16"/>
                <w:color w:val="auto"/>
              </w:rPr>
              <w:t>79.0</w:t>
            </w:r>
          </w:p>
        </w:tc>
      </w:tr>
      <w:tr>
        <w:trPr>
          <w:trHeight w:val="222"/>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13.0</w:t>
            </w:r>
          </w:p>
        </w:tc>
      </w:tr>
      <w:tr>
        <w:trPr>
          <w:trHeight w:val="209"/>
        </w:trPr>
        <w:tc>
          <w:tcPr>
            <w:tcW w:w="4820" w:type="dxa"/>
            <w:vAlign w:val="bottom"/>
          </w:tcPr>
          <w:p>
            <w:pPr>
              <w:ind w:left="100"/>
              <w:spacing w:after="0"/>
              <w:rPr>
                <w:sz w:val="20"/>
                <w:szCs w:val="20"/>
                <w:color w:val="auto"/>
              </w:rPr>
            </w:pPr>
            <w:r>
              <w:rPr>
                <w:rFonts w:ascii="Arial" w:cs="Arial" w:eastAsia="Arial" w:hAnsi="Arial"/>
                <w:sz w:val="16"/>
                <w:szCs w:val="16"/>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95.0</w:t>
            </w:r>
          </w:p>
        </w:tc>
      </w:tr>
    </w:tbl>
    <w:p>
      <w:pPr>
        <w:sectPr>
          <w:pgSz w:w="11900" w:h="16838" w:orient="portrait"/>
          <w:cols w:equalWidth="0" w:num="1">
            <w:col w:w="10872"/>
          </w:cols>
          <w:pgMar w:left="328" w:top="891" w:right="699" w:bottom="1440" w:gutter="0" w:footer="0" w:header="0"/>
        </w:sectPr>
      </w:pPr>
    </w:p>
    <w:bookmarkStart w:id="14" w:name="page15"/>
    <w:bookmarkEnd w:id="14"/>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6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72,355</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79,431</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136,583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146,625</w:t>
            </w:r>
          </w:p>
        </w:tc>
        <w:tc>
          <w:tcPr>
            <w:tcW w:w="0" w:type="dxa"/>
            <w:vAlign w:val="bottom"/>
          </w:tcPr>
          <w:p>
            <w:pPr>
              <w:spacing w:after="0"/>
              <w:rPr>
                <w:sz w:val="1"/>
                <w:szCs w:val="1"/>
                <w:color w:val="auto"/>
              </w:rPr>
            </w:pPr>
          </w:p>
        </w:tc>
      </w:tr>
      <w:tr>
        <w:trPr>
          <w:trHeight w:val="270"/>
        </w:trPr>
        <w:tc>
          <w:tcPr>
            <w:tcW w:w="362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17,407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24,058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37,438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48,076</w:t>
            </w:r>
          </w:p>
        </w:tc>
        <w:tc>
          <w:tcPr>
            <w:tcW w:w="0" w:type="dxa"/>
            <w:vAlign w:val="bottom"/>
          </w:tcPr>
          <w:p>
            <w:pPr>
              <w:spacing w:after="0"/>
              <w:rPr>
                <w:sz w:val="1"/>
                <w:szCs w:val="1"/>
                <w:color w:val="auto"/>
              </w:rPr>
            </w:pPr>
          </w:p>
        </w:tc>
      </w:tr>
      <w:tr>
        <w:trPr>
          <w:trHeight w:val="263"/>
        </w:trPr>
        <w:tc>
          <w:tcPr>
            <w:tcW w:w="362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10,274</w:t>
            </w:r>
          </w:p>
        </w:tc>
        <w:tc>
          <w:tcPr>
            <w:tcW w:w="0" w:type="dxa"/>
            <w:vAlign w:val="bottom"/>
          </w:tcPr>
          <w:p>
            <w:pPr>
              <w:spacing w:after="0"/>
              <w:rPr>
                <w:sz w:val="1"/>
                <w:szCs w:val="1"/>
                <w:color w:val="auto"/>
              </w:rPr>
            </w:pPr>
          </w:p>
        </w:tc>
      </w:tr>
      <w:tr>
        <w:trPr>
          <w:trHeight w:val="258"/>
        </w:trPr>
        <w:tc>
          <w:tcPr>
            <w:tcW w:w="362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95,470</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109,023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184,923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204,975</w:t>
            </w:r>
          </w:p>
        </w:tc>
        <w:tc>
          <w:tcPr>
            <w:tcW w:w="0" w:type="dxa"/>
            <w:vAlign w:val="bottom"/>
          </w:tcPr>
          <w:p>
            <w:pPr>
              <w:spacing w:after="0"/>
              <w:rPr>
                <w:sz w:val="1"/>
                <w:szCs w:val="1"/>
                <w:color w:val="auto"/>
              </w:rPr>
            </w:pPr>
          </w:p>
        </w:tc>
      </w:tr>
      <w:tr>
        <w:trPr>
          <w:trHeight w:val="378"/>
        </w:trPr>
        <w:tc>
          <w:tcPr>
            <w:tcW w:w="36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52,431</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53,108</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104,529</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106,235</w:t>
            </w:r>
          </w:p>
        </w:tc>
        <w:tc>
          <w:tcPr>
            <w:tcW w:w="0" w:type="dxa"/>
            <w:vAlign w:val="bottom"/>
          </w:tcPr>
          <w:p>
            <w:pPr>
              <w:spacing w:after="0"/>
              <w:rPr>
                <w:sz w:val="1"/>
                <w:szCs w:val="1"/>
                <w:color w:val="auto"/>
              </w:rPr>
            </w:pPr>
          </w:p>
        </w:tc>
      </w:tr>
      <w:tr>
        <w:trPr>
          <w:trHeight w:val="270"/>
        </w:trPr>
        <w:tc>
          <w:tcPr>
            <w:tcW w:w="362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11,598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14,458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29,342</w:t>
            </w:r>
          </w:p>
        </w:tc>
        <w:tc>
          <w:tcPr>
            <w:tcW w:w="0" w:type="dxa"/>
            <w:vAlign w:val="bottom"/>
          </w:tcPr>
          <w:p>
            <w:pPr>
              <w:spacing w:after="0"/>
              <w:rPr>
                <w:sz w:val="1"/>
                <w:szCs w:val="1"/>
                <w:color w:val="auto"/>
              </w:rPr>
            </w:pPr>
          </w:p>
        </w:tc>
      </w:tr>
      <w:tr>
        <w:trPr>
          <w:trHeight w:val="270"/>
        </w:trPr>
        <w:tc>
          <w:tcPr>
            <w:tcW w:w="362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4,976</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9,834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9,335</w:t>
            </w:r>
          </w:p>
        </w:tc>
        <w:tc>
          <w:tcPr>
            <w:tcW w:w="0" w:type="dxa"/>
            <w:vAlign w:val="bottom"/>
          </w:tcPr>
          <w:p>
            <w:pPr>
              <w:spacing w:after="0"/>
              <w:rPr>
                <w:sz w:val="1"/>
                <w:szCs w:val="1"/>
                <w:color w:val="auto"/>
              </w:rPr>
            </w:pPr>
          </w:p>
        </w:tc>
      </w:tr>
      <w:tr>
        <w:trPr>
          <w:trHeight w:val="263"/>
        </w:trPr>
        <w:tc>
          <w:tcPr>
            <w:tcW w:w="362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159"/>
        </w:trPr>
        <w:tc>
          <w:tcPr>
            <w:tcW w:w="3620" w:type="dxa"/>
            <w:vAlign w:val="bottom"/>
          </w:tcPr>
          <w:p>
            <w:pPr>
              <w:ind w:left="660"/>
              <w:spacing w:after="0" w:line="159"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71,845</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75,009</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145,750</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150,215</w:t>
            </w:r>
          </w:p>
        </w:tc>
        <w:tc>
          <w:tcPr>
            <w:tcW w:w="0" w:type="dxa"/>
            <w:vAlign w:val="bottom"/>
          </w:tcPr>
          <w:p>
            <w:pPr>
              <w:spacing w:after="0"/>
              <w:rPr>
                <w:sz w:val="1"/>
                <w:szCs w:val="1"/>
                <w:color w:val="auto"/>
              </w:rPr>
            </w:pPr>
          </w:p>
        </w:tc>
      </w:tr>
      <w:tr>
        <w:trPr>
          <w:trHeight w:val="207"/>
        </w:trPr>
        <w:tc>
          <w:tcPr>
            <w:tcW w:w="362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724,299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771,267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1,367,095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1,406,822</w:t>
            </w: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0.745</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0.784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0.742</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0.787</w:t>
            </w:r>
          </w:p>
        </w:tc>
        <w:tc>
          <w:tcPr>
            <w:tcW w:w="0" w:type="dxa"/>
            <w:vAlign w:val="bottom"/>
          </w:tcPr>
          <w:p>
            <w:pPr>
              <w:spacing w:after="0"/>
              <w:rPr>
                <w:sz w:val="1"/>
                <w:szCs w:val="1"/>
                <w:color w:val="auto"/>
              </w:rPr>
            </w:pPr>
          </w:p>
        </w:tc>
      </w:tr>
      <w:tr>
        <w:trPr>
          <w:trHeight w:val="438"/>
        </w:trPr>
        <w:tc>
          <w:tcPr>
            <w:tcW w:w="36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6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44,342</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39,052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84,941</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76,651</w:t>
            </w:r>
          </w:p>
        </w:tc>
        <w:tc>
          <w:tcPr>
            <w:tcW w:w="0" w:type="dxa"/>
            <w:vAlign w:val="bottom"/>
          </w:tcPr>
          <w:p>
            <w:pPr>
              <w:spacing w:after="0"/>
              <w:rPr>
                <w:sz w:val="1"/>
                <w:szCs w:val="1"/>
                <w:color w:val="auto"/>
              </w:rPr>
            </w:pPr>
          </w:p>
        </w:tc>
      </w:tr>
      <w:tr>
        <w:trPr>
          <w:trHeight w:val="263"/>
        </w:trPr>
        <w:tc>
          <w:tcPr>
            <w:tcW w:w="362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28,768</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74,592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54,698</w:t>
            </w:r>
          </w:p>
        </w:tc>
        <w:tc>
          <w:tcPr>
            <w:tcW w:w="0" w:type="dxa"/>
            <w:vAlign w:val="bottom"/>
          </w:tcPr>
          <w:p>
            <w:pPr>
              <w:spacing w:after="0"/>
              <w:rPr>
                <w:sz w:val="1"/>
                <w:szCs w:val="1"/>
                <w:color w:val="auto"/>
              </w:rPr>
            </w:pPr>
          </w:p>
        </w:tc>
      </w:tr>
      <w:tr>
        <w:trPr>
          <w:trHeight w:val="258"/>
        </w:trPr>
        <w:tc>
          <w:tcPr>
            <w:tcW w:w="362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82,544</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67,820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159,533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131,349</w:t>
            </w:r>
          </w:p>
        </w:tc>
        <w:tc>
          <w:tcPr>
            <w:tcW w:w="0" w:type="dxa"/>
            <w:vAlign w:val="bottom"/>
          </w:tcPr>
          <w:p>
            <w:pPr>
              <w:spacing w:after="0"/>
              <w:rPr>
                <w:sz w:val="1"/>
                <w:szCs w:val="1"/>
                <w:color w:val="auto"/>
              </w:rPr>
            </w:pPr>
          </w:p>
        </w:tc>
      </w:tr>
      <w:tr>
        <w:trPr>
          <w:trHeight w:val="378"/>
        </w:trPr>
        <w:tc>
          <w:tcPr>
            <w:tcW w:w="36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20,948</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18,840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41,266</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37,247</w:t>
            </w:r>
          </w:p>
        </w:tc>
        <w:tc>
          <w:tcPr>
            <w:tcW w:w="0" w:type="dxa"/>
            <w:vAlign w:val="bottom"/>
          </w:tcPr>
          <w:p>
            <w:pPr>
              <w:spacing w:after="0"/>
              <w:rPr>
                <w:sz w:val="1"/>
                <w:szCs w:val="1"/>
                <w:color w:val="auto"/>
              </w:rPr>
            </w:pPr>
          </w:p>
        </w:tc>
      </w:tr>
      <w:tr>
        <w:trPr>
          <w:trHeight w:val="270"/>
        </w:trPr>
        <w:tc>
          <w:tcPr>
            <w:tcW w:w="362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35,372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27,008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71,234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51,371</w:t>
            </w:r>
          </w:p>
        </w:tc>
        <w:tc>
          <w:tcPr>
            <w:tcW w:w="0" w:type="dxa"/>
            <w:vAlign w:val="bottom"/>
          </w:tcPr>
          <w:p>
            <w:pPr>
              <w:spacing w:after="0"/>
              <w:rPr>
                <w:sz w:val="1"/>
                <w:szCs w:val="1"/>
                <w:color w:val="auto"/>
              </w:rPr>
            </w:pPr>
          </w:p>
        </w:tc>
      </w:tr>
      <w:tr>
        <w:trPr>
          <w:trHeight w:val="263"/>
        </w:trPr>
        <w:tc>
          <w:tcPr>
            <w:tcW w:w="362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159"/>
        </w:trPr>
        <w:tc>
          <w:tcPr>
            <w:tcW w:w="3620" w:type="dxa"/>
            <w:vAlign w:val="bottom"/>
          </w:tcPr>
          <w:p>
            <w:pPr>
              <w:ind w:left="660"/>
              <w:spacing w:after="0" w:line="159"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58,545</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47,692</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116,853</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92,206</w:t>
            </w:r>
          </w:p>
        </w:tc>
        <w:tc>
          <w:tcPr>
            <w:tcW w:w="0" w:type="dxa"/>
            <w:vAlign w:val="bottom"/>
          </w:tcPr>
          <w:p>
            <w:pPr>
              <w:spacing w:after="0"/>
              <w:rPr>
                <w:sz w:val="1"/>
                <w:szCs w:val="1"/>
                <w:color w:val="auto"/>
              </w:rPr>
            </w:pPr>
          </w:p>
        </w:tc>
      </w:tr>
      <w:tr>
        <w:trPr>
          <w:trHeight w:val="207"/>
        </w:trPr>
        <w:tc>
          <w:tcPr>
            <w:tcW w:w="362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587,855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505,310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1,110,568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979,784</w:t>
            </w:r>
          </w:p>
        </w:tc>
        <w:tc>
          <w:tcPr>
            <w:tcW w:w="0" w:type="dxa"/>
            <w:vAlign w:val="bottom"/>
          </w:tcPr>
          <w:p>
            <w:pPr>
              <w:spacing w:after="0"/>
              <w:rPr>
                <w:sz w:val="1"/>
                <w:szCs w:val="1"/>
                <w:color w:val="auto"/>
              </w:rPr>
            </w:pPr>
          </w:p>
        </w:tc>
      </w:tr>
      <w:tr>
        <w:trPr>
          <w:trHeight w:val="378"/>
        </w:trPr>
        <w:tc>
          <w:tcPr>
            <w:tcW w:w="36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0.668</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0.715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0.676</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332" w:hanging="332"/>
        <w:spacing w:after="0"/>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22" w:lineRule="exact"/>
        <w:rPr>
          <w:rFonts w:ascii="Arial" w:cs="Arial" w:eastAsia="Arial" w:hAnsi="Arial"/>
          <w:sz w:val="16"/>
          <w:szCs w:val="16"/>
          <w:color w:val="auto"/>
        </w:rPr>
      </w:pPr>
    </w:p>
    <w:p>
      <w:pPr>
        <w:ind w:left="332" w:hanging="332"/>
        <w:spacing w:after="0"/>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12" w:lineRule="exact"/>
        <w:rPr>
          <w:rFonts w:ascii="Arial" w:cs="Arial" w:eastAsia="Arial" w:hAnsi="Arial"/>
          <w:sz w:val="16"/>
          <w:szCs w:val="16"/>
          <w:color w:val="auto"/>
        </w:rPr>
      </w:pPr>
    </w:p>
    <w:p>
      <w:pPr>
        <w:ind w:left="332" w:hanging="332"/>
        <w:spacing w:after="0"/>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0" w:lineRule="exact"/>
        <w:rPr>
          <w:rFonts w:ascii="Arial" w:cs="Arial" w:eastAsia="Arial" w:hAnsi="Arial"/>
          <w:sz w:val="16"/>
          <w:szCs w:val="16"/>
          <w:color w:val="auto"/>
        </w:rPr>
      </w:pPr>
    </w:p>
    <w:p>
      <w:pPr>
        <w:ind w:left="332" w:hanging="332"/>
        <w:spacing w:after="0"/>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1134"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2"/>
    </w:lvl>
    <w:lvl w:ilvl="1">
      <w:lvlJc w:val="left"/>
      <w:lvlText w:val="%2"/>
      <w:numFmt w:val="low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2023-07-28T07:11:29Z</dcterms:created>
  <dcterms:modified xsi:type="dcterms:W3CDTF">2023-07-28T07:11:29Z</dcterms:modified>
</cp:coreProperties>
</file>