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Date of Report (Date of earliest event Reported): July 30, 2015</w:t>
      </w:r>
    </w:p>
    <w:p>
      <w:pPr>
        <w:spacing w:after="0" w:line="205" w:lineRule="exact"/>
        <w:rPr>
          <w:sz w:val="24"/>
          <w:szCs w:val="24"/>
          <w:color w:val="auto"/>
        </w:rPr>
      </w:pPr>
    </w:p>
    <w:p>
      <w:pPr>
        <w:jc w:val="center"/>
        <w:ind w:right="-279"/>
        <w:spacing w:after="0"/>
        <w:rPr>
          <w:sz w:val="20"/>
          <w:szCs w:val="20"/>
          <w:color w:val="auto"/>
        </w:rPr>
      </w:pPr>
      <w:r>
        <w:rPr>
          <w:rFonts w:ascii="Arial" w:cs="Arial" w:eastAsia="Arial" w:hAnsi="Arial"/>
          <w:sz w:val="24"/>
          <w:szCs w:val="24"/>
          <w:b w:val="1"/>
          <w:bCs w:val="1"/>
          <w:color w:val="auto"/>
        </w:rPr>
        <w:t>Civeo Corporation</w:t>
      </w:r>
    </w:p>
    <w:p>
      <w:pPr>
        <w:spacing w:after="0" w:line="41"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(Exact Name of Registrant as Specified in Charter)</w:t>
      </w:r>
    </w:p>
    <w:p>
      <w:pPr>
        <w:spacing w:after="0" w:line="206" w:lineRule="exact"/>
        <w:rPr>
          <w:sz w:val="24"/>
          <w:szCs w:val="24"/>
          <w:color w:val="auto"/>
        </w:rPr>
      </w:pPr>
    </w:p>
    <w:p>
      <w:pPr>
        <w:ind w:left="860"/>
        <w:spacing w:after="0"/>
        <w:tabs>
          <w:tab w:leader="none" w:pos="5520" w:val="left"/>
          <w:tab w:leader="none" w:pos="9260" w:val="left"/>
        </w:tabs>
        <w:rPr>
          <w:sz w:val="20"/>
          <w:szCs w:val="20"/>
          <w:color w:val="auto"/>
        </w:rPr>
      </w:pPr>
      <w:r>
        <w:rPr>
          <w:rFonts w:ascii="Arial" w:cs="Arial" w:eastAsia="Arial" w:hAnsi="Arial"/>
          <w:sz w:val="18"/>
          <w:szCs w:val="18"/>
          <w:b w:val="1"/>
          <w:bCs w:val="1"/>
          <w:color w:val="auto"/>
        </w:rPr>
        <w:t>British Columbia, Canada</w:t>
      </w:r>
      <w:r>
        <w:rPr>
          <w:sz w:val="20"/>
          <w:szCs w:val="20"/>
          <w:color w:val="auto"/>
        </w:rPr>
        <w:tab/>
      </w:r>
      <w:r>
        <w:rPr>
          <w:rFonts w:ascii="Arial" w:cs="Arial" w:eastAsia="Arial" w:hAnsi="Arial"/>
          <w:sz w:val="18"/>
          <w:szCs w:val="18"/>
          <w:b w:val="1"/>
          <w:bCs w:val="1"/>
          <w:color w:val="auto"/>
        </w:rPr>
        <w:t>1-36246</w:t>
      </w:r>
      <w:r>
        <w:rPr>
          <w:sz w:val="20"/>
          <w:szCs w:val="20"/>
          <w:color w:val="auto"/>
        </w:rPr>
        <w:tab/>
      </w:r>
      <w:r>
        <w:rPr>
          <w:rFonts w:ascii="Arial" w:cs="Arial" w:eastAsia="Arial" w:hAnsi="Arial"/>
          <w:sz w:val="15"/>
          <w:szCs w:val="15"/>
          <w:b w:val="1"/>
          <w:bCs w:val="1"/>
          <w:color w:val="auto"/>
        </w:rPr>
        <w:t>98-1253716</w:t>
      </w:r>
    </w:p>
    <w:p>
      <w:pPr>
        <w:spacing w:after="0" w:line="21" w:lineRule="exact"/>
        <w:rPr>
          <w:sz w:val="24"/>
          <w:szCs w:val="24"/>
          <w:color w:val="auto"/>
        </w:rPr>
      </w:pPr>
    </w:p>
    <w:p>
      <w:pPr>
        <w:ind w:left="260"/>
        <w:spacing w:after="0"/>
        <w:tabs>
          <w:tab w:leader="none" w:pos="4840" w:val="left"/>
          <w:tab w:leader="none" w:pos="8260" w:val="left"/>
        </w:tabs>
        <w:rPr>
          <w:sz w:val="20"/>
          <w:szCs w:val="20"/>
          <w:color w:val="auto"/>
        </w:rPr>
      </w:pPr>
      <w:r>
        <w:rPr>
          <w:rFonts w:ascii="Arial" w:cs="Arial" w:eastAsia="Arial" w:hAnsi="Arial"/>
          <w:sz w:val="18"/>
          <w:szCs w:val="18"/>
          <w:color w:val="auto"/>
        </w:rPr>
        <w:t>(State or Other Jurisdiction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Number)</w:t>
      </w:r>
    </w:p>
    <w:p>
      <w:pPr>
        <w:spacing w:after="0" w:line="24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Three Allen Center</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(Address and zip code of principal executive offices)</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510-2400</w:t>
      </w:r>
    </w:p>
    <w:p>
      <w:pPr>
        <w:spacing w:after="0" w:line="200" w:lineRule="exact"/>
        <w:rPr>
          <w:sz w:val="24"/>
          <w:szCs w:val="24"/>
          <w:color w:val="auto"/>
        </w:rPr>
      </w:pPr>
    </w:p>
    <w:p>
      <w:pPr>
        <w:spacing w:after="0" w:line="268"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2"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88"/>
              </w:rPr>
              <w:t>Pre-commencement communications pursuant to Rule 14d-2(b) under the Exchange Act (17 CFR 240.14d-2(b))</w:t>
            </w:r>
          </w:p>
        </w:tc>
      </w:tr>
      <w:tr>
        <w:trPr>
          <w:trHeight w:val="222"/>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88"/>
              </w:rPr>
              <w:t>Pre-commencement communications pursuant to Rule 13e-4(c) under the Exchange Act (17 CFR 240.13e-4(c))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5" w:lineRule="exact"/>
        <w:rPr>
          <w:sz w:val="24"/>
          <w:szCs w:val="24"/>
          <w:color w:val="auto"/>
        </w:rPr>
      </w:pPr>
    </w:p>
    <w:p>
      <w:pPr>
        <w:ind w:right="20"/>
        <w:spacing w:after="0" w:line="332" w:lineRule="auto"/>
        <w:rPr>
          <w:sz w:val="20"/>
          <w:szCs w:val="20"/>
          <w:color w:val="auto"/>
        </w:rPr>
      </w:pPr>
      <w:r>
        <w:rPr>
          <w:rFonts w:ascii="Arial" w:cs="Arial" w:eastAsia="Arial" w:hAnsi="Arial"/>
          <w:sz w:val="16"/>
          <w:szCs w:val="16"/>
          <w:color w:val="auto"/>
        </w:rPr>
        <w:t>On July 30, 2015, Civeo Corporation (the "Company") issued a press release announcing its financial condition and results of operations for the quarter ended June 30, 2015. A copy of the press release is furnished as Exhibit 99.1 to this report on Form 8-K, and is incorporated herein by reference.</w:t>
      </w:r>
    </w:p>
    <w:p>
      <w:pPr>
        <w:spacing w:after="0" w:line="139"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information contained in this report and the exhibit hereto shall not be deemed to be "filed" for purposes of Section 18 of the Securities Exchange Act of 1934, as amended, and shall not be incorporated by reference into any filings made by Civeo Corporation under the Securities Act of 1933, as amended, or the Exchange Act, except as may be expressly set forth by specific reference in such filing.</w:t>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920" w:type="dxa"/>
            <w:vAlign w:val="bottom"/>
            <w:gridSpan w:val="2"/>
          </w:tcPr>
          <w:p>
            <w:pPr>
              <w:spacing w:after="0"/>
              <w:rPr>
                <w:sz w:val="20"/>
                <w:szCs w:val="20"/>
                <w:color w:val="auto"/>
              </w:rPr>
            </w:pPr>
            <w:r>
              <w:rPr>
                <w:rFonts w:ascii="Arial" w:cs="Arial" w:eastAsia="Arial" w:hAnsi="Arial"/>
                <w:sz w:val="16"/>
                <w:szCs w:val="16"/>
                <w:color w:val="auto"/>
              </w:rPr>
              <w:t>Exhibit</w:t>
            </w: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72"/>
        </w:trPr>
        <w:tc>
          <w:tcPr>
            <w:tcW w:w="540" w:type="dxa"/>
            <w:vAlign w:val="bottom"/>
          </w:tcPr>
          <w:p>
            <w:pPr>
              <w:spacing w:after="0" w:line="172" w:lineRule="exact"/>
              <w:rPr>
                <w:sz w:val="20"/>
                <w:szCs w:val="20"/>
                <w:color w:val="auto"/>
              </w:rPr>
            </w:pPr>
            <w:r>
              <w:rPr>
                <w:rFonts w:ascii="Arial" w:cs="Arial" w:eastAsia="Arial" w:hAnsi="Arial"/>
                <w:sz w:val="16"/>
                <w:szCs w:val="16"/>
                <w:color w:val="auto"/>
                <w:w w:val="91"/>
              </w:rPr>
              <w:t>Number</w:t>
            </w:r>
          </w:p>
        </w:tc>
        <w:tc>
          <w:tcPr>
            <w:tcW w:w="380" w:type="dxa"/>
            <w:vAlign w:val="bottom"/>
          </w:tcPr>
          <w:p>
            <w:pPr>
              <w:spacing w:after="0"/>
              <w:rPr>
                <w:sz w:val="14"/>
                <w:szCs w:val="14"/>
                <w:color w:val="auto"/>
              </w:rPr>
            </w:pPr>
          </w:p>
        </w:tc>
        <w:tc>
          <w:tcPr>
            <w:tcW w:w="2600" w:type="dxa"/>
            <w:vAlign w:val="bottom"/>
            <w:gridSpan w:val="3"/>
          </w:tcPr>
          <w:p>
            <w:pPr>
              <w:ind w:left="400"/>
              <w:spacing w:after="0" w:line="172" w:lineRule="exact"/>
              <w:rPr>
                <w:sz w:val="20"/>
                <w:szCs w:val="20"/>
                <w:color w:val="auto"/>
              </w:rPr>
            </w:pPr>
            <w:r>
              <w:rPr>
                <w:rFonts w:ascii="Arial" w:cs="Arial" w:eastAsia="Arial" w:hAnsi="Arial"/>
                <w:sz w:val="16"/>
                <w:szCs w:val="16"/>
                <w:color w:val="auto"/>
              </w:rPr>
              <w:t>Description of Document</w:t>
            </w:r>
          </w:p>
        </w:tc>
      </w:tr>
      <w:tr>
        <w:trPr>
          <w:trHeight w:val="20"/>
        </w:trPr>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36"/>
        </w:trPr>
        <w:tc>
          <w:tcPr>
            <w:tcW w:w="540" w:type="dxa"/>
            <w:vAlign w:val="bottom"/>
          </w:tcPr>
          <w:p>
            <w:pPr>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24"/>
                <w:szCs w:val="24"/>
                <w:color w:val="auto"/>
              </w:rPr>
            </w:pPr>
          </w:p>
        </w:tc>
        <w:tc>
          <w:tcPr>
            <w:tcW w:w="2600" w:type="dxa"/>
            <w:vAlign w:val="bottom"/>
            <w:gridSpan w:val="3"/>
          </w:tcPr>
          <w:p>
            <w:pPr>
              <w:ind w:left="400"/>
              <w:spacing w:after="0"/>
              <w:rPr>
                <w:sz w:val="20"/>
                <w:szCs w:val="20"/>
                <w:color w:val="auto"/>
              </w:rPr>
            </w:pPr>
            <w:r>
              <w:rPr>
                <w:rFonts w:ascii="Arial" w:cs="Arial" w:eastAsia="Arial" w:hAnsi="Arial"/>
                <w:sz w:val="16"/>
                <w:szCs w:val="16"/>
                <w:color w:val="auto"/>
                <w:w w:val="87"/>
              </w:rPr>
              <w:t>Press Release dated July 30, 2015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4"/>
          <w:szCs w:val="24"/>
          <w:color w:val="auto"/>
        </w:rPr>
      </w:pPr>
    </w:p>
    <w:p>
      <w:pPr>
        <w:ind w:right="2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4"/>
          <w:szCs w:val="24"/>
          <w:color w:val="auto"/>
        </w:rPr>
      </w:pPr>
    </w:p>
    <w:p>
      <w:pPr>
        <w:spacing w:after="0"/>
        <w:tabs>
          <w:tab w:leader="none" w:pos="5400" w:val="left"/>
        </w:tabs>
        <w:rPr>
          <w:sz w:val="20"/>
          <w:szCs w:val="20"/>
          <w:color w:val="auto"/>
        </w:rPr>
      </w:pPr>
      <w:r>
        <w:rPr>
          <w:rFonts w:ascii="Arial" w:cs="Arial" w:eastAsia="Arial" w:hAnsi="Arial"/>
          <w:sz w:val="18"/>
          <w:szCs w:val="18"/>
          <w:color w:val="auto"/>
        </w:rPr>
        <w:t>Date: July 30, 2015</w:t>
      </w:r>
      <w:r>
        <w:rPr>
          <w:sz w:val="20"/>
          <w:szCs w:val="20"/>
          <w:color w:val="auto"/>
        </w:rPr>
        <w:tab/>
      </w:r>
      <w:r>
        <w:rPr>
          <w:rFonts w:ascii="Arial" w:cs="Arial" w:eastAsia="Arial" w:hAnsi="Arial"/>
          <w:sz w:val="16"/>
          <w:szCs w:val="16"/>
          <w:b w:val="1"/>
          <w:bCs w:val="1"/>
          <w:color w:val="auto"/>
        </w:rPr>
        <w:t>Civeo Corporation</w:t>
      </w:r>
    </w:p>
    <w:p>
      <w:pPr>
        <w:spacing w:after="0" w:line="231" w:lineRule="exact"/>
        <w:rPr>
          <w:sz w:val="24"/>
          <w:szCs w:val="24"/>
          <w:color w:val="auto"/>
        </w:rPr>
      </w:pPr>
    </w:p>
    <w:p>
      <w:pPr>
        <w:ind w:left="546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FRANK C. STEININGER</w:t>
      </w:r>
    </w:p>
    <w:p>
      <w:pPr>
        <w:spacing w:after="0" w:line="15"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Frank C. Steininger</w:t>
      </w:r>
    </w:p>
    <w:p>
      <w:pPr>
        <w:spacing w:after="0" w:line="9"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Senior Vice President, Chief Financial</w:t>
      </w:r>
    </w:p>
    <w:p>
      <w:pPr>
        <w:spacing w:after="0" w:line="9"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Officer and Treasurer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74"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Index to Exhibits</w:t>
      </w:r>
    </w:p>
    <w:p>
      <w:pPr>
        <w:sectPr>
          <w:pgSz w:w="11900" w:h="16871" w:orient="portrait"/>
          <w:cols w:equalWidth="0" w:num="1">
            <w:col w:w="11140"/>
          </w:cols>
          <w:pgMar w:left="240" w:top="220" w:right="519" w:bottom="0" w:gutter="0" w:footer="0" w:header="0"/>
        </w:sectPr>
      </w:pPr>
    </w:p>
    <w:p>
      <w:pPr>
        <w:spacing w:after="0" w:line="189" w:lineRule="exact"/>
        <w:rPr>
          <w:sz w:val="24"/>
          <w:szCs w:val="24"/>
          <w:color w:val="auto"/>
        </w:rPr>
      </w:pPr>
    </w:p>
    <w:p>
      <w:pPr>
        <w:spacing w:after="0"/>
        <w:rPr>
          <w:sz w:val="20"/>
          <w:szCs w:val="20"/>
          <w:color w:val="auto"/>
        </w:rPr>
      </w:pPr>
      <w:r>
        <w:rPr>
          <w:rFonts w:ascii="Arial" w:cs="Arial" w:eastAsia="Arial" w:hAnsi="Arial"/>
          <w:sz w:val="15"/>
          <w:szCs w:val="15"/>
          <w:color w:val="auto"/>
        </w:rPr>
        <w:t>Exhibit</w:t>
      </w:r>
    </w:p>
    <w:p>
      <w:pPr>
        <w:sectPr>
          <w:pgSz w:w="11900" w:h="16871" w:orient="portrait"/>
          <w:cols w:equalWidth="0" w:num="1">
            <w:col w:w="11140"/>
          </w:cols>
          <w:pgMar w:left="240" w:top="220" w:right="5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Arial" w:cs="Arial" w:eastAsia="Arial" w:hAnsi="Arial"/>
                <w:sz w:val="16"/>
                <w:szCs w:val="16"/>
                <w:color w:val="auto"/>
                <w:w w:val="91"/>
              </w:rPr>
              <w:t>Number</w:t>
            </w:r>
          </w:p>
        </w:tc>
        <w:tc>
          <w:tcPr>
            <w:tcW w:w="380" w:type="dxa"/>
            <w:vAlign w:val="bottom"/>
          </w:tcPr>
          <w:p>
            <w:pPr>
              <w:spacing w:after="0"/>
              <w:rPr>
                <w:sz w:val="16"/>
                <w:szCs w:val="16"/>
                <w:color w:val="auto"/>
              </w:rPr>
            </w:pPr>
          </w:p>
        </w:tc>
        <w:tc>
          <w:tcPr>
            <w:tcW w:w="2600" w:type="dxa"/>
            <w:vAlign w:val="bottom"/>
            <w:gridSpan w:val="3"/>
          </w:tcPr>
          <w:p>
            <w:pPr>
              <w:ind w:left="400"/>
              <w:spacing w:after="0"/>
              <w:rPr>
                <w:sz w:val="20"/>
                <w:szCs w:val="20"/>
                <w:color w:val="auto"/>
              </w:rPr>
            </w:pPr>
            <w:r>
              <w:rPr>
                <w:rFonts w:ascii="Arial" w:cs="Arial" w:eastAsia="Arial" w:hAnsi="Arial"/>
                <w:sz w:val="16"/>
                <w:szCs w:val="16"/>
                <w:color w:val="auto"/>
              </w:rPr>
              <w:t>Description of Document</w:t>
            </w:r>
          </w:p>
        </w:tc>
      </w:tr>
      <w:tr>
        <w:trPr>
          <w:trHeight w:val="20"/>
        </w:trPr>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49"/>
        </w:trPr>
        <w:tc>
          <w:tcPr>
            <w:tcW w:w="540" w:type="dxa"/>
            <w:vAlign w:val="bottom"/>
          </w:tcPr>
          <w:p>
            <w:pPr>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24"/>
                <w:szCs w:val="24"/>
                <w:color w:val="auto"/>
              </w:rPr>
            </w:pPr>
          </w:p>
        </w:tc>
        <w:tc>
          <w:tcPr>
            <w:tcW w:w="2600" w:type="dxa"/>
            <w:vAlign w:val="bottom"/>
            <w:gridSpan w:val="3"/>
          </w:tcPr>
          <w:p>
            <w:pPr>
              <w:ind w:left="400"/>
              <w:spacing w:after="0"/>
              <w:rPr>
                <w:sz w:val="20"/>
                <w:szCs w:val="20"/>
                <w:color w:val="auto"/>
              </w:rPr>
            </w:pPr>
            <w:r>
              <w:rPr>
                <w:rFonts w:ascii="Arial" w:cs="Arial" w:eastAsia="Arial" w:hAnsi="Arial"/>
                <w:sz w:val="16"/>
                <w:szCs w:val="16"/>
                <w:color w:val="auto"/>
                <w:w w:val="87"/>
              </w:rPr>
              <w:t>Press Release dated July 30, 2015</w:t>
            </w:r>
          </w:p>
        </w:tc>
      </w:tr>
    </w:tbl>
    <w:p>
      <w:pPr>
        <w:sectPr>
          <w:pgSz w:w="11900" w:h="16838" w:orient="portrait"/>
          <w:cols w:equalWidth="0" w:num="1">
            <w:col w:w="10219"/>
          </w:cols>
          <w:pgMar w:left="240" w:top="118" w:right="1440" w:bottom="1440" w:gutter="0" w:footer="0" w:header="0"/>
        </w:sectPr>
      </w:pPr>
    </w:p>
    <w:bookmarkStart w:id="2" w:name="page3"/>
    <w:bookmarkEnd w:id="2"/>
    <w:p>
      <w:pPr>
        <w:spacing w:after="0" w:line="3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Civeo Announces Second Quarter 2015 Earnings</w:t>
      </w:r>
    </w:p>
    <w:p>
      <w:pPr>
        <w:spacing w:after="0" w:line="255" w:lineRule="exact"/>
        <w:rPr>
          <w:sz w:val="20"/>
          <w:szCs w:val="20"/>
          <w:color w:val="auto"/>
        </w:rPr>
      </w:pPr>
    </w:p>
    <w:p>
      <w:pPr>
        <w:ind w:left="540" w:right="120"/>
        <w:spacing w:after="0" w:line="239" w:lineRule="auto"/>
        <w:rPr>
          <w:sz w:val="20"/>
          <w:szCs w:val="20"/>
          <w:color w:val="auto"/>
        </w:rPr>
      </w:pPr>
      <w:r>
        <w:rPr>
          <w:rFonts w:ascii="Arial" w:cs="Arial" w:eastAsia="Arial" w:hAnsi="Arial"/>
          <w:sz w:val="22"/>
          <w:szCs w:val="22"/>
          <w:color w:val="auto"/>
        </w:rPr>
        <w:t>Solid operating cash flows of $45 million in the second quarter and reduced capital expenditures driven by cost containment and capital discipline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Awarded contract to support development of the Sitka Lodge in Kitimat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920"/>
        <w:spacing w:after="0" w:line="267" w:lineRule="auto"/>
        <w:rPr>
          <w:sz w:val="20"/>
          <w:szCs w:val="20"/>
          <w:color w:val="auto"/>
        </w:rPr>
      </w:pPr>
      <w:r>
        <w:rPr>
          <w:rFonts w:ascii="Arial" w:cs="Arial" w:eastAsia="Arial" w:hAnsi="Arial"/>
          <w:sz w:val="19"/>
          <w:szCs w:val="19"/>
          <w:color w:val="auto"/>
        </w:rPr>
        <w:t>Redomiciled the Company to Canada and amended the credit facilities with revised financial covenants Substantial debt reduction from $775 million at June 30, 2015 to $500 million as of July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60"/>
        <w:spacing w:after="0" w:line="237" w:lineRule="auto"/>
        <w:rPr>
          <w:sz w:val="20"/>
          <w:szCs w:val="20"/>
          <w:color w:val="auto"/>
        </w:rPr>
      </w:pPr>
      <w:r>
        <w:rPr>
          <w:rFonts w:ascii="Arial" w:cs="Arial" w:eastAsia="Arial" w:hAnsi="Arial"/>
          <w:sz w:val="22"/>
          <w:szCs w:val="22"/>
          <w:color w:val="auto"/>
        </w:rPr>
        <w:t>Company remains focused on capturing growth in the British Columbia LNG market, maximizing occupancy and revenues, reducing costs and limiting capital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HOUSTON, July 30, 2015 (GLOBE NEWSWIRE) -- Civeo Corporation (NYSE:CVEO) today reported financial results for the second quarter ended June 30, 2015.</w:t>
      </w:r>
    </w:p>
    <w:p>
      <w:pPr>
        <w:spacing w:after="0" w:line="173"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Bradley J. Dodson, President and Chief Executive Officer of Civeo, said, "Civeo's second quarter results reflect the benefits of our cost containment strategy, better than anticipated Australian occupancy rates and increased U.S. manufacturing sales. Through our team's continued dedication and efforts, Civeo delivered good cash flows in light of the challenged operating environment and maintained a disciplined approach to capital spending."</w:t>
      </w:r>
    </w:p>
    <w:p>
      <w:pPr>
        <w:spacing w:after="0" w:line="185"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Mr. Dodson continued, "Though we continue to see pockets of opportunity, market conditions remain challenging in our legacy oil sands markets. We remain cautiously optimistic on the prospect of LNG development on the west coast of Canada and the potential to serve our clients in the region with the outstanding customer service they have come to expect from Civeo. In addition, we are pleased with the contract win that will support the development of our new Sitka Lodge in Kitimat. This milestone is a testament to the successful execution of our land banking and LNG strategies in British Columbia and demonstrates the strength of our customer relationships."</w:t>
      </w:r>
    </w:p>
    <w:p>
      <w:pPr>
        <w:spacing w:after="0" w:line="188"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Mr. Dodson concluded, "We completed our previously announced redomiciling of the Company to Canada on July 17, 2015, and as a result have improved our balance sheet. I want to thank our internal team and external partners for their tireless efforts on this achievement. As of July 27, 2015, we had $500 million in borrowings under our amended credit facility and $50.5 million in cash. Under the amended credit facility, the majority of our borrowings are denominated in Canadian currency, reducing future foreign currency risk. With our migration complete, the significant debt reduction and our revised financial covenants, Civeo is positioned to address this challenging market and capitalize on organic and inorganic growth opportunities. We will continue to aggressively pursue improved occupancy for our existing assets and growth in British Columbia related to LNG activity, while vigilantly managing operating costs and capital spending."</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SECOND QUARTER 2015 RESULTS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In the second quarter of 2015, the Company generated revenues of $143.1 million, EBITDA of $28.8 million and Adjusted</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EBITDA of $40.7 million. Net loss for the quarter was $13.5 million, or $0.13 per diluted share, inclusive of a $6.6 million (or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$0.06 per diluted share) after-tax loss related to the impairment of fixed assets at a village in Australia and a $1.6 million (or $0.02</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per diluted share) after-tax loss from costs incurred in connection with the migration to Canada.</w:t>
      </w:r>
    </w:p>
    <w:p>
      <w:pPr>
        <w:spacing w:after="0" w:line="188" w:lineRule="exact"/>
        <w:rPr>
          <w:sz w:val="20"/>
          <w:szCs w:val="20"/>
          <w:color w:val="auto"/>
        </w:rPr>
      </w:pPr>
    </w:p>
    <w:p>
      <w:pPr>
        <w:ind w:right="40"/>
        <w:spacing w:after="0" w:line="328" w:lineRule="auto"/>
        <w:rPr>
          <w:sz w:val="20"/>
          <w:szCs w:val="20"/>
          <w:color w:val="auto"/>
        </w:rPr>
      </w:pPr>
      <w:r>
        <w:rPr>
          <w:rFonts w:ascii="Arial" w:cs="Arial" w:eastAsia="Arial" w:hAnsi="Arial"/>
          <w:sz w:val="19"/>
          <w:szCs w:val="19"/>
          <w:color w:val="auto"/>
        </w:rPr>
        <w:t>(EBITDA is defined as net income plus interest, taxes, depreciation and amortization and Adjusted EBITDA is defined as EBITDA adjusted to exclude impairment charges and certain other costs such as those associated with the spin-off and the migration).</w:t>
      </w:r>
    </w:p>
    <w:p>
      <w:pPr>
        <w:spacing w:after="0" w:line="105"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In the second quarter of 2014, the Company generated revenues of $227.1 million. Net income in the year ago period was $13.9 million, or $0.13 per diluted share, which included a $0.09 per diluted share after-tax loss from transition costs, debt extinguishment costs and an impairment incurred in connection with the spin-off from Oil States, a $0.03 per diluted share after-tax loss from severance costs associated with the termination of an executive, and a $0.02 per diluted share after-tax loss from the impairment of assets, and for which the return or reimbursement is unlikely. EBITDA and Adjusted EBITDA in the second quarter of 2014 were $59.0 million and $76.6 million, respectively.</w:t>
      </w:r>
    </w:p>
    <w:p>
      <w:pPr>
        <w:spacing w:after="0" w:line="177"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Revenues and Adjusted EBITDA declined in 2015 as compared to 2014 primarily due to lower occupancy levels. In addition, second quarter 2015 results were impacted by the unfavorable impact of a stronger U.S. dollar compared to the Canadian dollar and the Australian dollar, which declined in relative value by 11% and 15%, respectively, on a year-over-year basis.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6"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(Unless otherwise noted, the following discussion compares the quarterly results for the second quarter of 2015 to the results for the second quarter of 2014. The 2015 results discussed below exclude the migration expenses noted above.)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The Canadian segment generated revenues of $90.1 million, EBITDA of $24.4 million and Adjusted EBITDA of $24.5 million for the second quarter of 2015 compared to revenues, EBITDA and Adjusted EBITDA of $156.5 million, $46.8 million and $50.9 million, respectively, in the second quarter of 2014. The Company's second quarter 2015 results were negatively impacted by a weaker Canadian dollar relative to the U.S. dollar, which reduced revenues by $11.4 million and Adjusted EBITDA by $3.1 million. Excluding the year-over-year impact of exchange rates, revenues would have decreased $55.0 million and Adjusted</w:t>
      </w:r>
    </w:p>
    <w:p>
      <w:pPr>
        <w:sectPr>
          <w:pgSz w:w="11900" w:h="16877" w:orient="portrait"/>
          <w:cols w:equalWidth="0" w:num="1">
            <w:col w:w="11420"/>
          </w:cols>
          <w:pgMar w:left="240" w:top="118" w:right="239" w:bottom="0" w:gutter="0" w:footer="0" w:header="0"/>
        </w:sectPr>
      </w:pPr>
    </w:p>
    <w:bookmarkStart w:id="3" w:name="page4"/>
    <w:bookmarkEnd w:id="3"/>
    <w:p>
      <w:pPr>
        <w:ind w:right="140"/>
        <w:spacing w:after="0" w:line="279" w:lineRule="auto"/>
        <w:rPr>
          <w:sz w:val="20"/>
          <w:szCs w:val="20"/>
          <w:color w:val="auto"/>
        </w:rPr>
      </w:pPr>
      <w:r>
        <w:rPr>
          <w:rFonts w:ascii="Arial" w:cs="Arial" w:eastAsia="Arial" w:hAnsi="Arial"/>
          <w:sz w:val="19"/>
          <w:szCs w:val="19"/>
          <w:color w:val="auto"/>
        </w:rPr>
        <w:t>EBITDA would have decreased by $23.3 million. On a constant currency basis, revenues decreased due to reduced occupancy at lodges, as well as lower contract camp revenue due to large pipeline projects that did not recur in 2015. These items were partially offset by the opening of the Company's McClelland Lake lodge in the second quarter of 2014. Additionally, SG&amp;A expenses were lower year-over-year due to cost containment efforts that resulted in lower headcount and overhead costs. RevPAR decreased 46% year-over-year to $59 in the second quarter of 2015, compared to $110 in the second quarter of 2014. The RevPAR decrease was primarily attributable to lower occupancy and declining foreign exchange rates.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w:t>
      </w:r>
    </w:p>
    <w:p>
      <w:pPr>
        <w:spacing w:after="0" w:line="206"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The Australian segment generated revenues of $38.3 million, EBITDA of $9.9 million and Adjusted EBITDA of $19.5 million for the second quarter of 2015 compared to revenues of $54.4 million, EBITDA of $16.4 million and Adjusted EBITDA of $25.7 million in the second quarter of 2014. The Company's second quarter 2015 results were negatively impacted by a weaker Australian dollar relative to the U.S. dollar, which reduced revenues by $7.6 million and Adjusted EBITDA by $3.7 million. Excluding the year-over-year impact of exchange rates, revenues would have decreased $8.5 million and Adjusted EBITDA would have decreased $2.5 million. On a constant currency basis, the revenue and Adjusted EBITDA declines were primarily due to lower occupancy resulting from reduced customer commitments and lower overall customer activity and spending in the Bowen Basin. RevPAR decreased 31% year-over-year to $45 in the second quarter of 2015, compared to $65 in the second quarter of 2014. The RevPAR decrease was attributable to the weaker Australian dollar and lower occupancy levels for the Australian villages.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The U.S. segment generated revenues of $14.8 million and EBITDA and Adjusted EBITDA of $1.9 million for the second quarter of 2015, compared to revenues, EBITDA and Adjusted EBITDA of $16.3 million, $1.0 million and $3.7 million, respectively, in the second quarter of 2014. Adjusted EBITDA decreased year-over-year due to lower U.S. drilling activity in the Bakken, Rockies and Texas markets, increased competition and lower pricing.</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The Company recognized an income tax benefit of $5.9 million, which resulted in an effective tax rate of 30.6% in the second quarter of 2015 compared to an income tax benefit which resulted in an effective tax rate of (52.4%) in the second quarter of 2014. The change in the effective tax rate from the prior year was in part the result of a change in the earnings mix between different tax jurisdictions. In addition, our 2015 tax benefit includes a $2.7 million charge related to an increase in statutory tax rates from 25% to 27% in Canada. Finally, the negative effective tax rate for the second quarter of 2014 was a result of the impact of the reduction of the Company's estimated annual effective tax rate to 14.6%.</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 MIGRATION AND AMENDMENT TO CREDIT FACILITY</w:t>
      </w:r>
    </w:p>
    <w:p>
      <w:pPr>
        <w:spacing w:after="0" w:line="206" w:lineRule="exact"/>
        <w:rPr>
          <w:sz w:val="20"/>
          <w:szCs w:val="20"/>
          <w:color w:val="auto"/>
        </w:rPr>
      </w:pPr>
    </w:p>
    <w:p>
      <w:pPr>
        <w:ind w:right="40"/>
        <w:spacing w:after="0"/>
        <w:rPr>
          <w:sz w:val="20"/>
          <w:szCs w:val="20"/>
          <w:color w:val="auto"/>
        </w:rPr>
      </w:pPr>
      <w:r>
        <w:rPr>
          <w:rFonts w:ascii="Arial" w:cs="Arial" w:eastAsia="Arial" w:hAnsi="Arial"/>
          <w:sz w:val="22"/>
          <w:szCs w:val="22"/>
          <w:color w:val="auto"/>
        </w:rPr>
        <w:t>The Company invested $13.4 million in capital expenditures during the second quarter of 2015. Capital spending during the quarter was primarily related to routine capital maintenance. The Company currently expects capital expenditures of approximately $80 million to $90 million for full year 2015.</w:t>
      </w:r>
    </w:p>
    <w:p>
      <w:pPr>
        <w:spacing w:after="0" w:line="186" w:lineRule="exact"/>
        <w:rPr>
          <w:sz w:val="20"/>
          <w:szCs w:val="20"/>
          <w:color w:val="auto"/>
        </w:rPr>
      </w:pPr>
    </w:p>
    <w:p>
      <w:pPr>
        <w:ind w:right="240"/>
        <w:spacing w:after="0" w:line="252" w:lineRule="auto"/>
        <w:rPr>
          <w:sz w:val="20"/>
          <w:szCs w:val="20"/>
          <w:color w:val="auto"/>
        </w:rPr>
      </w:pPr>
      <w:r>
        <w:rPr>
          <w:rFonts w:ascii="Arial" w:cs="Arial" w:eastAsia="Arial" w:hAnsi="Arial"/>
          <w:sz w:val="21"/>
          <w:szCs w:val="21"/>
          <w:color w:val="auto"/>
        </w:rPr>
        <w:t>On July 17, 2015, the Company completed its change in place of incorporation from the United States to British Columbia, Canada. Also on July 17, 2015, the Company amended its credit facility to, among other things, (i) allow the Company to borrow under new Canadian tranches of the credit facility, (ii) substantially reduce both the existing U.S. term loan and the U.S. revolver and (iii) increase the maximum leverage ratio allowed under the credit facility.</w:t>
      </w:r>
    </w:p>
    <w:p>
      <w:pPr>
        <w:spacing w:after="0" w:line="174" w:lineRule="exact"/>
        <w:rPr>
          <w:sz w:val="20"/>
          <w:szCs w:val="20"/>
          <w:color w:val="auto"/>
        </w:rPr>
      </w:pPr>
    </w:p>
    <w:p>
      <w:pPr>
        <w:ind w:right="80"/>
        <w:spacing w:after="0"/>
        <w:rPr>
          <w:sz w:val="20"/>
          <w:szCs w:val="20"/>
          <w:color w:val="auto"/>
        </w:rPr>
      </w:pPr>
      <w:r>
        <w:rPr>
          <w:rFonts w:ascii="Arial" w:cs="Arial" w:eastAsia="Arial" w:hAnsi="Arial"/>
          <w:sz w:val="22"/>
          <w:szCs w:val="22"/>
          <w:color w:val="auto"/>
        </w:rPr>
        <w:t>As of July 27, 2015, the Company had total liquidity of approximately $295.9 million, comprising $245.4 million available under its amended credit facilities and $50.5 million of cash on hand. As of July 27, 2015, the Company's debt balance had been reduced to $500 million from $775 million as of June 30, 2015.</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MANAGEMENT GUIDANCE</w:t>
      </w:r>
    </w:p>
    <w:p>
      <w:pPr>
        <w:spacing w:after="0" w:line="20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The Company achieved second quarter 2015 revenue that was in line with its previously issued guidance and exceeded its previously issued Adjusted EBITDA guidance. Due to the recent weakness in the Canadian and Australian dollars relative to the U.S. dollar, coupled with continued weakness in oil and metallurgical coal prices, the Company is tightening its range for full year guidance. The Company now expects full year revenues of $530 million to $545 million and adjusted EBITDA of $131 million to $143 million in 2015. For the third quarter of 2015, the Company expects revenues of $104 million to $112 million and EBITDA of $20 million to $25 million.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 CONFERENCE CALL</w:t>
      </w:r>
    </w:p>
    <w:p>
      <w:pPr>
        <w:spacing w:after="0" w:line="206" w:lineRule="exact"/>
        <w:rPr>
          <w:sz w:val="20"/>
          <w:szCs w:val="20"/>
          <w:color w:val="auto"/>
        </w:rPr>
      </w:pPr>
    </w:p>
    <w:p>
      <w:pPr>
        <w:ind w:right="260"/>
        <w:spacing w:after="0" w:line="235" w:lineRule="auto"/>
        <w:rPr>
          <w:sz w:val="20"/>
          <w:szCs w:val="20"/>
          <w:color w:val="auto"/>
        </w:rPr>
      </w:pPr>
      <w:r>
        <w:rPr>
          <w:rFonts w:ascii="Arial" w:cs="Arial" w:eastAsia="Arial" w:hAnsi="Arial"/>
          <w:sz w:val="22"/>
          <w:szCs w:val="22"/>
          <w:color w:val="auto"/>
        </w:rPr>
        <w:t>Civeo will answer questions about its second quarter 2015 financial results during an investor conference call tomorrow, July 31, 2015 at 11:00 am Eastern time. This call is being webcast and can be accessed at Civeo's web site at http://www.civeo.com. Participants may also join the conference call by dialing (888) 517-2513 in the United States or by dialing +1 847 619 6533 internationally and using the passcode of 7129916. A replay of the conference call will be available ninety minutes after the completion of the call by dialing (888) 843-7419 in the United States or by dialing +1 630 652 3042 internationally and entering the passcode of 7129916.</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ectPr>
          <w:pgSz w:w="11900" w:h="16838" w:orient="portrait"/>
          <w:cols w:equalWidth="0" w:num="1">
            <w:col w:w="11420"/>
          </w:cols>
          <w:pgMar w:left="240" w:top="118" w:right="239" w:bottom="0" w:gutter="0" w:footer="0" w:header="0"/>
        </w:sectPr>
      </w:pPr>
    </w:p>
    <w:bookmarkStart w:id="4" w:name="page5"/>
    <w:bookmarkEnd w:id="4"/>
    <w:p>
      <w:pPr>
        <w:ind w:right="180"/>
        <w:spacing w:after="0" w:line="235" w:lineRule="auto"/>
        <w:rPr>
          <w:sz w:val="20"/>
          <w:szCs w:val="20"/>
          <w:color w:val="auto"/>
        </w:rPr>
      </w:pPr>
      <w:r>
        <w:rPr>
          <w:rFonts w:ascii="Arial" w:cs="Arial" w:eastAsia="Arial" w:hAnsi="Arial"/>
          <w:sz w:val="22"/>
          <w:szCs w:val="22"/>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sixteen lodges and villages in operation in Canada and Australia, with an aggregate of more than 22,000 rooms. Civeo is publicly traded under the symbol "CVEO" on the NYSE. For more information, please visit Civeo's website at http://www.civeo.com.</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the Company's migration, including, among other things, risks associated with changes in tax laws or their interpretations, the ability to realize the anticipated benefits thereof, the impact thereof on the Company's relationships, including with employees, customers, competitors and investors, and other factors discussed in the "Business" and "Risk Factors" sections of the Company's annual report on Form 10-K for the year ended December 31, 2014, the definitive proxy statement/prospectus with respect to the migration filed with the Securities and Exchange Commission ("SEC") on April 8, 2015 and the Company's subsequent SEC filings. Except as required by law, the Company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CONDENSED CONSOLIDATED STATEMENTS OF OPERATIONS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356"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280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236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3"/>
                <w:szCs w:val="23"/>
                <w:color w:val="auto"/>
              </w:rPr>
            </w:pPr>
          </w:p>
        </w:tc>
        <w:tc>
          <w:tcPr>
            <w:tcW w:w="1800" w:type="dxa"/>
            <w:vAlign w:val="bottom"/>
            <w:gridSpan w:val="3"/>
          </w:tcPr>
          <w:p>
            <w:pPr>
              <w:jc w:val="center"/>
              <w:ind w:left="819"/>
              <w:spacing w:after="0"/>
              <w:rPr>
                <w:sz w:val="20"/>
                <w:szCs w:val="20"/>
                <w:color w:val="auto"/>
              </w:rPr>
            </w:pPr>
            <w:r>
              <w:rPr>
                <w:rFonts w:ascii="Arial" w:cs="Arial" w:eastAsia="Arial" w:hAnsi="Arial"/>
                <w:sz w:val="16"/>
                <w:szCs w:val="16"/>
                <w:b w:val="1"/>
                <w:bCs w:val="1"/>
                <w:color w:val="auto"/>
              </w:rPr>
              <w:t>JUNE 30,</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gridSpan w:val="3"/>
          </w:tcPr>
          <w:p>
            <w:pPr>
              <w:jc w:val="center"/>
              <w:ind w:left="699"/>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100" w:type="dxa"/>
            <w:vAlign w:val="bottom"/>
          </w:tcPr>
          <w:p>
            <w:pPr>
              <w:spacing w:after="0"/>
              <w:rPr>
                <w:sz w:val="22"/>
                <w:szCs w:val="22"/>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541"/>
        </w:trPr>
        <w:tc>
          <w:tcPr>
            <w:tcW w:w="6100" w:type="dxa"/>
            <w:vAlign w:val="bottom"/>
          </w:tcPr>
          <w:p>
            <w:pPr>
              <w:spacing w:after="0"/>
              <w:rPr>
                <w:sz w:val="20"/>
                <w:szCs w:val="20"/>
                <w:color w:val="auto"/>
              </w:rPr>
            </w:pPr>
            <w:r>
              <w:rPr>
                <w:rFonts w:ascii="Arial" w:cs="Arial" w:eastAsia="Arial" w:hAnsi="Arial"/>
                <w:sz w:val="16"/>
                <w:szCs w:val="16"/>
                <w:color w:val="auto"/>
              </w:rPr>
              <w:t>Revenues</w:t>
            </w:r>
          </w:p>
        </w:tc>
        <w:tc>
          <w:tcPr>
            <w:tcW w:w="1340" w:type="dxa"/>
            <w:vAlign w:val="bottom"/>
          </w:tcPr>
          <w:p>
            <w:pPr>
              <w:jc w:val="right"/>
              <w:spacing w:after="0"/>
              <w:rPr>
                <w:sz w:val="20"/>
                <w:szCs w:val="20"/>
                <w:color w:val="auto"/>
              </w:rPr>
            </w:pPr>
            <w:r>
              <w:rPr>
                <w:rFonts w:ascii="Arial" w:cs="Arial" w:eastAsia="Arial" w:hAnsi="Arial"/>
                <w:sz w:val="16"/>
                <w:szCs w:val="16"/>
                <w:color w:val="auto"/>
              </w:rPr>
              <w:t>$ 143,147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$ 227,133</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$ 314,134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$ 479,932</w:t>
            </w:r>
          </w:p>
        </w:tc>
        <w:tc>
          <w:tcPr>
            <w:tcW w:w="0" w:type="dxa"/>
            <w:vAlign w:val="bottom"/>
          </w:tcPr>
          <w:p>
            <w:pPr>
              <w:spacing w:after="0"/>
              <w:rPr>
                <w:sz w:val="1"/>
                <w:szCs w:val="1"/>
                <w:color w:val="auto"/>
              </w:rPr>
            </w:pPr>
          </w:p>
        </w:tc>
      </w:tr>
      <w:tr>
        <w:trPr>
          <w:trHeight w:val="540"/>
        </w:trPr>
        <w:tc>
          <w:tcPr>
            <w:tcW w:w="6100" w:type="dxa"/>
            <w:vAlign w:val="bottom"/>
          </w:tcPr>
          <w:p>
            <w:pPr>
              <w:spacing w:after="0"/>
              <w:rPr>
                <w:sz w:val="20"/>
                <w:szCs w:val="20"/>
                <w:color w:val="auto"/>
              </w:rPr>
            </w:pPr>
            <w:r>
              <w:rPr>
                <w:rFonts w:ascii="Arial" w:cs="Arial" w:eastAsia="Arial" w:hAnsi="Arial"/>
                <w:sz w:val="16"/>
                <w:szCs w:val="16"/>
                <w:color w:val="auto"/>
              </w:rPr>
              <w:t>Costs and expenses:</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220"/>
              <w:spacing w:after="0"/>
              <w:rPr>
                <w:sz w:val="20"/>
                <w:szCs w:val="20"/>
                <w:color w:val="auto"/>
              </w:rPr>
            </w:pPr>
            <w:r>
              <w:rPr>
                <w:rFonts w:ascii="Arial" w:cs="Arial" w:eastAsia="Arial" w:hAnsi="Arial"/>
                <w:sz w:val="16"/>
                <w:szCs w:val="16"/>
                <w:color w:val="auto"/>
              </w:rPr>
              <w:t>Cost of sales and services</w:t>
            </w:r>
          </w:p>
        </w:tc>
        <w:tc>
          <w:tcPr>
            <w:tcW w:w="1340" w:type="dxa"/>
            <w:vAlign w:val="bottom"/>
          </w:tcPr>
          <w:p>
            <w:pPr>
              <w:jc w:val="right"/>
              <w:spacing w:after="0"/>
              <w:rPr>
                <w:sz w:val="20"/>
                <w:szCs w:val="20"/>
                <w:color w:val="auto"/>
              </w:rPr>
            </w:pPr>
            <w:r>
              <w:rPr>
                <w:rFonts w:ascii="Arial" w:cs="Arial" w:eastAsia="Arial" w:hAnsi="Arial"/>
                <w:sz w:val="16"/>
                <w:szCs w:val="16"/>
                <w:color w:val="auto"/>
              </w:rPr>
              <w:t>89,424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133,305</w:t>
            </w:r>
          </w:p>
        </w:tc>
        <w:tc>
          <w:tcPr>
            <w:tcW w:w="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192,335</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276,815</w:t>
            </w:r>
          </w:p>
        </w:tc>
        <w:tc>
          <w:tcPr>
            <w:tcW w:w="0" w:type="dxa"/>
            <w:vAlign w:val="bottom"/>
          </w:tcPr>
          <w:p>
            <w:pPr>
              <w:spacing w:after="0"/>
              <w:rPr>
                <w:sz w:val="1"/>
                <w:szCs w:val="1"/>
                <w:color w:val="auto"/>
              </w:rPr>
            </w:pPr>
          </w:p>
        </w:tc>
      </w:tr>
      <w:tr>
        <w:trPr>
          <w:trHeight w:val="270"/>
        </w:trPr>
        <w:tc>
          <w:tcPr>
            <w:tcW w:w="6100" w:type="dxa"/>
            <w:vAlign w:val="bottom"/>
          </w:tcPr>
          <w:p>
            <w:pPr>
              <w:ind w:left="220"/>
              <w:spacing w:after="0"/>
              <w:rPr>
                <w:sz w:val="20"/>
                <w:szCs w:val="20"/>
                <w:color w:val="auto"/>
              </w:rPr>
            </w:pPr>
            <w:r>
              <w:rPr>
                <w:rFonts w:ascii="Arial" w:cs="Arial" w:eastAsia="Arial" w:hAnsi="Arial"/>
                <w:sz w:val="16"/>
                <w:szCs w:val="16"/>
                <w:color w:val="auto"/>
              </w:rPr>
              <w:t>Selling, general and administrative expenses</w:t>
            </w:r>
          </w:p>
        </w:tc>
        <w:tc>
          <w:tcPr>
            <w:tcW w:w="1340" w:type="dxa"/>
            <w:vAlign w:val="bottom"/>
          </w:tcPr>
          <w:p>
            <w:pPr>
              <w:jc w:val="right"/>
              <w:spacing w:after="0"/>
              <w:rPr>
                <w:sz w:val="20"/>
                <w:szCs w:val="20"/>
                <w:color w:val="auto"/>
              </w:rPr>
            </w:pPr>
            <w:r>
              <w:rPr>
                <w:rFonts w:ascii="Arial" w:cs="Arial" w:eastAsia="Arial" w:hAnsi="Arial"/>
                <w:sz w:val="16"/>
                <w:szCs w:val="16"/>
                <w:color w:val="auto"/>
              </w:rPr>
              <w:t>18,419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21,708</w:t>
            </w:r>
          </w:p>
        </w:tc>
        <w:tc>
          <w:tcPr>
            <w:tcW w:w="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35,105</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37,853</w:t>
            </w:r>
          </w:p>
        </w:tc>
        <w:tc>
          <w:tcPr>
            <w:tcW w:w="0" w:type="dxa"/>
            <w:vAlign w:val="bottom"/>
          </w:tcPr>
          <w:p>
            <w:pPr>
              <w:spacing w:after="0"/>
              <w:rPr>
                <w:sz w:val="1"/>
                <w:szCs w:val="1"/>
                <w:color w:val="auto"/>
              </w:rPr>
            </w:pPr>
          </w:p>
        </w:tc>
      </w:tr>
      <w:tr>
        <w:trPr>
          <w:trHeight w:val="270"/>
        </w:trPr>
        <w:tc>
          <w:tcPr>
            <w:tcW w:w="6100" w:type="dxa"/>
            <w:vAlign w:val="bottom"/>
          </w:tcPr>
          <w:p>
            <w:pPr>
              <w:ind w:left="220"/>
              <w:spacing w:after="0"/>
              <w:rPr>
                <w:sz w:val="20"/>
                <w:szCs w:val="20"/>
                <w:color w:val="auto"/>
              </w:rPr>
            </w:pPr>
            <w:r>
              <w:rPr>
                <w:rFonts w:ascii="Arial" w:cs="Arial" w:eastAsia="Arial" w:hAnsi="Arial"/>
                <w:sz w:val="16"/>
                <w:szCs w:val="16"/>
                <w:color w:val="auto"/>
              </w:rPr>
              <w:t>Spin-off and formation costs</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1,896</w:t>
            </w:r>
          </w:p>
        </w:tc>
        <w:tc>
          <w:tcPr>
            <w:tcW w:w="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2,469</w:t>
            </w:r>
          </w:p>
        </w:tc>
        <w:tc>
          <w:tcPr>
            <w:tcW w:w="0" w:type="dxa"/>
            <w:vAlign w:val="bottom"/>
          </w:tcPr>
          <w:p>
            <w:pPr>
              <w:spacing w:after="0"/>
              <w:rPr>
                <w:sz w:val="1"/>
                <w:szCs w:val="1"/>
                <w:color w:val="auto"/>
              </w:rPr>
            </w:pPr>
          </w:p>
        </w:tc>
      </w:tr>
      <w:tr>
        <w:trPr>
          <w:trHeight w:val="270"/>
        </w:trPr>
        <w:tc>
          <w:tcPr>
            <w:tcW w:w="610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340" w:type="dxa"/>
            <w:vAlign w:val="bottom"/>
          </w:tcPr>
          <w:p>
            <w:pPr>
              <w:jc w:val="right"/>
              <w:spacing w:after="0"/>
              <w:rPr>
                <w:sz w:val="20"/>
                <w:szCs w:val="20"/>
                <w:color w:val="auto"/>
              </w:rPr>
            </w:pPr>
            <w:r>
              <w:rPr>
                <w:rFonts w:ascii="Arial" w:cs="Arial" w:eastAsia="Arial" w:hAnsi="Arial"/>
                <w:sz w:val="16"/>
                <w:szCs w:val="16"/>
                <w:color w:val="auto"/>
              </w:rPr>
              <w:t>42,541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42,413</w:t>
            </w:r>
          </w:p>
        </w:tc>
        <w:tc>
          <w:tcPr>
            <w:tcW w:w="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84,987</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82,012</w:t>
            </w:r>
          </w:p>
        </w:tc>
        <w:tc>
          <w:tcPr>
            <w:tcW w:w="0" w:type="dxa"/>
            <w:vAlign w:val="bottom"/>
          </w:tcPr>
          <w:p>
            <w:pPr>
              <w:spacing w:after="0"/>
              <w:rPr>
                <w:sz w:val="1"/>
                <w:szCs w:val="1"/>
                <w:color w:val="auto"/>
              </w:rPr>
            </w:pPr>
          </w:p>
        </w:tc>
      </w:tr>
      <w:tr>
        <w:trPr>
          <w:trHeight w:val="270"/>
        </w:trPr>
        <w:tc>
          <w:tcPr>
            <w:tcW w:w="6100" w:type="dxa"/>
            <w:vAlign w:val="bottom"/>
          </w:tcPr>
          <w:p>
            <w:pPr>
              <w:ind w:left="220"/>
              <w:spacing w:after="0"/>
              <w:rPr>
                <w:sz w:val="20"/>
                <w:szCs w:val="20"/>
                <w:color w:val="auto"/>
              </w:rPr>
            </w:pPr>
            <w:r>
              <w:rPr>
                <w:rFonts w:ascii="Arial" w:cs="Arial" w:eastAsia="Arial" w:hAnsi="Arial"/>
                <w:sz w:val="16"/>
                <w:szCs w:val="16"/>
                <w:color w:val="auto"/>
              </w:rPr>
              <w:t>Impairment expense</w:t>
            </w:r>
          </w:p>
        </w:tc>
        <w:tc>
          <w:tcPr>
            <w:tcW w:w="1340" w:type="dxa"/>
            <w:vAlign w:val="bottom"/>
          </w:tcPr>
          <w:p>
            <w:pPr>
              <w:jc w:val="right"/>
              <w:spacing w:after="0"/>
              <w:rPr>
                <w:sz w:val="20"/>
                <w:szCs w:val="20"/>
                <w:color w:val="auto"/>
              </w:rPr>
            </w:pPr>
            <w:r>
              <w:rPr>
                <w:rFonts w:ascii="Arial" w:cs="Arial" w:eastAsia="Arial" w:hAnsi="Arial"/>
                <w:sz w:val="16"/>
                <w:szCs w:val="16"/>
                <w:color w:val="auto"/>
              </w:rPr>
              <w:t>9,473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11,610</w:t>
            </w:r>
          </w:p>
        </w:tc>
        <w:tc>
          <w:tcPr>
            <w:tcW w:w="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12,211</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11,610</w:t>
            </w:r>
          </w:p>
        </w:tc>
        <w:tc>
          <w:tcPr>
            <w:tcW w:w="0" w:type="dxa"/>
            <w:vAlign w:val="bottom"/>
          </w:tcPr>
          <w:p>
            <w:pPr>
              <w:spacing w:after="0"/>
              <w:rPr>
                <w:sz w:val="1"/>
                <w:szCs w:val="1"/>
                <w:color w:val="auto"/>
              </w:rPr>
            </w:pPr>
          </w:p>
        </w:tc>
      </w:tr>
      <w:tr>
        <w:trPr>
          <w:trHeight w:val="263"/>
        </w:trPr>
        <w:tc>
          <w:tcPr>
            <w:tcW w:w="6100" w:type="dxa"/>
            <w:vAlign w:val="bottom"/>
          </w:tcPr>
          <w:p>
            <w:pPr>
              <w:ind w:left="220"/>
              <w:spacing w:after="0"/>
              <w:rPr>
                <w:sz w:val="20"/>
                <w:szCs w:val="20"/>
                <w:color w:val="auto"/>
              </w:rPr>
            </w:pPr>
            <w:r>
              <w:rPr>
                <w:rFonts w:ascii="Arial" w:cs="Arial" w:eastAsia="Arial" w:hAnsi="Arial"/>
                <w:sz w:val="16"/>
                <w:szCs w:val="16"/>
                <w:color w:val="auto"/>
              </w:rPr>
              <w:t>Other operating income (expense)</w:t>
            </w:r>
          </w:p>
        </w:tc>
        <w:tc>
          <w:tcPr>
            <w:tcW w:w="1340" w:type="dxa"/>
            <w:vAlign w:val="bottom"/>
          </w:tcPr>
          <w:p>
            <w:pPr>
              <w:jc w:val="right"/>
              <w:spacing w:after="0"/>
              <w:rPr>
                <w:sz w:val="20"/>
                <w:szCs w:val="20"/>
                <w:color w:val="auto"/>
              </w:rPr>
            </w:pPr>
            <w:r>
              <w:rPr>
                <w:rFonts w:ascii="Arial" w:cs="Arial" w:eastAsia="Arial" w:hAnsi="Arial"/>
                <w:sz w:val="16"/>
                <w:szCs w:val="16"/>
                <w:color w:val="auto"/>
              </w:rPr>
              <w:t>(2,573)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22"/>
                <w:szCs w:val="2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(1,243)</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64"/>
        </w:trPr>
        <w:tc>
          <w:tcPr>
            <w:tcW w:w="6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157,284</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210,907</w:t>
            </w:r>
          </w:p>
        </w:tc>
        <w:tc>
          <w:tcPr>
            <w:tcW w:w="8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323,395</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410,846</w:t>
            </w:r>
          </w:p>
        </w:tc>
        <w:tc>
          <w:tcPr>
            <w:tcW w:w="0" w:type="dxa"/>
            <w:vAlign w:val="bottom"/>
          </w:tcPr>
          <w:p>
            <w:pPr>
              <w:spacing w:after="0"/>
              <w:rPr>
                <w:sz w:val="1"/>
                <w:szCs w:val="1"/>
                <w:color w:val="auto"/>
              </w:rPr>
            </w:pPr>
          </w:p>
        </w:tc>
      </w:tr>
      <w:tr>
        <w:trPr>
          <w:trHeight w:val="271"/>
        </w:trPr>
        <w:tc>
          <w:tcPr>
            <w:tcW w:w="6100" w:type="dxa"/>
            <w:vAlign w:val="bottom"/>
          </w:tcPr>
          <w:p>
            <w:pPr>
              <w:spacing w:after="0"/>
              <w:rPr>
                <w:sz w:val="20"/>
                <w:szCs w:val="20"/>
                <w:color w:val="auto"/>
              </w:rPr>
            </w:pPr>
            <w:r>
              <w:rPr>
                <w:rFonts w:ascii="Arial" w:cs="Arial" w:eastAsia="Arial" w:hAnsi="Arial"/>
                <w:sz w:val="16"/>
                <w:szCs w:val="16"/>
                <w:color w:val="auto"/>
              </w:rPr>
              <w:t>Operating income (loss)</w:t>
            </w:r>
          </w:p>
        </w:tc>
        <w:tc>
          <w:tcPr>
            <w:tcW w:w="1340" w:type="dxa"/>
            <w:vAlign w:val="bottom"/>
          </w:tcPr>
          <w:p>
            <w:pPr>
              <w:jc w:val="right"/>
              <w:spacing w:after="0"/>
              <w:rPr>
                <w:sz w:val="20"/>
                <w:szCs w:val="20"/>
                <w:color w:val="auto"/>
              </w:rPr>
            </w:pPr>
            <w:r>
              <w:rPr>
                <w:rFonts w:ascii="Arial" w:cs="Arial" w:eastAsia="Arial" w:hAnsi="Arial"/>
                <w:sz w:val="16"/>
                <w:szCs w:val="16"/>
                <w:color w:val="auto"/>
              </w:rPr>
              <w:t>(14,137)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16,226</w:t>
            </w:r>
          </w:p>
        </w:tc>
        <w:tc>
          <w:tcPr>
            <w:tcW w:w="80" w:type="dxa"/>
            <w:vAlign w:val="bottom"/>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(9,261)</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69,086</w:t>
            </w:r>
          </w:p>
        </w:tc>
        <w:tc>
          <w:tcPr>
            <w:tcW w:w="0" w:type="dxa"/>
            <w:vAlign w:val="bottom"/>
          </w:tcPr>
          <w:p>
            <w:pPr>
              <w:spacing w:after="0"/>
              <w:rPr>
                <w:sz w:val="1"/>
                <w:szCs w:val="1"/>
                <w:color w:val="auto"/>
              </w:rPr>
            </w:pPr>
          </w:p>
        </w:tc>
      </w:tr>
      <w:tr>
        <w:trPr>
          <w:trHeight w:val="540"/>
        </w:trPr>
        <w:tc>
          <w:tcPr>
            <w:tcW w:w="6100" w:type="dxa"/>
            <w:vAlign w:val="bottom"/>
          </w:tcPr>
          <w:p>
            <w:pPr>
              <w:spacing w:after="0"/>
              <w:rPr>
                <w:sz w:val="20"/>
                <w:szCs w:val="20"/>
                <w:color w:val="auto"/>
              </w:rPr>
            </w:pPr>
            <w:r>
              <w:rPr>
                <w:rFonts w:ascii="Arial" w:cs="Arial" w:eastAsia="Arial" w:hAnsi="Arial"/>
                <w:sz w:val="16"/>
                <w:szCs w:val="16"/>
                <w:color w:val="auto"/>
              </w:rPr>
              <w:t>Interest expense to affiliates</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(2,828)</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(6,980)</w:t>
            </w: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6"/>
                <w:szCs w:val="16"/>
                <w:color w:val="auto"/>
              </w:rPr>
              <w:t>Interest expense to third-parties, net of capitalized interest</w:t>
            </w:r>
          </w:p>
        </w:tc>
        <w:tc>
          <w:tcPr>
            <w:tcW w:w="1340" w:type="dxa"/>
            <w:vAlign w:val="bottom"/>
          </w:tcPr>
          <w:p>
            <w:pPr>
              <w:jc w:val="right"/>
              <w:spacing w:after="0"/>
              <w:rPr>
                <w:sz w:val="20"/>
                <w:szCs w:val="20"/>
                <w:color w:val="auto"/>
              </w:rPr>
            </w:pPr>
            <w:r>
              <w:rPr>
                <w:rFonts w:ascii="Arial" w:cs="Arial" w:eastAsia="Arial" w:hAnsi="Arial"/>
                <w:sz w:val="16"/>
                <w:szCs w:val="16"/>
                <w:color w:val="auto"/>
              </w:rPr>
              <w:t>(6,248)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(2,269)</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(11,857)</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(3,110)</w:t>
            </w: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(3,455)</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(3,455)</w:t>
            </w: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6"/>
                <w:szCs w:val="16"/>
                <w:color w:val="auto"/>
              </w:rPr>
              <w:t>Interest income</w:t>
            </w:r>
          </w:p>
        </w:tc>
        <w:tc>
          <w:tcPr>
            <w:tcW w:w="1340" w:type="dxa"/>
            <w:vAlign w:val="bottom"/>
          </w:tcPr>
          <w:p>
            <w:pPr>
              <w:jc w:val="right"/>
              <w:spacing w:after="0"/>
              <w:rPr>
                <w:sz w:val="20"/>
                <w:szCs w:val="20"/>
                <w:color w:val="auto"/>
              </w:rPr>
            </w:pPr>
            <w:r>
              <w:rPr>
                <w:rFonts w:ascii="Arial" w:cs="Arial" w:eastAsia="Arial" w:hAnsi="Arial"/>
                <w:sz w:val="16"/>
                <w:szCs w:val="16"/>
                <w:color w:val="auto"/>
              </w:rPr>
              <w:t>687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991</w:t>
            </w:r>
          </w:p>
        </w:tc>
        <w:tc>
          <w:tcPr>
            <w:tcW w:w="1140" w:type="dxa"/>
            <w:vAlign w:val="bottom"/>
          </w:tcPr>
          <w:p>
            <w:pPr>
              <w:jc w:val="right"/>
              <w:spacing w:after="0"/>
              <w:rPr>
                <w:sz w:val="20"/>
                <w:szCs w:val="20"/>
                <w:color w:val="auto"/>
              </w:rPr>
            </w:pPr>
            <w:r>
              <w:rPr>
                <w:rFonts w:ascii="Arial" w:cs="Arial" w:eastAsia="Arial" w:hAnsi="Arial"/>
                <w:sz w:val="16"/>
                <w:szCs w:val="16"/>
                <w:color w:val="auto"/>
              </w:rPr>
              <w:t>1,809</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1,793</w:t>
            </w:r>
          </w:p>
        </w:tc>
        <w:tc>
          <w:tcPr>
            <w:tcW w:w="0" w:type="dxa"/>
            <w:vAlign w:val="bottom"/>
          </w:tcPr>
          <w:p>
            <w:pPr>
              <w:spacing w:after="0"/>
              <w:rPr>
                <w:sz w:val="1"/>
                <w:szCs w:val="1"/>
                <w:color w:val="auto"/>
              </w:rPr>
            </w:pPr>
          </w:p>
        </w:tc>
      </w:tr>
      <w:tr>
        <w:trPr>
          <w:trHeight w:val="263"/>
        </w:trPr>
        <w:tc>
          <w:tcPr>
            <w:tcW w:w="6100" w:type="dxa"/>
            <w:vAlign w:val="bottom"/>
          </w:tcPr>
          <w:p>
            <w:pPr>
              <w:spacing w:after="0"/>
              <w:rPr>
                <w:sz w:val="20"/>
                <w:szCs w:val="20"/>
                <w:color w:val="auto"/>
              </w:rPr>
            </w:pPr>
            <w:r>
              <w:rPr>
                <w:rFonts w:ascii="Arial" w:cs="Arial" w:eastAsia="Arial" w:hAnsi="Arial"/>
                <w:sz w:val="16"/>
                <w:szCs w:val="16"/>
                <w:color w:val="auto"/>
              </w:rPr>
              <w:t>Other income</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c>
          <w:tcPr>
            <w:tcW w:w="8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271"/>
        </w:trPr>
        <w:tc>
          <w:tcPr>
            <w:tcW w:w="6100" w:type="dxa"/>
            <w:vAlign w:val="bottom"/>
          </w:tcPr>
          <w:p>
            <w:pPr>
              <w:ind w:left="220"/>
              <w:spacing w:after="0"/>
              <w:rPr>
                <w:sz w:val="20"/>
                <w:szCs w:val="20"/>
                <w:color w:val="auto"/>
              </w:rPr>
            </w:pPr>
            <w:r>
              <w:rPr>
                <w:rFonts w:ascii="Arial" w:cs="Arial" w:eastAsia="Arial" w:hAnsi="Arial"/>
                <w:sz w:val="16"/>
                <w:szCs w:val="16"/>
                <w:color w:val="auto"/>
              </w:rPr>
              <w:t>Income (loss) before income taxes</w:t>
            </w:r>
          </w:p>
        </w:tc>
        <w:tc>
          <w:tcPr>
            <w:tcW w:w="1340" w:type="dxa"/>
            <w:vAlign w:val="bottom"/>
          </w:tcPr>
          <w:p>
            <w:pPr>
              <w:jc w:val="right"/>
              <w:spacing w:after="0"/>
              <w:rPr>
                <w:sz w:val="20"/>
                <w:szCs w:val="20"/>
                <w:color w:val="auto"/>
              </w:rPr>
            </w:pPr>
            <w:r>
              <w:rPr>
                <w:rFonts w:ascii="Arial" w:cs="Arial" w:eastAsia="Arial" w:hAnsi="Arial"/>
                <w:sz w:val="16"/>
                <w:szCs w:val="16"/>
                <w:color w:val="auto"/>
              </w:rPr>
              <w:t>(19,132)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9,374</w:t>
            </w:r>
          </w:p>
        </w:tc>
        <w:tc>
          <w:tcPr>
            <w:tcW w:w="80" w:type="dxa"/>
            <w:vAlign w:val="bottom"/>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(17,745)</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58,281</w:t>
            </w:r>
          </w:p>
        </w:tc>
        <w:tc>
          <w:tcPr>
            <w:tcW w:w="0" w:type="dxa"/>
            <w:vAlign w:val="bottom"/>
          </w:tcPr>
          <w:p>
            <w:pPr>
              <w:spacing w:after="0"/>
              <w:rPr>
                <w:sz w:val="1"/>
                <w:szCs w:val="1"/>
                <w:color w:val="auto"/>
              </w:rPr>
            </w:pPr>
          </w:p>
        </w:tc>
      </w:tr>
      <w:tr>
        <w:trPr>
          <w:trHeight w:val="263"/>
        </w:trPr>
        <w:tc>
          <w:tcPr>
            <w:tcW w:w="6100" w:type="dxa"/>
            <w:vAlign w:val="bottom"/>
          </w:tcPr>
          <w:p>
            <w:pPr>
              <w:spacing w:after="0"/>
              <w:rPr>
                <w:sz w:val="20"/>
                <w:szCs w:val="20"/>
                <w:color w:val="auto"/>
              </w:rPr>
            </w:pPr>
            <w:r>
              <w:rPr>
                <w:rFonts w:ascii="Arial" w:cs="Arial" w:eastAsia="Arial" w:hAnsi="Arial"/>
                <w:sz w:val="16"/>
                <w:szCs w:val="16"/>
                <w:color w:val="auto"/>
              </w:rPr>
              <w:t>Income tax benefit (provision)</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5,863</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w:t>
            </w:r>
          </w:p>
        </w:tc>
        <w:tc>
          <w:tcPr>
            <w:tcW w:w="8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4,706</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(7,400)</w:t>
            </w:r>
          </w:p>
        </w:tc>
        <w:tc>
          <w:tcPr>
            <w:tcW w:w="0" w:type="dxa"/>
            <w:vAlign w:val="bottom"/>
          </w:tcPr>
          <w:p>
            <w:pPr>
              <w:spacing w:after="0"/>
              <w:rPr>
                <w:sz w:val="1"/>
                <w:szCs w:val="1"/>
                <w:color w:val="auto"/>
              </w:rPr>
            </w:pPr>
          </w:p>
        </w:tc>
      </w:tr>
      <w:tr>
        <w:trPr>
          <w:trHeight w:val="271"/>
        </w:trPr>
        <w:tc>
          <w:tcPr>
            <w:tcW w:w="6100" w:type="dxa"/>
            <w:vAlign w:val="bottom"/>
          </w:tcPr>
          <w:p>
            <w:pPr>
              <w:spacing w:after="0"/>
              <w:rPr>
                <w:sz w:val="20"/>
                <w:szCs w:val="20"/>
                <w:color w:val="auto"/>
              </w:rPr>
            </w:pPr>
            <w:r>
              <w:rPr>
                <w:rFonts w:ascii="Arial" w:cs="Arial" w:eastAsia="Arial" w:hAnsi="Arial"/>
                <w:sz w:val="16"/>
                <w:szCs w:val="16"/>
                <w:color w:val="auto"/>
              </w:rPr>
              <w:t>Net income (loss)</w:t>
            </w:r>
          </w:p>
        </w:tc>
        <w:tc>
          <w:tcPr>
            <w:tcW w:w="1340" w:type="dxa"/>
            <w:vAlign w:val="bottom"/>
          </w:tcPr>
          <w:p>
            <w:pPr>
              <w:jc w:val="right"/>
              <w:spacing w:after="0"/>
              <w:rPr>
                <w:sz w:val="20"/>
                <w:szCs w:val="20"/>
                <w:color w:val="auto"/>
              </w:rPr>
            </w:pPr>
            <w:r>
              <w:rPr>
                <w:rFonts w:ascii="Arial" w:cs="Arial" w:eastAsia="Arial" w:hAnsi="Arial"/>
                <w:sz w:val="16"/>
                <w:szCs w:val="16"/>
                <w:color w:val="auto"/>
              </w:rPr>
              <w:t>(13,269)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14,285</w:t>
            </w:r>
          </w:p>
        </w:tc>
        <w:tc>
          <w:tcPr>
            <w:tcW w:w="80" w:type="dxa"/>
            <w:vAlign w:val="bottom"/>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(13,039)</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50,881</w:t>
            </w:r>
          </w:p>
        </w:tc>
        <w:tc>
          <w:tcPr>
            <w:tcW w:w="0" w:type="dxa"/>
            <w:vAlign w:val="bottom"/>
          </w:tcPr>
          <w:p>
            <w:pPr>
              <w:spacing w:after="0"/>
              <w:rPr>
                <w:sz w:val="1"/>
                <w:szCs w:val="1"/>
                <w:color w:val="auto"/>
              </w:rPr>
            </w:pPr>
          </w:p>
        </w:tc>
      </w:tr>
      <w:tr>
        <w:trPr>
          <w:trHeight w:val="263"/>
        </w:trPr>
        <w:tc>
          <w:tcPr>
            <w:tcW w:w="6100" w:type="dxa"/>
            <w:vAlign w:val="bottom"/>
          </w:tcPr>
          <w:p>
            <w:pPr>
              <w:ind w:left="220"/>
              <w:spacing w:after="0"/>
              <w:rPr>
                <w:sz w:val="20"/>
                <w:szCs w:val="20"/>
                <w:color w:val="auto"/>
              </w:rPr>
            </w:pPr>
            <w:r>
              <w:rPr>
                <w:rFonts w:ascii="Arial" w:cs="Arial" w:eastAsia="Arial" w:hAnsi="Arial"/>
                <w:sz w:val="16"/>
                <w:szCs w:val="16"/>
                <w:color w:val="auto"/>
              </w:rPr>
              <w:t>Less: Net income attributable to noncontrolling interest</w:t>
            </w:r>
          </w:p>
        </w:tc>
        <w:tc>
          <w:tcPr>
            <w:tcW w:w="1340" w:type="dxa"/>
            <w:vAlign w:val="bottom"/>
          </w:tcPr>
          <w:p>
            <w:pPr>
              <w:jc w:val="right"/>
              <w:spacing w:after="0"/>
              <w:rPr>
                <w:sz w:val="20"/>
                <w:szCs w:val="20"/>
                <w:color w:val="auto"/>
              </w:rPr>
            </w:pPr>
            <w:r>
              <w:rPr>
                <w:rFonts w:ascii="Arial" w:cs="Arial" w:eastAsia="Arial" w:hAnsi="Arial"/>
                <w:sz w:val="16"/>
                <w:szCs w:val="16"/>
                <w:color w:val="auto"/>
              </w:rPr>
              <w:t>192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336</w:t>
            </w:r>
          </w:p>
        </w:tc>
        <w:tc>
          <w:tcPr>
            <w:tcW w:w="80" w:type="dxa"/>
            <w:vAlign w:val="bottom"/>
          </w:tcPr>
          <w:p>
            <w:pPr>
              <w:spacing w:after="0"/>
              <w:rPr>
                <w:sz w:val="22"/>
                <w:szCs w:val="2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438</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64"/>
        </w:trPr>
        <w:tc>
          <w:tcPr>
            <w:tcW w:w="6100" w:type="dxa"/>
            <w:vAlign w:val="bottom"/>
          </w:tcPr>
          <w:p>
            <w:pPr>
              <w:spacing w:after="0"/>
              <w:rPr>
                <w:sz w:val="20"/>
                <w:szCs w:val="20"/>
                <w:color w:val="auto"/>
              </w:rPr>
            </w:pPr>
            <w:r>
              <w:rPr>
                <w:rFonts w:ascii="Arial" w:cs="Arial" w:eastAsia="Arial" w:hAnsi="Arial"/>
                <w:sz w:val="16"/>
                <w:szCs w:val="16"/>
                <w:color w:val="auto"/>
              </w:rPr>
              <w:t>Net income (loss) attributable to Civeo Corporation</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(13,461)</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$ 13,949</w:t>
            </w:r>
          </w:p>
        </w:tc>
        <w:tc>
          <w:tcPr>
            <w:tcW w:w="8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(13,477)</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$ 50,188</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6"/>
                <w:szCs w:val="16"/>
                <w:color w:val="auto"/>
              </w:rPr>
              <w:t>Net income (loss) per share attributable to Civeo Corporation common stockholders:</w:t>
            </w: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1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220"/>
              <w:spacing w:after="0"/>
              <w:rPr>
                <w:sz w:val="20"/>
                <w:szCs w:val="20"/>
                <w:color w:val="auto"/>
              </w:rPr>
            </w:pPr>
            <w:r>
              <w:rPr>
                <w:rFonts w:ascii="Arial" w:cs="Arial" w:eastAsia="Arial" w:hAnsi="Arial"/>
                <w:sz w:val="16"/>
                <w:szCs w:val="16"/>
                <w:color w:val="auto"/>
              </w:rPr>
              <w:t>Basic</w:t>
            </w:r>
          </w:p>
        </w:tc>
        <w:tc>
          <w:tcPr>
            <w:tcW w:w="1340" w:type="dxa"/>
            <w:vAlign w:val="bottom"/>
          </w:tcPr>
          <w:p>
            <w:pPr>
              <w:jc w:val="right"/>
              <w:spacing w:after="0"/>
              <w:rPr>
                <w:sz w:val="20"/>
                <w:szCs w:val="20"/>
                <w:color w:val="auto"/>
              </w:rPr>
            </w:pPr>
            <w:r>
              <w:rPr>
                <w:rFonts w:ascii="Arial" w:cs="Arial" w:eastAsia="Arial" w:hAnsi="Arial"/>
                <w:sz w:val="16"/>
                <w:szCs w:val="16"/>
                <w:color w:val="auto"/>
              </w:rPr>
              <w:t>$ (0.13)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$ 0.13</w:t>
            </w:r>
          </w:p>
        </w:tc>
        <w:tc>
          <w:tcPr>
            <w:tcW w:w="1140" w:type="dxa"/>
            <w:vAlign w:val="bottom"/>
          </w:tcPr>
          <w:p>
            <w:pPr>
              <w:jc w:val="right"/>
              <w:spacing w:after="0"/>
              <w:rPr>
                <w:sz w:val="20"/>
                <w:szCs w:val="20"/>
                <w:color w:val="auto"/>
              </w:rPr>
            </w:pPr>
            <w:r>
              <w:rPr>
                <w:rFonts w:ascii="Arial" w:cs="Arial" w:eastAsia="Arial" w:hAnsi="Arial"/>
                <w:sz w:val="16"/>
                <w:szCs w:val="16"/>
                <w:color w:val="auto"/>
              </w:rPr>
              <w:t>$ (0.13)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$ 0.47</w:t>
            </w:r>
          </w:p>
        </w:tc>
        <w:tc>
          <w:tcPr>
            <w:tcW w:w="0" w:type="dxa"/>
            <w:vAlign w:val="bottom"/>
          </w:tcPr>
          <w:p>
            <w:pPr>
              <w:spacing w:after="0"/>
              <w:rPr>
                <w:sz w:val="1"/>
                <w:szCs w:val="1"/>
                <w:color w:val="auto"/>
              </w:rPr>
            </w:pPr>
          </w:p>
        </w:tc>
      </w:tr>
      <w:tr>
        <w:trPr>
          <w:trHeight w:val="270"/>
        </w:trPr>
        <w:tc>
          <w:tcPr>
            <w:tcW w:w="6100" w:type="dxa"/>
            <w:vAlign w:val="bottom"/>
          </w:tcPr>
          <w:p>
            <w:pPr>
              <w:ind w:left="220"/>
              <w:spacing w:after="0"/>
              <w:rPr>
                <w:sz w:val="20"/>
                <w:szCs w:val="20"/>
                <w:color w:val="auto"/>
              </w:rPr>
            </w:pPr>
            <w:r>
              <w:rPr>
                <w:rFonts w:ascii="Arial" w:cs="Arial" w:eastAsia="Arial" w:hAnsi="Arial"/>
                <w:sz w:val="16"/>
                <w:szCs w:val="16"/>
                <w:color w:val="auto"/>
              </w:rPr>
              <w:t>Diluted</w:t>
            </w:r>
          </w:p>
        </w:tc>
        <w:tc>
          <w:tcPr>
            <w:tcW w:w="1340" w:type="dxa"/>
            <w:vAlign w:val="bottom"/>
          </w:tcPr>
          <w:p>
            <w:pPr>
              <w:jc w:val="right"/>
              <w:spacing w:after="0"/>
              <w:rPr>
                <w:sz w:val="20"/>
                <w:szCs w:val="20"/>
                <w:color w:val="auto"/>
              </w:rPr>
            </w:pPr>
            <w:r>
              <w:rPr>
                <w:rFonts w:ascii="Arial" w:cs="Arial" w:eastAsia="Arial" w:hAnsi="Arial"/>
                <w:sz w:val="16"/>
                <w:szCs w:val="16"/>
                <w:color w:val="auto"/>
              </w:rPr>
              <w:t>$ (0.13)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$ 0.13</w:t>
            </w:r>
          </w:p>
        </w:tc>
        <w:tc>
          <w:tcPr>
            <w:tcW w:w="1140" w:type="dxa"/>
            <w:vAlign w:val="bottom"/>
          </w:tcPr>
          <w:p>
            <w:pPr>
              <w:jc w:val="right"/>
              <w:spacing w:after="0"/>
              <w:rPr>
                <w:sz w:val="20"/>
                <w:szCs w:val="20"/>
                <w:color w:val="auto"/>
              </w:rPr>
            </w:pPr>
            <w:r>
              <w:rPr>
                <w:rFonts w:ascii="Arial" w:cs="Arial" w:eastAsia="Arial" w:hAnsi="Arial"/>
                <w:sz w:val="16"/>
                <w:szCs w:val="16"/>
                <w:color w:val="auto"/>
              </w:rPr>
              <w:t>$ (0.13)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$ 0.47</w:t>
            </w:r>
          </w:p>
        </w:tc>
        <w:tc>
          <w:tcPr>
            <w:tcW w:w="0" w:type="dxa"/>
            <w:vAlign w:val="bottom"/>
          </w:tcPr>
          <w:p>
            <w:pPr>
              <w:spacing w:after="0"/>
              <w:rPr>
                <w:sz w:val="1"/>
                <w:szCs w:val="1"/>
                <w:color w:val="auto"/>
              </w:rPr>
            </w:pPr>
          </w:p>
        </w:tc>
      </w:tr>
      <w:tr>
        <w:trPr>
          <w:trHeight w:val="540"/>
        </w:trPr>
        <w:tc>
          <w:tcPr>
            <w:tcW w:w="6100" w:type="dxa"/>
            <w:vAlign w:val="bottom"/>
          </w:tcPr>
          <w:p>
            <w:pPr>
              <w:spacing w:after="0"/>
              <w:rPr>
                <w:sz w:val="20"/>
                <w:szCs w:val="20"/>
                <w:color w:val="auto"/>
              </w:rPr>
            </w:pPr>
            <w:r>
              <w:rPr>
                <w:rFonts w:ascii="Arial" w:cs="Arial" w:eastAsia="Arial" w:hAnsi="Arial"/>
                <w:sz w:val="16"/>
                <w:szCs w:val="16"/>
                <w:color w:val="auto"/>
              </w:rPr>
              <w:t>Weighted average number of common shares outstanding (1):</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220"/>
              <w:spacing w:after="0"/>
              <w:rPr>
                <w:sz w:val="20"/>
                <w:szCs w:val="20"/>
                <w:color w:val="auto"/>
              </w:rPr>
            </w:pPr>
            <w:r>
              <w:rPr>
                <w:rFonts w:ascii="Arial" w:cs="Arial" w:eastAsia="Arial" w:hAnsi="Arial"/>
                <w:sz w:val="16"/>
                <w:szCs w:val="16"/>
                <w:color w:val="auto"/>
              </w:rPr>
              <w:t>Basic</w:t>
            </w:r>
          </w:p>
        </w:tc>
        <w:tc>
          <w:tcPr>
            <w:tcW w:w="1340" w:type="dxa"/>
            <w:vAlign w:val="bottom"/>
          </w:tcPr>
          <w:p>
            <w:pPr>
              <w:jc w:val="right"/>
              <w:spacing w:after="0"/>
              <w:rPr>
                <w:sz w:val="20"/>
                <w:szCs w:val="20"/>
                <w:color w:val="auto"/>
              </w:rPr>
            </w:pPr>
            <w:r>
              <w:rPr>
                <w:rFonts w:ascii="Arial" w:cs="Arial" w:eastAsia="Arial" w:hAnsi="Arial"/>
                <w:sz w:val="16"/>
                <w:szCs w:val="16"/>
                <w:color w:val="auto"/>
              </w:rPr>
              <w:t>106,626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106,294</w:t>
            </w:r>
          </w:p>
        </w:tc>
        <w:tc>
          <w:tcPr>
            <w:tcW w:w="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106,543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106,294</w:t>
            </w:r>
          </w:p>
        </w:tc>
        <w:tc>
          <w:tcPr>
            <w:tcW w:w="0" w:type="dxa"/>
            <w:vAlign w:val="bottom"/>
          </w:tcPr>
          <w:p>
            <w:pPr>
              <w:spacing w:after="0"/>
              <w:rPr>
                <w:sz w:val="1"/>
                <w:szCs w:val="1"/>
                <w:color w:val="auto"/>
              </w:rPr>
            </w:pPr>
          </w:p>
        </w:tc>
      </w:tr>
      <w:tr>
        <w:trPr>
          <w:trHeight w:val="270"/>
        </w:trPr>
        <w:tc>
          <w:tcPr>
            <w:tcW w:w="6100" w:type="dxa"/>
            <w:vAlign w:val="bottom"/>
          </w:tcPr>
          <w:p>
            <w:pPr>
              <w:ind w:left="220"/>
              <w:spacing w:after="0"/>
              <w:rPr>
                <w:sz w:val="20"/>
                <w:szCs w:val="20"/>
                <w:color w:val="auto"/>
              </w:rPr>
            </w:pPr>
            <w:r>
              <w:rPr>
                <w:rFonts w:ascii="Arial" w:cs="Arial" w:eastAsia="Arial" w:hAnsi="Arial"/>
                <w:sz w:val="16"/>
                <w:szCs w:val="16"/>
                <w:color w:val="auto"/>
              </w:rPr>
              <w:t>Diluted</w:t>
            </w:r>
          </w:p>
        </w:tc>
        <w:tc>
          <w:tcPr>
            <w:tcW w:w="1340" w:type="dxa"/>
            <w:vAlign w:val="bottom"/>
          </w:tcPr>
          <w:p>
            <w:pPr>
              <w:jc w:val="right"/>
              <w:spacing w:after="0"/>
              <w:rPr>
                <w:sz w:val="20"/>
                <w:szCs w:val="20"/>
                <w:color w:val="auto"/>
              </w:rPr>
            </w:pPr>
            <w:r>
              <w:rPr>
                <w:rFonts w:ascii="Arial" w:cs="Arial" w:eastAsia="Arial" w:hAnsi="Arial"/>
                <w:sz w:val="16"/>
                <w:szCs w:val="16"/>
                <w:color w:val="auto"/>
              </w:rPr>
              <w:t>106,626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106,465</w:t>
            </w:r>
          </w:p>
        </w:tc>
        <w:tc>
          <w:tcPr>
            <w:tcW w:w="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106,543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106,463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5" w:name="page6"/>
    <w:bookmarkEnd w:id="5"/>
    <w:p>
      <w:pPr>
        <w:spacing w:after="0" w:line="36" w:lineRule="exact"/>
        <w:rPr>
          <w:sz w:val="20"/>
          <w:szCs w:val="20"/>
          <w:color w:val="auto"/>
        </w:rPr>
      </w:pPr>
    </w:p>
    <w:p>
      <w:pPr>
        <w:ind w:firstLine="9"/>
        <w:spacing w:after="0" w:line="251" w:lineRule="auto"/>
        <w:tabs>
          <w:tab w:leader="none" w:pos="243"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May 30, 2014, 106,538 thousand shares of our common stock were distributed to Oil States stockholders in connection with the Spin-Off. For comparative purposes, and to provide a more meaningful calculation of weighted-average shares outstanding, we have assumed this amount to be outstanding as of the beginning of each period prior to the separation presented in the calculation of weighted-average shares. In addition, we have assumed the dilutive securities outstanding at May 30, 2014 were also outstanding for each of the periods prior to the Spin-Off presented.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240"/>
        <w:spacing w:after="0"/>
        <w:rPr>
          <w:sz w:val="20"/>
          <w:szCs w:val="20"/>
          <w:color w:val="auto"/>
        </w:rPr>
      </w:pPr>
      <w:r>
        <w:rPr>
          <w:rFonts w:ascii="Arial" w:cs="Arial" w:eastAsia="Arial" w:hAnsi="Arial"/>
          <w:sz w:val="16"/>
          <w:szCs w:val="16"/>
          <w:b w:val="1"/>
          <w:bCs w:val="1"/>
          <w:color w:val="auto"/>
        </w:rPr>
        <w:t>UNAUDITED CIVEO CORPORATION</w:t>
      </w:r>
    </w:p>
    <w:p>
      <w:pPr>
        <w:spacing w:after="0" w:line="86" w:lineRule="exact"/>
        <w:rPr>
          <w:sz w:val="20"/>
          <w:szCs w:val="20"/>
          <w:color w:val="auto"/>
        </w:rPr>
      </w:pPr>
    </w:p>
    <w:p>
      <w:pPr>
        <w:jc w:val="center"/>
        <w:ind w:right="5240"/>
        <w:spacing w:after="0"/>
        <w:rPr>
          <w:sz w:val="20"/>
          <w:szCs w:val="20"/>
          <w:color w:val="auto"/>
        </w:rPr>
      </w:pPr>
      <w:r>
        <w:rPr>
          <w:rFonts w:ascii="Arial" w:cs="Arial" w:eastAsia="Arial" w:hAnsi="Arial"/>
          <w:sz w:val="16"/>
          <w:szCs w:val="16"/>
          <w:b w:val="1"/>
          <w:bCs w:val="1"/>
          <w:color w:val="auto"/>
        </w:rPr>
        <w:t>CONSOLIDATED BALANCE SHEETS</w:t>
      </w:r>
    </w:p>
    <w:p>
      <w:pPr>
        <w:spacing w:after="0" w:line="86" w:lineRule="exact"/>
        <w:rPr>
          <w:sz w:val="20"/>
          <w:szCs w:val="20"/>
          <w:color w:val="auto"/>
        </w:rPr>
      </w:pPr>
    </w:p>
    <w:p>
      <w:pPr>
        <w:jc w:val="center"/>
        <w:ind w:right="5240"/>
        <w:spacing w:after="0"/>
        <w:rPr>
          <w:sz w:val="20"/>
          <w:szCs w:val="20"/>
          <w:color w:val="auto"/>
        </w:rPr>
      </w:pPr>
      <w:r>
        <w:rPr>
          <w:rFonts w:ascii="Arial" w:cs="Arial" w:eastAsia="Arial" w:hAnsi="Arial"/>
          <w:sz w:val="16"/>
          <w:szCs w:val="16"/>
          <w:b w:val="1"/>
          <w:bCs w:val="1"/>
          <w:color w:val="auto"/>
        </w:rPr>
        <w:t>(in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JUNE 30,</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2"/>
                <w:szCs w:val="22"/>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71"/>
        </w:trPr>
        <w:tc>
          <w:tcPr>
            <w:tcW w:w="366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9"/>
              </w:rPr>
              <w:t>(UNAUDITED)</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6"/>
                <w:szCs w:val="16"/>
                <w:color w:val="auto"/>
              </w:rPr>
              <w:t>Current assets:</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060" w:type="dxa"/>
            <w:vAlign w:val="bottom"/>
          </w:tcPr>
          <w:p>
            <w:pPr>
              <w:jc w:val="right"/>
              <w:spacing w:after="0"/>
              <w:rPr>
                <w:sz w:val="20"/>
                <w:szCs w:val="20"/>
                <w:color w:val="auto"/>
              </w:rPr>
            </w:pPr>
            <w:r>
              <w:rPr>
                <w:rFonts w:ascii="Arial" w:cs="Arial" w:eastAsia="Arial" w:hAnsi="Arial"/>
                <w:sz w:val="16"/>
                <w:szCs w:val="16"/>
                <w:color w:val="auto"/>
              </w:rPr>
              <w:t>$ 315,169</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$ 263,314</w:t>
            </w:r>
          </w:p>
        </w:tc>
        <w:tc>
          <w:tcPr>
            <w:tcW w:w="0" w:type="dxa"/>
            <w:vAlign w:val="bottom"/>
          </w:tcPr>
          <w:p>
            <w:pPr>
              <w:spacing w:after="0"/>
              <w:rPr>
                <w:sz w:val="1"/>
                <w:szCs w:val="1"/>
                <w:color w:val="auto"/>
              </w:rPr>
            </w:pPr>
          </w:p>
        </w:tc>
      </w:tr>
      <w:tr>
        <w:trPr>
          <w:trHeight w:val="270"/>
        </w:trPr>
        <w:tc>
          <w:tcPr>
            <w:tcW w:w="366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060" w:type="dxa"/>
            <w:vAlign w:val="bottom"/>
          </w:tcPr>
          <w:p>
            <w:pPr>
              <w:jc w:val="right"/>
              <w:spacing w:after="0"/>
              <w:rPr>
                <w:sz w:val="20"/>
                <w:szCs w:val="20"/>
                <w:color w:val="auto"/>
              </w:rPr>
            </w:pPr>
            <w:r>
              <w:rPr>
                <w:rFonts w:ascii="Arial" w:cs="Arial" w:eastAsia="Arial" w:hAnsi="Arial"/>
                <w:sz w:val="16"/>
                <w:szCs w:val="16"/>
                <w:color w:val="auto"/>
              </w:rPr>
              <w:t>111,113</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160,253</w:t>
            </w:r>
          </w:p>
        </w:tc>
        <w:tc>
          <w:tcPr>
            <w:tcW w:w="0" w:type="dxa"/>
            <w:vAlign w:val="bottom"/>
          </w:tcPr>
          <w:p>
            <w:pPr>
              <w:spacing w:after="0"/>
              <w:rPr>
                <w:sz w:val="1"/>
                <w:szCs w:val="1"/>
                <w:color w:val="auto"/>
              </w:rPr>
            </w:pPr>
          </w:p>
        </w:tc>
      </w:tr>
      <w:tr>
        <w:trPr>
          <w:trHeight w:val="270"/>
        </w:trPr>
        <w:tc>
          <w:tcPr>
            <w:tcW w:w="366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060" w:type="dxa"/>
            <w:vAlign w:val="bottom"/>
          </w:tcPr>
          <w:p>
            <w:pPr>
              <w:jc w:val="right"/>
              <w:spacing w:after="0"/>
              <w:rPr>
                <w:sz w:val="20"/>
                <w:szCs w:val="20"/>
                <w:color w:val="auto"/>
              </w:rPr>
            </w:pPr>
            <w:r>
              <w:rPr>
                <w:rFonts w:ascii="Arial" w:cs="Arial" w:eastAsia="Arial" w:hAnsi="Arial"/>
                <w:sz w:val="16"/>
                <w:szCs w:val="16"/>
                <w:color w:val="auto"/>
              </w:rPr>
              <w:t>6,246</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13,228</w:t>
            </w:r>
          </w:p>
        </w:tc>
        <w:tc>
          <w:tcPr>
            <w:tcW w:w="0" w:type="dxa"/>
            <w:vAlign w:val="bottom"/>
          </w:tcPr>
          <w:p>
            <w:pPr>
              <w:spacing w:after="0"/>
              <w:rPr>
                <w:sz w:val="1"/>
                <w:szCs w:val="1"/>
                <w:color w:val="auto"/>
              </w:rPr>
            </w:pPr>
          </w:p>
        </w:tc>
      </w:tr>
      <w:tr>
        <w:trPr>
          <w:trHeight w:val="270"/>
        </w:trPr>
        <w:tc>
          <w:tcPr>
            <w:tcW w:w="366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060" w:type="dxa"/>
            <w:vAlign w:val="bottom"/>
          </w:tcPr>
          <w:p>
            <w:pPr>
              <w:jc w:val="right"/>
              <w:spacing w:after="0"/>
              <w:rPr>
                <w:sz w:val="20"/>
                <w:szCs w:val="20"/>
                <w:color w:val="auto"/>
              </w:rPr>
            </w:pPr>
            <w:r>
              <w:rPr>
                <w:rFonts w:ascii="Arial" w:cs="Arial" w:eastAsia="Arial" w:hAnsi="Arial"/>
                <w:sz w:val="16"/>
                <w:szCs w:val="16"/>
                <w:color w:val="auto"/>
              </w:rPr>
              <w:t>37,082</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27,161</w:t>
            </w:r>
          </w:p>
        </w:tc>
        <w:tc>
          <w:tcPr>
            <w:tcW w:w="0" w:type="dxa"/>
            <w:vAlign w:val="bottom"/>
          </w:tcPr>
          <w:p>
            <w:pPr>
              <w:spacing w:after="0"/>
              <w:rPr>
                <w:sz w:val="1"/>
                <w:szCs w:val="1"/>
                <w:color w:val="auto"/>
              </w:rPr>
            </w:pPr>
          </w:p>
        </w:tc>
      </w:tr>
      <w:tr>
        <w:trPr>
          <w:trHeight w:val="263"/>
        </w:trPr>
        <w:tc>
          <w:tcPr>
            <w:tcW w:w="3660" w:type="dxa"/>
            <w:vAlign w:val="bottom"/>
          </w:tcPr>
          <w:p>
            <w:pPr>
              <w:ind w:left="220"/>
              <w:spacing w:after="0"/>
              <w:rPr>
                <w:sz w:val="20"/>
                <w:szCs w:val="20"/>
                <w:color w:val="auto"/>
              </w:rPr>
            </w:pPr>
            <w:r>
              <w:rPr>
                <w:rFonts w:ascii="Arial" w:cs="Arial" w:eastAsia="Arial" w:hAnsi="Arial"/>
                <w:sz w:val="16"/>
                <w:szCs w:val="16"/>
                <w:color w:val="auto"/>
              </w:rPr>
              <w:t>Assets held for sale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8,498</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66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478,108</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463,956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66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060" w:type="dxa"/>
            <w:vAlign w:val="bottom"/>
          </w:tcPr>
          <w:p>
            <w:pPr>
              <w:jc w:val="right"/>
              <w:spacing w:after="0"/>
              <w:rPr>
                <w:sz w:val="20"/>
                <w:szCs w:val="20"/>
                <w:color w:val="auto"/>
              </w:rPr>
            </w:pPr>
            <w:r>
              <w:rPr>
                <w:rFonts w:ascii="Arial" w:cs="Arial" w:eastAsia="Arial" w:hAnsi="Arial"/>
                <w:sz w:val="16"/>
                <w:szCs w:val="16"/>
                <w:color w:val="auto"/>
              </w:rPr>
              <w:t>1,105,508</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1,248,430</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6"/>
                <w:szCs w:val="16"/>
                <w:color w:val="auto"/>
              </w:rPr>
              <w:t>Goodwill, net</w:t>
            </w:r>
          </w:p>
        </w:tc>
        <w:tc>
          <w:tcPr>
            <w:tcW w:w="1060" w:type="dxa"/>
            <w:vAlign w:val="bottom"/>
          </w:tcPr>
          <w:p>
            <w:pPr>
              <w:jc w:val="right"/>
              <w:spacing w:after="0"/>
              <w:rPr>
                <w:sz w:val="20"/>
                <w:szCs w:val="20"/>
                <w:color w:val="auto"/>
              </w:rPr>
            </w:pPr>
            <w:r>
              <w:rPr>
                <w:rFonts w:ascii="Arial" w:cs="Arial" w:eastAsia="Arial" w:hAnsi="Arial"/>
                <w:sz w:val="16"/>
                <w:szCs w:val="16"/>
                <w:color w:val="auto"/>
              </w:rPr>
              <w:t>44,984</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45,260</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060" w:type="dxa"/>
            <w:vAlign w:val="bottom"/>
          </w:tcPr>
          <w:p>
            <w:pPr>
              <w:jc w:val="right"/>
              <w:spacing w:after="0"/>
              <w:rPr>
                <w:sz w:val="20"/>
                <w:szCs w:val="20"/>
                <w:color w:val="auto"/>
              </w:rPr>
            </w:pPr>
            <w:r>
              <w:rPr>
                <w:rFonts w:ascii="Arial" w:cs="Arial" w:eastAsia="Arial" w:hAnsi="Arial"/>
                <w:sz w:val="16"/>
                <w:szCs w:val="16"/>
                <w:color w:val="auto"/>
              </w:rPr>
              <w:t>43,540</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50,882</w:t>
            </w: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24,584</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20,633</w:t>
            </w:r>
          </w:p>
        </w:tc>
        <w:tc>
          <w:tcPr>
            <w:tcW w:w="0" w:type="dxa"/>
            <w:vAlign w:val="bottom"/>
          </w:tcPr>
          <w:p>
            <w:pPr>
              <w:spacing w:after="0"/>
              <w:rPr>
                <w:sz w:val="1"/>
                <w:szCs w:val="1"/>
                <w:color w:val="auto"/>
              </w:rPr>
            </w:pPr>
          </w:p>
        </w:tc>
      </w:tr>
      <w:tr>
        <w:trPr>
          <w:trHeight w:val="264"/>
        </w:trPr>
        <w:tc>
          <w:tcPr>
            <w:tcW w:w="366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$ 1,696,724</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$ 1,829,161</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6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$ 24,997</w:t>
            </w:r>
          </w:p>
        </w:tc>
        <w:tc>
          <w:tcPr>
            <w:tcW w:w="1200" w:type="dxa"/>
            <w:vAlign w:val="bottom"/>
          </w:tcPr>
          <w:p>
            <w:pPr>
              <w:jc w:val="right"/>
              <w:spacing w:after="0"/>
              <w:rPr>
                <w:sz w:val="20"/>
                <w:szCs w:val="20"/>
                <w:color w:val="auto"/>
              </w:rPr>
            </w:pPr>
            <w:r>
              <w:rPr>
                <w:rFonts w:ascii="Arial" w:cs="Arial" w:eastAsia="Arial" w:hAnsi="Arial"/>
                <w:sz w:val="16"/>
                <w:szCs w:val="16"/>
                <w:color w:val="auto"/>
              </w:rPr>
              <w:t>$ 36,277</w:t>
            </w:r>
          </w:p>
        </w:tc>
        <w:tc>
          <w:tcPr>
            <w:tcW w:w="0" w:type="dxa"/>
            <w:vAlign w:val="bottom"/>
          </w:tcPr>
          <w:p>
            <w:pPr>
              <w:spacing w:after="0"/>
              <w:rPr>
                <w:sz w:val="1"/>
                <w:szCs w:val="1"/>
                <w:color w:val="auto"/>
              </w:rPr>
            </w:pPr>
          </w:p>
        </w:tc>
      </w:tr>
      <w:tr>
        <w:trPr>
          <w:trHeight w:val="270"/>
        </w:trPr>
        <w:tc>
          <w:tcPr>
            <w:tcW w:w="366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1060" w:type="dxa"/>
            <w:vAlign w:val="bottom"/>
          </w:tcPr>
          <w:p>
            <w:pPr>
              <w:jc w:val="right"/>
              <w:spacing w:after="0"/>
              <w:rPr>
                <w:sz w:val="20"/>
                <w:szCs w:val="20"/>
                <w:color w:val="auto"/>
              </w:rPr>
            </w:pPr>
            <w:r>
              <w:rPr>
                <w:rFonts w:ascii="Arial" w:cs="Arial" w:eastAsia="Arial" w:hAnsi="Arial"/>
                <w:sz w:val="16"/>
                <w:szCs w:val="16"/>
                <w:color w:val="auto"/>
              </w:rPr>
              <w:t>15,857</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22,512</w:t>
            </w:r>
          </w:p>
        </w:tc>
        <w:tc>
          <w:tcPr>
            <w:tcW w:w="0" w:type="dxa"/>
            <w:vAlign w:val="bottom"/>
          </w:tcPr>
          <w:p>
            <w:pPr>
              <w:spacing w:after="0"/>
              <w:rPr>
                <w:sz w:val="1"/>
                <w:szCs w:val="1"/>
                <w:color w:val="auto"/>
              </w:rPr>
            </w:pPr>
          </w:p>
        </w:tc>
      </w:tr>
      <w:tr>
        <w:trPr>
          <w:trHeight w:val="270"/>
        </w:trPr>
        <w:tc>
          <w:tcPr>
            <w:tcW w:w="3660" w:type="dxa"/>
            <w:vAlign w:val="bottom"/>
          </w:tcPr>
          <w:p>
            <w:pPr>
              <w:ind w:left="220"/>
              <w:spacing w:after="0"/>
              <w:rPr>
                <w:sz w:val="20"/>
                <w:szCs w:val="20"/>
                <w:color w:val="auto"/>
              </w:rPr>
            </w:pPr>
            <w:r>
              <w:rPr>
                <w:rFonts w:ascii="Arial" w:cs="Arial" w:eastAsia="Arial" w:hAnsi="Arial"/>
                <w:sz w:val="16"/>
                <w:szCs w:val="16"/>
                <w:color w:val="auto"/>
              </w:rPr>
              <w:t>Income taxes</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16</w:t>
            </w:r>
          </w:p>
        </w:tc>
        <w:tc>
          <w:tcPr>
            <w:tcW w:w="120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70"/>
        </w:trPr>
        <w:tc>
          <w:tcPr>
            <w:tcW w:w="366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1060" w:type="dxa"/>
            <w:vAlign w:val="bottom"/>
          </w:tcPr>
          <w:p>
            <w:pPr>
              <w:jc w:val="right"/>
              <w:spacing w:after="0"/>
              <w:rPr>
                <w:sz w:val="20"/>
                <w:szCs w:val="20"/>
                <w:color w:val="auto"/>
              </w:rPr>
            </w:pPr>
            <w:r>
              <w:rPr>
                <w:rFonts w:ascii="Arial" w:cs="Arial" w:eastAsia="Arial" w:hAnsi="Arial"/>
                <w:sz w:val="16"/>
                <w:szCs w:val="16"/>
                <w:color w:val="auto"/>
              </w:rPr>
              <w:t>38,750</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19,375</w:t>
            </w:r>
          </w:p>
        </w:tc>
        <w:tc>
          <w:tcPr>
            <w:tcW w:w="0" w:type="dxa"/>
            <w:vAlign w:val="bottom"/>
          </w:tcPr>
          <w:p>
            <w:pPr>
              <w:spacing w:after="0"/>
              <w:rPr>
                <w:sz w:val="1"/>
                <w:szCs w:val="1"/>
                <w:color w:val="auto"/>
              </w:rPr>
            </w:pPr>
          </w:p>
        </w:tc>
      </w:tr>
      <w:tr>
        <w:trPr>
          <w:trHeight w:val="270"/>
        </w:trPr>
        <w:tc>
          <w:tcPr>
            <w:tcW w:w="366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060" w:type="dxa"/>
            <w:vAlign w:val="bottom"/>
          </w:tcPr>
          <w:p>
            <w:pPr>
              <w:jc w:val="right"/>
              <w:spacing w:after="0"/>
              <w:rPr>
                <w:sz w:val="20"/>
                <w:szCs w:val="20"/>
                <w:color w:val="auto"/>
              </w:rPr>
            </w:pPr>
            <w:r>
              <w:rPr>
                <w:rFonts w:ascii="Arial" w:cs="Arial" w:eastAsia="Arial" w:hAnsi="Arial"/>
                <w:sz w:val="16"/>
                <w:szCs w:val="16"/>
                <w:color w:val="auto"/>
              </w:rPr>
              <w:t>13,083</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18,539</w:t>
            </w:r>
          </w:p>
        </w:tc>
        <w:tc>
          <w:tcPr>
            <w:tcW w:w="0" w:type="dxa"/>
            <w:vAlign w:val="bottom"/>
          </w:tcPr>
          <w:p>
            <w:pPr>
              <w:spacing w:after="0"/>
              <w:rPr>
                <w:sz w:val="1"/>
                <w:szCs w:val="1"/>
                <w:color w:val="auto"/>
              </w:rPr>
            </w:pPr>
          </w:p>
        </w:tc>
      </w:tr>
      <w:tr>
        <w:trPr>
          <w:trHeight w:val="263"/>
        </w:trPr>
        <w:tc>
          <w:tcPr>
            <w:tcW w:w="366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21,659</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21,677</w:t>
            </w:r>
          </w:p>
        </w:tc>
        <w:tc>
          <w:tcPr>
            <w:tcW w:w="0" w:type="dxa"/>
            <w:vAlign w:val="bottom"/>
          </w:tcPr>
          <w:p>
            <w:pPr>
              <w:spacing w:after="0"/>
              <w:rPr>
                <w:sz w:val="1"/>
                <w:szCs w:val="1"/>
                <w:color w:val="auto"/>
              </w:rPr>
            </w:pPr>
          </w:p>
        </w:tc>
      </w:tr>
      <w:tr>
        <w:trPr>
          <w:trHeight w:val="271"/>
        </w:trPr>
        <w:tc>
          <w:tcPr>
            <w:tcW w:w="366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060" w:type="dxa"/>
            <w:vAlign w:val="bottom"/>
          </w:tcPr>
          <w:p>
            <w:pPr>
              <w:jc w:val="right"/>
              <w:spacing w:after="0"/>
              <w:rPr>
                <w:sz w:val="20"/>
                <w:szCs w:val="20"/>
                <w:color w:val="auto"/>
              </w:rPr>
            </w:pPr>
            <w:r>
              <w:rPr>
                <w:rFonts w:ascii="Arial" w:cs="Arial" w:eastAsia="Arial" w:hAnsi="Arial"/>
                <w:sz w:val="16"/>
                <w:szCs w:val="16"/>
                <w:color w:val="auto"/>
              </w:rPr>
              <w:t>114,362</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118,441</w:t>
            </w:r>
          </w:p>
        </w:tc>
        <w:tc>
          <w:tcPr>
            <w:tcW w:w="0" w:type="dxa"/>
            <w:vAlign w:val="bottom"/>
          </w:tcPr>
          <w:p>
            <w:pPr>
              <w:spacing w:after="0"/>
              <w:rPr>
                <w:sz w:val="1"/>
                <w:szCs w:val="1"/>
                <w:color w:val="auto"/>
              </w:rPr>
            </w:pPr>
          </w:p>
        </w:tc>
      </w:tr>
      <w:tr>
        <w:trPr>
          <w:trHeight w:val="540"/>
        </w:trPr>
        <w:tc>
          <w:tcPr>
            <w:tcW w:w="3660" w:type="dxa"/>
            <w:vAlign w:val="bottom"/>
          </w:tcPr>
          <w:p>
            <w:pPr>
              <w:spacing w:after="0"/>
              <w:rPr>
                <w:sz w:val="20"/>
                <w:szCs w:val="20"/>
                <w:color w:val="auto"/>
              </w:rPr>
            </w:pPr>
            <w:r>
              <w:rPr>
                <w:rFonts w:ascii="Arial" w:cs="Arial" w:eastAsia="Arial" w:hAnsi="Arial"/>
                <w:sz w:val="16"/>
                <w:szCs w:val="16"/>
                <w:color w:val="auto"/>
              </w:rPr>
              <w:t>Long-term debt to third-parties</w:t>
            </w:r>
          </w:p>
        </w:tc>
        <w:tc>
          <w:tcPr>
            <w:tcW w:w="1060" w:type="dxa"/>
            <w:vAlign w:val="bottom"/>
          </w:tcPr>
          <w:p>
            <w:pPr>
              <w:jc w:val="right"/>
              <w:spacing w:after="0"/>
              <w:rPr>
                <w:sz w:val="20"/>
                <w:szCs w:val="20"/>
                <w:color w:val="auto"/>
              </w:rPr>
            </w:pPr>
            <w:r>
              <w:rPr>
                <w:rFonts w:ascii="Arial" w:cs="Arial" w:eastAsia="Arial" w:hAnsi="Arial"/>
                <w:sz w:val="16"/>
                <w:szCs w:val="16"/>
                <w:color w:val="auto"/>
              </w:rPr>
              <w:t>736,250</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755,625</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color w:val="auto"/>
              </w:rPr>
              <w:t>52,993</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55,500</w:t>
            </w: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37,778</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39,486</w:t>
            </w:r>
          </w:p>
        </w:tc>
        <w:tc>
          <w:tcPr>
            <w:tcW w:w="0" w:type="dxa"/>
            <w:vAlign w:val="bottom"/>
          </w:tcPr>
          <w:p>
            <w:pPr>
              <w:spacing w:after="0"/>
              <w:rPr>
                <w:sz w:val="1"/>
                <w:szCs w:val="1"/>
                <w:color w:val="auto"/>
              </w:rPr>
            </w:pPr>
          </w:p>
        </w:tc>
      </w:tr>
      <w:tr>
        <w:trPr>
          <w:trHeight w:val="271"/>
        </w:trPr>
        <w:tc>
          <w:tcPr>
            <w:tcW w:w="366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1060" w:type="dxa"/>
            <w:vAlign w:val="bottom"/>
          </w:tcPr>
          <w:p>
            <w:pPr>
              <w:jc w:val="right"/>
              <w:spacing w:after="0"/>
              <w:rPr>
                <w:sz w:val="20"/>
                <w:szCs w:val="20"/>
                <w:color w:val="auto"/>
              </w:rPr>
            </w:pPr>
            <w:r>
              <w:rPr>
                <w:rFonts w:ascii="Arial" w:cs="Arial" w:eastAsia="Arial" w:hAnsi="Arial"/>
                <w:sz w:val="16"/>
                <w:szCs w:val="16"/>
                <w:color w:val="auto"/>
              </w:rPr>
              <w:t>941,383</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969,052</w:t>
            </w:r>
          </w:p>
        </w:tc>
        <w:tc>
          <w:tcPr>
            <w:tcW w:w="0" w:type="dxa"/>
            <w:vAlign w:val="bottom"/>
          </w:tcPr>
          <w:p>
            <w:pPr>
              <w:spacing w:after="0"/>
              <w:rPr>
                <w:sz w:val="1"/>
                <w:szCs w:val="1"/>
                <w:color w:val="auto"/>
              </w:rPr>
            </w:pPr>
          </w:p>
        </w:tc>
      </w:tr>
      <w:tr>
        <w:trPr>
          <w:trHeight w:val="540"/>
        </w:trPr>
        <w:tc>
          <w:tcPr>
            <w:tcW w:w="3660" w:type="dxa"/>
            <w:vAlign w:val="bottom"/>
          </w:tcPr>
          <w:p>
            <w:pPr>
              <w:spacing w:after="0"/>
              <w:rPr>
                <w:sz w:val="20"/>
                <w:szCs w:val="20"/>
                <w:color w:val="auto"/>
              </w:rPr>
            </w:pPr>
            <w:r>
              <w:rPr>
                <w:rFonts w:ascii="Arial" w:cs="Arial" w:eastAsia="Arial" w:hAnsi="Arial"/>
                <w:sz w:val="16"/>
                <w:szCs w:val="16"/>
                <w:color w:val="auto"/>
              </w:rPr>
              <w:t>Stockholders' equity:</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340"/>
              <w:spacing w:after="0"/>
              <w:rPr>
                <w:sz w:val="20"/>
                <w:szCs w:val="20"/>
                <w:color w:val="auto"/>
              </w:rPr>
            </w:pPr>
            <w:r>
              <w:rPr>
                <w:rFonts w:ascii="Arial" w:cs="Arial" w:eastAsia="Arial" w:hAnsi="Arial"/>
                <w:sz w:val="16"/>
                <w:szCs w:val="16"/>
                <w:color w:val="auto"/>
              </w:rPr>
              <w:t>Common stock</w:t>
            </w:r>
          </w:p>
        </w:tc>
        <w:tc>
          <w:tcPr>
            <w:tcW w:w="1060" w:type="dxa"/>
            <w:vAlign w:val="bottom"/>
          </w:tcPr>
          <w:p>
            <w:pPr>
              <w:jc w:val="right"/>
              <w:spacing w:after="0"/>
              <w:rPr>
                <w:sz w:val="20"/>
                <w:szCs w:val="20"/>
                <w:color w:val="auto"/>
              </w:rPr>
            </w:pPr>
            <w:r>
              <w:rPr>
                <w:rFonts w:ascii="Arial" w:cs="Arial" w:eastAsia="Arial" w:hAnsi="Arial"/>
                <w:sz w:val="16"/>
                <w:szCs w:val="16"/>
                <w:color w:val="auto"/>
              </w:rPr>
              <w:t>1,075</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270"/>
        </w:trPr>
        <w:tc>
          <w:tcPr>
            <w:tcW w:w="366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1060" w:type="dxa"/>
            <w:vAlign w:val="bottom"/>
          </w:tcPr>
          <w:p>
            <w:pPr>
              <w:jc w:val="right"/>
              <w:spacing w:after="0"/>
              <w:rPr>
                <w:sz w:val="20"/>
                <w:szCs w:val="20"/>
                <w:color w:val="auto"/>
              </w:rPr>
            </w:pPr>
            <w:r>
              <w:rPr>
                <w:rFonts w:ascii="Arial" w:cs="Arial" w:eastAsia="Arial" w:hAnsi="Arial"/>
                <w:sz w:val="16"/>
                <w:szCs w:val="16"/>
                <w:color w:val="auto"/>
              </w:rPr>
              <w:t>1,302,864</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1,300,042</w:t>
            </w:r>
          </w:p>
        </w:tc>
        <w:tc>
          <w:tcPr>
            <w:tcW w:w="0" w:type="dxa"/>
            <w:vAlign w:val="bottom"/>
          </w:tcPr>
          <w:p>
            <w:pPr>
              <w:spacing w:after="0"/>
              <w:rPr>
                <w:sz w:val="1"/>
                <w:szCs w:val="1"/>
                <w:color w:val="auto"/>
              </w:rPr>
            </w:pPr>
          </w:p>
        </w:tc>
      </w:tr>
      <w:tr>
        <w:trPr>
          <w:trHeight w:val="270"/>
        </w:trPr>
        <w:tc>
          <w:tcPr>
            <w:tcW w:w="3660" w:type="dxa"/>
            <w:vAlign w:val="bottom"/>
          </w:tcPr>
          <w:p>
            <w:pPr>
              <w:ind w:left="340"/>
              <w:spacing w:after="0"/>
              <w:rPr>
                <w:sz w:val="20"/>
                <w:szCs w:val="20"/>
                <w:color w:val="auto"/>
              </w:rPr>
            </w:pPr>
            <w:r>
              <w:rPr>
                <w:rFonts w:ascii="Arial" w:cs="Arial" w:eastAsia="Arial" w:hAnsi="Arial"/>
                <w:sz w:val="16"/>
                <w:szCs w:val="16"/>
                <w:color w:val="auto"/>
              </w:rPr>
              <w:t>Accumulated deficit</w:t>
            </w:r>
          </w:p>
        </w:tc>
        <w:tc>
          <w:tcPr>
            <w:tcW w:w="1060" w:type="dxa"/>
            <w:vAlign w:val="bottom"/>
          </w:tcPr>
          <w:p>
            <w:pPr>
              <w:jc w:val="right"/>
              <w:spacing w:after="0"/>
              <w:rPr>
                <w:sz w:val="20"/>
                <w:szCs w:val="20"/>
                <w:color w:val="auto"/>
              </w:rPr>
            </w:pPr>
            <w:r>
              <w:rPr>
                <w:rFonts w:ascii="Arial" w:cs="Arial" w:eastAsia="Arial" w:hAnsi="Arial"/>
                <w:sz w:val="16"/>
                <w:szCs w:val="16"/>
                <w:color w:val="auto"/>
              </w:rPr>
              <w:t>(258,094)</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(244,617)</w:t>
            </w:r>
          </w:p>
        </w:tc>
        <w:tc>
          <w:tcPr>
            <w:tcW w:w="0" w:type="dxa"/>
            <w:vAlign w:val="bottom"/>
          </w:tcPr>
          <w:p>
            <w:pPr>
              <w:spacing w:after="0"/>
              <w:rPr>
                <w:sz w:val="1"/>
                <w:szCs w:val="1"/>
                <w:color w:val="auto"/>
              </w:rPr>
            </w:pPr>
          </w:p>
        </w:tc>
      </w:tr>
      <w:tr>
        <w:trPr>
          <w:trHeight w:val="270"/>
        </w:trPr>
        <w:tc>
          <w:tcPr>
            <w:tcW w:w="3660" w:type="dxa"/>
            <w:vAlign w:val="bottom"/>
          </w:tcPr>
          <w:p>
            <w:pPr>
              <w:ind w:left="340"/>
              <w:spacing w:after="0"/>
              <w:rPr>
                <w:sz w:val="20"/>
                <w:szCs w:val="20"/>
                <w:color w:val="auto"/>
              </w:rPr>
            </w:pPr>
            <w:r>
              <w:rPr>
                <w:rFonts w:ascii="Arial" w:cs="Arial" w:eastAsia="Arial" w:hAnsi="Arial"/>
                <w:sz w:val="16"/>
                <w:szCs w:val="16"/>
                <w:color w:val="auto"/>
              </w:rPr>
              <w:t>Treasury stock</w:t>
            </w:r>
          </w:p>
        </w:tc>
        <w:tc>
          <w:tcPr>
            <w:tcW w:w="1060" w:type="dxa"/>
            <w:vAlign w:val="bottom"/>
          </w:tcPr>
          <w:p>
            <w:pPr>
              <w:jc w:val="right"/>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3660" w:type="dxa"/>
            <w:vAlign w:val="bottom"/>
          </w:tcPr>
          <w:p>
            <w:pPr>
              <w:ind w:left="340"/>
              <w:spacing w:after="0"/>
              <w:rPr>
                <w:sz w:val="20"/>
                <w:szCs w:val="20"/>
                <w:color w:val="auto"/>
              </w:rPr>
            </w:pPr>
            <w:r>
              <w:rPr>
                <w:rFonts w:ascii="Arial" w:cs="Arial" w:eastAsia="Arial" w:hAnsi="Arial"/>
                <w:sz w:val="16"/>
                <w:szCs w:val="16"/>
                <w:color w:val="auto"/>
              </w:rPr>
              <w:t>Accumulated other comprehensive loss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(291,088)</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(198,491)</w:t>
            </w:r>
          </w:p>
        </w:tc>
        <w:tc>
          <w:tcPr>
            <w:tcW w:w="0" w:type="dxa"/>
            <w:vAlign w:val="bottom"/>
          </w:tcPr>
          <w:p>
            <w:pPr>
              <w:spacing w:after="0"/>
              <w:rPr>
                <w:sz w:val="1"/>
                <w:szCs w:val="1"/>
                <w:color w:val="auto"/>
              </w:rPr>
            </w:pPr>
          </w:p>
        </w:tc>
      </w:tr>
      <w:tr>
        <w:trPr>
          <w:trHeight w:val="264"/>
        </w:trPr>
        <w:tc>
          <w:tcPr>
            <w:tcW w:w="3660" w:type="dxa"/>
            <w:vAlign w:val="bottom"/>
          </w:tcPr>
          <w:p>
            <w:pPr>
              <w:ind w:left="420"/>
              <w:spacing w:after="0"/>
              <w:rPr>
                <w:sz w:val="20"/>
                <w:szCs w:val="20"/>
                <w:color w:val="auto"/>
              </w:rPr>
            </w:pPr>
            <w:r>
              <w:rPr>
                <w:rFonts w:ascii="Arial" w:cs="Arial" w:eastAsia="Arial" w:hAnsi="Arial"/>
                <w:sz w:val="16"/>
                <w:szCs w:val="16"/>
                <w:color w:val="auto"/>
              </w:rPr>
              <w:t>Total Civeo Corporation stockholders' equity</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754,611</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858,001</w:t>
            </w: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730</w:t>
            </w:r>
          </w:p>
        </w:tc>
        <w:tc>
          <w:tcPr>
            <w:tcW w:w="1200" w:type="dxa"/>
            <w:vAlign w:val="bottom"/>
          </w:tcPr>
          <w:p>
            <w:pPr>
              <w:jc w:val="right"/>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264"/>
        </w:trPr>
        <w:tc>
          <w:tcPr>
            <w:tcW w:w="3660" w:type="dxa"/>
            <w:vAlign w:val="bottom"/>
          </w:tcPr>
          <w:p>
            <w:pPr>
              <w:ind w:left="220"/>
              <w:spacing w:after="0"/>
              <w:rPr>
                <w:sz w:val="20"/>
                <w:szCs w:val="20"/>
                <w:color w:val="auto"/>
              </w:rPr>
            </w:pPr>
            <w:r>
              <w:rPr>
                <w:rFonts w:ascii="Arial" w:cs="Arial" w:eastAsia="Arial" w:hAnsi="Arial"/>
                <w:sz w:val="16"/>
                <w:szCs w:val="16"/>
                <w:color w:val="auto"/>
              </w:rPr>
              <w:t>Total stockholders' equity</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755,341</w:t>
            </w:r>
          </w:p>
        </w:tc>
        <w:tc>
          <w:tcPr>
            <w:tcW w:w="8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860,109</w:t>
            </w:r>
          </w:p>
        </w:tc>
        <w:tc>
          <w:tcPr>
            <w:tcW w:w="0" w:type="dxa"/>
            <w:vAlign w:val="bottom"/>
          </w:tcPr>
          <w:p>
            <w:pPr>
              <w:spacing w:after="0"/>
              <w:rPr>
                <w:sz w:val="1"/>
                <w:szCs w:val="1"/>
                <w:color w:val="auto"/>
              </w:rPr>
            </w:pPr>
          </w:p>
        </w:tc>
      </w:tr>
      <w:tr>
        <w:trPr>
          <w:trHeight w:val="264"/>
        </w:trPr>
        <w:tc>
          <w:tcPr>
            <w:tcW w:w="3660" w:type="dxa"/>
            <w:vAlign w:val="bottom"/>
          </w:tcPr>
          <w:p>
            <w:pPr>
              <w:ind w:left="340"/>
              <w:spacing w:after="0"/>
              <w:rPr>
                <w:sz w:val="20"/>
                <w:szCs w:val="20"/>
                <w:color w:val="auto"/>
              </w:rPr>
            </w:pPr>
            <w:r>
              <w:rPr>
                <w:rFonts w:ascii="Arial" w:cs="Arial" w:eastAsia="Arial" w:hAnsi="Arial"/>
                <w:sz w:val="16"/>
                <w:szCs w:val="16"/>
                <w:color w:val="auto"/>
              </w:rPr>
              <w:t>Total liabilities and stockholders' equity</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$ 1,696,724</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$ 1,829,161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740"/>
        <w:spacing w:after="0"/>
        <w:rPr>
          <w:sz w:val="20"/>
          <w:szCs w:val="20"/>
          <w:color w:val="auto"/>
        </w:rPr>
      </w:pPr>
      <w:r>
        <w:rPr>
          <w:rFonts w:ascii="Arial" w:cs="Arial" w:eastAsia="Arial" w:hAnsi="Arial"/>
          <w:sz w:val="16"/>
          <w:szCs w:val="16"/>
          <w:b w:val="1"/>
          <w:bCs w:val="1"/>
          <w:color w:val="auto"/>
        </w:rPr>
        <w:t>CIVEO CORPORATION</w:t>
      </w:r>
    </w:p>
    <w:p>
      <w:pPr>
        <w:spacing w:after="0" w:line="86" w:lineRule="exact"/>
        <w:rPr>
          <w:sz w:val="20"/>
          <w:szCs w:val="20"/>
          <w:color w:val="auto"/>
        </w:rPr>
      </w:pPr>
    </w:p>
    <w:p>
      <w:pPr>
        <w:jc w:val="center"/>
        <w:ind w:right="3740"/>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86" w:lineRule="exact"/>
        <w:rPr>
          <w:sz w:val="20"/>
          <w:szCs w:val="20"/>
          <w:color w:val="auto"/>
        </w:rPr>
      </w:pPr>
    </w:p>
    <w:p>
      <w:pPr>
        <w:jc w:val="center"/>
        <w:ind w:right="3740"/>
        <w:spacing w:after="0"/>
        <w:rPr>
          <w:sz w:val="20"/>
          <w:szCs w:val="20"/>
          <w:color w:val="auto"/>
        </w:rPr>
      </w:pPr>
      <w:r>
        <w:rPr>
          <w:rFonts w:ascii="Arial" w:cs="Arial" w:eastAsia="Arial" w:hAnsi="Arial"/>
          <w:sz w:val="16"/>
          <w:szCs w:val="16"/>
          <w:b w:val="1"/>
          <w:bCs w:val="1"/>
          <w:color w:val="auto"/>
        </w:rPr>
        <w:t>(in thousands)</w:t>
      </w:r>
    </w:p>
    <w:p>
      <w:pPr>
        <w:spacing w:after="0" w:line="356" w:lineRule="exact"/>
        <w:rPr>
          <w:sz w:val="20"/>
          <w:szCs w:val="20"/>
          <w:color w:val="auto"/>
        </w:rPr>
      </w:pPr>
    </w:p>
    <w:p>
      <w:pPr>
        <w:jc w:val="center"/>
        <w:ind w:left="2100"/>
        <w:spacing w:after="0"/>
        <w:rPr>
          <w:sz w:val="20"/>
          <w:szCs w:val="20"/>
          <w:color w:val="auto"/>
        </w:rPr>
      </w:pPr>
      <w:r>
        <w:rPr>
          <w:rFonts w:ascii="Arial" w:cs="Arial" w:eastAsia="Arial" w:hAnsi="Arial"/>
          <w:sz w:val="16"/>
          <w:szCs w:val="16"/>
          <w:b w:val="1"/>
          <w:bCs w:val="1"/>
          <w:color w:val="auto"/>
        </w:rPr>
        <w:t>SIX MONTHS ENDED</w:t>
      </w:r>
    </w:p>
    <w:p>
      <w:pPr>
        <w:spacing w:after="0" w:line="86" w:lineRule="exact"/>
        <w:rPr>
          <w:sz w:val="20"/>
          <w:szCs w:val="20"/>
          <w:color w:val="auto"/>
        </w:rPr>
      </w:pPr>
    </w:p>
    <w:p>
      <w:pPr>
        <w:jc w:val="center"/>
        <w:ind w:left="2100"/>
        <w:spacing w:after="0"/>
        <w:rPr>
          <w:sz w:val="20"/>
          <w:szCs w:val="20"/>
          <w:color w:val="auto"/>
        </w:rPr>
      </w:pPr>
      <w:r>
        <w:rPr>
          <w:rFonts w:ascii="Arial" w:cs="Arial" w:eastAsia="Arial" w:hAnsi="Arial"/>
          <w:sz w:val="16"/>
          <w:szCs w:val="16"/>
          <w:b w:val="1"/>
          <w:bCs w:val="1"/>
          <w:color w:val="auto"/>
        </w:rPr>
        <w:t>JUNE 30,</w:t>
      </w:r>
    </w:p>
    <w:p>
      <w:pPr>
        <w:spacing w:after="0" w:line="86" w:lineRule="exact"/>
        <w:rPr>
          <w:sz w:val="20"/>
          <w:szCs w:val="20"/>
          <w:color w:val="auto"/>
        </w:rPr>
      </w:pPr>
    </w:p>
    <w:p>
      <w:pPr>
        <w:ind w:left="6080"/>
        <w:spacing w:after="0"/>
        <w:tabs>
          <w:tab w:leader="none" w:pos="692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0" w:lineRule="exact"/>
        <w:rPr>
          <w:sz w:val="20"/>
          <w:szCs w:val="20"/>
          <w:color w:val="auto"/>
        </w:rPr>
      </w:pPr>
    </w:p>
    <w:p>
      <w:pPr>
        <w:sectPr>
          <w:pgSz w:w="11900" w:h="16874" w:orient="portrait"/>
          <w:cols w:equalWidth="0" w:num="1">
            <w:col w:w="11260"/>
          </w:cols>
          <w:pgMar w:left="320" w:top="411" w:right="31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2620" w:type="dxa"/>
            <w:vAlign w:val="bottom"/>
            <w:gridSpan w:val="2"/>
          </w:tcPr>
          <w:p>
            <w:pPr>
              <w:spacing w:after="0"/>
              <w:rPr>
                <w:sz w:val="20"/>
                <w:szCs w:val="20"/>
                <w:color w:val="auto"/>
              </w:rPr>
            </w:pPr>
            <w:r>
              <w:rPr>
                <w:rFonts w:ascii="Arial" w:cs="Arial" w:eastAsia="Arial" w:hAnsi="Arial"/>
                <w:sz w:val="16"/>
                <w:szCs w:val="16"/>
                <w:color w:val="auto"/>
              </w:rPr>
              <w:t>Cash flows from operating activities: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6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 (13,039)</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$ 50,881</w:t>
            </w:r>
          </w:p>
        </w:tc>
        <w:tc>
          <w:tcPr>
            <w:tcW w:w="0" w:type="dxa"/>
            <w:vAlign w:val="bottom"/>
          </w:tcPr>
          <w:p>
            <w:pPr>
              <w:spacing w:after="0"/>
              <w:rPr>
                <w:sz w:val="1"/>
                <w:szCs w:val="1"/>
                <w:color w:val="auto"/>
              </w:rPr>
            </w:pPr>
          </w:p>
        </w:tc>
      </w:tr>
      <w:tr>
        <w:trPr>
          <w:trHeight w:val="270"/>
        </w:trPr>
        <w:tc>
          <w:tcPr>
            <w:tcW w:w="6740" w:type="dxa"/>
            <w:vAlign w:val="bottom"/>
            <w:gridSpan w:val="13"/>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gridSpan w:val="2"/>
          </w:tcPr>
          <w:p>
            <w:pPr>
              <w:ind w:left="140"/>
              <w:spacing w:after="0"/>
              <w:rPr>
                <w:sz w:val="20"/>
                <w:szCs w:val="20"/>
                <w:color w:val="auto"/>
              </w:rPr>
            </w:pPr>
            <w:r>
              <w:rPr>
                <w:rFonts w:ascii="Arial" w:cs="Arial" w:eastAsia="Arial" w:hAnsi="Arial"/>
                <w:sz w:val="16"/>
                <w:szCs w:val="16"/>
                <w:color w:val="auto"/>
              </w:rPr>
              <w:t>Depreciation and amortization</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84,987</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82,012</w:t>
            </w:r>
          </w:p>
        </w:tc>
        <w:tc>
          <w:tcPr>
            <w:tcW w:w="0" w:type="dxa"/>
            <w:vAlign w:val="bottom"/>
          </w:tcPr>
          <w:p>
            <w:pPr>
              <w:spacing w:after="0"/>
              <w:rPr>
                <w:sz w:val="1"/>
                <w:szCs w:val="1"/>
                <w:color w:val="auto"/>
              </w:rPr>
            </w:pPr>
          </w:p>
        </w:tc>
      </w:tr>
      <w:tr>
        <w:trPr>
          <w:trHeight w:val="270"/>
        </w:trPr>
        <w:tc>
          <w:tcPr>
            <w:tcW w:w="2620" w:type="dxa"/>
            <w:vAlign w:val="bottom"/>
            <w:gridSpan w:val="2"/>
          </w:tcPr>
          <w:p>
            <w:pPr>
              <w:ind w:left="140"/>
              <w:spacing w:after="0"/>
              <w:rPr>
                <w:sz w:val="20"/>
                <w:szCs w:val="20"/>
                <w:color w:val="auto"/>
              </w:rPr>
            </w:pPr>
            <w:r>
              <w:rPr>
                <w:rFonts w:ascii="Arial" w:cs="Arial" w:eastAsia="Arial" w:hAnsi="Arial"/>
                <w:sz w:val="16"/>
                <w:szCs w:val="16"/>
                <w:color w:val="auto"/>
              </w:rPr>
              <w:t>Impairment charges</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12,211</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11,610</w:t>
            </w:r>
          </w:p>
        </w:tc>
        <w:tc>
          <w:tcPr>
            <w:tcW w:w="0" w:type="dxa"/>
            <w:vAlign w:val="bottom"/>
          </w:tcPr>
          <w:p>
            <w:pPr>
              <w:spacing w:after="0"/>
              <w:rPr>
                <w:sz w:val="1"/>
                <w:szCs w:val="1"/>
                <w:color w:val="auto"/>
              </w:rPr>
            </w:pPr>
          </w:p>
        </w:tc>
      </w:tr>
      <w:tr>
        <w:trPr>
          <w:trHeight w:val="270"/>
        </w:trPr>
        <w:tc>
          <w:tcPr>
            <w:tcW w:w="2620" w:type="dxa"/>
            <w:vAlign w:val="bottom"/>
            <w:gridSpan w:val="2"/>
          </w:tcPr>
          <w:p>
            <w:pPr>
              <w:ind w:left="140"/>
              <w:spacing w:after="0"/>
              <w:rPr>
                <w:sz w:val="20"/>
                <w:szCs w:val="20"/>
                <w:color w:val="auto"/>
              </w:rPr>
            </w:pPr>
            <w:r>
              <w:rPr>
                <w:rFonts w:ascii="Arial" w:cs="Arial" w:eastAsia="Arial" w:hAnsi="Arial"/>
                <w:sz w:val="16"/>
                <w:szCs w:val="16"/>
                <w:color w:val="auto"/>
              </w:rPr>
              <w:t>Inventory write-down</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1,015</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620" w:type="dxa"/>
            <w:vAlign w:val="bottom"/>
            <w:gridSpan w:val="2"/>
          </w:tcPr>
          <w:p>
            <w:pPr>
              <w:ind w:left="140"/>
              <w:spacing w:after="0"/>
              <w:rPr>
                <w:sz w:val="20"/>
                <w:szCs w:val="20"/>
                <w:color w:val="auto"/>
              </w:rPr>
            </w:pPr>
            <w:r>
              <w:rPr>
                <w:rFonts w:ascii="Arial" w:cs="Arial" w:eastAsia="Arial" w:hAnsi="Arial"/>
                <w:sz w:val="16"/>
                <w:szCs w:val="16"/>
                <w:color w:val="auto"/>
              </w:rPr>
              <w:t>Loss on extinguishment of debt</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3,455</w:t>
            </w:r>
          </w:p>
        </w:tc>
        <w:tc>
          <w:tcPr>
            <w:tcW w:w="0" w:type="dxa"/>
            <w:vAlign w:val="bottom"/>
          </w:tcPr>
          <w:p>
            <w:pPr>
              <w:spacing w:after="0"/>
              <w:rPr>
                <w:sz w:val="1"/>
                <w:szCs w:val="1"/>
                <w:color w:val="auto"/>
              </w:rPr>
            </w:pPr>
          </w:p>
        </w:tc>
      </w:tr>
      <w:tr>
        <w:trPr>
          <w:trHeight w:val="270"/>
        </w:trPr>
        <w:tc>
          <w:tcPr>
            <w:tcW w:w="3660" w:type="dxa"/>
            <w:vAlign w:val="bottom"/>
            <w:gridSpan w:val="5"/>
          </w:tcPr>
          <w:p>
            <w:pPr>
              <w:ind w:left="140"/>
              <w:spacing w:after="0"/>
              <w:rPr>
                <w:sz w:val="20"/>
                <w:szCs w:val="20"/>
                <w:color w:val="auto"/>
              </w:rPr>
            </w:pPr>
            <w:r>
              <w:rPr>
                <w:rFonts w:ascii="Arial" w:cs="Arial" w:eastAsia="Arial" w:hAnsi="Arial"/>
                <w:sz w:val="16"/>
                <w:szCs w:val="16"/>
                <w:color w:val="auto"/>
              </w:rPr>
              <w:t>Deferred income tax provision (benefit)</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6"/>
                <w:szCs w:val="16"/>
                <w:color w:val="auto"/>
              </w:rPr>
              <w:t>(7,469)</w:t>
            </w:r>
          </w:p>
        </w:tc>
        <w:tc>
          <w:tcPr>
            <w:tcW w:w="760" w:type="dxa"/>
            <w:vAlign w:val="bottom"/>
          </w:tcPr>
          <w:p>
            <w:pPr>
              <w:jc w:val="right"/>
              <w:spacing w:after="0"/>
              <w:rPr>
                <w:sz w:val="20"/>
                <w:szCs w:val="20"/>
                <w:color w:val="auto"/>
              </w:rPr>
            </w:pPr>
            <w:r>
              <w:rPr>
                <w:rFonts w:ascii="Arial" w:cs="Arial" w:eastAsia="Arial" w:hAnsi="Arial"/>
                <w:sz w:val="16"/>
                <w:szCs w:val="16"/>
                <w:color w:val="auto"/>
              </w:rPr>
              <w:t>(7,151)</w:t>
            </w:r>
          </w:p>
        </w:tc>
        <w:tc>
          <w:tcPr>
            <w:tcW w:w="0" w:type="dxa"/>
            <w:vAlign w:val="bottom"/>
          </w:tcPr>
          <w:p>
            <w:pPr>
              <w:spacing w:after="0"/>
              <w:rPr>
                <w:sz w:val="1"/>
                <w:szCs w:val="1"/>
                <w:color w:val="auto"/>
              </w:rPr>
            </w:pPr>
          </w:p>
        </w:tc>
      </w:tr>
      <w:tr>
        <w:trPr>
          <w:trHeight w:val="270"/>
        </w:trPr>
        <w:tc>
          <w:tcPr>
            <w:tcW w:w="2620" w:type="dxa"/>
            <w:vAlign w:val="bottom"/>
            <w:gridSpan w:val="2"/>
          </w:tcPr>
          <w:p>
            <w:pPr>
              <w:ind w:left="140"/>
              <w:spacing w:after="0"/>
              <w:rPr>
                <w:sz w:val="20"/>
                <w:szCs w:val="20"/>
                <w:color w:val="auto"/>
              </w:rPr>
            </w:pPr>
            <w:r>
              <w:rPr>
                <w:rFonts w:ascii="Arial" w:cs="Arial" w:eastAsia="Arial" w:hAnsi="Arial"/>
                <w:sz w:val="16"/>
                <w:szCs w:val="16"/>
                <w:color w:val="auto"/>
              </w:rPr>
              <w:t>Non-cash compensation charge</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2,331</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5,419</w:t>
            </w:r>
          </w:p>
        </w:tc>
        <w:tc>
          <w:tcPr>
            <w:tcW w:w="0" w:type="dxa"/>
            <w:vAlign w:val="bottom"/>
          </w:tcPr>
          <w:p>
            <w:pPr>
              <w:spacing w:after="0"/>
              <w:rPr>
                <w:sz w:val="1"/>
                <w:szCs w:val="1"/>
                <w:color w:val="auto"/>
              </w:rPr>
            </w:pPr>
          </w:p>
        </w:tc>
      </w:tr>
      <w:tr>
        <w:trPr>
          <w:trHeight w:val="270"/>
        </w:trPr>
        <w:tc>
          <w:tcPr>
            <w:tcW w:w="3660" w:type="dxa"/>
            <w:vAlign w:val="bottom"/>
            <w:gridSpan w:val="5"/>
          </w:tcPr>
          <w:p>
            <w:pPr>
              <w:ind w:left="140"/>
              <w:spacing w:after="0"/>
              <w:rPr>
                <w:sz w:val="20"/>
                <w:szCs w:val="20"/>
                <w:color w:val="auto"/>
              </w:rPr>
            </w:pPr>
            <w:r>
              <w:rPr>
                <w:rFonts w:ascii="Arial" w:cs="Arial" w:eastAsia="Arial" w:hAnsi="Arial"/>
                <w:sz w:val="16"/>
                <w:szCs w:val="16"/>
                <w:color w:val="auto"/>
              </w:rPr>
              <w:t>Losses (gains) on disposals of assets</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(642)</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70"/>
        </w:trPr>
        <w:tc>
          <w:tcPr>
            <w:tcW w:w="2620" w:type="dxa"/>
            <w:vAlign w:val="bottom"/>
            <w:gridSpan w:val="2"/>
          </w:tcPr>
          <w:p>
            <w:pPr>
              <w:ind w:left="140"/>
              <w:spacing w:after="0"/>
              <w:rPr>
                <w:sz w:val="20"/>
                <w:szCs w:val="20"/>
                <w:color w:val="auto"/>
              </w:rPr>
            </w:pPr>
            <w:r>
              <w:rPr>
                <w:rFonts w:ascii="Arial" w:cs="Arial" w:eastAsia="Arial" w:hAnsi="Arial"/>
                <w:sz w:val="16"/>
                <w:szCs w:val="16"/>
                <w:color w:val="auto"/>
              </w:rPr>
              <w:t>Provision for loss on receivables</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1,055</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70"/>
        </w:trPr>
        <w:tc>
          <w:tcPr>
            <w:tcW w:w="2620" w:type="dxa"/>
            <w:vAlign w:val="bottom"/>
            <w:gridSpan w:val="2"/>
          </w:tcPr>
          <w:p>
            <w:pPr>
              <w:ind w:left="140"/>
              <w:spacing w:after="0"/>
              <w:rPr>
                <w:sz w:val="20"/>
                <w:szCs w:val="20"/>
                <w:color w:val="auto"/>
              </w:rPr>
            </w:pPr>
            <w:r>
              <w:rPr>
                <w:rFonts w:ascii="Arial" w:cs="Arial" w:eastAsia="Arial" w:hAnsi="Arial"/>
                <w:sz w:val="16"/>
                <w:szCs w:val="16"/>
                <w:color w:val="auto"/>
              </w:rPr>
              <w:t>Other, net</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70"/>
        </w:trPr>
        <w:tc>
          <w:tcPr>
            <w:tcW w:w="3660" w:type="dxa"/>
            <w:vAlign w:val="bottom"/>
            <w:gridSpan w:val="5"/>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gridSpan w:val="2"/>
          </w:tcPr>
          <w:p>
            <w:pPr>
              <w:ind w:left="280"/>
              <w:spacing w:after="0"/>
              <w:rPr>
                <w:sz w:val="20"/>
                <w:szCs w:val="20"/>
                <w:color w:val="auto"/>
              </w:rPr>
            </w:pPr>
            <w:r>
              <w:rPr>
                <w:rFonts w:ascii="Arial" w:cs="Arial" w:eastAsia="Arial" w:hAnsi="Arial"/>
                <w:sz w:val="16"/>
                <w:szCs w:val="16"/>
                <w:color w:val="auto"/>
              </w:rPr>
              <w:t>Accounts receivable</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38,761</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(12,622)</w:t>
            </w:r>
          </w:p>
        </w:tc>
        <w:tc>
          <w:tcPr>
            <w:tcW w:w="0" w:type="dxa"/>
            <w:vAlign w:val="bottom"/>
          </w:tcPr>
          <w:p>
            <w:pPr>
              <w:spacing w:after="0"/>
              <w:rPr>
                <w:sz w:val="1"/>
                <w:szCs w:val="1"/>
                <w:color w:val="auto"/>
              </w:rPr>
            </w:pPr>
          </w:p>
        </w:tc>
      </w:tr>
      <w:tr>
        <w:trPr>
          <w:trHeight w:val="270"/>
        </w:trPr>
        <w:tc>
          <w:tcPr>
            <w:tcW w:w="2620" w:type="dxa"/>
            <w:vAlign w:val="bottom"/>
            <w:gridSpan w:val="2"/>
          </w:tcPr>
          <w:p>
            <w:pPr>
              <w:ind w:left="280"/>
              <w:spacing w:after="0"/>
              <w:rPr>
                <w:sz w:val="20"/>
                <w:szCs w:val="20"/>
                <w:color w:val="auto"/>
              </w:rPr>
            </w:pPr>
            <w:r>
              <w:rPr>
                <w:rFonts w:ascii="Arial" w:cs="Arial" w:eastAsia="Arial" w:hAnsi="Arial"/>
                <w:sz w:val="16"/>
                <w:szCs w:val="16"/>
                <w:color w:val="auto"/>
              </w:rPr>
              <w:t>Inventories</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5,352</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8,841</w:t>
            </w:r>
          </w:p>
        </w:tc>
        <w:tc>
          <w:tcPr>
            <w:tcW w:w="0" w:type="dxa"/>
            <w:vAlign w:val="bottom"/>
          </w:tcPr>
          <w:p>
            <w:pPr>
              <w:spacing w:after="0"/>
              <w:rPr>
                <w:sz w:val="1"/>
                <w:szCs w:val="1"/>
                <w:color w:val="auto"/>
              </w:rPr>
            </w:pPr>
          </w:p>
        </w:tc>
      </w:tr>
      <w:tr>
        <w:trPr>
          <w:trHeight w:val="270"/>
        </w:trPr>
        <w:tc>
          <w:tcPr>
            <w:tcW w:w="3660" w:type="dxa"/>
            <w:vAlign w:val="bottom"/>
            <w:gridSpan w:val="5"/>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6"/>
                <w:szCs w:val="16"/>
                <w:color w:val="auto"/>
              </w:rPr>
              <w:t>(14,561)</w:t>
            </w:r>
          </w:p>
        </w:tc>
        <w:tc>
          <w:tcPr>
            <w:tcW w:w="760" w:type="dxa"/>
            <w:vAlign w:val="bottom"/>
          </w:tcPr>
          <w:p>
            <w:pPr>
              <w:jc w:val="right"/>
              <w:spacing w:after="0"/>
              <w:rPr>
                <w:sz w:val="20"/>
                <w:szCs w:val="20"/>
                <w:color w:val="auto"/>
              </w:rPr>
            </w:pPr>
            <w:r>
              <w:rPr>
                <w:rFonts w:ascii="Arial" w:cs="Arial" w:eastAsia="Arial" w:hAnsi="Arial"/>
                <w:sz w:val="16"/>
                <w:szCs w:val="16"/>
                <w:color w:val="auto"/>
              </w:rPr>
              <w:t>21,405</w:t>
            </w:r>
          </w:p>
        </w:tc>
        <w:tc>
          <w:tcPr>
            <w:tcW w:w="0" w:type="dxa"/>
            <w:vAlign w:val="bottom"/>
          </w:tcPr>
          <w:p>
            <w:pPr>
              <w:spacing w:after="0"/>
              <w:rPr>
                <w:sz w:val="1"/>
                <w:szCs w:val="1"/>
                <w:color w:val="auto"/>
              </w:rPr>
            </w:pPr>
          </w:p>
        </w:tc>
      </w:tr>
      <w:tr>
        <w:trPr>
          <w:trHeight w:val="270"/>
        </w:trPr>
        <w:tc>
          <w:tcPr>
            <w:tcW w:w="2620" w:type="dxa"/>
            <w:vAlign w:val="bottom"/>
            <w:gridSpan w:val="2"/>
          </w:tcPr>
          <w:p>
            <w:pPr>
              <w:ind w:left="280"/>
              <w:spacing w:after="0"/>
              <w:rPr>
                <w:sz w:val="20"/>
                <w:szCs w:val="20"/>
                <w:color w:val="auto"/>
              </w:rPr>
            </w:pPr>
            <w:r>
              <w:rPr>
                <w:rFonts w:ascii="Arial" w:cs="Arial" w:eastAsia="Arial" w:hAnsi="Arial"/>
                <w:sz w:val="16"/>
                <w:szCs w:val="16"/>
                <w:color w:val="auto"/>
              </w:rPr>
              <w:t>Taxes payable</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6"/>
                <w:szCs w:val="16"/>
                <w:color w:val="auto"/>
              </w:rPr>
              <w:t>(7,324)</w:t>
            </w:r>
          </w:p>
        </w:tc>
        <w:tc>
          <w:tcPr>
            <w:tcW w:w="760" w:type="dxa"/>
            <w:vAlign w:val="bottom"/>
          </w:tcPr>
          <w:p>
            <w:pPr>
              <w:jc w:val="right"/>
              <w:spacing w:after="0"/>
              <w:rPr>
                <w:sz w:val="20"/>
                <w:szCs w:val="20"/>
                <w:color w:val="auto"/>
              </w:rPr>
            </w:pPr>
            <w:r>
              <w:rPr>
                <w:rFonts w:ascii="Arial" w:cs="Arial" w:eastAsia="Arial" w:hAnsi="Arial"/>
                <w:sz w:val="16"/>
                <w:szCs w:val="16"/>
                <w:color w:val="auto"/>
              </w:rPr>
              <w:t>(14,376)</w:t>
            </w:r>
          </w:p>
        </w:tc>
        <w:tc>
          <w:tcPr>
            <w:tcW w:w="0" w:type="dxa"/>
            <w:vAlign w:val="bottom"/>
          </w:tcPr>
          <w:p>
            <w:pPr>
              <w:spacing w:after="0"/>
              <w:rPr>
                <w:sz w:val="1"/>
                <w:szCs w:val="1"/>
                <w:color w:val="auto"/>
              </w:rPr>
            </w:pPr>
          </w:p>
        </w:tc>
      </w:tr>
      <w:tr>
        <w:trPr>
          <w:trHeight w:val="263"/>
        </w:trPr>
        <w:tc>
          <w:tcPr>
            <w:tcW w:w="3660" w:type="dxa"/>
            <w:vAlign w:val="bottom"/>
            <w:gridSpan w:val="5"/>
          </w:tcPr>
          <w:p>
            <w:pPr>
              <w:ind w:left="280"/>
              <w:spacing w:after="0"/>
              <w:rPr>
                <w:sz w:val="20"/>
                <w:szCs w:val="20"/>
                <w:color w:val="auto"/>
              </w:rPr>
            </w:pPr>
            <w:r>
              <w:rPr>
                <w:rFonts w:ascii="Arial" w:cs="Arial" w:eastAsia="Arial" w:hAnsi="Arial"/>
                <w:sz w:val="16"/>
                <w:szCs w:val="16"/>
                <w:color w:val="auto"/>
              </w:rPr>
              <w:t>Other current assets and liabilities, net</w:t>
            </w: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(8,223)</w:t>
            </w:r>
          </w:p>
        </w:tc>
        <w:tc>
          <w:tcPr>
            <w:tcW w:w="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3,633</w:t>
            </w:r>
          </w:p>
        </w:tc>
        <w:tc>
          <w:tcPr>
            <w:tcW w:w="0" w:type="dxa"/>
            <w:vAlign w:val="bottom"/>
          </w:tcPr>
          <w:p>
            <w:pPr>
              <w:spacing w:after="0"/>
              <w:rPr>
                <w:sz w:val="1"/>
                <w:szCs w:val="1"/>
                <w:color w:val="auto"/>
              </w:rPr>
            </w:pPr>
          </w:p>
        </w:tc>
      </w:tr>
      <w:tr>
        <w:trPr>
          <w:trHeight w:val="271"/>
        </w:trPr>
        <w:tc>
          <w:tcPr>
            <w:tcW w:w="3660" w:type="dxa"/>
            <w:vAlign w:val="bottom"/>
            <w:gridSpan w:val="5"/>
          </w:tcPr>
          <w:p>
            <w:pPr>
              <w:spacing w:after="0"/>
              <w:rPr>
                <w:sz w:val="20"/>
                <w:szCs w:val="20"/>
                <w:color w:val="auto"/>
              </w:rPr>
            </w:pPr>
            <w:r>
              <w:rPr>
                <w:rFonts w:ascii="Arial" w:cs="Arial" w:eastAsia="Arial" w:hAnsi="Arial"/>
                <w:sz w:val="16"/>
                <w:szCs w:val="16"/>
                <w:color w:val="auto"/>
              </w:rPr>
              <w:t>Net cash flows provided by operating activities</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94,290</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154,731</w:t>
            </w:r>
          </w:p>
        </w:tc>
        <w:tc>
          <w:tcPr>
            <w:tcW w:w="0" w:type="dxa"/>
            <w:vAlign w:val="bottom"/>
          </w:tcPr>
          <w:p>
            <w:pPr>
              <w:spacing w:after="0"/>
              <w:rPr>
                <w:sz w:val="1"/>
                <w:szCs w:val="1"/>
                <w:color w:val="auto"/>
              </w:rPr>
            </w:pPr>
          </w:p>
        </w:tc>
      </w:tr>
      <w:tr>
        <w:trPr>
          <w:trHeight w:val="540"/>
        </w:trPr>
        <w:tc>
          <w:tcPr>
            <w:tcW w:w="262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00" w:type="dxa"/>
            <w:vAlign w:val="bottom"/>
            <w:gridSpan w:val="7"/>
          </w:tcPr>
          <w:p>
            <w:pPr>
              <w:ind w:left="140"/>
              <w:spacing w:after="0"/>
              <w:rPr>
                <w:sz w:val="20"/>
                <w:szCs w:val="20"/>
                <w:color w:val="auto"/>
              </w:rPr>
            </w:pPr>
            <w:r>
              <w:rPr>
                <w:rFonts w:ascii="Arial" w:cs="Arial" w:eastAsia="Arial" w:hAnsi="Arial"/>
                <w:sz w:val="16"/>
                <w:szCs w:val="16"/>
                <w:color w:val="auto"/>
              </w:rPr>
              <w:t>Capital expenditures, including capitalized interest</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6"/>
                <w:szCs w:val="16"/>
                <w:color w:val="auto"/>
              </w:rPr>
              <w:t>(24,102)</w:t>
            </w:r>
          </w:p>
        </w:tc>
        <w:tc>
          <w:tcPr>
            <w:tcW w:w="760" w:type="dxa"/>
            <w:vAlign w:val="bottom"/>
          </w:tcPr>
          <w:p>
            <w:pPr>
              <w:jc w:val="right"/>
              <w:spacing w:after="0"/>
              <w:rPr>
                <w:sz w:val="20"/>
                <w:szCs w:val="20"/>
                <w:color w:val="auto"/>
              </w:rPr>
            </w:pPr>
            <w:r>
              <w:rPr>
                <w:rFonts w:ascii="Arial" w:cs="Arial" w:eastAsia="Arial" w:hAnsi="Arial"/>
                <w:sz w:val="16"/>
                <w:szCs w:val="16"/>
                <w:color w:val="auto"/>
              </w:rPr>
              <w:t>(141,667)</w:t>
            </w:r>
          </w:p>
        </w:tc>
        <w:tc>
          <w:tcPr>
            <w:tcW w:w="0" w:type="dxa"/>
            <w:vAlign w:val="bottom"/>
          </w:tcPr>
          <w:p>
            <w:pPr>
              <w:spacing w:after="0"/>
              <w:rPr>
                <w:sz w:val="1"/>
                <w:szCs w:val="1"/>
                <w:color w:val="auto"/>
              </w:rPr>
            </w:pPr>
          </w:p>
        </w:tc>
      </w:tr>
      <w:tr>
        <w:trPr>
          <w:trHeight w:val="270"/>
        </w:trPr>
        <w:tc>
          <w:tcPr>
            <w:tcW w:w="4500" w:type="dxa"/>
            <w:vAlign w:val="bottom"/>
            <w:gridSpan w:val="7"/>
          </w:tcPr>
          <w:p>
            <w:pPr>
              <w:ind w:left="140"/>
              <w:spacing w:after="0"/>
              <w:rPr>
                <w:sz w:val="20"/>
                <w:szCs w:val="20"/>
                <w:color w:val="auto"/>
              </w:rPr>
            </w:pPr>
            <w:r>
              <w:rPr>
                <w:rFonts w:ascii="Arial" w:cs="Arial" w:eastAsia="Arial" w:hAnsi="Arial"/>
                <w:sz w:val="16"/>
                <w:szCs w:val="16"/>
                <w:color w:val="auto"/>
              </w:rPr>
              <w:t>Proceeds from disposition of property, plant and equipment</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1,844</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63"/>
        </w:trPr>
        <w:tc>
          <w:tcPr>
            <w:tcW w:w="2620" w:type="dxa"/>
            <w:vAlign w:val="bottom"/>
            <w:gridSpan w:val="2"/>
          </w:tcPr>
          <w:p>
            <w:pPr>
              <w:ind w:left="140"/>
              <w:spacing w:after="0"/>
              <w:rPr>
                <w:sz w:val="20"/>
                <w:szCs w:val="20"/>
                <w:color w:val="auto"/>
              </w:rPr>
            </w:pPr>
            <w:r>
              <w:rPr>
                <w:rFonts w:ascii="Arial" w:cs="Arial" w:eastAsia="Arial" w:hAnsi="Arial"/>
                <w:sz w:val="16"/>
                <w:szCs w:val="16"/>
                <w:color w:val="auto"/>
              </w:rPr>
              <w:t>Other, net</w:t>
            </w: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71"/>
        </w:trPr>
        <w:tc>
          <w:tcPr>
            <w:tcW w:w="3660" w:type="dxa"/>
            <w:vAlign w:val="bottom"/>
            <w:gridSpan w:val="5"/>
          </w:tcPr>
          <w:p>
            <w:pPr>
              <w:ind w:left="280"/>
              <w:spacing w:after="0"/>
              <w:rPr>
                <w:sz w:val="20"/>
                <w:szCs w:val="20"/>
                <w:color w:val="auto"/>
              </w:rPr>
            </w:pPr>
            <w:r>
              <w:rPr>
                <w:rFonts w:ascii="Arial" w:cs="Arial" w:eastAsia="Arial" w:hAnsi="Arial"/>
                <w:sz w:val="16"/>
                <w:szCs w:val="16"/>
                <w:color w:val="auto"/>
              </w:rPr>
              <w:t>Net cash flows used in investing activities</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6"/>
                <w:szCs w:val="16"/>
                <w:color w:val="auto"/>
              </w:rPr>
              <w:t>(22,258)</w:t>
            </w:r>
          </w:p>
        </w:tc>
        <w:tc>
          <w:tcPr>
            <w:tcW w:w="760" w:type="dxa"/>
            <w:vAlign w:val="bottom"/>
          </w:tcPr>
          <w:p>
            <w:pPr>
              <w:jc w:val="right"/>
              <w:spacing w:after="0"/>
              <w:rPr>
                <w:sz w:val="20"/>
                <w:szCs w:val="20"/>
                <w:color w:val="auto"/>
              </w:rPr>
            </w:pPr>
            <w:r>
              <w:rPr>
                <w:rFonts w:ascii="Arial" w:cs="Arial" w:eastAsia="Arial" w:hAnsi="Arial"/>
                <w:sz w:val="16"/>
                <w:szCs w:val="16"/>
                <w:color w:val="auto"/>
              </w:rPr>
              <w:t>(141,095)</w:t>
            </w:r>
          </w:p>
        </w:tc>
        <w:tc>
          <w:tcPr>
            <w:tcW w:w="0" w:type="dxa"/>
            <w:vAlign w:val="bottom"/>
          </w:tcPr>
          <w:p>
            <w:pPr>
              <w:spacing w:after="0"/>
              <w:rPr>
                <w:sz w:val="1"/>
                <w:szCs w:val="1"/>
                <w:color w:val="auto"/>
              </w:rPr>
            </w:pPr>
          </w:p>
        </w:tc>
      </w:tr>
      <w:tr>
        <w:trPr>
          <w:trHeight w:val="540"/>
        </w:trPr>
        <w:tc>
          <w:tcPr>
            <w:tcW w:w="262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gridSpan w:val="5"/>
          </w:tcPr>
          <w:p>
            <w:pPr>
              <w:ind w:left="140"/>
              <w:spacing w:after="0"/>
              <w:rPr>
                <w:sz w:val="20"/>
                <w:szCs w:val="20"/>
                <w:color w:val="auto"/>
              </w:rPr>
            </w:pPr>
            <w:r>
              <w:rPr>
                <w:rFonts w:ascii="Arial" w:cs="Arial" w:eastAsia="Arial" w:hAnsi="Arial"/>
                <w:sz w:val="16"/>
                <w:szCs w:val="16"/>
                <w:color w:val="auto"/>
              </w:rPr>
              <w:t>Proceeds from issuance of common stock</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6"/>
                <w:szCs w:val="16"/>
                <w:color w:val="auto"/>
              </w:rPr>
              <w:t>500</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660" w:type="dxa"/>
            <w:vAlign w:val="bottom"/>
            <w:gridSpan w:val="5"/>
          </w:tcPr>
          <w:p>
            <w:pPr>
              <w:ind w:left="140"/>
              <w:spacing w:after="0"/>
              <w:rPr>
                <w:sz w:val="20"/>
                <w:szCs w:val="20"/>
                <w:color w:val="auto"/>
              </w:rPr>
            </w:pPr>
            <w:r>
              <w:rPr>
                <w:rFonts w:ascii="Arial" w:cs="Arial" w:eastAsia="Arial" w:hAnsi="Arial"/>
                <w:sz w:val="16"/>
                <w:szCs w:val="16"/>
                <w:color w:val="auto"/>
              </w:rPr>
              <w:t>Term loan borrowings, net of issuance costs</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775,000</w:t>
            </w:r>
          </w:p>
        </w:tc>
        <w:tc>
          <w:tcPr>
            <w:tcW w:w="0" w:type="dxa"/>
            <w:vAlign w:val="bottom"/>
          </w:tcPr>
          <w:p>
            <w:pPr>
              <w:spacing w:after="0"/>
              <w:rPr>
                <w:sz w:val="1"/>
                <w:szCs w:val="1"/>
                <w:color w:val="auto"/>
              </w:rPr>
            </w:pPr>
          </w:p>
        </w:tc>
      </w:tr>
      <w:tr>
        <w:trPr>
          <w:trHeight w:val="270"/>
        </w:trPr>
        <w:tc>
          <w:tcPr>
            <w:tcW w:w="2620" w:type="dxa"/>
            <w:vAlign w:val="bottom"/>
            <w:gridSpan w:val="2"/>
          </w:tcPr>
          <w:p>
            <w:pPr>
              <w:ind w:left="140"/>
              <w:spacing w:after="0"/>
              <w:rPr>
                <w:sz w:val="20"/>
                <w:szCs w:val="20"/>
                <w:color w:val="auto"/>
              </w:rPr>
            </w:pPr>
            <w:r>
              <w:rPr>
                <w:rFonts w:ascii="Arial" w:cs="Arial" w:eastAsia="Arial" w:hAnsi="Arial"/>
                <w:sz w:val="16"/>
                <w:szCs w:val="16"/>
                <w:color w:val="auto"/>
              </w:rPr>
              <w:t>Debt issuance costs</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(9,106)</w:t>
            </w:r>
          </w:p>
        </w:tc>
        <w:tc>
          <w:tcPr>
            <w:tcW w:w="0" w:type="dxa"/>
            <w:vAlign w:val="bottom"/>
          </w:tcPr>
          <w:p>
            <w:pPr>
              <w:spacing w:after="0"/>
              <w:rPr>
                <w:sz w:val="1"/>
                <w:szCs w:val="1"/>
                <w:color w:val="auto"/>
              </w:rPr>
            </w:pPr>
          </w:p>
        </w:tc>
      </w:tr>
      <w:tr>
        <w:trPr>
          <w:trHeight w:val="270"/>
        </w:trPr>
        <w:tc>
          <w:tcPr>
            <w:tcW w:w="2620" w:type="dxa"/>
            <w:vAlign w:val="bottom"/>
            <w:gridSpan w:val="2"/>
          </w:tcPr>
          <w:p>
            <w:pPr>
              <w:ind w:left="140"/>
              <w:spacing w:after="0"/>
              <w:rPr>
                <w:sz w:val="20"/>
                <w:szCs w:val="20"/>
                <w:color w:val="auto"/>
              </w:rPr>
            </w:pPr>
            <w:r>
              <w:rPr>
                <w:rFonts w:ascii="Arial" w:cs="Arial" w:eastAsia="Arial" w:hAnsi="Arial"/>
                <w:sz w:val="16"/>
                <w:szCs w:val="16"/>
                <w:color w:val="auto"/>
              </w:rPr>
              <w:t>Distributions to Oil States</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(750,000)</w:t>
            </w:r>
          </w:p>
        </w:tc>
        <w:tc>
          <w:tcPr>
            <w:tcW w:w="0" w:type="dxa"/>
            <w:vAlign w:val="bottom"/>
          </w:tcPr>
          <w:p>
            <w:pPr>
              <w:spacing w:after="0"/>
              <w:rPr>
                <w:sz w:val="1"/>
                <w:szCs w:val="1"/>
                <w:color w:val="auto"/>
              </w:rPr>
            </w:pPr>
          </w:p>
        </w:tc>
      </w:tr>
      <w:tr>
        <w:trPr>
          <w:trHeight w:val="263"/>
        </w:trPr>
        <w:tc>
          <w:tcPr>
            <w:tcW w:w="2620" w:type="dxa"/>
            <w:vAlign w:val="bottom"/>
            <w:gridSpan w:val="2"/>
          </w:tcPr>
          <w:p>
            <w:pPr>
              <w:ind w:left="140"/>
              <w:spacing w:after="0"/>
              <w:rPr>
                <w:sz w:val="20"/>
                <w:szCs w:val="20"/>
                <w:color w:val="auto"/>
              </w:rPr>
            </w:pPr>
            <w:r>
              <w:rPr>
                <w:rFonts w:ascii="Arial" w:cs="Arial" w:eastAsia="Arial" w:hAnsi="Arial"/>
                <w:sz w:val="16"/>
                <w:szCs w:val="16"/>
                <w:color w:val="auto"/>
              </w:rPr>
              <w:t>Contributions from Oil States</w:t>
            </w: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28,170</w:t>
            </w:r>
          </w:p>
        </w:tc>
        <w:tc>
          <w:tcPr>
            <w:tcW w:w="0" w:type="dxa"/>
            <w:vAlign w:val="bottom"/>
          </w:tcPr>
          <w:p>
            <w:pPr>
              <w:spacing w:after="0"/>
              <w:rPr>
                <w:sz w:val="1"/>
                <w:szCs w:val="1"/>
                <w:color w:val="auto"/>
              </w:rPr>
            </w:pPr>
          </w:p>
        </w:tc>
      </w:tr>
      <w:tr>
        <w:trPr>
          <w:trHeight w:val="271"/>
        </w:trPr>
        <w:tc>
          <w:tcPr>
            <w:tcW w:w="3660" w:type="dxa"/>
            <w:vAlign w:val="bottom"/>
            <w:gridSpan w:val="5"/>
          </w:tcPr>
          <w:p>
            <w:pPr>
              <w:ind w:left="280"/>
              <w:spacing w:after="0"/>
              <w:rPr>
                <w:sz w:val="20"/>
                <w:szCs w:val="20"/>
                <w:color w:val="auto"/>
              </w:rPr>
            </w:pPr>
            <w:r>
              <w:rPr>
                <w:rFonts w:ascii="Arial" w:cs="Arial" w:eastAsia="Arial" w:hAnsi="Arial"/>
                <w:sz w:val="16"/>
                <w:szCs w:val="16"/>
                <w:color w:val="auto"/>
              </w:rPr>
              <w:t>Net cash flows provided by financing activities</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6"/>
                <w:szCs w:val="16"/>
                <w:color w:val="auto"/>
              </w:rPr>
              <w:t>500</w:t>
            </w:r>
          </w:p>
        </w:tc>
        <w:tc>
          <w:tcPr>
            <w:tcW w:w="760" w:type="dxa"/>
            <w:vAlign w:val="bottom"/>
          </w:tcPr>
          <w:p>
            <w:pPr>
              <w:jc w:val="right"/>
              <w:spacing w:after="0"/>
              <w:rPr>
                <w:sz w:val="20"/>
                <w:szCs w:val="20"/>
                <w:color w:val="auto"/>
              </w:rPr>
            </w:pPr>
            <w:r>
              <w:rPr>
                <w:rFonts w:ascii="Arial" w:cs="Arial" w:eastAsia="Arial" w:hAnsi="Arial"/>
                <w:sz w:val="16"/>
                <w:szCs w:val="16"/>
                <w:color w:val="auto"/>
              </w:rPr>
              <w:t>44,064</w:t>
            </w:r>
          </w:p>
        </w:tc>
        <w:tc>
          <w:tcPr>
            <w:tcW w:w="0" w:type="dxa"/>
            <w:vAlign w:val="bottom"/>
          </w:tcPr>
          <w:p>
            <w:pPr>
              <w:spacing w:after="0"/>
              <w:rPr>
                <w:sz w:val="1"/>
                <w:szCs w:val="1"/>
                <w:color w:val="auto"/>
              </w:rPr>
            </w:pPr>
          </w:p>
        </w:tc>
      </w:tr>
      <w:tr>
        <w:trPr>
          <w:trHeight w:val="533"/>
        </w:trPr>
        <w:tc>
          <w:tcPr>
            <w:tcW w:w="3660" w:type="dxa"/>
            <w:vAlign w:val="bottom"/>
            <w:gridSpan w:val="5"/>
          </w:tcPr>
          <w:p>
            <w:pPr>
              <w:spacing w:after="0"/>
              <w:rPr>
                <w:sz w:val="20"/>
                <w:szCs w:val="20"/>
                <w:color w:val="auto"/>
              </w:rPr>
            </w:pPr>
            <w:r>
              <w:rPr>
                <w:rFonts w:ascii="Arial" w:cs="Arial" w:eastAsia="Arial" w:hAnsi="Arial"/>
                <w:sz w:val="16"/>
                <w:szCs w:val="16"/>
                <w:color w:val="auto"/>
              </w:rPr>
              <w:t>Effect of exchange rate changes on cash</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(20,677)</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3,666</w:t>
            </w:r>
          </w:p>
        </w:tc>
        <w:tc>
          <w:tcPr>
            <w:tcW w:w="0" w:type="dxa"/>
            <w:vAlign w:val="bottom"/>
          </w:tcPr>
          <w:p>
            <w:pPr>
              <w:spacing w:after="0"/>
              <w:rPr>
                <w:sz w:val="1"/>
                <w:szCs w:val="1"/>
                <w:color w:val="auto"/>
              </w:rPr>
            </w:pPr>
          </w:p>
        </w:tc>
      </w:tr>
      <w:tr>
        <w:trPr>
          <w:trHeight w:val="541"/>
        </w:trPr>
        <w:tc>
          <w:tcPr>
            <w:tcW w:w="3660" w:type="dxa"/>
            <w:vAlign w:val="bottom"/>
            <w:gridSpan w:val="5"/>
          </w:tcPr>
          <w:p>
            <w:pPr>
              <w:spacing w:after="0"/>
              <w:rPr>
                <w:sz w:val="20"/>
                <w:szCs w:val="20"/>
                <w:color w:val="auto"/>
              </w:rPr>
            </w:pPr>
            <w:r>
              <w:rPr>
                <w:rFonts w:ascii="Arial" w:cs="Arial" w:eastAsia="Arial" w:hAnsi="Arial"/>
                <w:sz w:val="16"/>
                <w:szCs w:val="16"/>
                <w:color w:val="auto"/>
              </w:rPr>
              <w:t>Net change in cash and cash equivalents</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51,855</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61,366</w:t>
            </w:r>
          </w:p>
        </w:tc>
        <w:tc>
          <w:tcPr>
            <w:tcW w:w="0" w:type="dxa"/>
            <w:vAlign w:val="bottom"/>
          </w:tcPr>
          <w:p>
            <w:pPr>
              <w:spacing w:after="0"/>
              <w:rPr>
                <w:sz w:val="1"/>
                <w:szCs w:val="1"/>
                <w:color w:val="auto"/>
              </w:rPr>
            </w:pPr>
          </w:p>
        </w:tc>
      </w:tr>
      <w:tr>
        <w:trPr>
          <w:trHeight w:val="540"/>
        </w:trPr>
        <w:tc>
          <w:tcPr>
            <w:tcW w:w="3660" w:type="dxa"/>
            <w:vAlign w:val="bottom"/>
            <w:gridSpan w:val="5"/>
          </w:tcPr>
          <w:p>
            <w:pPr>
              <w:spacing w:after="0"/>
              <w:rPr>
                <w:sz w:val="20"/>
                <w:szCs w:val="20"/>
                <w:color w:val="auto"/>
              </w:rPr>
            </w:pPr>
            <w:r>
              <w:rPr>
                <w:rFonts w:ascii="Arial" w:cs="Arial" w:eastAsia="Arial" w:hAnsi="Arial"/>
                <w:sz w:val="16"/>
                <w:szCs w:val="16"/>
                <w:color w:val="auto"/>
              </w:rPr>
              <w:t>Cash and cash equivalents, beginning of period</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263,314</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224,128</w:t>
            </w:r>
          </w:p>
        </w:tc>
        <w:tc>
          <w:tcPr>
            <w:tcW w:w="0" w:type="dxa"/>
            <w:vAlign w:val="bottom"/>
          </w:tcPr>
          <w:p>
            <w:pPr>
              <w:spacing w:after="0"/>
              <w:rPr>
                <w:sz w:val="1"/>
                <w:szCs w:val="1"/>
                <w:color w:val="auto"/>
              </w:rPr>
            </w:pPr>
          </w:p>
        </w:tc>
      </w:tr>
      <w:tr>
        <w:trPr>
          <w:trHeight w:val="263"/>
        </w:trPr>
        <w:tc>
          <w:tcPr>
            <w:tcW w:w="2500" w:type="dxa"/>
            <w:vAlign w:val="bottom"/>
          </w:tcPr>
          <w:p>
            <w:pPr>
              <w:spacing w:after="0"/>
              <w:rPr>
                <w:sz w:val="22"/>
                <w:szCs w:val="22"/>
                <w:color w:val="auto"/>
              </w:rPr>
            </w:pPr>
          </w:p>
        </w:tc>
        <w:tc>
          <w:tcPr>
            <w:tcW w:w="94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60" w:type="dxa"/>
            <w:vAlign w:val="bottom"/>
            <w:gridSpan w:val="5"/>
          </w:tcPr>
          <w:p>
            <w:pPr>
              <w:spacing w:after="0"/>
              <w:rPr>
                <w:sz w:val="20"/>
                <w:szCs w:val="20"/>
                <w:color w:val="auto"/>
              </w:rPr>
            </w:pPr>
            <w:r>
              <w:rPr>
                <w:rFonts w:ascii="Arial" w:cs="Arial" w:eastAsia="Arial" w:hAnsi="Arial"/>
                <w:sz w:val="16"/>
                <w:szCs w:val="16"/>
                <w:color w:val="auto"/>
              </w:rPr>
              <w:t>Cash and cash equivalents, end of period</w:t>
            </w: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$ 315,169</w:t>
            </w:r>
          </w:p>
        </w:tc>
        <w:tc>
          <w:tcPr>
            <w:tcW w:w="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$ 285,494</w:t>
            </w:r>
          </w:p>
        </w:tc>
        <w:tc>
          <w:tcPr>
            <w:tcW w:w="0" w:type="dxa"/>
            <w:vAlign w:val="bottom"/>
          </w:tcPr>
          <w:p>
            <w:pPr>
              <w:spacing w:after="0"/>
              <w:rPr>
                <w:sz w:val="1"/>
                <w:szCs w:val="1"/>
                <w:color w:val="auto"/>
              </w:rPr>
            </w:pPr>
          </w:p>
        </w:tc>
      </w:tr>
      <w:tr>
        <w:trPr>
          <w:trHeight w:val="20"/>
        </w:trPr>
        <w:tc>
          <w:tcPr>
            <w:tcW w:w="4500" w:type="dxa"/>
            <w:vAlign w:val="bottom"/>
            <w:gridSpan w:val="7"/>
            <w:vMerge w:val="restart"/>
          </w:tcPr>
          <w:p>
            <w:pPr>
              <w:jc w:val="center"/>
              <w:ind w:left="1579"/>
              <w:spacing w:after="0"/>
              <w:rPr>
                <w:sz w:val="20"/>
                <w:szCs w:val="20"/>
                <w:color w:val="auto"/>
              </w:rPr>
            </w:pPr>
            <w:r>
              <w:rPr>
                <w:rFonts w:ascii="Arial" w:cs="Arial" w:eastAsia="Arial" w:hAnsi="Arial"/>
                <w:sz w:val="16"/>
                <w:szCs w:val="16"/>
                <w:b w:val="1"/>
                <w:bCs w:val="1"/>
                <w:color w:val="auto"/>
              </w:rPr>
              <w:t>CIVEO CORPORATION</w:t>
            </w: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500" w:type="dxa"/>
            <w:vAlign w:val="bottom"/>
            <w:gridSpan w:val="7"/>
            <w:vMerge w:val="continue"/>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00" w:type="dxa"/>
            <w:vAlign w:val="bottom"/>
            <w:gridSpan w:val="7"/>
          </w:tcPr>
          <w:p>
            <w:pPr>
              <w:jc w:val="center"/>
              <w:ind w:left="1579"/>
              <w:spacing w:after="0"/>
              <w:rPr>
                <w:sz w:val="20"/>
                <w:szCs w:val="20"/>
                <w:color w:val="auto"/>
              </w:rPr>
            </w:pPr>
            <w:r>
              <w:rPr>
                <w:rFonts w:ascii="Arial" w:cs="Arial" w:eastAsia="Arial" w:hAnsi="Arial"/>
                <w:sz w:val="16"/>
                <w:szCs w:val="16"/>
                <w:b w:val="1"/>
                <w:bCs w:val="1"/>
                <w:color w:val="auto"/>
                <w:w w:val="99"/>
              </w:rPr>
              <w:t>SEGMENT DATA</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1160" w:type="dxa"/>
            <w:vAlign w:val="bottom"/>
            <w:gridSpan w:val="4"/>
          </w:tcPr>
          <w:p>
            <w:pPr>
              <w:jc w:val="center"/>
              <w:spacing w:after="0"/>
              <w:rPr>
                <w:sz w:val="20"/>
                <w:szCs w:val="20"/>
                <w:color w:val="auto"/>
              </w:rPr>
            </w:pPr>
            <w:r>
              <w:rPr>
                <w:rFonts w:ascii="Arial" w:cs="Arial" w:eastAsia="Arial" w:hAnsi="Arial"/>
                <w:sz w:val="16"/>
                <w:szCs w:val="16"/>
                <w:b w:val="1"/>
                <w:bCs w:val="1"/>
                <w:color w:val="auto"/>
              </w:rPr>
              <w:t>(in thousands)</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(unaudited)</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500" w:type="dxa"/>
            <w:vAlign w:val="bottom"/>
          </w:tcPr>
          <w:p>
            <w:pPr>
              <w:spacing w:after="0"/>
              <w:rPr>
                <w:sz w:val="24"/>
                <w:szCs w:val="24"/>
                <w:color w:val="auto"/>
              </w:rPr>
            </w:pPr>
          </w:p>
        </w:tc>
        <w:tc>
          <w:tcPr>
            <w:tcW w:w="4240" w:type="dxa"/>
            <w:vAlign w:val="bottom"/>
            <w:gridSpan w:val="12"/>
          </w:tcPr>
          <w:p>
            <w:pPr>
              <w:ind w:left="20"/>
              <w:spacing w:after="0"/>
              <w:rPr>
                <w:sz w:val="20"/>
                <w:szCs w:val="20"/>
                <w:color w:val="auto"/>
              </w:rPr>
            </w:pPr>
            <w:r>
              <w:rPr>
                <w:rFonts w:ascii="Arial" w:cs="Arial" w:eastAsia="Arial" w:hAnsi="Arial"/>
                <w:sz w:val="16"/>
                <w:szCs w:val="16"/>
                <w:b w:val="1"/>
                <w:bCs w:val="1"/>
                <w:color w:val="auto"/>
              </w:rPr>
              <w:t>THREE MONTHS ENDED SIX MONTHS ENDED</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JUNE 30,</w:t>
            </w:r>
          </w:p>
        </w:tc>
        <w:tc>
          <w:tcPr>
            <w:tcW w:w="2240" w:type="dxa"/>
            <w:vAlign w:val="bottom"/>
            <w:gridSpan w:val="6"/>
          </w:tcPr>
          <w:p>
            <w:pPr>
              <w:ind w:left="480"/>
              <w:spacing w:after="0"/>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5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78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62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gridSpan w:val="2"/>
          </w:tcPr>
          <w:p>
            <w:pPr>
              <w:ind w:left="220"/>
              <w:spacing w:after="0"/>
              <w:rPr>
                <w:sz w:val="20"/>
                <w:szCs w:val="20"/>
                <w:color w:val="auto"/>
              </w:rPr>
            </w:pPr>
            <w:r>
              <w:rPr>
                <w:rFonts w:ascii="Arial" w:cs="Arial" w:eastAsia="Arial" w:hAnsi="Arial"/>
                <w:sz w:val="16"/>
                <w:szCs w:val="16"/>
                <w:color w:val="auto"/>
              </w:rPr>
              <w:t>Canada</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$ 90,072</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$ 156,479</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$ 206,972</w:t>
            </w:r>
          </w:p>
        </w:tc>
        <w:tc>
          <w:tcPr>
            <w:tcW w:w="8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$ 336,803</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gridSpan w:val="2"/>
          </w:tcPr>
          <w:p>
            <w:pPr>
              <w:ind w:left="220"/>
              <w:spacing w:after="0"/>
              <w:rPr>
                <w:sz w:val="20"/>
                <w:szCs w:val="20"/>
                <w:color w:val="auto"/>
              </w:rPr>
            </w:pPr>
            <w:r>
              <w:rPr>
                <w:rFonts w:ascii="Arial" w:cs="Arial" w:eastAsia="Arial" w:hAnsi="Arial"/>
                <w:sz w:val="16"/>
                <w:szCs w:val="16"/>
                <w:color w:val="auto"/>
              </w:rPr>
              <w:t>Australia</w:t>
            </w:r>
          </w:p>
        </w:tc>
        <w:tc>
          <w:tcPr>
            <w:tcW w:w="820" w:type="dxa"/>
            <w:vAlign w:val="bottom"/>
          </w:tcPr>
          <w:p>
            <w:pPr>
              <w:jc w:val="right"/>
              <w:spacing w:after="0"/>
              <w:rPr>
                <w:sz w:val="20"/>
                <w:szCs w:val="20"/>
                <w:color w:val="auto"/>
              </w:rPr>
            </w:pPr>
            <w:r>
              <w:rPr>
                <w:rFonts w:ascii="Arial" w:cs="Arial" w:eastAsia="Arial" w:hAnsi="Arial"/>
                <w:sz w:val="16"/>
                <w:szCs w:val="16"/>
                <w:color w:val="auto"/>
              </w:rPr>
              <w:t>38,268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54,383</w:t>
            </w:r>
          </w:p>
        </w:tc>
        <w:tc>
          <w:tcPr>
            <w:tcW w:w="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80,127</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109,847</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50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14,807</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16,271</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27,035</w:t>
            </w:r>
          </w:p>
        </w:tc>
        <w:tc>
          <w:tcPr>
            <w:tcW w:w="80" w:type="dxa"/>
            <w:vAlign w:val="bottom"/>
          </w:tcPr>
          <w:p>
            <w:pPr>
              <w:spacing w:after="0"/>
              <w:rPr>
                <w:sz w:val="22"/>
                <w:szCs w:val="22"/>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33,282</w:t>
            </w: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00" w:type="dxa"/>
            <w:vAlign w:val="bottom"/>
          </w:tcPr>
          <w:p>
            <w:pPr>
              <w:ind w:left="34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$ 143,147</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$ 227,133</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$ 314,134</w:t>
            </w:r>
          </w:p>
        </w:tc>
        <w:tc>
          <w:tcPr>
            <w:tcW w:w="80" w:type="dxa"/>
            <w:vAlign w:val="bottom"/>
          </w:tcPr>
          <w:p>
            <w:pPr>
              <w:spacing w:after="0"/>
              <w:rPr>
                <w:sz w:val="22"/>
                <w:szCs w:val="22"/>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$ 479,932</w:t>
            </w: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620" w:type="dxa"/>
            <w:vAlign w:val="bottom"/>
            <w:gridSpan w:val="2"/>
          </w:tcPr>
          <w:p>
            <w:pPr>
              <w:spacing w:after="0"/>
              <w:rPr>
                <w:sz w:val="20"/>
                <w:szCs w:val="20"/>
                <w:color w:val="auto"/>
              </w:rPr>
            </w:pPr>
            <w:r>
              <w:rPr>
                <w:rFonts w:ascii="Arial" w:cs="Arial" w:eastAsia="Arial" w:hAnsi="Arial"/>
                <w:sz w:val="16"/>
                <w:szCs w:val="16"/>
                <w:color w:val="auto"/>
              </w:rPr>
              <w:t>EBITDA (1)</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20" w:type="dxa"/>
            <w:vAlign w:val="bottom"/>
            <w:gridSpan w:val="2"/>
          </w:tcPr>
          <w:p>
            <w:pPr>
              <w:ind w:left="220"/>
              <w:spacing w:after="0"/>
              <w:rPr>
                <w:sz w:val="20"/>
                <w:szCs w:val="20"/>
                <w:color w:val="auto"/>
              </w:rPr>
            </w:pPr>
            <w:r>
              <w:rPr>
                <w:rFonts w:ascii="Arial" w:cs="Arial" w:eastAsia="Arial" w:hAnsi="Arial"/>
                <w:sz w:val="16"/>
                <w:szCs w:val="16"/>
                <w:color w:val="auto"/>
              </w:rPr>
              <w:t>Canada</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$ 24,391</w:t>
            </w:r>
          </w:p>
        </w:tc>
        <w:tc>
          <w:tcPr>
            <w:tcW w:w="14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$ 46,809</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$ 61,903</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$ 108,604</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gridSpan w:val="2"/>
          </w:tcPr>
          <w:p>
            <w:pPr>
              <w:ind w:left="220"/>
              <w:spacing w:after="0"/>
              <w:rPr>
                <w:sz w:val="20"/>
                <w:szCs w:val="20"/>
                <w:color w:val="auto"/>
              </w:rPr>
            </w:pPr>
            <w:r>
              <w:rPr>
                <w:rFonts w:ascii="Arial" w:cs="Arial" w:eastAsia="Arial" w:hAnsi="Arial"/>
                <w:sz w:val="16"/>
                <w:szCs w:val="16"/>
                <w:color w:val="auto"/>
              </w:rPr>
              <w:t>Australia</w:t>
            </w:r>
          </w:p>
        </w:tc>
        <w:tc>
          <w:tcPr>
            <w:tcW w:w="820" w:type="dxa"/>
            <w:vAlign w:val="bottom"/>
          </w:tcPr>
          <w:p>
            <w:pPr>
              <w:jc w:val="right"/>
              <w:spacing w:after="0"/>
              <w:rPr>
                <w:sz w:val="20"/>
                <w:szCs w:val="20"/>
                <w:color w:val="auto"/>
              </w:rPr>
            </w:pPr>
            <w:r>
              <w:rPr>
                <w:rFonts w:ascii="Arial" w:cs="Arial" w:eastAsia="Arial" w:hAnsi="Arial"/>
                <w:sz w:val="16"/>
                <w:szCs w:val="16"/>
                <w:color w:val="auto"/>
              </w:rPr>
              <w:t>9,910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16,422</w:t>
            </w:r>
          </w:p>
        </w:tc>
        <w:tc>
          <w:tcPr>
            <w:tcW w:w="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30,633</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47,226</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0139"/>
          </w:cols>
          <w:pgMar w:left="320" w:top="222" w:right="1440"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250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940" w:type="dxa"/>
            <w:vAlign w:val="bottom"/>
          </w:tcPr>
          <w:p>
            <w:pPr>
              <w:jc w:val="right"/>
              <w:spacing w:after="0"/>
              <w:rPr>
                <w:sz w:val="20"/>
                <w:szCs w:val="20"/>
                <w:color w:val="auto"/>
              </w:rPr>
            </w:pPr>
            <w:r>
              <w:rPr>
                <w:rFonts w:ascii="Arial" w:cs="Arial" w:eastAsia="Arial" w:hAnsi="Arial"/>
                <w:sz w:val="16"/>
                <w:szCs w:val="16"/>
                <w:color w:val="auto"/>
              </w:rPr>
              <w:t>1,906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1,038</w:t>
            </w:r>
          </w:p>
        </w:tc>
        <w:tc>
          <w:tcPr>
            <w:tcW w:w="8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(1,710)</w:t>
            </w:r>
          </w:p>
        </w:tc>
        <w:tc>
          <w:tcPr>
            <w:tcW w:w="780" w:type="dxa"/>
            <w:vAlign w:val="bottom"/>
          </w:tcPr>
          <w:p>
            <w:pPr>
              <w:jc w:val="right"/>
              <w:spacing w:after="0"/>
              <w:rPr>
                <w:sz w:val="20"/>
                <w:szCs w:val="20"/>
                <w:color w:val="auto"/>
              </w:rPr>
            </w:pPr>
            <w:r>
              <w:rPr>
                <w:rFonts w:ascii="Arial" w:cs="Arial" w:eastAsia="Arial" w:hAnsi="Arial"/>
                <w:sz w:val="16"/>
                <w:szCs w:val="16"/>
                <w:color w:val="auto"/>
              </w:rPr>
              <w:t>4,177</w:t>
            </w:r>
          </w:p>
        </w:tc>
        <w:tc>
          <w:tcPr>
            <w:tcW w:w="0" w:type="dxa"/>
            <w:vAlign w:val="bottom"/>
          </w:tcPr>
          <w:p>
            <w:pPr>
              <w:spacing w:after="0"/>
              <w:rPr>
                <w:sz w:val="1"/>
                <w:szCs w:val="1"/>
                <w:color w:val="auto"/>
              </w:rPr>
            </w:pPr>
          </w:p>
        </w:tc>
      </w:tr>
      <w:tr>
        <w:trPr>
          <w:trHeight w:val="263"/>
        </w:trPr>
        <w:tc>
          <w:tcPr>
            <w:tcW w:w="250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940" w:type="dxa"/>
            <w:vAlign w:val="bottom"/>
          </w:tcPr>
          <w:p>
            <w:pPr>
              <w:jc w:val="right"/>
              <w:spacing w:after="0"/>
              <w:rPr>
                <w:sz w:val="20"/>
                <w:szCs w:val="20"/>
                <w:color w:val="auto"/>
              </w:rPr>
            </w:pPr>
            <w:r>
              <w:rPr>
                <w:rFonts w:ascii="Arial" w:cs="Arial" w:eastAsia="Arial" w:hAnsi="Arial"/>
                <w:sz w:val="16"/>
                <w:szCs w:val="16"/>
                <w:color w:val="auto"/>
              </w:rPr>
              <w:t>(7,429)</w:t>
            </w:r>
          </w:p>
        </w:tc>
        <w:tc>
          <w:tcPr>
            <w:tcW w:w="8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(5,257)</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(13,974)</w:t>
            </w:r>
          </w:p>
        </w:tc>
        <w:tc>
          <w:tcPr>
            <w:tcW w:w="780" w:type="dxa"/>
            <w:vAlign w:val="bottom"/>
          </w:tcPr>
          <w:p>
            <w:pPr>
              <w:jc w:val="right"/>
              <w:spacing w:after="0"/>
              <w:rPr>
                <w:sz w:val="20"/>
                <w:szCs w:val="20"/>
                <w:color w:val="auto"/>
              </w:rPr>
            </w:pPr>
            <w:r>
              <w:rPr>
                <w:rFonts w:ascii="Arial" w:cs="Arial" w:eastAsia="Arial" w:hAnsi="Arial"/>
                <w:sz w:val="16"/>
                <w:szCs w:val="16"/>
                <w:color w:val="auto"/>
              </w:rPr>
              <w:t>(8,655)</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500" w:type="dxa"/>
            <w:vAlign w:val="bottom"/>
          </w:tcPr>
          <w:p>
            <w:pPr>
              <w:ind w:left="340"/>
              <w:spacing w:after="0"/>
              <w:rPr>
                <w:sz w:val="20"/>
                <w:szCs w:val="20"/>
                <w:color w:val="auto"/>
              </w:rPr>
            </w:pPr>
            <w:r>
              <w:rPr>
                <w:rFonts w:ascii="Arial" w:cs="Arial" w:eastAsia="Arial" w:hAnsi="Arial"/>
                <w:sz w:val="16"/>
                <w:szCs w:val="16"/>
                <w:color w:val="auto"/>
              </w:rPr>
              <w:t>Total EBITDA</w:t>
            </w:r>
          </w:p>
        </w:tc>
        <w:tc>
          <w:tcPr>
            <w:tcW w:w="940" w:type="dxa"/>
            <w:vAlign w:val="bottom"/>
          </w:tcPr>
          <w:p>
            <w:pPr>
              <w:jc w:val="right"/>
              <w:spacing w:after="0"/>
              <w:rPr>
                <w:sz w:val="20"/>
                <w:szCs w:val="20"/>
                <w:color w:val="auto"/>
              </w:rPr>
            </w:pPr>
            <w:r>
              <w:rPr>
                <w:rFonts w:ascii="Arial" w:cs="Arial" w:eastAsia="Arial" w:hAnsi="Arial"/>
                <w:sz w:val="16"/>
                <w:szCs w:val="16"/>
                <w:color w:val="auto"/>
              </w:rPr>
              <w:t>$ 28,778</w:t>
            </w:r>
          </w:p>
        </w:tc>
        <w:tc>
          <w:tcPr>
            <w:tcW w:w="8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$ 59,012</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$ 76,852</w:t>
            </w:r>
          </w:p>
        </w:tc>
        <w:tc>
          <w:tcPr>
            <w:tcW w:w="780" w:type="dxa"/>
            <w:vAlign w:val="bottom"/>
          </w:tcPr>
          <w:p>
            <w:pPr>
              <w:jc w:val="right"/>
              <w:spacing w:after="0"/>
              <w:rPr>
                <w:sz w:val="20"/>
                <w:szCs w:val="20"/>
                <w:color w:val="auto"/>
              </w:rPr>
            </w:pPr>
            <w:r>
              <w:rPr>
                <w:rFonts w:ascii="Arial" w:cs="Arial" w:eastAsia="Arial" w:hAnsi="Arial"/>
                <w:sz w:val="16"/>
                <w:szCs w:val="16"/>
                <w:color w:val="auto"/>
              </w:rPr>
              <w:t>$ 151,352</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5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Canada</w:t>
            </w:r>
          </w:p>
        </w:tc>
        <w:tc>
          <w:tcPr>
            <w:tcW w:w="940" w:type="dxa"/>
            <w:vAlign w:val="bottom"/>
          </w:tcPr>
          <w:p>
            <w:pPr>
              <w:jc w:val="right"/>
              <w:spacing w:after="0"/>
              <w:rPr>
                <w:sz w:val="20"/>
                <w:szCs w:val="20"/>
                <w:color w:val="auto"/>
              </w:rPr>
            </w:pPr>
            <w:r>
              <w:rPr>
                <w:rFonts w:ascii="Arial" w:cs="Arial" w:eastAsia="Arial" w:hAnsi="Arial"/>
                <w:sz w:val="16"/>
                <w:szCs w:val="16"/>
                <w:color w:val="auto"/>
              </w:rPr>
              <w:t>$ 24,549</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$ 50,926</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$ 62,061</w:t>
            </w:r>
          </w:p>
        </w:tc>
        <w:tc>
          <w:tcPr>
            <w:tcW w:w="780" w:type="dxa"/>
            <w:vAlign w:val="bottom"/>
          </w:tcPr>
          <w:p>
            <w:pPr>
              <w:jc w:val="right"/>
              <w:spacing w:after="0"/>
              <w:rPr>
                <w:sz w:val="20"/>
                <w:szCs w:val="20"/>
                <w:color w:val="auto"/>
              </w:rPr>
            </w:pPr>
            <w:r>
              <w:rPr>
                <w:rFonts w:ascii="Arial" w:cs="Arial" w:eastAsia="Arial" w:hAnsi="Arial"/>
                <w:sz w:val="16"/>
                <w:szCs w:val="16"/>
                <w:color w:val="auto"/>
              </w:rPr>
              <w:t>$ 112,726</w:t>
            </w: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940" w:type="dxa"/>
            <w:vAlign w:val="bottom"/>
          </w:tcPr>
          <w:p>
            <w:pPr>
              <w:jc w:val="right"/>
              <w:spacing w:after="0"/>
              <w:rPr>
                <w:sz w:val="20"/>
                <w:szCs w:val="20"/>
                <w:color w:val="auto"/>
              </w:rPr>
            </w:pPr>
            <w:r>
              <w:rPr>
                <w:rFonts w:ascii="Arial" w:cs="Arial" w:eastAsia="Arial" w:hAnsi="Arial"/>
                <w:sz w:val="16"/>
                <w:szCs w:val="16"/>
                <w:color w:val="auto"/>
              </w:rPr>
              <w:t>19,522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25,653</w:t>
            </w:r>
          </w:p>
        </w:tc>
        <w:tc>
          <w:tcPr>
            <w:tcW w:w="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40,245</w:t>
            </w:r>
          </w:p>
        </w:tc>
        <w:tc>
          <w:tcPr>
            <w:tcW w:w="780" w:type="dxa"/>
            <w:vAlign w:val="bottom"/>
          </w:tcPr>
          <w:p>
            <w:pPr>
              <w:jc w:val="right"/>
              <w:spacing w:after="0"/>
              <w:rPr>
                <w:sz w:val="20"/>
                <w:szCs w:val="20"/>
                <w:color w:val="auto"/>
              </w:rPr>
            </w:pPr>
            <w:r>
              <w:rPr>
                <w:rFonts w:ascii="Arial" w:cs="Arial" w:eastAsia="Arial" w:hAnsi="Arial"/>
                <w:sz w:val="16"/>
                <w:szCs w:val="16"/>
                <w:color w:val="auto"/>
              </w:rPr>
              <w:t>56,457</w:t>
            </w: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940" w:type="dxa"/>
            <w:vAlign w:val="bottom"/>
          </w:tcPr>
          <w:p>
            <w:pPr>
              <w:jc w:val="right"/>
              <w:spacing w:after="0"/>
              <w:rPr>
                <w:sz w:val="20"/>
                <w:szCs w:val="20"/>
                <w:color w:val="auto"/>
              </w:rPr>
            </w:pPr>
            <w:r>
              <w:rPr>
                <w:rFonts w:ascii="Arial" w:cs="Arial" w:eastAsia="Arial" w:hAnsi="Arial"/>
                <w:sz w:val="16"/>
                <w:szCs w:val="16"/>
                <w:color w:val="auto"/>
              </w:rPr>
              <w:t>1,906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3,726</w:t>
            </w:r>
          </w:p>
        </w:tc>
        <w:tc>
          <w:tcPr>
            <w:tcW w:w="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2,043</w:t>
            </w:r>
          </w:p>
        </w:tc>
        <w:tc>
          <w:tcPr>
            <w:tcW w:w="780" w:type="dxa"/>
            <w:vAlign w:val="bottom"/>
          </w:tcPr>
          <w:p>
            <w:pPr>
              <w:jc w:val="right"/>
              <w:spacing w:after="0"/>
              <w:rPr>
                <w:sz w:val="20"/>
                <w:szCs w:val="20"/>
                <w:color w:val="auto"/>
              </w:rPr>
            </w:pPr>
            <w:r>
              <w:rPr>
                <w:rFonts w:ascii="Arial" w:cs="Arial" w:eastAsia="Arial" w:hAnsi="Arial"/>
                <w:sz w:val="16"/>
                <w:szCs w:val="16"/>
                <w:color w:val="auto"/>
              </w:rPr>
              <w:t>6,892</w:t>
            </w:r>
          </w:p>
        </w:tc>
        <w:tc>
          <w:tcPr>
            <w:tcW w:w="0" w:type="dxa"/>
            <w:vAlign w:val="bottom"/>
          </w:tcPr>
          <w:p>
            <w:pPr>
              <w:spacing w:after="0"/>
              <w:rPr>
                <w:sz w:val="1"/>
                <w:szCs w:val="1"/>
                <w:color w:val="auto"/>
              </w:rPr>
            </w:pPr>
          </w:p>
        </w:tc>
      </w:tr>
      <w:tr>
        <w:trPr>
          <w:trHeight w:val="263"/>
        </w:trPr>
        <w:tc>
          <w:tcPr>
            <w:tcW w:w="250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940" w:type="dxa"/>
            <w:vAlign w:val="bottom"/>
          </w:tcPr>
          <w:p>
            <w:pPr>
              <w:jc w:val="right"/>
              <w:spacing w:after="0"/>
              <w:rPr>
                <w:sz w:val="20"/>
                <w:szCs w:val="20"/>
                <w:color w:val="auto"/>
              </w:rPr>
            </w:pPr>
            <w:r>
              <w:rPr>
                <w:rFonts w:ascii="Arial" w:cs="Arial" w:eastAsia="Arial" w:hAnsi="Arial"/>
                <w:sz w:val="16"/>
                <w:szCs w:val="16"/>
                <w:color w:val="auto"/>
              </w:rPr>
              <w:t>(5,283)</w:t>
            </w:r>
          </w:p>
        </w:tc>
        <w:tc>
          <w:tcPr>
            <w:tcW w:w="8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(3,670)</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(10,668)</w:t>
            </w:r>
          </w:p>
        </w:tc>
        <w:tc>
          <w:tcPr>
            <w:tcW w:w="780" w:type="dxa"/>
            <w:vAlign w:val="bottom"/>
          </w:tcPr>
          <w:p>
            <w:pPr>
              <w:jc w:val="right"/>
              <w:spacing w:after="0"/>
              <w:rPr>
                <w:sz w:val="20"/>
                <w:szCs w:val="20"/>
                <w:color w:val="auto"/>
              </w:rPr>
            </w:pPr>
            <w:r>
              <w:rPr>
                <w:rFonts w:ascii="Arial" w:cs="Arial" w:eastAsia="Arial" w:hAnsi="Arial"/>
                <w:sz w:val="16"/>
                <w:szCs w:val="16"/>
                <w:color w:val="auto"/>
              </w:rPr>
              <w:t>(6,527)</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500" w:type="dxa"/>
            <w:vAlign w:val="bottom"/>
          </w:tcPr>
          <w:p>
            <w:pPr>
              <w:ind w:left="340"/>
              <w:spacing w:after="0"/>
              <w:rPr>
                <w:sz w:val="20"/>
                <w:szCs w:val="20"/>
                <w:color w:val="auto"/>
              </w:rPr>
            </w:pPr>
            <w:r>
              <w:rPr>
                <w:rFonts w:ascii="Arial" w:cs="Arial" w:eastAsia="Arial" w:hAnsi="Arial"/>
                <w:sz w:val="16"/>
                <w:szCs w:val="16"/>
                <w:color w:val="auto"/>
              </w:rPr>
              <w:t>Total adjusted EBITDA</w:t>
            </w:r>
          </w:p>
        </w:tc>
        <w:tc>
          <w:tcPr>
            <w:tcW w:w="940" w:type="dxa"/>
            <w:vAlign w:val="bottom"/>
          </w:tcPr>
          <w:p>
            <w:pPr>
              <w:jc w:val="right"/>
              <w:spacing w:after="0"/>
              <w:rPr>
                <w:sz w:val="20"/>
                <w:szCs w:val="20"/>
                <w:color w:val="auto"/>
              </w:rPr>
            </w:pPr>
            <w:r>
              <w:rPr>
                <w:rFonts w:ascii="Arial" w:cs="Arial" w:eastAsia="Arial" w:hAnsi="Arial"/>
                <w:sz w:val="16"/>
                <w:szCs w:val="16"/>
                <w:color w:val="auto"/>
              </w:rPr>
              <w:t>$ 40,694</w:t>
            </w:r>
          </w:p>
        </w:tc>
        <w:tc>
          <w:tcPr>
            <w:tcW w:w="8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$ 76,635</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$ 93,681</w:t>
            </w:r>
          </w:p>
        </w:tc>
        <w:tc>
          <w:tcPr>
            <w:tcW w:w="780" w:type="dxa"/>
            <w:vAlign w:val="bottom"/>
          </w:tcPr>
          <w:p>
            <w:pPr>
              <w:jc w:val="right"/>
              <w:spacing w:after="0"/>
              <w:rPr>
                <w:sz w:val="20"/>
                <w:szCs w:val="20"/>
                <w:color w:val="auto"/>
              </w:rPr>
            </w:pPr>
            <w:r>
              <w:rPr>
                <w:rFonts w:ascii="Arial" w:cs="Arial" w:eastAsia="Arial" w:hAnsi="Arial"/>
                <w:sz w:val="16"/>
                <w:szCs w:val="16"/>
                <w:color w:val="auto"/>
              </w:rPr>
              <w:t>$ 169,548</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5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Canada</w:t>
            </w:r>
          </w:p>
        </w:tc>
        <w:tc>
          <w:tcPr>
            <w:tcW w:w="940" w:type="dxa"/>
            <w:vAlign w:val="bottom"/>
          </w:tcPr>
          <w:p>
            <w:pPr>
              <w:jc w:val="right"/>
              <w:spacing w:after="0"/>
              <w:rPr>
                <w:sz w:val="20"/>
                <w:szCs w:val="20"/>
                <w:color w:val="auto"/>
              </w:rPr>
            </w:pPr>
            <w:r>
              <w:rPr>
                <w:rFonts w:ascii="Arial" w:cs="Arial" w:eastAsia="Arial" w:hAnsi="Arial"/>
                <w:sz w:val="16"/>
                <w:szCs w:val="16"/>
                <w:color w:val="auto"/>
              </w:rPr>
              <w:t>$ (3,820)</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$ 25,424</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$ 8,300</w:t>
            </w:r>
          </w:p>
        </w:tc>
        <w:tc>
          <w:tcPr>
            <w:tcW w:w="780" w:type="dxa"/>
            <w:vAlign w:val="bottom"/>
          </w:tcPr>
          <w:p>
            <w:pPr>
              <w:jc w:val="right"/>
              <w:spacing w:after="0"/>
              <w:rPr>
                <w:sz w:val="20"/>
                <w:szCs w:val="20"/>
                <w:color w:val="auto"/>
              </w:rPr>
            </w:pPr>
            <w:r>
              <w:rPr>
                <w:rFonts w:ascii="Arial" w:cs="Arial" w:eastAsia="Arial" w:hAnsi="Arial"/>
                <w:sz w:val="16"/>
                <w:szCs w:val="16"/>
                <w:color w:val="auto"/>
              </w:rPr>
              <w:t>$ 67,466</w:t>
            </w: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940" w:type="dxa"/>
            <w:vAlign w:val="bottom"/>
          </w:tcPr>
          <w:p>
            <w:pPr>
              <w:jc w:val="right"/>
              <w:spacing w:after="0"/>
              <w:rPr>
                <w:sz w:val="20"/>
                <w:szCs w:val="20"/>
                <w:color w:val="auto"/>
              </w:rPr>
            </w:pPr>
            <w:r>
              <w:rPr>
                <w:rFonts w:ascii="Arial" w:cs="Arial" w:eastAsia="Arial" w:hAnsi="Arial"/>
                <w:sz w:val="16"/>
                <w:szCs w:val="16"/>
                <w:color w:val="auto"/>
              </w:rPr>
              <w:t>(4,882)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1,845</w:t>
            </w:r>
          </w:p>
        </w:tc>
        <w:tc>
          <w:tcPr>
            <w:tcW w:w="780" w:type="dxa"/>
            <w:vAlign w:val="bottom"/>
          </w:tcPr>
          <w:p>
            <w:pPr>
              <w:jc w:val="right"/>
              <w:spacing w:after="0"/>
              <w:rPr>
                <w:sz w:val="20"/>
                <w:szCs w:val="20"/>
                <w:color w:val="auto"/>
              </w:rPr>
            </w:pPr>
            <w:r>
              <w:rPr>
                <w:rFonts w:ascii="Arial" w:cs="Arial" w:eastAsia="Arial" w:hAnsi="Arial"/>
                <w:sz w:val="16"/>
                <w:szCs w:val="16"/>
                <w:color w:val="auto"/>
              </w:rPr>
              <w:t>15,638</w:t>
            </w: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940" w:type="dxa"/>
            <w:vAlign w:val="bottom"/>
          </w:tcPr>
          <w:p>
            <w:pPr>
              <w:jc w:val="right"/>
              <w:spacing w:after="0"/>
              <w:rPr>
                <w:sz w:val="20"/>
                <w:szCs w:val="20"/>
                <w:color w:val="auto"/>
              </w:rPr>
            </w:pPr>
            <w:r>
              <w:rPr>
                <w:rFonts w:ascii="Arial" w:cs="Arial" w:eastAsia="Arial" w:hAnsi="Arial"/>
                <w:sz w:val="16"/>
                <w:szCs w:val="16"/>
                <w:color w:val="auto"/>
              </w:rPr>
              <w:t>(1,801)</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(3,767)</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(8,695)</w:t>
            </w:r>
          </w:p>
        </w:tc>
        <w:tc>
          <w:tcPr>
            <w:tcW w:w="780" w:type="dxa"/>
            <w:vAlign w:val="bottom"/>
          </w:tcPr>
          <w:p>
            <w:pPr>
              <w:jc w:val="right"/>
              <w:spacing w:after="0"/>
              <w:rPr>
                <w:sz w:val="20"/>
                <w:szCs w:val="20"/>
                <w:color w:val="auto"/>
              </w:rPr>
            </w:pPr>
            <w:r>
              <w:rPr>
                <w:rFonts w:ascii="Arial" w:cs="Arial" w:eastAsia="Arial" w:hAnsi="Arial"/>
                <w:sz w:val="16"/>
                <w:szCs w:val="16"/>
                <w:color w:val="auto"/>
              </w:rPr>
              <w:t>(5,428)</w:t>
            </w:r>
          </w:p>
        </w:tc>
        <w:tc>
          <w:tcPr>
            <w:tcW w:w="0" w:type="dxa"/>
            <w:vAlign w:val="bottom"/>
          </w:tcPr>
          <w:p>
            <w:pPr>
              <w:spacing w:after="0"/>
              <w:rPr>
                <w:sz w:val="1"/>
                <w:szCs w:val="1"/>
                <w:color w:val="auto"/>
              </w:rPr>
            </w:pPr>
          </w:p>
        </w:tc>
      </w:tr>
      <w:tr>
        <w:trPr>
          <w:trHeight w:val="263"/>
        </w:trPr>
        <w:tc>
          <w:tcPr>
            <w:tcW w:w="250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940" w:type="dxa"/>
            <w:vAlign w:val="bottom"/>
          </w:tcPr>
          <w:p>
            <w:pPr>
              <w:jc w:val="right"/>
              <w:spacing w:after="0"/>
              <w:rPr>
                <w:sz w:val="20"/>
                <w:szCs w:val="20"/>
                <w:color w:val="auto"/>
              </w:rPr>
            </w:pPr>
            <w:r>
              <w:rPr>
                <w:rFonts w:ascii="Arial" w:cs="Arial" w:eastAsia="Arial" w:hAnsi="Arial"/>
                <w:sz w:val="16"/>
                <w:szCs w:val="16"/>
                <w:color w:val="auto"/>
              </w:rPr>
              <w:t>(3,634)</w:t>
            </w:r>
          </w:p>
        </w:tc>
        <w:tc>
          <w:tcPr>
            <w:tcW w:w="8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(5,226)</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(10,711)</w:t>
            </w:r>
          </w:p>
        </w:tc>
        <w:tc>
          <w:tcPr>
            <w:tcW w:w="780" w:type="dxa"/>
            <w:vAlign w:val="bottom"/>
          </w:tcPr>
          <w:p>
            <w:pPr>
              <w:jc w:val="right"/>
              <w:spacing w:after="0"/>
              <w:rPr>
                <w:sz w:val="20"/>
                <w:szCs w:val="20"/>
                <w:color w:val="auto"/>
              </w:rPr>
            </w:pPr>
            <w:r>
              <w:rPr>
                <w:rFonts w:ascii="Arial" w:cs="Arial" w:eastAsia="Arial" w:hAnsi="Arial"/>
                <w:sz w:val="16"/>
                <w:szCs w:val="16"/>
                <w:color w:val="auto"/>
              </w:rPr>
              <w:t>(8,590)</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500" w:type="dxa"/>
            <w:vAlign w:val="bottom"/>
          </w:tcPr>
          <w:p>
            <w:pPr>
              <w:ind w:left="340"/>
              <w:spacing w:after="0"/>
              <w:rPr>
                <w:sz w:val="20"/>
                <w:szCs w:val="20"/>
                <w:color w:val="auto"/>
              </w:rPr>
            </w:pPr>
            <w:r>
              <w:rPr>
                <w:rFonts w:ascii="Arial" w:cs="Arial" w:eastAsia="Arial" w:hAnsi="Arial"/>
                <w:sz w:val="16"/>
                <w:szCs w:val="16"/>
                <w:color w:val="auto"/>
              </w:rPr>
              <w:t>Total operating income (loss)</w:t>
            </w:r>
          </w:p>
        </w:tc>
        <w:tc>
          <w:tcPr>
            <w:tcW w:w="940" w:type="dxa"/>
            <w:vAlign w:val="bottom"/>
          </w:tcPr>
          <w:p>
            <w:pPr>
              <w:jc w:val="right"/>
              <w:spacing w:after="0"/>
              <w:rPr>
                <w:sz w:val="20"/>
                <w:szCs w:val="20"/>
                <w:color w:val="auto"/>
              </w:rPr>
            </w:pPr>
            <w:r>
              <w:rPr>
                <w:rFonts w:ascii="Arial" w:cs="Arial" w:eastAsia="Arial" w:hAnsi="Arial"/>
                <w:sz w:val="16"/>
                <w:szCs w:val="16"/>
                <w:color w:val="auto"/>
              </w:rPr>
              <w:t>$ (14,137)</w:t>
            </w:r>
          </w:p>
        </w:tc>
        <w:tc>
          <w:tcPr>
            <w:tcW w:w="8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$ 16,226</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 (9,261)</w:t>
            </w:r>
          </w:p>
        </w:tc>
        <w:tc>
          <w:tcPr>
            <w:tcW w:w="780" w:type="dxa"/>
            <w:vAlign w:val="bottom"/>
          </w:tcPr>
          <w:p>
            <w:pPr>
              <w:jc w:val="right"/>
              <w:spacing w:after="0"/>
              <w:rPr>
                <w:sz w:val="20"/>
                <w:szCs w:val="20"/>
                <w:color w:val="auto"/>
              </w:rPr>
            </w:pPr>
            <w:r>
              <w:rPr>
                <w:rFonts w:ascii="Arial" w:cs="Arial" w:eastAsia="Arial" w:hAnsi="Arial"/>
                <w:sz w:val="16"/>
                <w:szCs w:val="16"/>
                <w:color w:val="auto"/>
              </w:rPr>
              <w:t>$ 69,086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right="20" w:firstLine="9"/>
        <w:spacing w:after="0" w:line="248" w:lineRule="auto"/>
        <w:tabs>
          <w:tab w:leader="none" w:pos="24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term EBITDA is defined as net income plus interest, taxes, depreciation and amortization. The term Adjusted EBITDA is defined as EBITDA adjusted to exclude impairment charges and certain other costs such as those incurred associated with the Spin-Off and the migration.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The Company has included EBITDA and Adjusted EBITDA as supplemental disclosures because its management believes that EBITDA and Adjusted EBITDA provides useful information regarding our ability to service debt and to fund capital expenditures and provides investors a helpful measure for comparing its operating performance with the performance of other companies that have different financing and capital structures or tax rates. The Company uses EBITDA and Adjusted EBITDA to compare and to monitor the performance of its business segments to other comparable public companies and as a benchmark for the award of incentive compensation under its annual incentive compensation plan.</w:t>
      </w:r>
    </w:p>
    <w:p>
      <w:pPr>
        <w:spacing w:after="0" w:line="341"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following table sets forth a reconciliation of EBITDA and Adjusted EBITDA to net income, which is the most directly comparable measure of financial performance calculated under generally accepted accounting principles (in thousands) (unaudited):</w:t>
      </w:r>
    </w:p>
    <w:p>
      <w:pPr>
        <w:sectPr>
          <w:pgSz w:w="11900" w:h="16838" w:orient="portrait"/>
          <w:cols w:equalWidth="0" w:num="1">
            <w:col w:w="11260"/>
          </w:cols>
          <w:pgMar w:left="320" w:top="141" w:right="319"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Income tax (benefit) provision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EBITDA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EBITDA</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Impairment of intangible asset (a)</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Impairment of fixed assets (b)</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Severance costs (c)</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Transition costs (d)</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Migration costs (e)</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Loss on assets held for sale (f)</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Adjusted EBITDA</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4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294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70"/>
        </w:trPr>
        <w:tc>
          <w:tcPr>
            <w:tcW w:w="2240" w:type="dxa"/>
            <w:vAlign w:val="bottom"/>
            <w:gridSpan w:val="3"/>
          </w:tcPr>
          <w:p>
            <w:pPr>
              <w:jc w:val="center"/>
              <w:ind w:left="1059"/>
              <w:spacing w:after="0"/>
              <w:rPr>
                <w:sz w:val="20"/>
                <w:szCs w:val="20"/>
                <w:color w:val="auto"/>
              </w:rPr>
            </w:pPr>
            <w:r>
              <w:rPr>
                <w:rFonts w:ascii="Arial" w:cs="Arial" w:eastAsia="Arial" w:hAnsi="Arial"/>
                <w:sz w:val="16"/>
                <w:szCs w:val="16"/>
                <w:b w:val="1"/>
                <w:bCs w:val="1"/>
                <w:color w:val="auto"/>
              </w:rPr>
              <w:t>JUNE 30,</w:t>
            </w: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40" w:type="dxa"/>
            <w:vAlign w:val="bottom"/>
            <w:gridSpan w:val="3"/>
          </w:tcPr>
          <w:p>
            <w:pPr>
              <w:jc w:val="center"/>
              <w:ind w:left="919"/>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23"/>
                <w:szCs w:val="23"/>
                <w:color w:val="auto"/>
              </w:rPr>
            </w:pPr>
          </w:p>
        </w:tc>
      </w:tr>
      <w:tr>
        <w:trPr>
          <w:trHeight w:val="263"/>
        </w:trPr>
        <w:tc>
          <w:tcPr>
            <w:tcW w:w="17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541"/>
        </w:trPr>
        <w:tc>
          <w:tcPr>
            <w:tcW w:w="1740" w:type="dxa"/>
            <w:vAlign w:val="bottom"/>
          </w:tcPr>
          <w:p>
            <w:pPr>
              <w:jc w:val="right"/>
              <w:spacing w:after="0"/>
              <w:rPr>
                <w:sz w:val="20"/>
                <w:szCs w:val="20"/>
                <w:color w:val="auto"/>
              </w:rPr>
            </w:pPr>
            <w:r>
              <w:rPr>
                <w:rFonts w:ascii="Arial" w:cs="Arial" w:eastAsia="Arial" w:hAnsi="Arial"/>
                <w:sz w:val="16"/>
                <w:szCs w:val="16"/>
                <w:color w:val="auto"/>
              </w:rPr>
              <w:t>$ (13,461)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$ 13,949</w:t>
            </w:r>
          </w:p>
        </w:tc>
        <w:tc>
          <w:tcPr>
            <w:tcW w:w="1440" w:type="dxa"/>
            <w:vAlign w:val="bottom"/>
          </w:tcPr>
          <w:p>
            <w:pPr>
              <w:jc w:val="right"/>
              <w:spacing w:after="0"/>
              <w:rPr>
                <w:sz w:val="20"/>
                <w:szCs w:val="20"/>
                <w:color w:val="auto"/>
              </w:rPr>
            </w:pPr>
            <w:r>
              <w:rPr>
                <w:rFonts w:ascii="Arial" w:cs="Arial" w:eastAsia="Arial" w:hAnsi="Arial"/>
                <w:sz w:val="16"/>
                <w:szCs w:val="16"/>
                <w:color w:val="auto"/>
              </w:rPr>
              <w:t>$ (13,477)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$ 50,188</w:t>
            </w:r>
          </w:p>
        </w:tc>
      </w:tr>
      <w:tr>
        <w:trPr>
          <w:trHeight w:val="270"/>
        </w:trPr>
        <w:tc>
          <w:tcPr>
            <w:tcW w:w="1740" w:type="dxa"/>
            <w:vAlign w:val="bottom"/>
          </w:tcPr>
          <w:p>
            <w:pPr>
              <w:jc w:val="right"/>
              <w:spacing w:after="0"/>
              <w:rPr>
                <w:sz w:val="20"/>
                <w:szCs w:val="20"/>
                <w:color w:val="auto"/>
              </w:rPr>
            </w:pPr>
            <w:r>
              <w:rPr>
                <w:rFonts w:ascii="Arial" w:cs="Arial" w:eastAsia="Arial" w:hAnsi="Arial"/>
                <w:sz w:val="16"/>
                <w:szCs w:val="16"/>
                <w:color w:val="auto"/>
              </w:rPr>
              <w:t>(5,863)</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(4,911)</w:t>
            </w: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(4,706)</w:t>
            </w:r>
          </w:p>
        </w:tc>
        <w:tc>
          <w:tcPr>
            <w:tcW w:w="4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7,400</w:t>
            </w:r>
          </w:p>
        </w:tc>
      </w:tr>
      <w:tr>
        <w:trPr>
          <w:trHeight w:val="270"/>
        </w:trPr>
        <w:tc>
          <w:tcPr>
            <w:tcW w:w="1740" w:type="dxa"/>
            <w:vAlign w:val="bottom"/>
          </w:tcPr>
          <w:p>
            <w:pPr>
              <w:jc w:val="right"/>
              <w:spacing w:after="0"/>
              <w:rPr>
                <w:sz w:val="20"/>
                <w:szCs w:val="20"/>
                <w:color w:val="auto"/>
              </w:rPr>
            </w:pPr>
            <w:r>
              <w:rPr>
                <w:rFonts w:ascii="Arial" w:cs="Arial" w:eastAsia="Arial" w:hAnsi="Arial"/>
                <w:sz w:val="16"/>
                <w:szCs w:val="16"/>
                <w:color w:val="auto"/>
              </w:rPr>
              <w:t>42,541</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42,413</w:t>
            </w:r>
          </w:p>
        </w:tc>
        <w:tc>
          <w:tcPr>
            <w:tcW w:w="1440" w:type="dxa"/>
            <w:vAlign w:val="bottom"/>
          </w:tcPr>
          <w:p>
            <w:pPr>
              <w:jc w:val="right"/>
              <w:spacing w:after="0"/>
              <w:rPr>
                <w:sz w:val="20"/>
                <w:szCs w:val="20"/>
                <w:color w:val="auto"/>
              </w:rPr>
            </w:pPr>
            <w:r>
              <w:rPr>
                <w:rFonts w:ascii="Arial" w:cs="Arial" w:eastAsia="Arial" w:hAnsi="Arial"/>
                <w:sz w:val="16"/>
                <w:szCs w:val="16"/>
                <w:color w:val="auto"/>
              </w:rPr>
              <w:t>84,987</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82,012</w:t>
            </w:r>
          </w:p>
        </w:tc>
      </w:tr>
      <w:tr>
        <w:trPr>
          <w:trHeight w:val="270"/>
        </w:trPr>
        <w:tc>
          <w:tcPr>
            <w:tcW w:w="1740" w:type="dxa"/>
            <w:vAlign w:val="bottom"/>
          </w:tcPr>
          <w:p>
            <w:pPr>
              <w:jc w:val="right"/>
              <w:spacing w:after="0"/>
              <w:rPr>
                <w:sz w:val="20"/>
                <w:szCs w:val="20"/>
                <w:color w:val="auto"/>
              </w:rPr>
            </w:pPr>
            <w:r>
              <w:rPr>
                <w:rFonts w:ascii="Arial" w:cs="Arial" w:eastAsia="Arial" w:hAnsi="Arial"/>
                <w:sz w:val="16"/>
                <w:szCs w:val="16"/>
                <w:color w:val="auto"/>
              </w:rPr>
              <w:t>(687)</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(991)</w:t>
            </w: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(1,809)</w:t>
            </w:r>
          </w:p>
        </w:tc>
        <w:tc>
          <w:tcPr>
            <w:tcW w:w="4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(1,793)</w:t>
            </w:r>
          </w:p>
        </w:tc>
      </w:tr>
      <w:tr>
        <w:trPr>
          <w:trHeight w:val="263"/>
        </w:trPr>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6,248</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8,552</w:t>
            </w:r>
          </w:p>
        </w:tc>
        <w:tc>
          <w:tcPr>
            <w:tcW w:w="8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11,857</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13,545</w:t>
            </w:r>
          </w:p>
        </w:tc>
      </w:tr>
      <w:tr>
        <w:trPr>
          <w:trHeight w:val="264"/>
        </w:trPr>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$ 28,778</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$ 59,012</w:t>
            </w:r>
          </w:p>
        </w:tc>
        <w:tc>
          <w:tcPr>
            <w:tcW w:w="8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$ 76,852</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$ 151,352</w:t>
            </w:r>
          </w:p>
        </w:tc>
      </w:tr>
      <w:tr>
        <w:trPr>
          <w:trHeight w:val="541"/>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8,989</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8,989</w:t>
            </w:r>
          </w:p>
        </w:tc>
      </w:tr>
      <w:tr>
        <w:trPr>
          <w:trHeight w:val="270"/>
        </w:trPr>
        <w:tc>
          <w:tcPr>
            <w:tcW w:w="1740" w:type="dxa"/>
            <w:vAlign w:val="bottom"/>
          </w:tcPr>
          <w:p>
            <w:pPr>
              <w:jc w:val="right"/>
              <w:spacing w:after="0"/>
              <w:rPr>
                <w:sz w:val="20"/>
                <w:szCs w:val="20"/>
                <w:color w:val="auto"/>
              </w:rPr>
            </w:pPr>
            <w:r>
              <w:rPr>
                <w:rFonts w:ascii="Arial" w:cs="Arial" w:eastAsia="Arial" w:hAnsi="Arial"/>
                <w:sz w:val="16"/>
                <w:szCs w:val="16"/>
                <w:color w:val="auto"/>
              </w:rPr>
              <w:t>9,473</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2,621</w:t>
            </w:r>
          </w:p>
        </w:tc>
        <w:tc>
          <w:tcPr>
            <w:tcW w:w="1440" w:type="dxa"/>
            <w:vAlign w:val="bottom"/>
          </w:tcPr>
          <w:p>
            <w:pPr>
              <w:jc w:val="right"/>
              <w:spacing w:after="0"/>
              <w:rPr>
                <w:sz w:val="20"/>
                <w:szCs w:val="20"/>
                <w:color w:val="auto"/>
              </w:rPr>
            </w:pPr>
            <w:r>
              <w:rPr>
                <w:rFonts w:ascii="Arial" w:cs="Arial" w:eastAsia="Arial" w:hAnsi="Arial"/>
                <w:sz w:val="16"/>
                <w:szCs w:val="16"/>
                <w:color w:val="auto"/>
              </w:rPr>
              <w:t>9,473</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2,621</w:t>
            </w:r>
          </w:p>
        </w:tc>
      </w:tr>
      <w:tr>
        <w:trPr>
          <w:trHeight w:val="270"/>
        </w:trPr>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4,117</w:t>
            </w: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4,117</w:t>
            </w:r>
          </w:p>
        </w:tc>
      </w:tr>
      <w:tr>
        <w:trPr>
          <w:trHeight w:val="270"/>
        </w:trPr>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1,896</w:t>
            </w: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2,469</w:t>
            </w:r>
          </w:p>
        </w:tc>
      </w:tr>
      <w:tr>
        <w:trPr>
          <w:trHeight w:val="270"/>
        </w:trPr>
        <w:tc>
          <w:tcPr>
            <w:tcW w:w="1740" w:type="dxa"/>
            <w:vAlign w:val="bottom"/>
          </w:tcPr>
          <w:p>
            <w:pPr>
              <w:jc w:val="right"/>
              <w:spacing w:after="0"/>
              <w:rPr>
                <w:sz w:val="20"/>
                <w:szCs w:val="20"/>
                <w:color w:val="auto"/>
              </w:rPr>
            </w:pPr>
            <w:r>
              <w:rPr>
                <w:rFonts w:ascii="Arial" w:cs="Arial" w:eastAsia="Arial" w:hAnsi="Arial"/>
                <w:sz w:val="16"/>
                <w:szCs w:val="16"/>
                <w:color w:val="auto"/>
              </w:rPr>
              <w:t>2,443</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3,603</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17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3,753</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1740" w:type="dxa"/>
            <w:vAlign w:val="bottom"/>
          </w:tcPr>
          <w:p>
            <w:pPr>
              <w:jc w:val="right"/>
              <w:spacing w:after="0"/>
              <w:rPr>
                <w:sz w:val="20"/>
                <w:szCs w:val="20"/>
                <w:color w:val="auto"/>
              </w:rPr>
            </w:pPr>
            <w:r>
              <w:rPr>
                <w:rFonts w:ascii="Arial" w:cs="Arial" w:eastAsia="Arial" w:hAnsi="Arial"/>
                <w:sz w:val="16"/>
                <w:szCs w:val="16"/>
                <w:color w:val="auto"/>
              </w:rPr>
              <w:t>$ 40,694</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$ 76,635</w:t>
            </w: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$ 93,681</w:t>
            </w: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$ 169,548</w:t>
            </w:r>
          </w:p>
        </w:tc>
      </w:tr>
      <w:tr>
        <w:trPr>
          <w:trHeight w:val="20"/>
        </w:trPr>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120" w:space="720"/>
            <w:col w:w="6420"/>
          </w:cols>
          <w:pgMar w:left="320" w:top="141" w:right="319" w:bottom="27" w:gutter="0" w:footer="0" w:header="0"/>
          <w:type w:val="continuous"/>
        </w:sectPr>
      </w:pPr>
    </w:p>
    <w:p>
      <w:pPr>
        <w:spacing w:after="0" w:line="153" w:lineRule="exact"/>
        <w:rPr>
          <w:sz w:val="20"/>
          <w:szCs w:val="20"/>
          <w:color w:val="auto"/>
        </w:rPr>
      </w:pPr>
    </w:p>
    <w:p>
      <w:pPr>
        <w:ind w:right="100" w:firstLine="9"/>
        <w:spacing w:after="0" w:line="251"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Relates to the impairment of an intangible asset in Australia. Due to the Spin-Off, and the resulting rebranding of the Company's Australian operations from The Mac to Civeo Australia, it was determined that the fair value of an intangible asset associated with The Mac brand was zero. The $9.0 million impairment ($6.3 million after-tax, or $0.06 per diluted share), which is related to our Australia segment, is included in Impairment expense on the unaudited statements of operations.</w:t>
      </w:r>
    </w:p>
    <w:p>
      <w:pPr>
        <w:spacing w:after="0" w:line="337" w:lineRule="exact"/>
        <w:rPr>
          <w:rFonts w:ascii="Arial" w:cs="Arial" w:eastAsia="Arial" w:hAnsi="Arial"/>
          <w:sz w:val="16"/>
          <w:szCs w:val="16"/>
          <w:color w:val="auto"/>
        </w:rPr>
      </w:pPr>
    </w:p>
    <w:p>
      <w:pPr>
        <w:ind w:left="260" w:hanging="251"/>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2015 relates to the impairment of certain fixed assets which carrying value we have determined is not to be recoverable. The $9.5 million impairment</w:t>
      </w:r>
    </w:p>
    <w:p>
      <w:pPr>
        <w:spacing w:after="0" w:line="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($6.6 million after-tax, or $0.06 per diluted share), which is related to our Australian segment, is included in Impairment expense on the unaudited statements of operations. 2014 relates to the impairment of certain fixed assets which are not in our custody, and for which return has been determined to be uncertain. The $2.6 million impairment ($1.7 million after-tax, or $0.02 per diluted share), which is related to our U.S. segment, is included in Impairment expense on the unaudited statements of operations.</w:t>
      </w:r>
    </w:p>
    <w:p>
      <w:pPr>
        <w:spacing w:after="0" w:line="338" w:lineRule="exact"/>
        <w:rPr>
          <w:sz w:val="20"/>
          <w:szCs w:val="20"/>
          <w:color w:val="auto"/>
        </w:rPr>
      </w:pPr>
    </w:p>
    <w:p>
      <w:pPr>
        <w:ind w:right="180" w:firstLine="9"/>
        <w:spacing w:after="0" w:line="260" w:lineRule="auto"/>
        <w:tabs>
          <w:tab w:leader="none" w:pos="234"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severance costs associated with the termination of an executive. The $4.1 million expense ($3.1 million after-tax, or $0.03 per diluted share), which is related to our Canadian segment, is included in Selling, general and administrative expenses on the unaudited statements of operations.</w:t>
      </w:r>
    </w:p>
    <w:p>
      <w:pPr>
        <w:sectPr>
          <w:pgSz w:w="11900" w:h="16838" w:orient="portrait"/>
          <w:cols w:equalWidth="0" w:num="1">
            <w:col w:w="11260"/>
          </w:cols>
          <w:pgMar w:left="320" w:top="141" w:right="319" w:bottom="27" w:gutter="0" w:footer="0" w:header="0"/>
          <w:type w:val="continuous"/>
        </w:sectPr>
      </w:pPr>
    </w:p>
    <w:bookmarkStart w:id="8" w:name="page9"/>
    <w:bookmarkEnd w:id="8"/>
    <w:p>
      <w:pPr>
        <w:ind w:right="300" w:firstLine="9"/>
        <w:spacing w:after="0" w:line="253"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transition costs incurred associated with becoming a stand-alone company. The $1.9 million and $2.5 million in costs ($1.2 million and $1.6 million,respectively, after-tax, or $0.01 and $0.01, respectively, per diluted share), which are primarily corporate in nature, are included in Spin-off and formation costs on the unaudited statements of operations.</w:t>
      </w:r>
    </w:p>
    <w:p>
      <w:pPr>
        <w:spacing w:after="0" w:line="336" w:lineRule="exact"/>
        <w:rPr>
          <w:rFonts w:ascii="Arial" w:cs="Arial" w:eastAsia="Arial" w:hAnsi="Arial"/>
          <w:sz w:val="16"/>
          <w:szCs w:val="16"/>
          <w:color w:val="auto"/>
        </w:rPr>
      </w:pPr>
    </w:p>
    <w:p>
      <w:pPr>
        <w:jc w:val="both"/>
        <w:ind w:right="480" w:firstLine="9"/>
        <w:spacing w:after="0" w:line="253"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costs incurred associated with the Company's redomiciliation to Canada. The $2.4 million and $3.6 million in costs ($1.6 million and $2.4 million, respectively, after-tax, or $0.02 and $0.03, respectively, per diluted share, respectively), which are primarily corporate in nature, are included in Selling, general and administrative costs on the statements of operations.</w:t>
      </w:r>
    </w:p>
    <w:p>
      <w:pPr>
        <w:spacing w:after="0" w:line="336" w:lineRule="exact"/>
        <w:rPr>
          <w:rFonts w:ascii="Arial" w:cs="Arial" w:eastAsia="Arial" w:hAnsi="Arial"/>
          <w:sz w:val="16"/>
          <w:szCs w:val="16"/>
          <w:color w:val="auto"/>
        </w:rPr>
      </w:pPr>
    </w:p>
    <w:p>
      <w:pPr>
        <w:ind w:right="280" w:firstLine="9"/>
        <w:spacing w:after="0" w:line="253" w:lineRule="auto"/>
        <w:tabs>
          <w:tab w:leader="none" w:pos="198"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the first quarter 2015 decision to close a manufacturing facility in the United States. As a result, the related assets were written down to their estimated sales proceeds, less costs to sell. We recorded a pre-tax loss of $3.8 million ($2.4 million after-tax, or $0.02 per diluted share), of which $1.1 million is included in Cost of sales and services and $2.7 million is included in Impairment expense on the statements of operations.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 dollars in thousands, except for room counts, RevPAR and average daily rate)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28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244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70"/>
        </w:trPr>
        <w:tc>
          <w:tcPr>
            <w:tcW w:w="5940" w:type="dxa"/>
            <w:vAlign w:val="bottom"/>
          </w:tcPr>
          <w:p>
            <w:pPr>
              <w:spacing w:after="0"/>
              <w:rPr>
                <w:sz w:val="23"/>
                <w:szCs w:val="23"/>
                <w:color w:val="auto"/>
              </w:rPr>
            </w:pPr>
          </w:p>
        </w:tc>
        <w:tc>
          <w:tcPr>
            <w:tcW w:w="1820" w:type="dxa"/>
            <w:vAlign w:val="bottom"/>
            <w:gridSpan w:val="3"/>
          </w:tcPr>
          <w:p>
            <w:pPr>
              <w:jc w:val="center"/>
              <w:ind w:left="879"/>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gridSpan w:val="3"/>
          </w:tcPr>
          <w:p>
            <w:pPr>
              <w:jc w:val="center"/>
              <w:ind w:left="739"/>
              <w:spacing w:after="0"/>
              <w:rPr>
                <w:sz w:val="20"/>
                <w:szCs w:val="20"/>
                <w:color w:val="auto"/>
              </w:rPr>
            </w:pPr>
            <w:r>
              <w:rPr>
                <w:rFonts w:ascii="Arial" w:cs="Arial" w:eastAsia="Arial" w:hAnsi="Arial"/>
                <w:sz w:val="16"/>
                <w:szCs w:val="16"/>
                <w:b w:val="1"/>
                <w:bCs w:val="1"/>
                <w:color w:val="auto"/>
              </w:rPr>
              <w:t>JUNE 30,</w:t>
            </w:r>
          </w:p>
        </w:tc>
        <w:tc>
          <w:tcPr>
            <w:tcW w:w="840" w:type="dxa"/>
            <w:vAlign w:val="bottom"/>
          </w:tcPr>
          <w:p>
            <w:pPr>
              <w:spacing w:after="0"/>
              <w:rPr>
                <w:sz w:val="23"/>
                <w:szCs w:val="23"/>
                <w:color w:val="auto"/>
              </w:rPr>
            </w:pPr>
          </w:p>
        </w:tc>
      </w:tr>
      <w:tr>
        <w:trPr>
          <w:trHeight w:val="263"/>
        </w:trPr>
        <w:tc>
          <w:tcPr>
            <w:tcW w:w="5940" w:type="dxa"/>
            <w:vAlign w:val="bottom"/>
          </w:tcPr>
          <w:p>
            <w:pPr>
              <w:spacing w:after="0"/>
              <w:rPr>
                <w:sz w:val="22"/>
                <w:szCs w:val="22"/>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r>
      <w:tr>
        <w:trPr>
          <w:trHeight w:val="541"/>
        </w:trPr>
        <w:tc>
          <w:tcPr>
            <w:tcW w:w="594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 Segment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5940" w:type="dxa"/>
            <w:vAlign w:val="bottom"/>
          </w:tcPr>
          <w:p>
            <w:pPr>
              <w:ind w:left="220"/>
              <w:spacing w:after="0"/>
              <w:rPr>
                <w:sz w:val="20"/>
                <w:szCs w:val="20"/>
                <w:color w:val="auto"/>
              </w:rPr>
            </w:pPr>
            <w:r>
              <w:rPr>
                <w:rFonts w:ascii="Arial" w:cs="Arial" w:eastAsia="Arial" w:hAnsi="Arial"/>
                <w:sz w:val="16"/>
                <w:szCs w:val="16"/>
                <w:color w:val="auto"/>
              </w:rPr>
              <w:t>Revenues</w:t>
            </w: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5940" w:type="dxa"/>
            <w:vAlign w:val="bottom"/>
          </w:tcPr>
          <w:p>
            <w:pPr>
              <w:ind w:left="280"/>
              <w:spacing w:after="0"/>
              <w:rPr>
                <w:sz w:val="20"/>
                <w:szCs w:val="20"/>
                <w:color w:val="auto"/>
              </w:rPr>
            </w:pPr>
            <w:r>
              <w:rPr>
                <w:rFonts w:ascii="Arial" w:cs="Arial" w:eastAsia="Arial" w:hAnsi="Arial"/>
                <w:sz w:val="16"/>
                <w:szCs w:val="16"/>
                <w:color w:val="auto"/>
              </w:rPr>
              <w:t>Lodge revenues (1)</w:t>
            </w:r>
          </w:p>
        </w:tc>
        <w:tc>
          <w:tcPr>
            <w:tcW w:w="1260" w:type="dxa"/>
            <w:vAlign w:val="bottom"/>
          </w:tcPr>
          <w:p>
            <w:pPr>
              <w:jc w:val="right"/>
              <w:spacing w:after="0"/>
              <w:rPr>
                <w:sz w:val="20"/>
                <w:szCs w:val="20"/>
                <w:color w:val="auto"/>
              </w:rPr>
            </w:pPr>
            <w:r>
              <w:rPr>
                <w:rFonts w:ascii="Arial" w:cs="Arial" w:eastAsia="Arial" w:hAnsi="Arial"/>
                <w:sz w:val="16"/>
                <w:szCs w:val="16"/>
                <w:color w:val="auto"/>
              </w:rPr>
              <w:t>$ 70,351</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$ 122,709</w:t>
            </w:r>
          </w:p>
        </w:tc>
        <w:tc>
          <w:tcPr>
            <w:tcW w:w="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$ 158,188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$ 245,099</w:t>
            </w:r>
          </w:p>
        </w:tc>
      </w:tr>
      <w:tr>
        <w:trPr>
          <w:trHeight w:val="263"/>
        </w:trPr>
        <w:tc>
          <w:tcPr>
            <w:tcW w:w="5940" w:type="dxa"/>
            <w:vAlign w:val="bottom"/>
          </w:tcPr>
          <w:p>
            <w:pPr>
              <w:ind w:left="280"/>
              <w:spacing w:after="0"/>
              <w:rPr>
                <w:sz w:val="20"/>
                <w:szCs w:val="20"/>
                <w:color w:val="auto"/>
              </w:rPr>
            </w:pPr>
            <w:r>
              <w:rPr>
                <w:rFonts w:ascii="Arial" w:cs="Arial" w:eastAsia="Arial" w:hAnsi="Arial"/>
                <w:sz w:val="16"/>
                <w:szCs w:val="16"/>
                <w:color w:val="auto"/>
              </w:rPr>
              <w:t>Mobile, open camp and product revenues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19,721</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33,770</w:t>
            </w:r>
          </w:p>
        </w:tc>
        <w:tc>
          <w:tcPr>
            <w:tcW w:w="8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48,784</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91,704</w:t>
            </w:r>
          </w:p>
        </w:tc>
      </w:tr>
      <w:tr>
        <w:trPr>
          <w:trHeight w:val="271"/>
        </w:trPr>
        <w:tc>
          <w:tcPr>
            <w:tcW w:w="5940" w:type="dxa"/>
            <w:vAlign w:val="bottom"/>
          </w:tcPr>
          <w:p>
            <w:pPr>
              <w:ind w:left="420"/>
              <w:spacing w:after="0"/>
              <w:rPr>
                <w:sz w:val="20"/>
                <w:szCs w:val="20"/>
                <w:color w:val="auto"/>
              </w:rPr>
            </w:pPr>
            <w:r>
              <w:rPr>
                <w:rFonts w:ascii="Arial" w:cs="Arial" w:eastAsia="Arial" w:hAnsi="Arial"/>
                <w:sz w:val="16"/>
                <w:szCs w:val="16"/>
                <w:color w:val="auto"/>
              </w:rPr>
              <w:t>Total Canadian revenues</w:t>
            </w:r>
          </w:p>
        </w:tc>
        <w:tc>
          <w:tcPr>
            <w:tcW w:w="1260" w:type="dxa"/>
            <w:vAlign w:val="bottom"/>
          </w:tcPr>
          <w:p>
            <w:pPr>
              <w:jc w:val="right"/>
              <w:spacing w:after="0"/>
              <w:rPr>
                <w:sz w:val="20"/>
                <w:szCs w:val="20"/>
                <w:color w:val="auto"/>
              </w:rPr>
            </w:pPr>
            <w:r>
              <w:rPr>
                <w:rFonts w:ascii="Arial" w:cs="Arial" w:eastAsia="Arial" w:hAnsi="Arial"/>
                <w:sz w:val="16"/>
                <w:szCs w:val="16"/>
                <w:color w:val="auto"/>
              </w:rPr>
              <w:t>$ 90,072</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$ 156,479</w:t>
            </w:r>
          </w:p>
        </w:tc>
        <w:tc>
          <w:tcPr>
            <w:tcW w:w="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$ 206,972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$ 336,803</w:t>
            </w:r>
          </w:p>
        </w:tc>
      </w:tr>
      <w:tr>
        <w:trPr>
          <w:trHeight w:val="540"/>
        </w:trPr>
        <w:tc>
          <w:tcPr>
            <w:tcW w:w="5940" w:type="dxa"/>
            <w:vAlign w:val="bottom"/>
          </w:tcPr>
          <w:p>
            <w:pPr>
              <w:ind w:left="220"/>
              <w:spacing w:after="0"/>
              <w:rPr>
                <w:sz w:val="20"/>
                <w:szCs w:val="20"/>
                <w:color w:val="auto"/>
              </w:rPr>
            </w:pPr>
            <w:r>
              <w:rPr>
                <w:rFonts w:ascii="Arial" w:cs="Arial" w:eastAsia="Arial" w:hAnsi="Arial"/>
                <w:sz w:val="16"/>
                <w:szCs w:val="16"/>
                <w:color w:val="auto"/>
              </w:rPr>
              <w:t>Average available lodge rooms (2)</w:t>
            </w:r>
          </w:p>
        </w:tc>
        <w:tc>
          <w:tcPr>
            <w:tcW w:w="1260" w:type="dxa"/>
            <w:vAlign w:val="bottom"/>
          </w:tcPr>
          <w:p>
            <w:pPr>
              <w:jc w:val="right"/>
              <w:spacing w:after="0"/>
              <w:rPr>
                <w:sz w:val="20"/>
                <w:szCs w:val="20"/>
                <w:color w:val="auto"/>
              </w:rPr>
            </w:pPr>
            <w:r>
              <w:rPr>
                <w:rFonts w:ascii="Arial" w:cs="Arial" w:eastAsia="Arial" w:hAnsi="Arial"/>
                <w:sz w:val="16"/>
                <w:szCs w:val="16"/>
                <w:color w:val="auto"/>
              </w:rPr>
              <w:t>13,229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12,296</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13,225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12,082</w:t>
            </w:r>
          </w:p>
        </w:tc>
      </w:tr>
      <w:tr>
        <w:trPr>
          <w:trHeight w:val="540"/>
        </w:trPr>
        <w:tc>
          <w:tcPr>
            <w:tcW w:w="5940" w:type="dxa"/>
            <w:vAlign w:val="bottom"/>
          </w:tcPr>
          <w:p>
            <w:pPr>
              <w:ind w:left="220"/>
              <w:spacing w:after="0"/>
              <w:rPr>
                <w:sz w:val="20"/>
                <w:szCs w:val="20"/>
                <w:color w:val="auto"/>
              </w:rPr>
            </w:pPr>
            <w:r>
              <w:rPr>
                <w:rFonts w:ascii="Arial" w:cs="Arial" w:eastAsia="Arial" w:hAnsi="Arial"/>
                <w:sz w:val="16"/>
                <w:szCs w:val="16"/>
                <w:color w:val="auto"/>
              </w:rPr>
              <w:t>Rentable rooms (3)</w:t>
            </w:r>
          </w:p>
        </w:tc>
        <w:tc>
          <w:tcPr>
            <w:tcW w:w="1260" w:type="dxa"/>
            <w:vAlign w:val="bottom"/>
          </w:tcPr>
          <w:p>
            <w:pPr>
              <w:jc w:val="right"/>
              <w:spacing w:after="0"/>
              <w:rPr>
                <w:sz w:val="20"/>
                <w:szCs w:val="20"/>
                <w:color w:val="auto"/>
              </w:rPr>
            </w:pPr>
            <w:r>
              <w:rPr>
                <w:rFonts w:ascii="Arial" w:cs="Arial" w:eastAsia="Arial" w:hAnsi="Arial"/>
                <w:sz w:val="16"/>
                <w:szCs w:val="16"/>
                <w:color w:val="auto"/>
              </w:rPr>
              <w:t>10,398</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10,780</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10,471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10,629</w:t>
            </w:r>
          </w:p>
        </w:tc>
      </w:tr>
      <w:tr>
        <w:trPr>
          <w:trHeight w:val="540"/>
        </w:trPr>
        <w:tc>
          <w:tcPr>
            <w:tcW w:w="594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1260" w:type="dxa"/>
            <w:vAlign w:val="bottom"/>
          </w:tcPr>
          <w:p>
            <w:pPr>
              <w:jc w:val="right"/>
              <w:spacing w:after="0"/>
              <w:rPr>
                <w:sz w:val="20"/>
                <w:szCs w:val="20"/>
                <w:color w:val="auto"/>
              </w:rPr>
            </w:pPr>
            <w:r>
              <w:rPr>
                <w:rFonts w:ascii="Arial" w:cs="Arial" w:eastAsia="Arial" w:hAnsi="Arial"/>
                <w:sz w:val="16"/>
                <w:szCs w:val="16"/>
                <w:color w:val="auto"/>
              </w:rPr>
              <w:t>$ 120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$ 144</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$ 127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$ 145</w:t>
            </w:r>
          </w:p>
        </w:tc>
      </w:tr>
      <w:tr>
        <w:trPr>
          <w:trHeight w:val="540"/>
        </w:trPr>
        <w:tc>
          <w:tcPr>
            <w:tcW w:w="5940" w:type="dxa"/>
            <w:vAlign w:val="bottom"/>
          </w:tcPr>
          <w:p>
            <w:pPr>
              <w:ind w:left="220"/>
              <w:spacing w:after="0"/>
              <w:rPr>
                <w:sz w:val="20"/>
                <w:szCs w:val="20"/>
                <w:color w:val="auto"/>
              </w:rPr>
            </w:pPr>
            <w:r>
              <w:rPr>
                <w:rFonts w:ascii="Arial" w:cs="Arial" w:eastAsia="Arial" w:hAnsi="Arial"/>
                <w:sz w:val="16"/>
                <w:szCs w:val="16"/>
                <w:color w:val="auto"/>
              </w:rPr>
              <w:t>RevPAR for lodges (5)</w:t>
            </w:r>
          </w:p>
        </w:tc>
        <w:tc>
          <w:tcPr>
            <w:tcW w:w="1260" w:type="dxa"/>
            <w:vAlign w:val="bottom"/>
          </w:tcPr>
          <w:p>
            <w:pPr>
              <w:jc w:val="right"/>
              <w:spacing w:after="0"/>
              <w:rPr>
                <w:sz w:val="20"/>
                <w:szCs w:val="20"/>
                <w:color w:val="auto"/>
              </w:rPr>
            </w:pPr>
            <w:r>
              <w:rPr>
                <w:rFonts w:ascii="Arial" w:cs="Arial" w:eastAsia="Arial" w:hAnsi="Arial"/>
                <w:sz w:val="16"/>
                <w:szCs w:val="16"/>
                <w:color w:val="auto"/>
              </w:rPr>
              <w:t>$ 59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$ 110</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$ 66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$ 112</w:t>
            </w:r>
          </w:p>
        </w:tc>
      </w:tr>
      <w:tr>
        <w:trPr>
          <w:trHeight w:val="540"/>
        </w:trPr>
        <w:tc>
          <w:tcPr>
            <w:tcW w:w="5940" w:type="dxa"/>
            <w:vAlign w:val="bottom"/>
          </w:tcPr>
          <w:p>
            <w:pPr>
              <w:ind w:left="220"/>
              <w:spacing w:after="0"/>
              <w:rPr>
                <w:sz w:val="20"/>
                <w:szCs w:val="20"/>
                <w:color w:val="auto"/>
              </w:rPr>
            </w:pPr>
            <w:r>
              <w:rPr>
                <w:rFonts w:ascii="Arial" w:cs="Arial" w:eastAsia="Arial" w:hAnsi="Arial"/>
                <w:sz w:val="16"/>
                <w:szCs w:val="16"/>
                <w:color w:val="auto"/>
              </w:rPr>
              <w:t>Occupancy in lodges (6)</w:t>
            </w:r>
          </w:p>
        </w:tc>
        <w:tc>
          <w:tcPr>
            <w:tcW w:w="126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540"/>
        </w:trPr>
        <w:tc>
          <w:tcPr>
            <w:tcW w:w="594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1260" w:type="dxa"/>
            <w:vAlign w:val="bottom"/>
          </w:tcPr>
          <w:p>
            <w:pPr>
              <w:jc w:val="right"/>
              <w:spacing w:after="0"/>
              <w:rPr>
                <w:sz w:val="20"/>
                <w:szCs w:val="20"/>
                <w:color w:val="auto"/>
              </w:rPr>
            </w:pPr>
            <w:r>
              <w:rPr>
                <w:rFonts w:ascii="Arial" w:cs="Arial" w:eastAsia="Arial" w:hAnsi="Arial"/>
                <w:sz w:val="16"/>
                <w:szCs w:val="16"/>
                <w:color w:val="auto"/>
              </w:rPr>
              <w:t>$ 0.814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$ 0.917</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$ 0.810</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$ 0.912</w:t>
            </w:r>
          </w:p>
        </w:tc>
      </w:tr>
      <w:tr>
        <w:trPr>
          <w:trHeight w:val="810"/>
        </w:trPr>
        <w:tc>
          <w:tcPr>
            <w:tcW w:w="594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 Segment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5940" w:type="dxa"/>
            <w:vAlign w:val="bottom"/>
          </w:tcPr>
          <w:p>
            <w:pPr>
              <w:ind w:left="220"/>
              <w:spacing w:after="0"/>
              <w:rPr>
                <w:sz w:val="20"/>
                <w:szCs w:val="20"/>
                <w:color w:val="auto"/>
              </w:rPr>
            </w:pPr>
            <w:r>
              <w:rPr>
                <w:rFonts w:ascii="Arial" w:cs="Arial" w:eastAsia="Arial" w:hAnsi="Arial"/>
                <w:sz w:val="16"/>
                <w:szCs w:val="16"/>
                <w:color w:val="auto"/>
              </w:rPr>
              <w:t>Revenues</w:t>
            </w: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5940" w:type="dxa"/>
            <w:vAlign w:val="bottom"/>
          </w:tcPr>
          <w:p>
            <w:pPr>
              <w:ind w:left="280"/>
              <w:spacing w:after="0"/>
              <w:rPr>
                <w:sz w:val="20"/>
                <w:szCs w:val="20"/>
                <w:color w:val="auto"/>
              </w:rPr>
            </w:pPr>
            <w:r>
              <w:rPr>
                <w:rFonts w:ascii="Arial" w:cs="Arial" w:eastAsia="Arial" w:hAnsi="Arial"/>
                <w:sz w:val="16"/>
                <w:szCs w:val="16"/>
                <w:color w:val="auto"/>
              </w:rPr>
              <w:t>Village revenues (1)</w:t>
            </w:r>
          </w:p>
        </w:tc>
        <w:tc>
          <w:tcPr>
            <w:tcW w:w="1260" w:type="dxa"/>
            <w:vAlign w:val="bottom"/>
          </w:tcPr>
          <w:p>
            <w:pPr>
              <w:jc w:val="right"/>
              <w:spacing w:after="0"/>
              <w:rPr>
                <w:sz w:val="20"/>
                <w:szCs w:val="20"/>
                <w:color w:val="auto"/>
              </w:rPr>
            </w:pPr>
            <w:r>
              <w:rPr>
                <w:rFonts w:ascii="Arial" w:cs="Arial" w:eastAsia="Arial" w:hAnsi="Arial"/>
                <w:sz w:val="16"/>
                <w:szCs w:val="16"/>
                <w:color w:val="auto"/>
              </w:rPr>
              <w:t>$ 38,268</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$ 54,383</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$ 80,127</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$ 109,847</w:t>
            </w:r>
          </w:p>
        </w:tc>
      </w:tr>
      <w:tr>
        <w:trPr>
          <w:trHeight w:val="540"/>
        </w:trPr>
        <w:tc>
          <w:tcPr>
            <w:tcW w:w="5940" w:type="dxa"/>
            <w:vAlign w:val="bottom"/>
          </w:tcPr>
          <w:p>
            <w:pPr>
              <w:ind w:left="220"/>
              <w:spacing w:after="0"/>
              <w:rPr>
                <w:sz w:val="20"/>
                <w:szCs w:val="20"/>
                <w:color w:val="auto"/>
              </w:rPr>
            </w:pPr>
            <w:r>
              <w:rPr>
                <w:rFonts w:ascii="Arial" w:cs="Arial" w:eastAsia="Arial" w:hAnsi="Arial"/>
                <w:sz w:val="16"/>
                <w:szCs w:val="16"/>
                <w:color w:val="auto"/>
              </w:rPr>
              <w:t>Average available village rooms (2)</w:t>
            </w:r>
          </w:p>
        </w:tc>
        <w:tc>
          <w:tcPr>
            <w:tcW w:w="1260" w:type="dxa"/>
            <w:vAlign w:val="bottom"/>
          </w:tcPr>
          <w:p>
            <w:pPr>
              <w:jc w:val="right"/>
              <w:spacing w:after="0"/>
              <w:rPr>
                <w:sz w:val="20"/>
                <w:szCs w:val="20"/>
                <w:color w:val="auto"/>
              </w:rPr>
            </w:pPr>
            <w:r>
              <w:rPr>
                <w:rFonts w:ascii="Arial" w:cs="Arial" w:eastAsia="Arial" w:hAnsi="Arial"/>
                <w:sz w:val="16"/>
                <w:szCs w:val="16"/>
                <w:color w:val="auto"/>
              </w:rPr>
              <w:t>9,296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9,258</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9,296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9,260</w:t>
            </w:r>
          </w:p>
        </w:tc>
      </w:tr>
      <w:tr>
        <w:trPr>
          <w:trHeight w:val="540"/>
        </w:trPr>
        <w:tc>
          <w:tcPr>
            <w:tcW w:w="5940" w:type="dxa"/>
            <w:vAlign w:val="bottom"/>
          </w:tcPr>
          <w:p>
            <w:pPr>
              <w:ind w:left="220"/>
              <w:spacing w:after="0"/>
              <w:rPr>
                <w:sz w:val="20"/>
                <w:szCs w:val="20"/>
                <w:color w:val="auto"/>
              </w:rPr>
            </w:pPr>
            <w:r>
              <w:rPr>
                <w:rFonts w:ascii="Arial" w:cs="Arial" w:eastAsia="Arial" w:hAnsi="Arial"/>
                <w:sz w:val="16"/>
                <w:szCs w:val="16"/>
                <w:color w:val="auto"/>
              </w:rPr>
              <w:t>Rentable rooms (3)</w:t>
            </w:r>
          </w:p>
        </w:tc>
        <w:tc>
          <w:tcPr>
            <w:tcW w:w="1260" w:type="dxa"/>
            <w:vAlign w:val="bottom"/>
          </w:tcPr>
          <w:p>
            <w:pPr>
              <w:jc w:val="right"/>
              <w:spacing w:after="0"/>
              <w:rPr>
                <w:sz w:val="20"/>
                <w:szCs w:val="20"/>
                <w:color w:val="auto"/>
              </w:rPr>
            </w:pPr>
            <w:r>
              <w:rPr>
                <w:rFonts w:ascii="Arial" w:cs="Arial" w:eastAsia="Arial" w:hAnsi="Arial"/>
                <w:sz w:val="16"/>
                <w:szCs w:val="16"/>
                <w:color w:val="auto"/>
              </w:rPr>
              <w:t>8,921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9,083</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9,022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9,020</w:t>
            </w:r>
          </w:p>
        </w:tc>
      </w:tr>
      <w:tr>
        <w:trPr>
          <w:trHeight w:val="540"/>
        </w:trPr>
        <w:tc>
          <w:tcPr>
            <w:tcW w:w="594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1260" w:type="dxa"/>
            <w:vAlign w:val="bottom"/>
          </w:tcPr>
          <w:p>
            <w:pPr>
              <w:jc w:val="right"/>
              <w:spacing w:after="0"/>
              <w:rPr>
                <w:sz w:val="20"/>
                <w:szCs w:val="20"/>
                <w:color w:val="auto"/>
              </w:rPr>
            </w:pPr>
            <w:r>
              <w:rPr>
                <w:rFonts w:ascii="Arial" w:cs="Arial" w:eastAsia="Arial" w:hAnsi="Arial"/>
                <w:sz w:val="16"/>
                <w:szCs w:val="16"/>
                <w:color w:val="auto"/>
              </w:rPr>
              <w:t>$ 77</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$ 101</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$ 79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$ 95</w:t>
            </w:r>
          </w:p>
        </w:tc>
      </w:tr>
      <w:tr>
        <w:trPr>
          <w:trHeight w:val="540"/>
        </w:trPr>
        <w:tc>
          <w:tcPr>
            <w:tcW w:w="5940" w:type="dxa"/>
            <w:vAlign w:val="bottom"/>
          </w:tcPr>
          <w:p>
            <w:pPr>
              <w:ind w:left="220"/>
              <w:spacing w:after="0"/>
              <w:rPr>
                <w:sz w:val="20"/>
                <w:szCs w:val="20"/>
                <w:color w:val="auto"/>
              </w:rPr>
            </w:pPr>
            <w:r>
              <w:rPr>
                <w:rFonts w:ascii="Arial" w:cs="Arial" w:eastAsia="Arial" w:hAnsi="Arial"/>
                <w:sz w:val="16"/>
                <w:szCs w:val="16"/>
                <w:color w:val="auto"/>
              </w:rPr>
              <w:t>RevPAR for villages (5)</w:t>
            </w:r>
          </w:p>
        </w:tc>
        <w:tc>
          <w:tcPr>
            <w:tcW w:w="1260" w:type="dxa"/>
            <w:vAlign w:val="bottom"/>
          </w:tcPr>
          <w:p>
            <w:pPr>
              <w:jc w:val="right"/>
              <w:spacing w:after="0"/>
              <w:rPr>
                <w:sz w:val="20"/>
                <w:szCs w:val="20"/>
                <w:color w:val="auto"/>
              </w:rPr>
            </w:pPr>
            <w:r>
              <w:rPr>
                <w:rFonts w:ascii="Arial" w:cs="Arial" w:eastAsia="Arial" w:hAnsi="Arial"/>
                <w:sz w:val="16"/>
                <w:szCs w:val="16"/>
                <w:color w:val="auto"/>
              </w:rPr>
              <w:t>$ 45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$ 65</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$ 48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$ 66</w:t>
            </w:r>
          </w:p>
        </w:tc>
      </w:tr>
      <w:tr>
        <w:trPr>
          <w:trHeight w:val="540"/>
        </w:trPr>
        <w:tc>
          <w:tcPr>
            <w:tcW w:w="5940" w:type="dxa"/>
            <w:vAlign w:val="bottom"/>
          </w:tcPr>
          <w:p>
            <w:pPr>
              <w:ind w:left="220"/>
              <w:spacing w:after="0"/>
              <w:rPr>
                <w:sz w:val="20"/>
                <w:szCs w:val="20"/>
                <w:color w:val="auto"/>
              </w:rPr>
            </w:pPr>
            <w:r>
              <w:rPr>
                <w:rFonts w:ascii="Arial" w:cs="Arial" w:eastAsia="Arial" w:hAnsi="Arial"/>
                <w:sz w:val="16"/>
                <w:szCs w:val="16"/>
                <w:color w:val="auto"/>
              </w:rPr>
              <w:t>Occupancy in villages (6)</w:t>
            </w:r>
          </w:p>
        </w:tc>
        <w:tc>
          <w:tcPr>
            <w:tcW w:w="126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540"/>
        </w:trPr>
        <w:tc>
          <w:tcPr>
            <w:tcW w:w="594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1260" w:type="dxa"/>
            <w:vAlign w:val="bottom"/>
          </w:tcPr>
          <w:p>
            <w:pPr>
              <w:jc w:val="right"/>
              <w:spacing w:after="0"/>
              <w:rPr>
                <w:sz w:val="20"/>
                <w:szCs w:val="20"/>
                <w:color w:val="auto"/>
              </w:rPr>
            </w:pPr>
            <w:r>
              <w:rPr>
                <w:rFonts w:ascii="Arial" w:cs="Arial" w:eastAsia="Arial" w:hAnsi="Arial"/>
                <w:sz w:val="16"/>
                <w:szCs w:val="16"/>
                <w:color w:val="auto"/>
              </w:rPr>
              <w:t>$ 0.778</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$ 0.933</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$ 0.782</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$ 0.915</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hanging="291"/>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356" w:lineRule="exact"/>
        <w:rPr>
          <w:rFonts w:ascii="Arial" w:cs="Arial" w:eastAsia="Arial" w:hAnsi="Arial"/>
          <w:sz w:val="16"/>
          <w:szCs w:val="16"/>
          <w:color w:val="auto"/>
        </w:rPr>
      </w:pPr>
    </w:p>
    <w:p>
      <w:pPr>
        <w:ind w:left="300" w:hanging="291"/>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Average available rooms relate to Canadian lodges and Australian villages and include rooms that are utilized for our personnel.</w:t>
      </w:r>
    </w:p>
    <w:p>
      <w:pPr>
        <w:spacing w:after="0" w:line="356" w:lineRule="exact"/>
        <w:rPr>
          <w:rFonts w:ascii="Arial" w:cs="Arial" w:eastAsia="Arial" w:hAnsi="Arial"/>
          <w:sz w:val="16"/>
          <w:szCs w:val="16"/>
          <w:color w:val="auto"/>
        </w:rPr>
      </w:pPr>
    </w:p>
    <w:p>
      <w:pPr>
        <w:ind w:left="300" w:hanging="291"/>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Rentable rooms relate to Canadian lodges and Australian villages and exclude rooms that are utilized for our personnel and out of service rooms.</w:t>
      </w:r>
    </w:p>
    <w:p>
      <w:pPr>
        <w:sectPr>
          <w:pgSz w:w="11900" w:h="16838" w:orient="portrait"/>
          <w:cols w:equalWidth="0" w:num="1">
            <w:col w:w="11260"/>
          </w:cols>
          <w:pgMar w:left="320" w:top="141" w:right="319" w:bottom="0" w:gutter="0" w:footer="0" w:header="0"/>
        </w:sectPr>
      </w:pPr>
    </w:p>
    <w:bookmarkStart w:id="9" w:name="page10"/>
    <w:bookmarkEnd w:id="9"/>
    <w:p>
      <w:pPr>
        <w:ind w:left="380" w:hanging="291"/>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Average daily rate is based on rentable rooms and lodge/village revenue in U.S. dollars.</w:t>
      </w:r>
    </w:p>
    <w:p>
      <w:pPr>
        <w:spacing w:after="0" w:line="356" w:lineRule="exact"/>
        <w:rPr>
          <w:rFonts w:ascii="Arial" w:cs="Arial" w:eastAsia="Arial" w:hAnsi="Arial"/>
          <w:sz w:val="16"/>
          <w:szCs w:val="16"/>
          <w:color w:val="auto"/>
        </w:rPr>
      </w:pPr>
    </w:p>
    <w:p>
      <w:pPr>
        <w:ind w:left="80" w:firstLine="9"/>
        <w:spacing w:after="0" w:line="260" w:lineRule="auto"/>
        <w:tabs>
          <w:tab w:leader="none" w:pos="368"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330" w:lineRule="exact"/>
        <w:rPr>
          <w:rFonts w:ascii="Arial" w:cs="Arial" w:eastAsia="Arial" w:hAnsi="Arial"/>
          <w:sz w:val="16"/>
          <w:szCs w:val="16"/>
          <w:color w:val="auto"/>
        </w:rPr>
      </w:pPr>
    </w:p>
    <w:p>
      <w:pPr>
        <w:ind w:left="380" w:hanging="291"/>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Occupancy represents total billed days divided by rentable days. Rentable days excludes staff rooms and out of service rooms.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Company Contact:</w:t>
      </w:r>
    </w:p>
    <w:p>
      <w:pPr>
        <w:ind w:left="960"/>
        <w:spacing w:after="0" w:line="238" w:lineRule="auto"/>
        <w:rPr>
          <w:sz w:val="20"/>
          <w:szCs w:val="20"/>
          <w:color w:val="auto"/>
        </w:rPr>
      </w:pPr>
      <w:r>
        <w:rPr>
          <w:rFonts w:ascii="Courier New" w:cs="Courier New" w:eastAsia="Courier New" w:hAnsi="Courier New"/>
          <w:sz w:val="18"/>
          <w:szCs w:val="18"/>
          <w:color w:val="auto"/>
        </w:rPr>
        <w:t>Frank C. Steininger</w:t>
      </w:r>
    </w:p>
    <w:p>
      <w:pPr>
        <w:ind w:left="960"/>
        <w:spacing w:after="0"/>
        <w:rPr>
          <w:sz w:val="20"/>
          <w:szCs w:val="20"/>
          <w:color w:val="auto"/>
        </w:rPr>
      </w:pPr>
      <w:r>
        <w:rPr>
          <w:rFonts w:ascii="Courier New" w:cs="Courier New" w:eastAsia="Courier New" w:hAnsi="Courier New"/>
          <w:sz w:val="18"/>
          <w:szCs w:val="18"/>
          <w:color w:val="auto"/>
        </w:rPr>
        <w:t>Civeo Corporation</w:t>
      </w:r>
    </w:p>
    <w:p>
      <w:pPr>
        <w:ind w:left="960"/>
        <w:spacing w:after="0" w:line="237" w:lineRule="auto"/>
        <w:rPr>
          <w:sz w:val="20"/>
          <w:szCs w:val="20"/>
          <w:color w:val="auto"/>
        </w:rPr>
      </w:pPr>
      <w:r>
        <w:rPr>
          <w:rFonts w:ascii="Courier New" w:cs="Courier New" w:eastAsia="Courier New" w:hAnsi="Courier New"/>
          <w:sz w:val="18"/>
          <w:szCs w:val="18"/>
          <w:color w:val="auto"/>
        </w:rPr>
        <w:t>Senior Vice President and Chief Financial Officer</w:t>
      </w:r>
    </w:p>
    <w:p>
      <w:pPr>
        <w:ind w:left="960"/>
        <w:spacing w:after="0" w:line="238" w:lineRule="auto"/>
        <w:rPr>
          <w:sz w:val="20"/>
          <w:szCs w:val="20"/>
          <w:color w:val="auto"/>
        </w:rPr>
      </w:pPr>
      <w:r>
        <w:rPr>
          <w:rFonts w:ascii="Courier New" w:cs="Courier New" w:eastAsia="Courier New" w:hAnsi="Courier New"/>
          <w:sz w:val="18"/>
          <w:szCs w:val="18"/>
          <w:color w:val="auto"/>
        </w:rPr>
        <w:t>713-510-2400</w:t>
      </w:r>
    </w:p>
    <w:sectPr>
      <w:pgSz w:w="11900" w:h="16838" w:orient="portrait"/>
      <w:cols w:equalWidth="0" w:num="1">
        <w:col w:w="11320"/>
      </w:cols>
      <w:pgMar w:left="240" w:top="2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2019-12-09T03:35:48Z</dcterms:created>
  <dcterms:modified xsi:type="dcterms:W3CDTF">2019-12-09T03:35:48Z</dcterms:modified>
</cp:coreProperties>
</file>