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Steininger Frank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09/09/2015</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40,000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1.892</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169,274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$1.85 to $1.90, inclusive. The reporting person undertakes to provide to Civeo, any security holder of Civeo or the staff of the Securities and Exchange Commission, upon request, full information regarding the number of shares purchased at each separate price with the ranges set forth in this footnote (1).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Chief Financial Officer and Treasurer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8"/>
              </w:rPr>
              <w:t>/s/ Frank C. Steininger</w:t>
            </w:r>
          </w:p>
        </w:tc>
        <w:tc>
          <w:tcPr>
            <w:tcW w:w="5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09/10/2015</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2019-12-09T03:04:46Z</dcterms:created>
  <dcterms:modified xsi:type="dcterms:W3CDTF">2019-12-09T03:04:46Z</dcterms:modified>
</cp:coreProperties>
</file>