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October 26, 2017</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26, 2017, Civeo Corporation (“Civeo”) issued a press release announcing its financial condition and results of operations as of and for the quarter ended September 30, 2017. A copy of the press release is furnished as Exhibit 99.1 to this report on Form 8-K, and is incorporated herein by reference.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40" w:hanging="427"/>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Number Description of Document</w:t>
      </w:r>
    </w:p>
    <w:p>
      <w:pPr>
        <w:spacing w:after="0" w:line="292" w:lineRule="exact"/>
        <w:rPr>
          <w:sz w:val="20"/>
          <w:szCs w:val="20"/>
          <w:color w:val="auto"/>
        </w:rPr>
      </w:pPr>
    </w:p>
    <w:p>
      <w:pPr>
        <w:ind w:left="20"/>
        <w:spacing w:after="0"/>
        <w:tabs>
          <w:tab w:leader="none" w:pos="7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October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000" w:type="dxa"/>
            <w:vAlign w:val="bottom"/>
            <w:gridSpan w:val="3"/>
          </w:tcPr>
          <w:p>
            <w:pPr>
              <w:ind w:left="192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October 26, 2017</w:t>
            </w:r>
          </w:p>
        </w:tc>
        <w:tc>
          <w:tcPr>
            <w:tcW w:w="5000" w:type="dxa"/>
            <w:vAlign w:val="bottom"/>
            <w:gridSpan w:val="3"/>
          </w:tcPr>
          <w:p>
            <w:pPr>
              <w:ind w:left="1920"/>
              <w:spacing w:after="0"/>
              <w:rPr>
                <w:sz w:val="20"/>
                <w:szCs w:val="20"/>
                <w:color w:val="auto"/>
              </w:rPr>
            </w:pPr>
            <w:r>
              <w:rPr>
                <w:rFonts w:ascii="Arial" w:cs="Arial" w:eastAsia="Arial" w:hAnsi="Arial"/>
                <w:sz w:val="18"/>
                <w:szCs w:val="18"/>
                <w:color w:val="auto"/>
              </w:rPr>
              <w:t>By: /s/ Frank C. Steininger</w:t>
            </w:r>
          </w:p>
        </w:tc>
      </w:tr>
      <w:tr>
        <w:trPr>
          <w:trHeight w:val="222"/>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72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w:t>
            </w: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Officer &amp; Treasurer</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Third Quarter 2017 Results</w:t>
      </w:r>
    </w:p>
    <w:p>
      <w:pPr>
        <w:spacing w:after="0" w:line="212"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HOUSTON, Oct. 26, 2017 (GLOBE NEWSWIRE) -- Civeo Corporation (NYSE:CVEO) today reported financial and operating results for the third quarter ended September 30, 2017.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Delivered third quarter revenues of $97.5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Generated $31.1 million in operating cash flow and $29.6 million in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580"/>
        <w:spacing w:after="0" w:line="251" w:lineRule="auto"/>
        <w:rPr>
          <w:sz w:val="20"/>
          <w:szCs w:val="20"/>
          <w:color w:val="auto"/>
        </w:rPr>
      </w:pPr>
      <w:r>
        <w:rPr>
          <w:rFonts w:ascii="Arial" w:cs="Arial" w:eastAsia="Arial" w:hAnsi="Arial"/>
          <w:sz w:val="22"/>
          <w:szCs w:val="22"/>
          <w:color w:val="auto"/>
        </w:rPr>
        <w:t>Awarded a five-year catering contract to operate a 450 room oil sands operator-owned facility in Canada with expected revenues totaling approximately C$32 million over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300"/>
        <w:spacing w:after="0" w:line="258" w:lineRule="auto"/>
        <w:rPr>
          <w:sz w:val="20"/>
          <w:szCs w:val="20"/>
          <w:color w:val="auto"/>
        </w:rPr>
      </w:pPr>
      <w:r>
        <w:rPr>
          <w:rFonts w:ascii="Arial" w:cs="Arial" w:eastAsia="Arial" w:hAnsi="Arial"/>
          <w:sz w:val="21"/>
          <w:szCs w:val="21"/>
          <w:color w:val="auto"/>
        </w:rPr>
        <w:t>Repaid $4.2 million of debt in the third quarter, making $52 million of total debt repayments year-to-date. Total debt including $23 million in foreign exchange adjustments was reduced to $328 million as of September 30, 2017, down from $357 million at the end of 2016. Total cash balance at September 30, 2017 was $54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“During the third quarter, we delivered healthy top line results, and generated strong operating cash flow and free cash flow to delever our balance sheet. Our Canadian segment performed well with improved occupancy at our lodges coupled with the recent catering contract award which is consistent with our strategy of enhancing our operations while expanding the revenue profile of our catering business. Our U.S. segment continues to benefit from greater U.S. drilling activity in the Bakken, Rockies and Texas. In Australia, market conditions have led to an increased met coal price during the quarter. With approximately 80% of our Australia rooms located in the Bowen Basin servicing met coal mines, we are optimistic if met coal prices stabilize, this could lead to increased customer activity levels,” said Bradley J. Dodson, President and Chief Executive Officer.</w:t>
      </w:r>
    </w:p>
    <w:p>
      <w:pPr>
        <w:spacing w:after="0" w:line="153"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Mr. Dodson continued, “As market conditions continue to evolve, we remain focused on enhancing the quality of our operations, maintaining financial discipline while delevering our balance sheet, delivering strong operational results across all segments and generating free cash flow.”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Quarter 2017 Results</w:t>
      </w:r>
    </w:p>
    <w:p>
      <w:pPr>
        <w:spacing w:after="0" w:line="206"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In the third quarter of 2017, Civeo generated revenues of $97.5 million and reported a net loss of $22.3 million, or $0.17 per share. The loss included a $4.4 million pre-tax loss ($2.7 million after-tax, or $0.02 per diluted share) resulting from the impairment of open camp assets and land positions in the Company’s Canadian segment. During the third quarter of 2017, Civeo generated operating cash flow of $31.1 million, Adjusted EBITDA of $16.1 million, and free cash flow of $29.6 million. During the third quarter of 2017, Adjusted EBITDA was negatively impacted by certain items totaling approximately $1.6 million. These items include cost overruns associated with a Canadian build-for-sale contract as well as an unforeseen contract cancellation in the U.S. Third quarter earnings were also negatively impacted by higher-than-expected stock-based compensation expense as a result of the increase in our stock price during the quarter.</w:t>
      </w:r>
    </w:p>
    <w:p>
      <w:pPr>
        <w:spacing w:after="0" w:line="181"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(EBITDA is a non-GAAP financial measure that is defined as net income plus interest, taxes, depreciation and amortization, and Adjusted EBITDA is defined as EBITDA adjusted to exclude impairment charges, the costs directly associated with Civeo’s redomiciliation to Canada and certain other costs.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By comparison, in the third quarter of 2016, Civeo generated revenues of $104.2 million and reported a net loss of $42.1 million, or $0.39 per share. The loss included a $39.4 million pre-tax loss ($28.8 million after-tax, or $0.27 per diluted share) resulting from the impairment of fixed assets, a write-down of inventory and severance costs associated with the termination of certain executives. During the third quarter of 2016, Civeo generated operating cash flow of $13.7 million, Adjusted EBITDA of $25.4 million and free cash flow of $10.7 million.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(Unless otherwise noted, the following discussion compares the quarterly results for the third quarter of 2017 to the results for the third quarter of 2016. The Adjusted EBITDA amounts discussed below exclude the fixed asset impairment and redomiciliation-related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During the third quarter of 2017, the Canadian segment generated revenues of $63.8 million, operating loss of $11.7 million and Adjusted EBITDA of $15.6 million, compared to revenues of $73.5 million, operating loss of $44.7 million and Adjusted EBITDA of $19.6 million in the third quarter of 2016. The third quarter of 2017 results reflect the impact of a strengthened Canadian dollar relative to the U.S. dollar, which increased revenues by $2.7 million. On a constant currency basis, revenues decreased primarily due to the Canadian outperformance in the 2016 quarter related to the Ft. McMurray fires and the McClelland Lake Lodge contract renewal at reduced pricing, resulting in lower average daily rate and total rentable rooms. This was offset by an increase in average</w:t>
      </w:r>
    </w:p>
    <w:p>
      <w:pPr>
        <w:sectPr>
          <w:pgSz w:w="11900" w:h="16838" w:orient="portrait"/>
          <w:cols w:equalWidth="0" w:num="1">
            <w:col w:w="11420"/>
          </w:cols>
          <w:pgMar w:left="240" w:top="112" w:right="239" w:bottom="0" w:gutter="0" w:footer="0" w:header="0"/>
        </w:sectPr>
      </w:pPr>
    </w:p>
    <w:bookmarkStart w:id="4" w:name="page5"/>
    <w:bookmarkEnd w:id="4"/>
    <w:p>
      <w:pPr>
        <w:spacing w:after="0" w:line="4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lodge occupancy as compared to the third quarter of 2016. The Canadian segment was also negatively impacted by $1.1 million of cost overruns related to a build-for-sale contract for a customer in northern British Columbia.</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financial results of the Australian segment for the third quarter of 2017 were slightly down compared to the third quarter in 2016. Revenue was $27.5 million, operating loss was $3.7 million and Adjusted EBITDA was $9.7 million in the third quarter of 2017, compared to revenues of $27.7 million, operating loss of $1.9 million and Adjusted EBITDA of $11.0 million in the third quarter of 2016, respectively.</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third quarter of 2017 results reflect the impact of a strengthened Australian dollar relative to the U.S. dollar, which increased revenues by $1.1 million. On a constant currency basis, the Australian segment experienced a 4% period-over-period decline in revenues due to increased occupancy at villages in the Bowen Basin more than offset by lower rates resulting from the impact of a contract termination payment in 2016.</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U.S. segment generated revenues of $6.1 million, operating loss of $3.9 million and an Adjusted EBITDA loss of $1.9 million in the third quarter of 2017, compared to revenues of $3.0 million, operating loss of $3.3 million and an Adjusted EBITDA loss of $1.3 million in the third quarter of 2016, respectively. The revenue increase was primarily due to the increased drilling activity in the Bakken, Rockies and Texas markets and higher revenues recognized from the offshore business.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Civeo recognized an income tax benefit of $4.0 million, which resulted in an effective tax rate of 15.3% in the third quarter of 2017. During the third quarter of 2016, Civeo recognized an income tax benefit of $11.7 million, which resulted in an effective tax rate of 21.8%.</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As of September 30, 2017, Civeo had total liquidity of approximately $159.9 million, consisting of $105.9 million available under its revolving credit facilities and $54.0 million of cash on hand.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Civeo’s total debt outstanding on September 30, 2017 was $327.8 million, a $7.6 million increase over the second quarter of 2017.</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increase resulted from the strengthening Canadian dollar, partially offset by a $4.2 million repayment during the quarter.</w:t>
      </w:r>
    </w:p>
    <w:p>
      <w:pPr>
        <w:spacing w:after="0" w:line="223"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During the third quarter of 2017, Civeo invested $2.0 million in capital expenditures, down from $5.4 million during the third quarter of 2016, which were impacted by investments in an enterprise information system.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Quarter and Full Year 2017 Guidance</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For the fourth quarter of 2017, Civeo expects revenues of $95 million to $99 million and Adjusted EBITDA of $13 million to $16 million. For the full year of 2017, Civeo expects revenues to $376 million to $380 million and Adjusted EBITDA of $63 million to $66 million. Civeo expects capital expenditures of approximately $12 to $15 million for the full year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color w:val="auto"/>
        </w:rPr>
        <w:t>Civeo will host a conference call to discuss its third quarter 2017 financial results today at 12:00 p.m. Eastern time. This call is being webcast and can be accessed at Civeo's website at www.civeo.com. Participants may also join the conference call by dialing</w:t>
      </w:r>
    </w:p>
    <w:p>
      <w:pPr>
        <w:spacing w:after="0" w:line="2" w:lineRule="exact"/>
        <w:rPr>
          <w:sz w:val="20"/>
          <w:szCs w:val="20"/>
          <w:color w:val="auto"/>
        </w:rPr>
      </w:pPr>
    </w:p>
    <w:p>
      <w:pPr>
        <w:ind w:right="180" w:firstLine="8"/>
        <w:spacing w:after="0" w:line="234" w:lineRule="auto"/>
        <w:tabs>
          <w:tab w:leader="none" w:pos="522" w:val="left"/>
        </w:tabs>
        <w:numPr>
          <w:ilvl w:val="0"/>
          <w:numId w:val="3"/>
        </w:numPr>
        <w:rPr>
          <w:rFonts w:ascii="Arial" w:cs="Arial" w:eastAsia="Arial" w:hAnsi="Arial"/>
          <w:sz w:val="22"/>
          <w:szCs w:val="22"/>
          <w:color w:val="auto"/>
        </w:rPr>
      </w:pPr>
      <w:r>
        <w:rPr>
          <w:rFonts w:ascii="Arial" w:cs="Arial" w:eastAsia="Arial" w:hAnsi="Arial"/>
          <w:sz w:val="22"/>
          <w:szCs w:val="22"/>
          <w:color w:val="auto"/>
        </w:rPr>
        <w:t>500-0177 in the United States or (719) 785-1748 internationally and using the conference ID 3265778. A replay will be available after the call by dialing (844) 512-2921 in the United States or (412) 317-6671 internationally and using the conference ID 3265778#.</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 Civeo’s: views regarding broadening stabilization in its core end markets; improving performance in its Australian and U.S. segments and continued signs of improvement in fundamental macro-economic drivers; optimism about market demand in 2017; and fourth quarter and full year 2017 guidance. The forward-looking statements included herein are based on then current</w:t>
      </w:r>
    </w:p>
    <w:p>
      <w:pPr>
        <w:sectPr>
          <w:pgSz w:w="11900" w:h="16887" w:orient="portrait"/>
          <w:cols w:equalWidth="0" w:num="1">
            <w:col w:w="11340"/>
          </w:cols>
          <w:pgMar w:left="240" w:top="118" w:right="319" w:bottom="0" w:gutter="0" w:footer="0" w:header="0"/>
        </w:sectPr>
      </w:pPr>
    </w:p>
    <w:bookmarkStart w:id="5" w:name="page6"/>
    <w:bookmarkEnd w:id="5"/>
    <w:p>
      <w:pPr>
        <w:spacing w:after="0" w:line="272" w:lineRule="auto"/>
        <w:rPr>
          <w:sz w:val="20"/>
          <w:szCs w:val="20"/>
          <w:color w:val="auto"/>
        </w:rPr>
      </w:pPr>
      <w:r>
        <w:rPr>
          <w:rFonts w:ascii="Arial" w:cs="Arial" w:eastAsia="Arial" w:hAnsi="Arial"/>
          <w:sz w:val="19"/>
          <w:szCs w:val="19"/>
          <w:color w:val="auto"/>
        </w:rPr>
        <w:t>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Civeo’s redomiciliation to Canada, including, among other things, risks associated with changes in tax laws or their interpretations, risks associated with the development of new projects, including whether such projects will continue in the future, and other factors discussed in the " Management’s Discussion and Analysis of Financial Condition and Results of Operations " and "Risk Factors" sections of Civeo’s annual report on Form 10-K for the year ended December 31, 2016,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820"/>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ind w:right="82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420" w:type="dxa"/>
            <w:vAlign w:val="bottom"/>
          </w:tcPr>
          <w:p>
            <w:pPr>
              <w:spacing w:after="0"/>
              <w:rPr>
                <w:sz w:val="21"/>
                <w:szCs w:val="21"/>
                <w:color w:val="auto"/>
              </w:rPr>
            </w:pPr>
          </w:p>
        </w:tc>
        <w:tc>
          <w:tcPr>
            <w:tcW w:w="5100" w:type="dxa"/>
            <w:vAlign w:val="bottom"/>
            <w:gridSpan w:val="11"/>
          </w:tcPr>
          <w:p>
            <w:pPr>
              <w:ind w:left="20"/>
              <w:spacing w:after="0"/>
              <w:rPr>
                <w:sz w:val="20"/>
                <w:szCs w:val="20"/>
                <w:color w:val="auto"/>
              </w:rPr>
            </w:pPr>
            <w:r>
              <w:rPr>
                <w:rFonts w:ascii="Arial" w:cs="Arial" w:eastAsia="Arial" w:hAnsi="Arial"/>
                <w:sz w:val="22"/>
                <w:szCs w:val="22"/>
                <w:b w:val="1"/>
                <w:bCs w:val="1"/>
                <w:color w:val="auto"/>
              </w:rPr>
              <w:t>THREE MONTHS ENDED NINE MONTHS ENDED</w:t>
            </w:r>
          </w:p>
        </w:tc>
      </w:tr>
      <w:tr>
        <w:trPr>
          <w:trHeight w:val="270"/>
        </w:trPr>
        <w:tc>
          <w:tcPr>
            <w:tcW w:w="5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gridSpan w:val="5"/>
          </w:tcPr>
          <w:p>
            <w:pPr>
              <w:ind w:left="200"/>
              <w:spacing w:after="0"/>
              <w:rPr>
                <w:sz w:val="20"/>
                <w:szCs w:val="20"/>
                <w:color w:val="auto"/>
              </w:rPr>
            </w:pPr>
            <w:r>
              <w:rPr>
                <w:rFonts w:ascii="Arial" w:cs="Arial" w:eastAsia="Arial" w:hAnsi="Arial"/>
                <w:sz w:val="22"/>
                <w:szCs w:val="22"/>
                <w:b w:val="1"/>
                <w:bCs w:val="1"/>
                <w:color w:val="auto"/>
              </w:rPr>
              <w:t>SEPTEMBER 30,</w:t>
            </w:r>
          </w:p>
        </w:tc>
        <w:tc>
          <w:tcPr>
            <w:tcW w:w="240" w:type="dxa"/>
            <w:vAlign w:val="bottom"/>
          </w:tcPr>
          <w:p>
            <w:pPr>
              <w:spacing w:after="0"/>
              <w:rPr>
                <w:sz w:val="23"/>
                <w:szCs w:val="23"/>
                <w:color w:val="auto"/>
              </w:rPr>
            </w:pPr>
          </w:p>
        </w:tc>
        <w:tc>
          <w:tcPr>
            <w:tcW w:w="2160" w:type="dxa"/>
            <w:vAlign w:val="bottom"/>
            <w:gridSpan w:val="4"/>
          </w:tcPr>
          <w:p>
            <w:pPr>
              <w:jc w:val="right"/>
              <w:ind w:right="272"/>
              <w:spacing w:after="0"/>
              <w:rPr>
                <w:sz w:val="20"/>
                <w:szCs w:val="20"/>
                <w:color w:val="auto"/>
              </w:rPr>
            </w:pPr>
            <w:r>
              <w:rPr>
                <w:rFonts w:ascii="Arial" w:cs="Arial" w:eastAsia="Arial" w:hAnsi="Arial"/>
                <w:sz w:val="22"/>
                <w:szCs w:val="22"/>
                <w:b w:val="1"/>
                <w:bCs w:val="1"/>
                <w:color w:val="auto"/>
              </w:rPr>
              <w:t>SEPTEMBER 30,</w:t>
            </w:r>
          </w:p>
        </w:tc>
      </w:tr>
      <w:tr>
        <w:trPr>
          <w:trHeight w:val="282"/>
        </w:trPr>
        <w:tc>
          <w:tcPr>
            <w:tcW w:w="5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r>
      <w:tr>
        <w:trPr>
          <w:trHeight w:val="532"/>
        </w:trPr>
        <w:tc>
          <w:tcPr>
            <w:tcW w:w="5420" w:type="dxa"/>
            <w:vAlign w:val="bottom"/>
          </w:tcPr>
          <w:p>
            <w:pPr>
              <w:spacing w:after="0"/>
              <w:rPr>
                <w:sz w:val="20"/>
                <w:szCs w:val="20"/>
                <w:color w:val="auto"/>
              </w:rPr>
            </w:pPr>
            <w:r>
              <w:rPr>
                <w:rFonts w:ascii="Arial" w:cs="Arial" w:eastAsia="Arial" w:hAnsi="Arial"/>
                <w:sz w:val="22"/>
                <w:szCs w:val="22"/>
                <w:color w:val="auto"/>
              </w:rPr>
              <w:t>Revenues</w:t>
            </w:r>
          </w:p>
        </w:tc>
        <w:tc>
          <w:tcPr>
            <w:tcW w:w="280" w:type="dxa"/>
            <w:vAlign w:val="bottom"/>
          </w:tcPr>
          <w:p>
            <w:pPr>
              <w:ind w:left="20"/>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97,489</w:t>
            </w:r>
          </w:p>
        </w:tc>
        <w:tc>
          <w:tcPr>
            <w:tcW w:w="10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104,238</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w w:val="98"/>
              </w:rPr>
              <w:t>280,928</w:t>
            </w:r>
          </w:p>
        </w:tc>
        <w:tc>
          <w:tcPr>
            <w:tcW w:w="8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306,309</w:t>
            </w:r>
          </w:p>
        </w:tc>
      </w:tr>
      <w:tr>
        <w:trPr>
          <w:trHeight w:val="536"/>
        </w:trPr>
        <w:tc>
          <w:tcPr>
            <w:tcW w:w="5420" w:type="dxa"/>
            <w:vAlign w:val="bottom"/>
          </w:tcPr>
          <w:p>
            <w:pPr>
              <w:spacing w:after="0"/>
              <w:rPr>
                <w:sz w:val="20"/>
                <w:szCs w:val="20"/>
                <w:color w:val="auto"/>
              </w:rPr>
            </w:pPr>
            <w:r>
              <w:rPr>
                <w:rFonts w:ascii="Arial" w:cs="Arial" w:eastAsia="Arial" w:hAnsi="Arial"/>
                <w:sz w:val="22"/>
                <w:szCs w:val="22"/>
                <w:color w:val="auto"/>
              </w:rPr>
              <w:t>Costs and expenses: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22"/>
                <w:szCs w:val="22"/>
                <w:color w:val="auto"/>
              </w:rPr>
              <w:t>Cost of sales and services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65,527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67,964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w w:val="98"/>
              </w:rPr>
              <w:t>186,683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198,493</w:t>
            </w:r>
          </w:p>
        </w:tc>
      </w:tr>
      <w:tr>
        <w:trPr>
          <w:trHeight w:val="270"/>
        </w:trPr>
        <w:tc>
          <w:tcPr>
            <w:tcW w:w="5420" w:type="dxa"/>
            <w:vAlign w:val="bottom"/>
          </w:tcPr>
          <w:p>
            <w:pPr>
              <w:ind w:left="100"/>
              <w:spacing w:after="0"/>
              <w:rPr>
                <w:sz w:val="20"/>
                <w:szCs w:val="20"/>
                <w:color w:val="auto"/>
              </w:rPr>
            </w:pPr>
            <w:r>
              <w:rPr>
                <w:rFonts w:ascii="Arial" w:cs="Arial" w:eastAsia="Arial" w:hAnsi="Arial"/>
                <w:sz w:val="22"/>
                <w:szCs w:val="22"/>
                <w:color w:val="auto"/>
              </w:rPr>
              <w:t>Selling, general and administrative expenses</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15,871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13,644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44,141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42,056</w:t>
            </w:r>
          </w:p>
        </w:tc>
      </w:tr>
      <w:tr>
        <w:trPr>
          <w:trHeight w:val="270"/>
        </w:trPr>
        <w:tc>
          <w:tcPr>
            <w:tcW w:w="5420" w:type="dxa"/>
            <w:vAlign w:val="bottom"/>
          </w:tcPr>
          <w:p>
            <w:pPr>
              <w:ind w:left="100"/>
              <w:spacing w:after="0"/>
              <w:rPr>
                <w:sz w:val="20"/>
                <w:szCs w:val="20"/>
                <w:color w:val="auto"/>
              </w:rPr>
            </w:pPr>
            <w:r>
              <w:rPr>
                <w:rFonts w:ascii="Arial" w:cs="Arial" w:eastAsia="Arial" w:hAnsi="Arial"/>
                <w:sz w:val="22"/>
                <w:szCs w:val="22"/>
                <w:color w:val="auto"/>
              </w:rPr>
              <w:t>Depreciation and amortization expense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32,700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33,721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97,083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100,444</w:t>
            </w:r>
          </w:p>
        </w:tc>
      </w:tr>
      <w:tr>
        <w:trPr>
          <w:trHeight w:val="270"/>
        </w:trPr>
        <w:tc>
          <w:tcPr>
            <w:tcW w:w="5420" w:type="dxa"/>
            <w:vAlign w:val="bottom"/>
          </w:tcPr>
          <w:p>
            <w:pPr>
              <w:ind w:left="100"/>
              <w:spacing w:after="0"/>
              <w:rPr>
                <w:sz w:val="20"/>
                <w:szCs w:val="20"/>
                <w:color w:val="auto"/>
              </w:rPr>
            </w:pPr>
            <w:r>
              <w:rPr>
                <w:rFonts w:ascii="Arial" w:cs="Arial" w:eastAsia="Arial" w:hAnsi="Arial"/>
                <w:sz w:val="22"/>
                <w:szCs w:val="22"/>
                <w:color w:val="auto"/>
              </w:rPr>
              <w:t>Impairment expense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4,360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37,729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4,360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46,129</w:t>
            </w:r>
          </w:p>
        </w:tc>
      </w:tr>
      <w:tr>
        <w:trPr>
          <w:trHeight w:val="276"/>
        </w:trPr>
        <w:tc>
          <w:tcPr>
            <w:tcW w:w="5420" w:type="dxa"/>
            <w:vAlign w:val="bottom"/>
          </w:tcPr>
          <w:p>
            <w:pPr>
              <w:ind w:left="100"/>
              <w:spacing w:after="0"/>
              <w:rPr>
                <w:sz w:val="20"/>
                <w:szCs w:val="20"/>
                <w:color w:val="auto"/>
              </w:rPr>
            </w:pPr>
            <w:r>
              <w:rPr>
                <w:rFonts w:ascii="Arial" w:cs="Arial" w:eastAsia="Arial" w:hAnsi="Arial"/>
                <w:sz w:val="22"/>
                <w:szCs w:val="22"/>
                <w:color w:val="auto"/>
              </w:rPr>
              <w:t>Other operating expense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375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356</w:t>
            </w:r>
          </w:p>
        </w:tc>
      </w:tr>
      <w:tr>
        <w:trPr>
          <w:trHeight w:val="265"/>
        </w:trPr>
        <w:tc>
          <w:tcPr>
            <w:tcW w:w="5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118,833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153,196</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333,371</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387,478</w:t>
            </w:r>
          </w:p>
        </w:tc>
      </w:tr>
      <w:tr>
        <w:trPr>
          <w:trHeight w:val="268"/>
        </w:trPr>
        <w:tc>
          <w:tcPr>
            <w:tcW w:w="5420" w:type="dxa"/>
            <w:vAlign w:val="bottom"/>
          </w:tcPr>
          <w:p>
            <w:pPr>
              <w:spacing w:after="0"/>
              <w:rPr>
                <w:sz w:val="20"/>
                <w:szCs w:val="20"/>
                <w:color w:val="auto"/>
              </w:rPr>
            </w:pPr>
            <w:r>
              <w:rPr>
                <w:rFonts w:ascii="Arial" w:cs="Arial" w:eastAsia="Arial" w:hAnsi="Arial"/>
                <w:sz w:val="22"/>
                <w:szCs w:val="22"/>
                <w:color w:val="auto"/>
              </w:rPr>
              <w:t>Operating loss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(21,344)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(48,958)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(52,443)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(81,169)</w:t>
            </w:r>
          </w:p>
        </w:tc>
      </w:tr>
      <w:tr>
        <w:trPr>
          <w:trHeight w:val="528"/>
        </w:trPr>
        <w:tc>
          <w:tcPr>
            <w:tcW w:w="5420" w:type="dxa"/>
            <w:vAlign w:val="bottom"/>
          </w:tcPr>
          <w:p>
            <w:pPr>
              <w:spacing w:after="0"/>
              <w:rPr>
                <w:sz w:val="20"/>
                <w:szCs w:val="20"/>
                <w:color w:val="auto"/>
              </w:rPr>
            </w:pPr>
            <w:r>
              <w:rPr>
                <w:rFonts w:ascii="Arial" w:cs="Arial" w:eastAsia="Arial" w:hAnsi="Arial"/>
                <w:sz w:val="22"/>
                <w:szCs w:val="22"/>
                <w:color w:val="auto"/>
                <w:w w:val="95"/>
              </w:rPr>
              <w:t>Interest expense to third parties, net of capitalized interest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(5,441)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(6,072)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(15,697)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(16,941)</w:t>
            </w:r>
          </w:p>
        </w:tc>
      </w:tr>
      <w:tr>
        <w:trPr>
          <w:trHeight w:val="270"/>
        </w:trPr>
        <w:tc>
          <w:tcPr>
            <w:tcW w:w="54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(842)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(302)</w:t>
            </w:r>
          </w:p>
        </w:tc>
      </w:tr>
      <w:tr>
        <w:trPr>
          <w:trHeight w:val="270"/>
        </w:trPr>
        <w:tc>
          <w:tcPr>
            <w:tcW w:w="5420" w:type="dxa"/>
            <w:vAlign w:val="bottom"/>
          </w:tcPr>
          <w:p>
            <w:pPr>
              <w:spacing w:after="0"/>
              <w:rPr>
                <w:sz w:val="20"/>
                <w:szCs w:val="20"/>
                <w:color w:val="auto"/>
              </w:rPr>
            </w:pPr>
            <w:r>
              <w:rPr>
                <w:rFonts w:ascii="Arial" w:cs="Arial" w:eastAsia="Arial" w:hAnsi="Arial"/>
                <w:sz w:val="22"/>
                <w:szCs w:val="22"/>
                <w:color w:val="auto"/>
              </w:rPr>
              <w:t>Interest income</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26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140</w:t>
            </w:r>
          </w:p>
        </w:tc>
      </w:tr>
      <w:tr>
        <w:trPr>
          <w:trHeight w:val="275"/>
        </w:trPr>
        <w:tc>
          <w:tcPr>
            <w:tcW w:w="5420" w:type="dxa"/>
            <w:vAlign w:val="bottom"/>
          </w:tcPr>
          <w:p>
            <w:pPr>
              <w:spacing w:after="0"/>
              <w:rPr>
                <w:sz w:val="20"/>
                <w:szCs w:val="20"/>
                <w:color w:val="auto"/>
              </w:rPr>
            </w:pPr>
            <w:r>
              <w:rPr>
                <w:rFonts w:ascii="Arial" w:cs="Arial" w:eastAsia="Arial" w:hAnsi="Arial"/>
                <w:sz w:val="22"/>
                <w:szCs w:val="22"/>
                <w:color w:val="auto"/>
              </w:rPr>
              <w:t>Other income (expense)</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517</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1,338</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1,247</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1,058</w:t>
            </w:r>
          </w:p>
        </w:tc>
      </w:tr>
      <w:tr>
        <w:trPr>
          <w:trHeight w:val="259"/>
        </w:trPr>
        <w:tc>
          <w:tcPr>
            <w:tcW w:w="5420" w:type="dxa"/>
            <w:vAlign w:val="bottom"/>
          </w:tcPr>
          <w:p>
            <w:pPr>
              <w:ind w:left="100"/>
              <w:spacing w:after="0"/>
              <w:rPr>
                <w:sz w:val="20"/>
                <w:szCs w:val="20"/>
                <w:color w:val="auto"/>
              </w:rPr>
            </w:pPr>
            <w:r>
              <w:rPr>
                <w:rFonts w:ascii="Arial" w:cs="Arial" w:eastAsia="Arial" w:hAnsi="Arial"/>
                <w:sz w:val="22"/>
                <w:szCs w:val="22"/>
                <w:color w:val="auto"/>
              </w:rPr>
              <w:t>Loss before income taxes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(26,219)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(53,666)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(67,666)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(97,214)</w:t>
            </w:r>
          </w:p>
        </w:tc>
      </w:tr>
      <w:tr>
        <w:trPr>
          <w:trHeight w:val="275"/>
        </w:trPr>
        <w:tc>
          <w:tcPr>
            <w:tcW w:w="542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4,011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11,697</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9,875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17,217</w:t>
            </w:r>
          </w:p>
        </w:tc>
      </w:tr>
      <w:tr>
        <w:trPr>
          <w:trHeight w:val="259"/>
        </w:trPr>
        <w:tc>
          <w:tcPr>
            <w:tcW w:w="5420" w:type="dxa"/>
            <w:vAlign w:val="bottom"/>
          </w:tcPr>
          <w:p>
            <w:pPr>
              <w:spacing w:after="0"/>
              <w:rPr>
                <w:sz w:val="20"/>
                <w:szCs w:val="20"/>
                <w:color w:val="auto"/>
              </w:rPr>
            </w:pPr>
            <w:r>
              <w:rPr>
                <w:rFonts w:ascii="Arial" w:cs="Arial" w:eastAsia="Arial" w:hAnsi="Arial"/>
                <w:sz w:val="22"/>
                <w:szCs w:val="22"/>
                <w:color w:val="auto"/>
              </w:rPr>
              <w:t>Net loss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(22,208)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(41,969)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(57,791)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(79,997)</w:t>
            </w:r>
          </w:p>
        </w:tc>
      </w:tr>
      <w:tr>
        <w:trPr>
          <w:trHeight w:val="276"/>
        </w:trPr>
        <w:tc>
          <w:tcPr>
            <w:tcW w:w="5420" w:type="dxa"/>
            <w:vAlign w:val="bottom"/>
          </w:tcPr>
          <w:p>
            <w:pPr>
              <w:ind w:left="100"/>
              <w:spacing w:after="0"/>
              <w:rPr>
                <w:sz w:val="20"/>
                <w:szCs w:val="20"/>
                <w:color w:val="auto"/>
              </w:rPr>
            </w:pPr>
            <w:r>
              <w:rPr>
                <w:rFonts w:ascii="Arial" w:cs="Arial" w:eastAsia="Arial" w:hAnsi="Arial"/>
                <w:sz w:val="22"/>
                <w:szCs w:val="22"/>
                <w:color w:val="auto"/>
                <w:w w:val="99"/>
              </w:rPr>
              <w:t>Less: Net income attributable to noncontrolling interest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442</w:t>
            </w:r>
          </w:p>
        </w:tc>
      </w:tr>
      <w:tr>
        <w:trPr>
          <w:trHeight w:val="265"/>
        </w:trPr>
        <w:tc>
          <w:tcPr>
            <w:tcW w:w="542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(22,331)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(42,131)</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(58,134)</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(80,439)</w:t>
            </w:r>
          </w:p>
        </w:tc>
      </w:tr>
      <w:tr>
        <w:trPr>
          <w:trHeight w:val="21"/>
        </w:trPr>
        <w:tc>
          <w:tcPr>
            <w:tcW w:w="54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6"/>
        </w:trPr>
        <w:tc>
          <w:tcPr>
            <w:tcW w:w="6800" w:type="dxa"/>
            <w:vAlign w:val="bottom"/>
            <w:gridSpan w:val="4"/>
          </w:tcPr>
          <w:p>
            <w:pPr>
              <w:spacing w:after="0"/>
              <w:rPr>
                <w:sz w:val="20"/>
                <w:szCs w:val="20"/>
                <w:color w:val="auto"/>
              </w:rPr>
            </w:pPr>
            <w:r>
              <w:rPr>
                <w:rFonts w:ascii="Arial" w:cs="Arial" w:eastAsia="Arial" w:hAnsi="Arial"/>
                <w:sz w:val="22"/>
                <w:szCs w:val="22"/>
                <w:color w:val="auto"/>
                <w:w w:val="92"/>
              </w:rPr>
              <w:t>Net loss per share attributable to Civeo Corporation common shareholders: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22"/>
                <w:szCs w:val="22"/>
                <w:color w:val="auto"/>
              </w:rPr>
              <w:t>Basic</w:t>
            </w:r>
          </w:p>
        </w:tc>
        <w:tc>
          <w:tcPr>
            <w:tcW w:w="280" w:type="dxa"/>
            <w:vAlign w:val="bottom"/>
          </w:tcPr>
          <w:p>
            <w:pPr>
              <w:ind w:left="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(0.17)</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(0.39)</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(0.46)</w:t>
            </w:r>
          </w:p>
        </w:tc>
        <w:tc>
          <w:tcPr>
            <w:tcW w:w="8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(0.75)</w:t>
            </w:r>
          </w:p>
        </w:tc>
      </w:tr>
      <w:tr>
        <w:trPr>
          <w:trHeight w:val="275"/>
        </w:trPr>
        <w:tc>
          <w:tcPr>
            <w:tcW w:w="5420" w:type="dxa"/>
            <w:vAlign w:val="bottom"/>
          </w:tcPr>
          <w:p>
            <w:pPr>
              <w:ind w:left="100"/>
              <w:spacing w:after="0"/>
              <w:rPr>
                <w:sz w:val="20"/>
                <w:szCs w:val="20"/>
                <w:color w:val="auto"/>
              </w:rPr>
            </w:pPr>
            <w:r>
              <w:rPr>
                <w:rFonts w:ascii="Arial" w:cs="Arial" w:eastAsia="Arial" w:hAnsi="Arial"/>
                <w:sz w:val="22"/>
                <w:szCs w:val="22"/>
                <w:color w:val="auto"/>
              </w:rPr>
              <w:t>Diluted</w:t>
            </w:r>
          </w:p>
        </w:tc>
        <w:tc>
          <w:tcPr>
            <w:tcW w:w="280" w:type="dxa"/>
            <w:vAlign w:val="bottom"/>
          </w:tcPr>
          <w:p>
            <w:pPr>
              <w:ind w:left="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(0.17)</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(0.39)</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(0.46)</w:t>
            </w:r>
          </w:p>
        </w:tc>
        <w:tc>
          <w:tcPr>
            <w:tcW w:w="8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(0.75)</w:t>
            </w:r>
          </w:p>
        </w:tc>
      </w:tr>
      <w:tr>
        <w:trPr>
          <w:trHeight w:val="536"/>
        </w:trPr>
        <w:tc>
          <w:tcPr>
            <w:tcW w:w="5420" w:type="dxa"/>
            <w:vAlign w:val="bottom"/>
          </w:tcPr>
          <w:p>
            <w:pPr>
              <w:spacing w:after="0"/>
              <w:rPr>
                <w:sz w:val="20"/>
                <w:szCs w:val="20"/>
                <w:color w:val="auto"/>
              </w:rPr>
            </w:pPr>
            <w:r>
              <w:rPr>
                <w:rFonts w:ascii="Arial" w:cs="Arial" w:eastAsia="Arial" w:hAnsi="Arial"/>
                <w:sz w:val="22"/>
                <w:szCs w:val="22"/>
                <w:color w:val="auto"/>
                <w:w w:val="94"/>
              </w:rPr>
              <w:t>Weighted average number of common shares outstanding: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22"/>
                <w:szCs w:val="22"/>
                <w:color w:val="auto"/>
              </w:rPr>
              <w:t>Basic</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130,889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107,118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w w:val="98"/>
              </w:rPr>
              <w:t>127,512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106,989</w:t>
            </w:r>
          </w:p>
        </w:tc>
      </w:tr>
      <w:tr>
        <w:trPr>
          <w:trHeight w:val="275"/>
        </w:trPr>
        <w:tc>
          <w:tcPr>
            <w:tcW w:w="5420" w:type="dxa"/>
            <w:vAlign w:val="bottom"/>
          </w:tcPr>
          <w:p>
            <w:pPr>
              <w:ind w:left="100"/>
              <w:spacing w:after="0"/>
              <w:rPr>
                <w:sz w:val="20"/>
                <w:szCs w:val="20"/>
                <w:color w:val="auto"/>
              </w:rPr>
            </w:pPr>
            <w:r>
              <w:rPr>
                <w:rFonts w:ascii="Arial" w:cs="Arial" w:eastAsia="Arial" w:hAnsi="Arial"/>
                <w:sz w:val="22"/>
                <w:szCs w:val="22"/>
                <w:color w:val="auto"/>
              </w:rPr>
              <w:t>Diluted</w:t>
            </w: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130,889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107,118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w w:val="98"/>
              </w:rPr>
              <w:t>127,512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106,989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76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3760"/>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SEPTEMBER 30, DECEMBER 31,</w:t>
      </w:r>
    </w:p>
    <w:p>
      <w:pPr>
        <w:spacing w:after="0" w:line="14" w:lineRule="exact"/>
        <w:rPr>
          <w:sz w:val="20"/>
          <w:szCs w:val="20"/>
          <w:color w:val="auto"/>
        </w:rPr>
      </w:pPr>
    </w:p>
    <w:p>
      <w:pPr>
        <w:ind w:left="4880"/>
        <w:spacing w:after="0"/>
        <w:tabs>
          <w:tab w:leader="none" w:pos="6580" w:val="left"/>
        </w:tabs>
        <w:rPr>
          <w:sz w:val="20"/>
          <w:szCs w:val="20"/>
          <w:color w:val="auto"/>
        </w:rPr>
      </w:pPr>
      <w:r>
        <w:rPr>
          <w:rFonts w:ascii="Arial" w:cs="Arial" w:eastAsia="Arial" w:hAnsi="Arial"/>
          <w:sz w:val="22"/>
          <w:szCs w:val="22"/>
          <w:b w:val="1"/>
          <w:bCs w:val="1"/>
          <w:color w:val="auto"/>
        </w:rPr>
        <w:t>2017</w:t>
      </w:r>
      <w:r>
        <w:rPr>
          <w:sz w:val="20"/>
          <w:szCs w:val="20"/>
          <w:color w:val="auto"/>
        </w:rPr>
        <w:tab/>
      </w:r>
      <w:r>
        <w:rPr>
          <w:rFonts w:ascii="Arial" w:cs="Arial" w:eastAsia="Arial" w:hAnsi="Arial"/>
          <w:sz w:val="22"/>
          <w:szCs w:val="22"/>
          <w:b w:val="1"/>
          <w:bCs w:val="1"/>
          <w:color w:val="auto"/>
        </w:rPr>
        <w:t>2016</w:t>
      </w:r>
    </w:p>
    <w:p>
      <w:pPr>
        <w:spacing w:after="0" w:line="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11360"/>
          </w:cols>
          <w:pgMar w:left="240" w:top="118" w:right="2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200" w:type="dxa"/>
            <w:vAlign w:val="bottom"/>
          </w:tcPr>
          <w:p>
            <w:pPr>
              <w:spacing w:after="0"/>
              <w:rPr>
                <w:sz w:val="20"/>
                <w:szCs w:val="20"/>
                <w:color w:val="auto"/>
              </w:rPr>
            </w:pPr>
            <w:r>
              <w:rPr>
                <w:rFonts w:ascii="Arial" w:cs="Arial" w:eastAsia="Arial" w:hAnsi="Arial"/>
                <w:sz w:val="22"/>
                <w:szCs w:val="22"/>
                <w:color w:val="auto"/>
              </w:rPr>
              <w:t>Current assets:</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42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54,002</w:t>
            </w:r>
          </w:p>
        </w:tc>
        <w:tc>
          <w:tcPr>
            <w:tcW w:w="10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1,785</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63,113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56,302</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4,857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3,112</w:t>
            </w:r>
          </w:p>
        </w:tc>
        <w:tc>
          <w:tcPr>
            <w:tcW w:w="0" w:type="dxa"/>
            <w:vAlign w:val="bottom"/>
          </w:tcPr>
          <w:p>
            <w:pPr>
              <w:spacing w:after="0"/>
              <w:rPr>
                <w:sz w:val="1"/>
                <w:szCs w:val="1"/>
                <w:color w:val="auto"/>
              </w:rPr>
            </w:pPr>
          </w:p>
        </w:tc>
      </w:tr>
      <w:tr>
        <w:trPr>
          <w:trHeight w:val="275"/>
        </w:trPr>
        <w:tc>
          <w:tcPr>
            <w:tcW w:w="4200" w:type="dxa"/>
            <w:vAlign w:val="bottom"/>
          </w:tcPr>
          <w:p>
            <w:pPr>
              <w:ind w:left="100"/>
              <w:spacing w:after="0"/>
              <w:rPr>
                <w:sz w:val="20"/>
                <w:szCs w:val="20"/>
                <w:color w:val="auto"/>
              </w:rPr>
            </w:pPr>
            <w:r>
              <w:rPr>
                <w:rFonts w:ascii="Arial" w:cs="Arial" w:eastAsia="Arial" w:hAnsi="Arial"/>
                <w:sz w:val="22"/>
                <w:szCs w:val="22"/>
                <w:color w:val="auto"/>
                <w:w w:val="97"/>
              </w:rPr>
              <w:t>Prepaid expenses and other current assets</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16,229</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21,369</w:t>
            </w:r>
          </w:p>
        </w:tc>
        <w:tc>
          <w:tcPr>
            <w:tcW w:w="0" w:type="dxa"/>
            <w:vAlign w:val="bottom"/>
          </w:tcPr>
          <w:p>
            <w:pPr>
              <w:spacing w:after="0"/>
              <w:rPr>
                <w:sz w:val="1"/>
                <w:szCs w:val="1"/>
                <w:color w:val="auto"/>
              </w:rPr>
            </w:pPr>
          </w:p>
        </w:tc>
      </w:tr>
      <w:tr>
        <w:trPr>
          <w:trHeight w:val="272"/>
        </w:trPr>
        <w:tc>
          <w:tcPr>
            <w:tcW w:w="4200" w:type="dxa"/>
            <w:vAlign w:val="bottom"/>
          </w:tcPr>
          <w:p>
            <w:pPr>
              <w:ind w:left="220"/>
              <w:spacing w:after="0"/>
              <w:rPr>
                <w:sz w:val="20"/>
                <w:szCs w:val="20"/>
                <w:color w:val="auto"/>
              </w:rPr>
            </w:pPr>
            <w:r>
              <w:rPr>
                <w:rFonts w:ascii="Arial" w:cs="Arial" w:eastAsia="Arial" w:hAnsi="Arial"/>
                <w:sz w:val="22"/>
                <w:szCs w:val="22"/>
                <w:color w:val="auto"/>
              </w:rPr>
              <w:t>Total current assets</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138,201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82,568</w:t>
            </w:r>
          </w:p>
        </w:tc>
        <w:tc>
          <w:tcPr>
            <w:tcW w:w="0" w:type="dxa"/>
            <w:vAlign w:val="bottom"/>
          </w:tcPr>
          <w:p>
            <w:pPr>
              <w:spacing w:after="0"/>
              <w:rPr>
                <w:sz w:val="1"/>
                <w:szCs w:val="1"/>
                <w:color w:val="auto"/>
              </w:rPr>
            </w:pPr>
          </w:p>
        </w:tc>
      </w:tr>
      <w:tr>
        <w:trPr>
          <w:trHeight w:val="528"/>
        </w:trPr>
        <w:tc>
          <w:tcPr>
            <w:tcW w:w="420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42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756,138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789,710</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24,700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28,039</w:t>
            </w:r>
          </w:p>
        </w:tc>
        <w:tc>
          <w:tcPr>
            <w:tcW w:w="0" w:type="dxa"/>
            <w:vAlign w:val="bottom"/>
          </w:tcPr>
          <w:p>
            <w:pPr>
              <w:spacing w:after="0"/>
              <w:rPr>
                <w:sz w:val="1"/>
                <w:szCs w:val="1"/>
                <w:color w:val="auto"/>
              </w:rPr>
            </w:pPr>
          </w:p>
        </w:tc>
      </w:tr>
      <w:tr>
        <w:trPr>
          <w:trHeight w:val="276"/>
        </w:trPr>
        <w:tc>
          <w:tcPr>
            <w:tcW w:w="420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10,711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10,129</w:t>
            </w:r>
          </w:p>
        </w:tc>
        <w:tc>
          <w:tcPr>
            <w:tcW w:w="0" w:type="dxa"/>
            <w:vAlign w:val="bottom"/>
          </w:tcPr>
          <w:p>
            <w:pPr>
              <w:spacing w:after="0"/>
              <w:rPr>
                <w:sz w:val="1"/>
                <w:szCs w:val="1"/>
                <w:color w:val="auto"/>
              </w:rPr>
            </w:pPr>
          </w:p>
        </w:tc>
      </w:tr>
      <w:tr>
        <w:trPr>
          <w:trHeight w:val="265"/>
        </w:trPr>
        <w:tc>
          <w:tcPr>
            <w:tcW w:w="4200" w:type="dxa"/>
            <w:vAlign w:val="bottom"/>
          </w:tcPr>
          <w:p>
            <w:pPr>
              <w:ind w:left="220"/>
              <w:spacing w:after="0"/>
              <w:rPr>
                <w:sz w:val="20"/>
                <w:szCs w:val="20"/>
                <w:color w:val="auto"/>
              </w:rPr>
            </w:pPr>
            <w:r>
              <w:rPr>
                <w:rFonts w:ascii="Arial" w:cs="Arial" w:eastAsia="Arial" w:hAnsi="Arial"/>
                <w:sz w:val="22"/>
                <w:szCs w:val="22"/>
                <w:color w:val="auto"/>
              </w:rPr>
              <w:t>Total assets</w:t>
            </w: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929,750</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910,446</w:t>
            </w:r>
          </w:p>
        </w:tc>
        <w:tc>
          <w:tcPr>
            <w:tcW w:w="0" w:type="dxa"/>
            <w:vAlign w:val="bottom"/>
          </w:tcPr>
          <w:p>
            <w:pPr>
              <w:spacing w:after="0"/>
              <w:rPr>
                <w:sz w:val="1"/>
                <w:szCs w:val="1"/>
                <w:color w:val="auto"/>
              </w:rPr>
            </w:pPr>
          </w:p>
        </w:tc>
      </w:tr>
      <w:tr>
        <w:trPr>
          <w:trHeight w:val="21"/>
        </w:trPr>
        <w:tc>
          <w:tcPr>
            <w:tcW w:w="420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42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23,893</w:t>
            </w:r>
          </w:p>
        </w:tc>
        <w:tc>
          <w:tcPr>
            <w:tcW w:w="10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20,675</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Accrued liabilities</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19,429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14,822</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Income taxes</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407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111</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Current portion of long-term debt</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16,671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15,471</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Deferred revenue</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4,016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6,792</w:t>
            </w:r>
          </w:p>
        </w:tc>
        <w:tc>
          <w:tcPr>
            <w:tcW w:w="0" w:type="dxa"/>
            <w:vAlign w:val="bottom"/>
          </w:tcPr>
          <w:p>
            <w:pPr>
              <w:spacing w:after="0"/>
              <w:rPr>
                <w:sz w:val="1"/>
                <w:szCs w:val="1"/>
                <w:color w:val="auto"/>
              </w:rPr>
            </w:pPr>
          </w:p>
        </w:tc>
      </w:tr>
      <w:tr>
        <w:trPr>
          <w:trHeight w:val="275"/>
        </w:trPr>
        <w:tc>
          <w:tcPr>
            <w:tcW w:w="4200" w:type="dxa"/>
            <w:vAlign w:val="bottom"/>
          </w:tcPr>
          <w:p>
            <w:pPr>
              <w:ind w:left="100"/>
              <w:spacing w:after="0"/>
              <w:rPr>
                <w:sz w:val="20"/>
                <w:szCs w:val="20"/>
                <w:color w:val="auto"/>
              </w:rPr>
            </w:pPr>
            <w:r>
              <w:rPr>
                <w:rFonts w:ascii="Arial" w:cs="Arial" w:eastAsia="Arial" w:hAnsi="Arial"/>
                <w:sz w:val="22"/>
                <w:szCs w:val="22"/>
                <w:color w:val="auto"/>
              </w:rPr>
              <w:t>Other current liabilities</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1,625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2,572</w:t>
            </w:r>
          </w:p>
        </w:tc>
        <w:tc>
          <w:tcPr>
            <w:tcW w:w="0" w:type="dxa"/>
            <w:vAlign w:val="bottom"/>
          </w:tcPr>
          <w:p>
            <w:pPr>
              <w:spacing w:after="0"/>
              <w:rPr>
                <w:sz w:val="1"/>
                <w:szCs w:val="1"/>
                <w:color w:val="auto"/>
              </w:rPr>
            </w:pPr>
          </w:p>
        </w:tc>
      </w:tr>
      <w:tr>
        <w:trPr>
          <w:trHeight w:val="272"/>
        </w:trPr>
        <w:tc>
          <w:tcPr>
            <w:tcW w:w="4200" w:type="dxa"/>
            <w:vAlign w:val="bottom"/>
          </w:tcPr>
          <w:p>
            <w:pPr>
              <w:ind w:left="220"/>
              <w:spacing w:after="0"/>
              <w:rPr>
                <w:sz w:val="20"/>
                <w:szCs w:val="20"/>
                <w:color w:val="auto"/>
              </w:rPr>
            </w:pPr>
            <w:r>
              <w:rPr>
                <w:rFonts w:ascii="Arial" w:cs="Arial" w:eastAsia="Arial" w:hAnsi="Arial"/>
                <w:sz w:val="22"/>
                <w:szCs w:val="22"/>
                <w:color w:val="auto"/>
              </w:rPr>
              <w:t>Total current liabilities</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66,041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60,443</w:t>
            </w:r>
          </w:p>
        </w:tc>
        <w:tc>
          <w:tcPr>
            <w:tcW w:w="0" w:type="dxa"/>
            <w:vAlign w:val="bottom"/>
          </w:tcPr>
          <w:p>
            <w:pPr>
              <w:spacing w:after="0"/>
              <w:rPr>
                <w:sz w:val="1"/>
                <w:szCs w:val="1"/>
                <w:color w:val="auto"/>
              </w:rPr>
            </w:pPr>
          </w:p>
        </w:tc>
      </w:tr>
      <w:tr>
        <w:trPr>
          <w:trHeight w:val="528"/>
        </w:trPr>
        <w:tc>
          <w:tcPr>
            <w:tcW w:w="420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42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307,522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337,800</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22"/>
                <w:szCs w:val="22"/>
                <w:color w:val="auto"/>
              </w:rPr>
              <w:t>Deferred income taxes</w:t>
            </w:r>
          </w:p>
        </w:tc>
        <w:tc>
          <w:tcPr>
            <w:tcW w:w="42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9,194</w:t>
            </w:r>
          </w:p>
        </w:tc>
        <w:tc>
          <w:tcPr>
            <w:tcW w:w="0" w:type="dxa"/>
            <w:vAlign w:val="bottom"/>
          </w:tcPr>
          <w:p>
            <w:pPr>
              <w:spacing w:after="0"/>
              <w:rPr>
                <w:sz w:val="1"/>
                <w:szCs w:val="1"/>
                <w:color w:val="auto"/>
              </w:rPr>
            </w:pPr>
          </w:p>
        </w:tc>
      </w:tr>
      <w:tr>
        <w:trPr>
          <w:trHeight w:val="275"/>
        </w:trPr>
        <w:tc>
          <w:tcPr>
            <w:tcW w:w="420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30,358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27,019</w:t>
            </w:r>
          </w:p>
        </w:tc>
        <w:tc>
          <w:tcPr>
            <w:tcW w:w="0" w:type="dxa"/>
            <w:vAlign w:val="bottom"/>
          </w:tcPr>
          <w:p>
            <w:pPr>
              <w:spacing w:after="0"/>
              <w:rPr>
                <w:sz w:val="1"/>
                <w:szCs w:val="1"/>
                <w:color w:val="auto"/>
              </w:rPr>
            </w:pPr>
          </w:p>
        </w:tc>
      </w:tr>
      <w:tr>
        <w:trPr>
          <w:trHeight w:val="272"/>
        </w:trPr>
        <w:tc>
          <w:tcPr>
            <w:tcW w:w="4200" w:type="dxa"/>
            <w:vAlign w:val="bottom"/>
          </w:tcPr>
          <w:p>
            <w:pPr>
              <w:ind w:left="220"/>
              <w:spacing w:after="0"/>
              <w:rPr>
                <w:sz w:val="20"/>
                <w:szCs w:val="20"/>
                <w:color w:val="auto"/>
              </w:rPr>
            </w:pPr>
            <w:r>
              <w:rPr>
                <w:rFonts w:ascii="Arial" w:cs="Arial" w:eastAsia="Arial" w:hAnsi="Arial"/>
                <w:sz w:val="22"/>
                <w:szCs w:val="22"/>
                <w:color w:val="auto"/>
              </w:rPr>
              <w:t>Total liabilities</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403,921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434,456</w:t>
            </w:r>
          </w:p>
        </w:tc>
        <w:tc>
          <w:tcPr>
            <w:tcW w:w="0" w:type="dxa"/>
            <w:vAlign w:val="bottom"/>
          </w:tcPr>
          <w:p>
            <w:pPr>
              <w:spacing w:after="0"/>
              <w:rPr>
                <w:sz w:val="1"/>
                <w:szCs w:val="1"/>
                <w:color w:val="auto"/>
              </w:rPr>
            </w:pPr>
          </w:p>
        </w:tc>
      </w:tr>
      <w:tr>
        <w:trPr>
          <w:trHeight w:val="528"/>
        </w:trPr>
        <w:tc>
          <w:tcPr>
            <w:tcW w:w="4200" w:type="dxa"/>
            <w:vAlign w:val="bottom"/>
          </w:tcPr>
          <w:p>
            <w:pPr>
              <w:spacing w:after="0"/>
              <w:rPr>
                <w:sz w:val="20"/>
                <w:szCs w:val="20"/>
                <w:color w:val="auto"/>
              </w:rPr>
            </w:pPr>
            <w:r>
              <w:rPr>
                <w:rFonts w:ascii="Arial" w:cs="Arial" w:eastAsia="Arial" w:hAnsi="Arial"/>
                <w:sz w:val="22"/>
                <w:szCs w:val="22"/>
                <w:color w:val="auto"/>
              </w:rPr>
              <w:t>Shareholders' equity:</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Common shares</w:t>
            </w:r>
          </w:p>
        </w:tc>
        <w:tc>
          <w:tcPr>
            <w:tcW w:w="42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Additional paid-in capital</w:t>
            </w:r>
          </w:p>
        </w:tc>
        <w:tc>
          <w:tcPr>
            <w:tcW w:w="4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1,382,160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1,311,226</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Accumulated deficit</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(531,534)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(472,764)</w:t>
            </w:r>
          </w:p>
        </w:tc>
        <w:tc>
          <w:tcPr>
            <w:tcW w:w="0" w:type="dxa"/>
            <w:vAlign w:val="bottom"/>
          </w:tcPr>
          <w:p>
            <w:pPr>
              <w:spacing w:after="0"/>
              <w:rPr>
                <w:sz w:val="1"/>
                <w:szCs w:val="1"/>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22"/>
                <w:szCs w:val="22"/>
                <w:color w:val="auto"/>
              </w:rPr>
              <w:t>Treasury stock</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5"/>
        </w:trPr>
        <w:tc>
          <w:tcPr>
            <w:tcW w:w="4200" w:type="dxa"/>
            <w:vAlign w:val="bottom"/>
          </w:tcPr>
          <w:p>
            <w:pPr>
              <w:ind w:left="100"/>
              <w:spacing w:after="0"/>
              <w:rPr>
                <w:sz w:val="20"/>
                <w:szCs w:val="20"/>
                <w:color w:val="auto"/>
              </w:rPr>
            </w:pPr>
            <w:r>
              <w:rPr>
                <w:rFonts w:ascii="Arial" w:cs="Arial" w:eastAsia="Arial" w:hAnsi="Arial"/>
                <w:sz w:val="22"/>
                <w:szCs w:val="22"/>
                <w:color w:val="auto"/>
              </w:rPr>
              <w:t>Accumulated other comprehensive loss</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(324,563)</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(362,930)</w:t>
            </w:r>
          </w:p>
        </w:tc>
        <w:tc>
          <w:tcPr>
            <w:tcW w:w="0" w:type="dxa"/>
            <w:vAlign w:val="bottom"/>
          </w:tcPr>
          <w:p>
            <w:pPr>
              <w:spacing w:after="0"/>
              <w:rPr>
                <w:sz w:val="1"/>
                <w:szCs w:val="1"/>
                <w:color w:val="auto"/>
              </w:rPr>
            </w:pPr>
          </w:p>
        </w:tc>
      </w:tr>
      <w:tr>
        <w:trPr>
          <w:trHeight w:val="267"/>
        </w:trPr>
        <w:tc>
          <w:tcPr>
            <w:tcW w:w="4200" w:type="dxa"/>
            <w:vAlign w:val="bottom"/>
          </w:tcPr>
          <w:p>
            <w:pPr>
              <w:ind w:left="220"/>
              <w:spacing w:after="0"/>
              <w:rPr>
                <w:sz w:val="20"/>
                <w:szCs w:val="20"/>
                <w:color w:val="auto"/>
              </w:rPr>
            </w:pPr>
            <w:r>
              <w:rPr>
                <w:rFonts w:ascii="Arial" w:cs="Arial" w:eastAsia="Arial" w:hAnsi="Arial"/>
                <w:sz w:val="22"/>
                <w:szCs w:val="22"/>
                <w:color w:val="auto"/>
                <w:w w:val="91"/>
              </w:rPr>
              <w:t>Total Civeo Corporation shareholders' equity</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525,705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475,467</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523</w:t>
            </w:r>
          </w:p>
        </w:tc>
        <w:tc>
          <w:tcPr>
            <w:tcW w:w="0" w:type="dxa"/>
            <w:vAlign w:val="bottom"/>
          </w:tcPr>
          <w:p>
            <w:pPr>
              <w:spacing w:after="0"/>
              <w:rPr>
                <w:sz w:val="1"/>
                <w:szCs w:val="1"/>
                <w:color w:val="auto"/>
              </w:rPr>
            </w:pPr>
          </w:p>
        </w:tc>
      </w:tr>
      <w:tr>
        <w:trPr>
          <w:trHeight w:val="264"/>
        </w:trPr>
        <w:tc>
          <w:tcPr>
            <w:tcW w:w="4200" w:type="dxa"/>
            <w:vAlign w:val="bottom"/>
          </w:tcPr>
          <w:p>
            <w:pPr>
              <w:ind w:left="100"/>
              <w:spacing w:after="0"/>
              <w:rPr>
                <w:sz w:val="20"/>
                <w:szCs w:val="20"/>
                <w:color w:val="auto"/>
              </w:rPr>
            </w:pPr>
            <w:r>
              <w:rPr>
                <w:rFonts w:ascii="Arial" w:cs="Arial" w:eastAsia="Arial" w:hAnsi="Arial"/>
                <w:sz w:val="22"/>
                <w:szCs w:val="22"/>
                <w:color w:val="auto"/>
              </w:rPr>
              <w:t>Total shareholders' equity</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525,829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475,990</w:t>
            </w:r>
          </w:p>
        </w:tc>
        <w:tc>
          <w:tcPr>
            <w:tcW w:w="0" w:type="dxa"/>
            <w:vAlign w:val="bottom"/>
          </w:tcPr>
          <w:p>
            <w:pPr>
              <w:spacing w:after="0"/>
              <w:rPr>
                <w:sz w:val="1"/>
                <w:szCs w:val="1"/>
                <w:color w:val="auto"/>
              </w:rPr>
            </w:pPr>
          </w:p>
        </w:tc>
      </w:tr>
      <w:tr>
        <w:trPr>
          <w:trHeight w:val="264"/>
        </w:trPr>
        <w:tc>
          <w:tcPr>
            <w:tcW w:w="4200" w:type="dxa"/>
            <w:vAlign w:val="bottom"/>
          </w:tcPr>
          <w:p>
            <w:pPr>
              <w:ind w:left="220"/>
              <w:spacing w:after="0"/>
              <w:rPr>
                <w:sz w:val="20"/>
                <w:szCs w:val="20"/>
                <w:color w:val="auto"/>
              </w:rPr>
            </w:pPr>
            <w:r>
              <w:rPr>
                <w:rFonts w:ascii="Arial" w:cs="Arial" w:eastAsia="Arial" w:hAnsi="Arial"/>
                <w:sz w:val="22"/>
                <w:szCs w:val="22"/>
                <w:color w:val="auto"/>
              </w:rPr>
              <w:t>Total liabilities and shareholders' equity</w:t>
            </w: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929,750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910,446</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4640"/>
        <w:spacing w:after="0"/>
        <w:rPr>
          <w:sz w:val="20"/>
          <w:szCs w:val="20"/>
          <w:color w:val="auto"/>
        </w:rPr>
      </w:pPr>
      <w:r>
        <w:rPr>
          <w:rFonts w:ascii="Arial" w:cs="Arial" w:eastAsia="Arial" w:hAnsi="Arial"/>
          <w:sz w:val="22"/>
          <w:szCs w:val="22"/>
          <w:b w:val="1"/>
          <w:bCs w:val="1"/>
          <w:color w:val="auto"/>
        </w:rPr>
        <w:t>NINE MONTHS ENDED</w:t>
      </w:r>
    </w:p>
    <w:p>
      <w:pPr>
        <w:spacing w:after="0" w:line="14" w:lineRule="exact"/>
        <w:rPr>
          <w:sz w:val="20"/>
          <w:szCs w:val="20"/>
          <w:color w:val="auto"/>
        </w:rPr>
      </w:pPr>
    </w:p>
    <w:p>
      <w:pPr>
        <w:jc w:val="center"/>
        <w:ind w:left="4640"/>
        <w:spacing w:after="0"/>
        <w:rPr>
          <w:sz w:val="20"/>
          <w:szCs w:val="20"/>
          <w:color w:val="auto"/>
        </w:rPr>
      </w:pPr>
      <w:r>
        <w:rPr>
          <w:rFonts w:ascii="Arial" w:cs="Arial" w:eastAsia="Arial" w:hAnsi="Arial"/>
          <w:sz w:val="22"/>
          <w:szCs w:val="22"/>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0" w:type="dxa"/>
            <w:vAlign w:val="bottom"/>
          </w:tcPr>
          <w:p>
            <w:pPr>
              <w:spacing w:after="0"/>
              <w:rPr>
                <w:sz w:val="23"/>
                <w:szCs w:val="23"/>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2016</w:t>
            </w:r>
          </w:p>
        </w:tc>
      </w:tr>
      <w:tr>
        <w:trPr>
          <w:trHeight w:val="526"/>
        </w:trPr>
        <w:tc>
          <w:tcPr>
            <w:tcW w:w="68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22"/>
                <w:szCs w:val="22"/>
                <w:color w:val="auto"/>
              </w:rPr>
              <w:t>Net loss</w:t>
            </w:r>
          </w:p>
        </w:tc>
        <w:tc>
          <w:tcPr>
            <w:tcW w:w="1140" w:type="dxa"/>
            <w:vAlign w:val="bottom"/>
          </w:tcPr>
          <w:p>
            <w:pPr>
              <w:jc w:val="right"/>
              <w:spacing w:after="0"/>
              <w:rPr>
                <w:sz w:val="20"/>
                <w:szCs w:val="20"/>
                <w:color w:val="auto"/>
              </w:rPr>
            </w:pPr>
            <w:r>
              <w:rPr>
                <w:rFonts w:ascii="Arial" w:cs="Arial" w:eastAsia="Arial" w:hAnsi="Arial"/>
                <w:sz w:val="22"/>
                <w:szCs w:val="22"/>
                <w:color w:val="auto"/>
              </w:rPr>
              <w:t>$  (57,791)</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(79,997)</w:t>
            </w:r>
          </w:p>
        </w:tc>
      </w:tr>
      <w:tr>
        <w:trPr>
          <w:trHeight w:val="270"/>
        </w:trPr>
        <w:tc>
          <w:tcPr>
            <w:tcW w:w="6800" w:type="dxa"/>
            <w:vAlign w:val="bottom"/>
          </w:tcPr>
          <w:p>
            <w:pPr>
              <w:spacing w:after="0"/>
              <w:rPr>
                <w:sz w:val="20"/>
                <w:szCs w:val="20"/>
                <w:color w:val="auto"/>
              </w:rPr>
            </w:pPr>
            <w:r>
              <w:rPr>
                <w:rFonts w:ascii="Arial" w:cs="Arial" w:eastAsia="Arial" w:hAnsi="Arial"/>
                <w:sz w:val="22"/>
                <w:szCs w:val="22"/>
                <w:color w:val="auto"/>
                <w:w w:val="90"/>
              </w:rPr>
              <w:t>Adjustments to reconcile net loss to net cash provided by operating activities:</w:t>
            </w: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22"/>
                <w:szCs w:val="22"/>
                <w:color w:val="auto"/>
              </w:rPr>
              <w:t>97,083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100,444</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Impairment charges</w:t>
            </w:r>
          </w:p>
        </w:tc>
        <w:tc>
          <w:tcPr>
            <w:tcW w:w="1140" w:type="dxa"/>
            <w:vAlign w:val="bottom"/>
          </w:tcPr>
          <w:p>
            <w:pPr>
              <w:jc w:val="right"/>
              <w:spacing w:after="0"/>
              <w:rPr>
                <w:sz w:val="20"/>
                <w:szCs w:val="20"/>
                <w:color w:val="auto"/>
              </w:rPr>
            </w:pPr>
            <w:r>
              <w:rPr>
                <w:rFonts w:ascii="Arial" w:cs="Arial" w:eastAsia="Arial" w:hAnsi="Arial"/>
                <w:sz w:val="22"/>
                <w:szCs w:val="22"/>
                <w:color w:val="auto"/>
              </w:rPr>
              <w:t>4,360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46,129</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Inventory write-down</w:t>
            </w:r>
          </w:p>
        </w:tc>
        <w:tc>
          <w:tcPr>
            <w:tcW w:w="11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850</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Loss on extinguishment of debt</w:t>
            </w:r>
          </w:p>
        </w:tc>
        <w:tc>
          <w:tcPr>
            <w:tcW w:w="1140" w:type="dxa"/>
            <w:vAlign w:val="bottom"/>
          </w:tcPr>
          <w:p>
            <w:pPr>
              <w:jc w:val="right"/>
              <w:spacing w:after="0"/>
              <w:rPr>
                <w:sz w:val="20"/>
                <w:szCs w:val="20"/>
                <w:color w:val="auto"/>
              </w:rPr>
            </w:pPr>
            <w:r>
              <w:rPr>
                <w:rFonts w:ascii="Arial" w:cs="Arial" w:eastAsia="Arial" w:hAnsi="Arial"/>
                <w:sz w:val="22"/>
                <w:szCs w:val="22"/>
                <w:color w:val="auto"/>
              </w:rPr>
              <w:t>842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302</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Deferred income tax benefit</w:t>
            </w:r>
          </w:p>
        </w:tc>
        <w:tc>
          <w:tcPr>
            <w:tcW w:w="1140" w:type="dxa"/>
            <w:vAlign w:val="bottom"/>
          </w:tcPr>
          <w:p>
            <w:pPr>
              <w:jc w:val="right"/>
              <w:spacing w:after="0"/>
              <w:rPr>
                <w:sz w:val="20"/>
                <w:szCs w:val="20"/>
                <w:color w:val="auto"/>
              </w:rPr>
            </w:pPr>
            <w:r>
              <w:rPr>
                <w:rFonts w:ascii="Arial" w:cs="Arial" w:eastAsia="Arial" w:hAnsi="Arial"/>
                <w:sz w:val="22"/>
                <w:szCs w:val="22"/>
                <w:color w:val="auto"/>
              </w:rPr>
              <w:t>(11,026)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(25,239)</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Non-cash compensation charge</w:t>
            </w:r>
          </w:p>
        </w:tc>
        <w:tc>
          <w:tcPr>
            <w:tcW w:w="1140" w:type="dxa"/>
            <w:vAlign w:val="bottom"/>
          </w:tcPr>
          <w:p>
            <w:pPr>
              <w:jc w:val="right"/>
              <w:spacing w:after="0"/>
              <w:rPr>
                <w:sz w:val="20"/>
                <w:szCs w:val="20"/>
                <w:color w:val="auto"/>
              </w:rPr>
            </w:pPr>
            <w:r>
              <w:rPr>
                <w:rFonts w:ascii="Arial" w:cs="Arial" w:eastAsia="Arial" w:hAnsi="Arial"/>
                <w:sz w:val="22"/>
                <w:szCs w:val="22"/>
                <w:color w:val="auto"/>
              </w:rPr>
              <w:t>5,481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4,535</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Losses (gains) on disposals of assets</w:t>
            </w:r>
          </w:p>
        </w:tc>
        <w:tc>
          <w:tcPr>
            <w:tcW w:w="1140" w:type="dxa"/>
            <w:vAlign w:val="bottom"/>
          </w:tcPr>
          <w:p>
            <w:pPr>
              <w:jc w:val="right"/>
              <w:spacing w:after="0"/>
              <w:rPr>
                <w:sz w:val="20"/>
                <w:szCs w:val="20"/>
                <w:color w:val="auto"/>
              </w:rPr>
            </w:pPr>
            <w:r>
              <w:rPr>
                <w:rFonts w:ascii="Arial" w:cs="Arial" w:eastAsia="Arial" w:hAnsi="Arial"/>
                <w:sz w:val="22"/>
                <w:szCs w:val="22"/>
                <w:color w:val="auto"/>
              </w:rPr>
              <w:t>(1,193)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259</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Provision (benefit) for loss on receivables, net of recoveries</w:t>
            </w:r>
          </w:p>
        </w:tc>
        <w:tc>
          <w:tcPr>
            <w:tcW w:w="1140" w:type="dxa"/>
            <w:vAlign w:val="bottom"/>
          </w:tcPr>
          <w:p>
            <w:pPr>
              <w:jc w:val="right"/>
              <w:spacing w:after="0"/>
              <w:rPr>
                <w:sz w:val="20"/>
                <w:szCs w:val="20"/>
                <w:color w:val="auto"/>
              </w:rPr>
            </w:pPr>
            <w:r>
              <w:rPr>
                <w:rFonts w:ascii="Arial" w:cs="Arial" w:eastAsia="Arial" w:hAnsi="Arial"/>
                <w:sz w:val="22"/>
                <w:szCs w:val="22"/>
                <w:color w:val="auto"/>
              </w:rPr>
              <w:t>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1140" w:type="dxa"/>
            <w:vAlign w:val="bottom"/>
          </w:tcPr>
          <w:p>
            <w:pPr>
              <w:jc w:val="right"/>
              <w:spacing w:after="0"/>
              <w:rPr>
                <w:sz w:val="20"/>
                <w:szCs w:val="20"/>
                <w:color w:val="auto"/>
              </w:rPr>
            </w:pPr>
            <w:r>
              <w:rPr>
                <w:rFonts w:ascii="Arial" w:cs="Arial" w:eastAsia="Arial" w:hAnsi="Arial"/>
                <w:sz w:val="22"/>
                <w:szCs w:val="22"/>
                <w:color w:val="auto"/>
              </w:rPr>
              <w:t>3,307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2,546</w:t>
            </w:r>
          </w:p>
        </w:tc>
      </w:tr>
      <w:tr>
        <w:trPr>
          <w:trHeight w:val="275"/>
        </w:trPr>
        <w:tc>
          <w:tcPr>
            <w:tcW w:w="6800" w:type="dxa"/>
            <w:vAlign w:val="bottom"/>
          </w:tcPr>
          <w:p>
            <w:pPr>
              <w:ind w:left="100"/>
              <w:spacing w:after="0"/>
              <w:rPr>
                <w:sz w:val="20"/>
                <w:szCs w:val="20"/>
                <w:color w:val="auto"/>
              </w:rPr>
            </w:pPr>
            <w:r>
              <w:rPr>
                <w:rFonts w:ascii="Arial" w:cs="Arial" w:eastAsia="Arial" w:hAnsi="Arial"/>
                <w:sz w:val="22"/>
                <w:szCs w:val="22"/>
                <w:color w:val="auto"/>
              </w:rPr>
              <w:t>Changes in operating assets and liabilities:</w:t>
            </w: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ectPr>
          <w:pgSz w:w="11900" w:h="16840" w:orient="portrait"/>
          <w:cols w:equalWidth="0" w:num="1">
            <w:col w:w="10199"/>
          </w:cols>
          <w:pgMar w:left="260" w:top="118" w:right="1440" w:bottom="0" w:gutter="0" w:footer="0" w:header="0"/>
        </w:sectPr>
      </w:pPr>
    </w:p>
    <w:bookmarkStart w:id="7" w:name="page8"/>
    <w:bookmarkEnd w:id="7"/>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800" w:type="dxa"/>
            <w:vAlign w:val="bottom"/>
          </w:tcPr>
          <w:p>
            <w:pPr>
              <w:ind w:left="240"/>
              <w:spacing w:after="0"/>
              <w:rPr>
                <w:sz w:val="20"/>
                <w:szCs w:val="20"/>
                <w:color w:val="auto"/>
              </w:rPr>
            </w:pPr>
            <w:r>
              <w:rPr>
                <w:rFonts w:ascii="Arial" w:cs="Arial" w:eastAsia="Arial" w:hAnsi="Arial"/>
                <w:sz w:val="22"/>
                <w:szCs w:val="22"/>
                <w:color w:val="auto"/>
              </w:rPr>
              <w:t>Accounts receivable</w:t>
            </w:r>
          </w:p>
        </w:tc>
        <w:tc>
          <w:tcPr>
            <w:tcW w:w="1140" w:type="dxa"/>
            <w:vAlign w:val="bottom"/>
          </w:tcPr>
          <w:p>
            <w:pPr>
              <w:jc w:val="right"/>
              <w:spacing w:after="0"/>
              <w:rPr>
                <w:sz w:val="20"/>
                <w:szCs w:val="20"/>
                <w:color w:val="auto"/>
              </w:rPr>
            </w:pPr>
            <w:r>
              <w:rPr>
                <w:rFonts w:ascii="Arial" w:cs="Arial" w:eastAsia="Arial" w:hAnsi="Arial"/>
                <w:sz w:val="22"/>
                <w:szCs w:val="22"/>
                <w:color w:val="auto"/>
              </w:rPr>
              <w:t>(2,845)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(2,920)</w:t>
            </w:r>
          </w:p>
        </w:tc>
      </w:tr>
      <w:tr>
        <w:trPr>
          <w:trHeight w:val="270"/>
        </w:trPr>
        <w:tc>
          <w:tcPr>
            <w:tcW w:w="6800" w:type="dxa"/>
            <w:vAlign w:val="bottom"/>
          </w:tcPr>
          <w:p>
            <w:pPr>
              <w:ind w:left="240"/>
              <w:spacing w:after="0"/>
              <w:rPr>
                <w:sz w:val="20"/>
                <w:szCs w:val="20"/>
                <w:color w:val="auto"/>
              </w:rPr>
            </w:pPr>
            <w:r>
              <w:rPr>
                <w:rFonts w:ascii="Arial" w:cs="Arial" w:eastAsia="Arial" w:hAnsi="Arial"/>
                <w:sz w:val="22"/>
                <w:szCs w:val="22"/>
                <w:color w:val="auto"/>
              </w:rPr>
              <w:t>Inventories</w:t>
            </w:r>
          </w:p>
        </w:tc>
        <w:tc>
          <w:tcPr>
            <w:tcW w:w="1140" w:type="dxa"/>
            <w:vAlign w:val="bottom"/>
          </w:tcPr>
          <w:p>
            <w:pPr>
              <w:jc w:val="right"/>
              <w:spacing w:after="0"/>
              <w:rPr>
                <w:sz w:val="20"/>
                <w:szCs w:val="20"/>
                <w:color w:val="auto"/>
              </w:rPr>
            </w:pPr>
            <w:r>
              <w:rPr>
                <w:rFonts w:ascii="Arial" w:cs="Arial" w:eastAsia="Arial" w:hAnsi="Arial"/>
                <w:sz w:val="22"/>
                <w:szCs w:val="22"/>
                <w:color w:val="auto"/>
              </w:rPr>
              <w:t>(1,507)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1,484</w:t>
            </w:r>
          </w:p>
        </w:tc>
      </w:tr>
      <w:tr>
        <w:trPr>
          <w:trHeight w:val="270"/>
        </w:trPr>
        <w:tc>
          <w:tcPr>
            <w:tcW w:w="6800" w:type="dxa"/>
            <w:vAlign w:val="bottom"/>
          </w:tcPr>
          <w:p>
            <w:pPr>
              <w:ind w:left="240"/>
              <w:spacing w:after="0"/>
              <w:rPr>
                <w:sz w:val="20"/>
                <w:szCs w:val="20"/>
                <w:color w:val="auto"/>
              </w:rPr>
            </w:pPr>
            <w:r>
              <w:rPr>
                <w:rFonts w:ascii="Arial" w:cs="Arial" w:eastAsia="Arial" w:hAnsi="Arial"/>
                <w:sz w:val="22"/>
                <w:szCs w:val="22"/>
                <w:color w:val="auto"/>
              </w:rPr>
              <w:t>Accounts payable and accrued liabilities</w:t>
            </w:r>
          </w:p>
        </w:tc>
        <w:tc>
          <w:tcPr>
            <w:tcW w:w="1140" w:type="dxa"/>
            <w:vAlign w:val="bottom"/>
          </w:tcPr>
          <w:p>
            <w:pPr>
              <w:jc w:val="right"/>
              <w:spacing w:after="0"/>
              <w:rPr>
                <w:sz w:val="20"/>
                <w:szCs w:val="20"/>
                <w:color w:val="auto"/>
              </w:rPr>
            </w:pPr>
            <w:r>
              <w:rPr>
                <w:rFonts w:ascii="Arial" w:cs="Arial" w:eastAsia="Arial" w:hAnsi="Arial"/>
                <w:sz w:val="22"/>
                <w:szCs w:val="22"/>
                <w:color w:val="auto"/>
              </w:rPr>
              <w:t>5,910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2,766</w:t>
            </w:r>
          </w:p>
        </w:tc>
      </w:tr>
      <w:tr>
        <w:trPr>
          <w:trHeight w:val="270"/>
        </w:trPr>
        <w:tc>
          <w:tcPr>
            <w:tcW w:w="6800" w:type="dxa"/>
            <w:vAlign w:val="bottom"/>
          </w:tcPr>
          <w:p>
            <w:pPr>
              <w:ind w:left="240"/>
              <w:spacing w:after="0"/>
              <w:rPr>
                <w:sz w:val="20"/>
                <w:szCs w:val="20"/>
                <w:color w:val="auto"/>
              </w:rPr>
            </w:pPr>
            <w:r>
              <w:rPr>
                <w:rFonts w:ascii="Arial" w:cs="Arial" w:eastAsia="Arial" w:hAnsi="Arial"/>
                <w:sz w:val="22"/>
                <w:szCs w:val="22"/>
                <w:color w:val="auto"/>
              </w:rPr>
              <w:t>Taxes payable</w:t>
            </w:r>
          </w:p>
        </w:tc>
        <w:tc>
          <w:tcPr>
            <w:tcW w:w="1140" w:type="dxa"/>
            <w:vAlign w:val="bottom"/>
          </w:tcPr>
          <w:p>
            <w:pPr>
              <w:jc w:val="right"/>
              <w:spacing w:after="0"/>
              <w:rPr>
                <w:sz w:val="20"/>
                <w:szCs w:val="20"/>
                <w:color w:val="auto"/>
              </w:rPr>
            </w:pPr>
            <w:r>
              <w:rPr>
                <w:rFonts w:ascii="Arial" w:cs="Arial" w:eastAsia="Arial" w:hAnsi="Arial"/>
                <w:sz w:val="22"/>
                <w:szCs w:val="22"/>
                <w:color w:val="auto"/>
              </w:rPr>
              <w:t>9,928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4,832</w:t>
            </w:r>
          </w:p>
        </w:tc>
      </w:tr>
      <w:tr>
        <w:trPr>
          <w:trHeight w:val="275"/>
        </w:trPr>
        <w:tc>
          <w:tcPr>
            <w:tcW w:w="6800" w:type="dxa"/>
            <w:vAlign w:val="bottom"/>
          </w:tcPr>
          <w:p>
            <w:pPr>
              <w:ind w:left="240"/>
              <w:spacing w:after="0"/>
              <w:rPr>
                <w:sz w:val="20"/>
                <w:szCs w:val="20"/>
                <w:color w:val="auto"/>
              </w:rPr>
            </w:pPr>
            <w:r>
              <w:rPr>
                <w:rFonts w:ascii="Arial" w:cs="Arial" w:eastAsia="Arial" w:hAnsi="Arial"/>
                <w:sz w:val="22"/>
                <w:szCs w:val="22"/>
                <w:color w:val="auto"/>
              </w:rPr>
              <w:t>Other current assets and liabilities,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(7,032)</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(7,062)</w:t>
            </w:r>
          </w:p>
        </w:tc>
      </w:tr>
      <w:tr>
        <w:trPr>
          <w:trHeight w:val="272"/>
        </w:trPr>
        <w:tc>
          <w:tcPr>
            <w:tcW w:w="6800" w:type="dxa"/>
            <w:vAlign w:val="bottom"/>
          </w:tcPr>
          <w:p>
            <w:pPr>
              <w:ind w:left="400"/>
              <w:spacing w:after="0"/>
              <w:rPr>
                <w:sz w:val="20"/>
                <w:szCs w:val="20"/>
                <w:color w:val="auto"/>
              </w:rPr>
            </w:pPr>
            <w:r>
              <w:rPr>
                <w:rFonts w:ascii="Arial" w:cs="Arial" w:eastAsia="Arial" w:hAnsi="Arial"/>
                <w:sz w:val="22"/>
                <w:szCs w:val="22"/>
                <w:color w:val="auto"/>
              </w:rPr>
              <w:t>Net cash flows provided by operating activities</w:t>
            </w:r>
          </w:p>
        </w:tc>
        <w:tc>
          <w:tcPr>
            <w:tcW w:w="1140" w:type="dxa"/>
            <w:vAlign w:val="bottom"/>
          </w:tcPr>
          <w:p>
            <w:pPr>
              <w:jc w:val="right"/>
              <w:spacing w:after="0"/>
              <w:rPr>
                <w:sz w:val="20"/>
                <w:szCs w:val="20"/>
                <w:color w:val="auto"/>
              </w:rPr>
            </w:pPr>
            <w:r>
              <w:rPr>
                <w:rFonts w:ascii="Arial" w:cs="Arial" w:eastAsia="Arial" w:hAnsi="Arial"/>
                <w:sz w:val="22"/>
                <w:szCs w:val="22"/>
                <w:color w:val="auto"/>
              </w:rPr>
              <w:t>45,525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48,855</w:t>
            </w:r>
          </w:p>
        </w:tc>
      </w:tr>
      <w:tr>
        <w:trPr>
          <w:trHeight w:val="528"/>
        </w:trPr>
        <w:tc>
          <w:tcPr>
            <w:tcW w:w="680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1140" w:type="dxa"/>
            <w:vAlign w:val="bottom"/>
          </w:tcPr>
          <w:p>
            <w:pPr>
              <w:jc w:val="right"/>
              <w:spacing w:after="0"/>
              <w:rPr>
                <w:sz w:val="20"/>
                <w:szCs w:val="20"/>
                <w:color w:val="auto"/>
              </w:rPr>
            </w:pPr>
            <w:r>
              <w:rPr>
                <w:rFonts w:ascii="Arial" w:cs="Arial" w:eastAsia="Arial" w:hAnsi="Arial"/>
                <w:sz w:val="22"/>
                <w:szCs w:val="22"/>
                <w:color w:val="auto"/>
              </w:rPr>
              <w:t>(8,020)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(15,246)</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1140" w:type="dxa"/>
            <w:vAlign w:val="bottom"/>
          </w:tcPr>
          <w:p>
            <w:pPr>
              <w:jc w:val="right"/>
              <w:spacing w:after="0"/>
              <w:rPr>
                <w:sz w:val="20"/>
                <w:szCs w:val="20"/>
                <w:color w:val="auto"/>
              </w:rPr>
            </w:pPr>
            <w:r>
              <w:rPr>
                <w:rFonts w:ascii="Arial" w:cs="Arial" w:eastAsia="Arial" w:hAnsi="Arial"/>
                <w:sz w:val="22"/>
                <w:szCs w:val="22"/>
                <w:color w:val="auto"/>
              </w:rPr>
              <w:t>1,625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4,465</w:t>
            </w:r>
          </w:p>
        </w:tc>
      </w:tr>
      <w:tr>
        <w:trPr>
          <w:trHeight w:val="275"/>
        </w:trPr>
        <w:tc>
          <w:tcPr>
            <w:tcW w:w="680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548</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(761)</w:t>
            </w:r>
          </w:p>
        </w:tc>
      </w:tr>
      <w:tr>
        <w:trPr>
          <w:trHeight w:val="272"/>
        </w:trPr>
        <w:tc>
          <w:tcPr>
            <w:tcW w:w="6800" w:type="dxa"/>
            <w:vAlign w:val="bottom"/>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1140" w:type="dxa"/>
            <w:vAlign w:val="bottom"/>
          </w:tcPr>
          <w:p>
            <w:pPr>
              <w:jc w:val="right"/>
              <w:spacing w:after="0"/>
              <w:rPr>
                <w:sz w:val="20"/>
                <w:szCs w:val="20"/>
                <w:color w:val="auto"/>
              </w:rPr>
            </w:pPr>
            <w:r>
              <w:rPr>
                <w:rFonts w:ascii="Arial" w:cs="Arial" w:eastAsia="Arial" w:hAnsi="Arial"/>
                <w:sz w:val="22"/>
                <w:szCs w:val="22"/>
                <w:color w:val="auto"/>
              </w:rPr>
              <w:t>(5,847)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(11,542)</w:t>
            </w:r>
          </w:p>
        </w:tc>
      </w:tr>
      <w:tr>
        <w:trPr>
          <w:trHeight w:val="528"/>
        </w:trPr>
        <w:tc>
          <w:tcPr>
            <w:tcW w:w="680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Proceeds from issuance of common stock</w:t>
            </w:r>
          </w:p>
        </w:tc>
        <w:tc>
          <w:tcPr>
            <w:tcW w:w="1140" w:type="dxa"/>
            <w:vAlign w:val="bottom"/>
          </w:tcPr>
          <w:p>
            <w:pPr>
              <w:jc w:val="right"/>
              <w:spacing w:after="0"/>
              <w:rPr>
                <w:sz w:val="20"/>
                <w:szCs w:val="20"/>
                <w:color w:val="auto"/>
              </w:rPr>
            </w:pPr>
            <w:r>
              <w:rPr>
                <w:rFonts w:ascii="Arial" w:cs="Arial" w:eastAsia="Arial" w:hAnsi="Arial"/>
                <w:sz w:val="22"/>
                <w:szCs w:val="22"/>
                <w:color w:val="auto"/>
              </w:rPr>
              <w:t>64,817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Term loan repayments</w:t>
            </w:r>
          </w:p>
        </w:tc>
        <w:tc>
          <w:tcPr>
            <w:tcW w:w="1140" w:type="dxa"/>
            <w:vAlign w:val="bottom"/>
          </w:tcPr>
          <w:p>
            <w:pPr>
              <w:jc w:val="right"/>
              <w:spacing w:after="0"/>
              <w:rPr>
                <w:sz w:val="20"/>
                <w:szCs w:val="20"/>
                <w:color w:val="auto"/>
              </w:rPr>
            </w:pPr>
            <w:r>
              <w:rPr>
                <w:rFonts w:ascii="Arial" w:cs="Arial" w:eastAsia="Arial" w:hAnsi="Arial"/>
                <w:sz w:val="22"/>
                <w:szCs w:val="22"/>
                <w:color w:val="auto"/>
              </w:rPr>
              <w:t>(12,214)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(37,107)</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Revolving credit borrowings (repayments), net</w:t>
            </w:r>
          </w:p>
        </w:tc>
        <w:tc>
          <w:tcPr>
            <w:tcW w:w="1140" w:type="dxa"/>
            <w:vAlign w:val="bottom"/>
          </w:tcPr>
          <w:p>
            <w:pPr>
              <w:jc w:val="right"/>
              <w:spacing w:after="0"/>
              <w:rPr>
                <w:sz w:val="20"/>
                <w:szCs w:val="20"/>
                <w:color w:val="auto"/>
              </w:rPr>
            </w:pPr>
            <w:r>
              <w:rPr>
                <w:rFonts w:ascii="Arial" w:cs="Arial" w:eastAsia="Arial" w:hAnsi="Arial"/>
                <w:sz w:val="22"/>
                <w:szCs w:val="22"/>
                <w:color w:val="auto"/>
              </w:rPr>
              <w:t>(39,937)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(6,616)</w:t>
            </w:r>
          </w:p>
        </w:tc>
      </w:tr>
      <w:tr>
        <w:trPr>
          <w:trHeight w:val="270"/>
        </w:trPr>
        <w:tc>
          <w:tcPr>
            <w:tcW w:w="6800" w:type="dxa"/>
            <w:vAlign w:val="bottom"/>
          </w:tcPr>
          <w:p>
            <w:pPr>
              <w:ind w:left="100"/>
              <w:spacing w:after="0"/>
              <w:rPr>
                <w:sz w:val="20"/>
                <w:szCs w:val="20"/>
                <w:color w:val="auto"/>
              </w:rPr>
            </w:pPr>
            <w:r>
              <w:rPr>
                <w:rFonts w:ascii="Arial" w:cs="Arial" w:eastAsia="Arial" w:hAnsi="Arial"/>
                <w:sz w:val="22"/>
                <w:szCs w:val="22"/>
                <w:color w:val="auto"/>
              </w:rPr>
              <w:t>Debt issuance costs</w:t>
            </w:r>
          </w:p>
        </w:tc>
        <w:tc>
          <w:tcPr>
            <w:tcW w:w="1140" w:type="dxa"/>
            <w:vAlign w:val="bottom"/>
          </w:tcPr>
          <w:p>
            <w:pPr>
              <w:jc w:val="right"/>
              <w:spacing w:after="0"/>
              <w:rPr>
                <w:sz w:val="20"/>
                <w:szCs w:val="20"/>
                <w:color w:val="auto"/>
              </w:rPr>
            </w:pPr>
            <w:r>
              <w:rPr>
                <w:rFonts w:ascii="Arial" w:cs="Arial" w:eastAsia="Arial" w:hAnsi="Arial"/>
                <w:sz w:val="22"/>
                <w:szCs w:val="22"/>
                <w:color w:val="auto"/>
              </w:rPr>
              <w:t>(1,795)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(2,037)</w:t>
            </w:r>
          </w:p>
        </w:tc>
      </w:tr>
      <w:tr>
        <w:trPr>
          <w:trHeight w:val="275"/>
        </w:trPr>
        <w:tc>
          <w:tcPr>
            <w:tcW w:w="6800" w:type="dxa"/>
            <w:vAlign w:val="bottom"/>
          </w:tcPr>
          <w:p>
            <w:pPr>
              <w:ind w:left="100"/>
              <w:spacing w:after="0"/>
              <w:rPr>
                <w:sz w:val="20"/>
                <w:szCs w:val="20"/>
                <w:color w:val="auto"/>
              </w:rPr>
            </w:pPr>
            <w:r>
              <w:rPr>
                <w:rFonts w:ascii="Arial" w:cs="Arial" w:eastAsia="Arial" w:hAnsi="Arial"/>
                <w:sz w:val="22"/>
                <w:szCs w:val="22"/>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w:t>
            </w:r>
          </w:p>
        </w:tc>
      </w:tr>
      <w:tr>
        <w:trPr>
          <w:trHeight w:val="272"/>
        </w:trPr>
        <w:tc>
          <w:tcPr>
            <w:tcW w:w="6800" w:type="dxa"/>
            <w:vAlign w:val="bottom"/>
          </w:tcPr>
          <w:p>
            <w:pPr>
              <w:ind w:left="400"/>
              <w:spacing w:after="0"/>
              <w:rPr>
                <w:sz w:val="20"/>
                <w:szCs w:val="20"/>
                <w:color w:val="auto"/>
              </w:rPr>
            </w:pPr>
            <w:r>
              <w:rPr>
                <w:rFonts w:ascii="Arial" w:cs="Arial" w:eastAsia="Arial" w:hAnsi="Arial"/>
                <w:sz w:val="22"/>
                <w:szCs w:val="22"/>
                <w:color w:val="auto"/>
              </w:rPr>
              <w:t>Net cash flows provided by (used in) financing activities</w:t>
            </w:r>
          </w:p>
        </w:tc>
        <w:tc>
          <w:tcPr>
            <w:tcW w:w="1140" w:type="dxa"/>
            <w:vAlign w:val="bottom"/>
          </w:tcPr>
          <w:p>
            <w:pPr>
              <w:jc w:val="right"/>
              <w:spacing w:after="0"/>
              <w:rPr>
                <w:sz w:val="20"/>
                <w:szCs w:val="20"/>
                <w:color w:val="auto"/>
              </w:rPr>
            </w:pPr>
            <w:r>
              <w:rPr>
                <w:rFonts w:ascii="Arial" w:cs="Arial" w:eastAsia="Arial" w:hAnsi="Arial"/>
                <w:sz w:val="22"/>
                <w:szCs w:val="22"/>
                <w:color w:val="auto"/>
              </w:rPr>
              <w:t>10,578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(45,825)</w:t>
            </w:r>
          </w:p>
        </w:tc>
      </w:tr>
      <w:tr>
        <w:trPr>
          <w:trHeight w:val="532"/>
        </w:trPr>
        <w:tc>
          <w:tcPr>
            <w:tcW w:w="680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1,961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3,205</w:t>
            </w:r>
          </w:p>
        </w:tc>
      </w:tr>
      <w:tr>
        <w:trPr>
          <w:trHeight w:val="272"/>
        </w:trPr>
        <w:tc>
          <w:tcPr>
            <w:tcW w:w="680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1140" w:type="dxa"/>
            <w:vAlign w:val="bottom"/>
          </w:tcPr>
          <w:p>
            <w:pPr>
              <w:jc w:val="right"/>
              <w:spacing w:after="0"/>
              <w:rPr>
                <w:sz w:val="20"/>
                <w:szCs w:val="20"/>
                <w:color w:val="auto"/>
              </w:rPr>
            </w:pPr>
            <w:r>
              <w:rPr>
                <w:rFonts w:ascii="Arial" w:cs="Arial" w:eastAsia="Arial" w:hAnsi="Arial"/>
                <w:sz w:val="22"/>
                <w:szCs w:val="22"/>
                <w:color w:val="auto"/>
              </w:rPr>
              <w:t>52,217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(5,307)</w:t>
            </w:r>
          </w:p>
        </w:tc>
      </w:tr>
      <w:tr>
        <w:trPr>
          <w:trHeight w:val="532"/>
        </w:trPr>
        <w:tc>
          <w:tcPr>
            <w:tcW w:w="680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1140" w:type="dxa"/>
            <w:vAlign w:val="bottom"/>
          </w:tcPr>
          <w:p>
            <w:pPr>
              <w:jc w:val="right"/>
              <w:spacing w:after="0"/>
              <w:rPr>
                <w:sz w:val="20"/>
                <w:szCs w:val="20"/>
                <w:color w:val="auto"/>
              </w:rPr>
            </w:pPr>
            <w:r>
              <w:rPr>
                <w:rFonts w:ascii="Arial" w:cs="Arial" w:eastAsia="Arial" w:hAnsi="Arial"/>
                <w:sz w:val="22"/>
                <w:szCs w:val="22"/>
                <w:color w:val="auto"/>
              </w:rPr>
              <w:t>1,785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7,837</w:t>
            </w:r>
          </w:p>
        </w:tc>
      </w:tr>
      <w:tr>
        <w:trPr>
          <w:trHeight w:val="274"/>
        </w:trPr>
        <w:tc>
          <w:tcPr>
            <w:tcW w:w="680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64"/>
        </w:trPr>
        <w:tc>
          <w:tcPr>
            <w:tcW w:w="680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   54,002</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2,530</w:t>
            </w:r>
          </w:p>
        </w:tc>
      </w:tr>
      <w:tr>
        <w:trPr>
          <w:trHeight w:val="21"/>
        </w:trPr>
        <w:tc>
          <w:tcPr>
            <w:tcW w:w="6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879"/>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1879"/>
        <w:spacing w:after="0"/>
        <w:rPr>
          <w:sz w:val="20"/>
          <w:szCs w:val="20"/>
          <w:color w:val="auto"/>
        </w:rPr>
      </w:pPr>
      <w:r>
        <w:rPr>
          <w:rFonts w:ascii="Arial" w:cs="Arial" w:eastAsia="Arial" w:hAnsi="Arial"/>
          <w:sz w:val="22"/>
          <w:szCs w:val="22"/>
          <w:b w:val="1"/>
          <w:bCs w:val="1"/>
          <w:color w:val="auto"/>
        </w:rPr>
        <w:t>SEGMENT DATA</w:t>
      </w:r>
    </w:p>
    <w:p>
      <w:pPr>
        <w:jc w:val="center"/>
        <w:ind w:right="1879"/>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1879"/>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5120" w:type="dxa"/>
            <w:vAlign w:val="bottom"/>
            <w:gridSpan w:val="11"/>
          </w:tcPr>
          <w:p>
            <w:pPr>
              <w:jc w:val="right"/>
              <w:spacing w:after="0"/>
              <w:rPr>
                <w:sz w:val="20"/>
                <w:szCs w:val="20"/>
                <w:color w:val="auto"/>
              </w:rPr>
            </w:pPr>
            <w:r>
              <w:rPr>
                <w:rFonts w:ascii="Arial" w:cs="Arial" w:eastAsia="Arial" w:hAnsi="Arial"/>
                <w:sz w:val="22"/>
                <w:szCs w:val="22"/>
                <w:b w:val="1"/>
                <w:bCs w:val="1"/>
                <w:color w:val="auto"/>
              </w:rPr>
              <w:t>THREE MONTHS ENDED NINE MONTHS ENDED</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80" w:type="dxa"/>
            <w:vAlign w:val="bottom"/>
            <w:gridSpan w:val="5"/>
          </w:tcPr>
          <w:p>
            <w:pPr>
              <w:ind w:left="160"/>
              <w:spacing w:after="0"/>
              <w:rPr>
                <w:sz w:val="20"/>
                <w:szCs w:val="20"/>
                <w:color w:val="auto"/>
              </w:rPr>
            </w:pPr>
            <w:r>
              <w:rPr>
                <w:rFonts w:ascii="Arial" w:cs="Arial" w:eastAsia="Arial" w:hAnsi="Arial"/>
                <w:sz w:val="22"/>
                <w:szCs w:val="22"/>
                <w:b w:val="1"/>
                <w:bCs w:val="1"/>
                <w:color w:val="auto"/>
              </w:rPr>
              <w:t>SEPTEMBER 30,</w:t>
            </w:r>
          </w:p>
        </w:tc>
        <w:tc>
          <w:tcPr>
            <w:tcW w:w="220" w:type="dxa"/>
            <w:vAlign w:val="bottom"/>
          </w:tcPr>
          <w:p>
            <w:pPr>
              <w:spacing w:after="0"/>
              <w:rPr>
                <w:sz w:val="23"/>
                <w:szCs w:val="23"/>
                <w:color w:val="auto"/>
              </w:rPr>
            </w:pPr>
          </w:p>
        </w:tc>
        <w:tc>
          <w:tcPr>
            <w:tcW w:w="2180" w:type="dxa"/>
            <w:vAlign w:val="bottom"/>
            <w:gridSpan w:val="4"/>
          </w:tcPr>
          <w:p>
            <w:pPr>
              <w:jc w:val="right"/>
              <w:ind w:right="272"/>
              <w:spacing w:after="0"/>
              <w:rPr>
                <w:sz w:val="20"/>
                <w:szCs w:val="20"/>
                <w:color w:val="auto"/>
              </w:rPr>
            </w:pPr>
            <w:r>
              <w:rPr>
                <w:rFonts w:ascii="Arial" w:cs="Arial" w:eastAsia="Arial" w:hAnsi="Arial"/>
                <w:sz w:val="22"/>
                <w:szCs w:val="22"/>
                <w:b w:val="1"/>
                <w:bCs w:val="1"/>
                <w:color w:val="auto"/>
              </w:rPr>
              <w:t>SEPTEMBER 30,</w:t>
            </w:r>
          </w:p>
        </w:tc>
        <w:tc>
          <w:tcPr>
            <w:tcW w:w="0" w:type="dxa"/>
            <w:vAlign w:val="bottom"/>
          </w:tcPr>
          <w:p>
            <w:pPr>
              <w:spacing w:after="0"/>
              <w:rPr>
                <w:sz w:val="1"/>
                <w:szCs w:val="1"/>
                <w:color w:val="auto"/>
              </w:rPr>
            </w:pPr>
          </w:p>
        </w:tc>
      </w:tr>
      <w:tr>
        <w:trPr>
          <w:trHeight w:val="281"/>
        </w:trPr>
        <w:tc>
          <w:tcPr>
            <w:tcW w:w="3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59"/>
        </w:trPr>
        <w:tc>
          <w:tcPr>
            <w:tcW w:w="3220" w:type="dxa"/>
            <w:vAlign w:val="bottom"/>
          </w:tcPr>
          <w:p>
            <w:pPr>
              <w:spacing w:after="0"/>
              <w:rPr>
                <w:sz w:val="20"/>
                <w:szCs w:val="20"/>
                <w:color w:val="auto"/>
              </w:rPr>
            </w:pPr>
            <w:r>
              <w:rPr>
                <w:rFonts w:ascii="Arial" w:cs="Arial" w:eastAsia="Arial" w:hAnsi="Arial"/>
                <w:sz w:val="22"/>
                <w:szCs w:val="22"/>
                <w:color w:val="auto"/>
              </w:rPr>
              <w:t>Revenues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63,832</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73,539</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182,006</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216,168</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27,541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27,679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83,164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80,694</w:t>
            </w:r>
          </w:p>
        </w:tc>
        <w:tc>
          <w:tcPr>
            <w:tcW w:w="0" w:type="dxa"/>
            <w:vAlign w:val="bottom"/>
          </w:tcPr>
          <w:p>
            <w:pPr>
              <w:spacing w:after="0"/>
              <w:rPr>
                <w:sz w:val="1"/>
                <w:szCs w:val="1"/>
                <w:color w:val="auto"/>
              </w:rPr>
            </w:pPr>
          </w:p>
        </w:tc>
      </w:tr>
      <w:tr>
        <w:trPr>
          <w:trHeight w:val="276"/>
        </w:trPr>
        <w:tc>
          <w:tcPr>
            <w:tcW w:w="32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6,116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3,020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15,758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9,447</w:t>
            </w:r>
          </w:p>
        </w:tc>
        <w:tc>
          <w:tcPr>
            <w:tcW w:w="0" w:type="dxa"/>
            <w:vAlign w:val="bottom"/>
          </w:tcPr>
          <w:p>
            <w:pPr>
              <w:spacing w:after="0"/>
              <w:rPr>
                <w:sz w:val="1"/>
                <w:szCs w:val="1"/>
                <w:color w:val="auto"/>
              </w:rPr>
            </w:pPr>
          </w:p>
        </w:tc>
      </w:tr>
      <w:tr>
        <w:trPr>
          <w:trHeight w:val="265"/>
        </w:trPr>
        <w:tc>
          <w:tcPr>
            <w:tcW w:w="3220" w:type="dxa"/>
            <w:vAlign w:val="bottom"/>
          </w:tcPr>
          <w:p>
            <w:pPr>
              <w:ind w:left="220"/>
              <w:spacing w:after="0"/>
              <w:rPr>
                <w:sz w:val="20"/>
                <w:szCs w:val="20"/>
                <w:color w:val="auto"/>
              </w:rPr>
            </w:pPr>
            <w:r>
              <w:rPr>
                <w:rFonts w:ascii="Arial" w:cs="Arial" w:eastAsia="Arial" w:hAnsi="Arial"/>
                <w:sz w:val="22"/>
                <w:szCs w:val="22"/>
                <w:color w:val="auto"/>
              </w:rPr>
              <w:t>Total revenues</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97,489</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104,238</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280,928</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306,309</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11,201</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(19,841)</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39,099</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17,950</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9,673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10,992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31,104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32,781</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(1,933)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(1,343)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(4,278)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(15,244)</w:t>
            </w:r>
          </w:p>
        </w:tc>
        <w:tc>
          <w:tcPr>
            <w:tcW w:w="0" w:type="dxa"/>
            <w:vAlign w:val="bottom"/>
          </w:tcPr>
          <w:p>
            <w:pPr>
              <w:spacing w:after="0"/>
              <w:rPr>
                <w:sz w:val="1"/>
                <w:szCs w:val="1"/>
                <w:color w:val="auto"/>
              </w:rPr>
            </w:pPr>
          </w:p>
        </w:tc>
      </w:tr>
      <w:tr>
        <w:trPr>
          <w:trHeight w:val="276"/>
        </w:trPr>
        <w:tc>
          <w:tcPr>
            <w:tcW w:w="322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(7,191)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(3,869)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(20,381)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(15,596)</w:t>
            </w:r>
          </w:p>
        </w:tc>
        <w:tc>
          <w:tcPr>
            <w:tcW w:w="0" w:type="dxa"/>
            <w:vAlign w:val="bottom"/>
          </w:tcPr>
          <w:p>
            <w:pPr>
              <w:spacing w:after="0"/>
              <w:rPr>
                <w:sz w:val="1"/>
                <w:szCs w:val="1"/>
                <w:color w:val="auto"/>
              </w:rPr>
            </w:pPr>
          </w:p>
        </w:tc>
      </w:tr>
      <w:tr>
        <w:trPr>
          <w:trHeight w:val="265"/>
        </w:trPr>
        <w:tc>
          <w:tcPr>
            <w:tcW w:w="3220" w:type="dxa"/>
            <w:vAlign w:val="bottom"/>
          </w:tcPr>
          <w:p>
            <w:pPr>
              <w:ind w:left="220"/>
              <w:spacing w:after="0"/>
              <w:rPr>
                <w:sz w:val="20"/>
                <w:szCs w:val="20"/>
                <w:color w:val="auto"/>
              </w:rPr>
            </w:pPr>
            <w:r>
              <w:rPr>
                <w:rFonts w:ascii="Arial" w:cs="Arial" w:eastAsia="Arial" w:hAnsi="Arial"/>
                <w:sz w:val="22"/>
                <w:szCs w:val="22"/>
                <w:color w:val="auto"/>
              </w:rPr>
              <w:t>Total EBITDA</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11,750</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(14,061)</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45,544</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19,891</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15,561</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19,595</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43,459</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57,627</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4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9,673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10,992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31,104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32,801</w:t>
            </w:r>
          </w:p>
        </w:tc>
        <w:tc>
          <w:tcPr>
            <w:tcW w:w="0" w:type="dxa"/>
            <w:vAlign w:val="bottom"/>
          </w:tcPr>
          <w:p>
            <w:pPr>
              <w:spacing w:after="0"/>
              <w:rPr>
                <w:sz w:val="1"/>
                <w:szCs w:val="1"/>
                <w:color w:val="auto"/>
              </w:rPr>
            </w:pPr>
          </w:p>
        </w:tc>
      </w:tr>
      <w:tr>
        <w:trPr>
          <w:trHeight w:val="270"/>
        </w:trPr>
        <w:tc>
          <w:tcPr>
            <w:tcW w:w="322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(1,933)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(1,343)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(4,278)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(6,844)</w:t>
            </w:r>
          </w:p>
        </w:tc>
        <w:tc>
          <w:tcPr>
            <w:tcW w:w="0" w:type="dxa"/>
            <w:vAlign w:val="bottom"/>
          </w:tcPr>
          <w:p>
            <w:pPr>
              <w:spacing w:after="0"/>
              <w:rPr>
                <w:sz w:val="1"/>
                <w:szCs w:val="1"/>
                <w:color w:val="auto"/>
              </w:rPr>
            </w:pPr>
          </w:p>
        </w:tc>
      </w:tr>
      <w:tr>
        <w:trPr>
          <w:trHeight w:val="276"/>
        </w:trPr>
        <w:tc>
          <w:tcPr>
            <w:tcW w:w="322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(7,191)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(3,869)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(20,381)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(14,586)</w:t>
            </w:r>
          </w:p>
        </w:tc>
        <w:tc>
          <w:tcPr>
            <w:tcW w:w="0" w:type="dxa"/>
            <w:vAlign w:val="bottom"/>
          </w:tcPr>
          <w:p>
            <w:pPr>
              <w:spacing w:after="0"/>
              <w:rPr>
                <w:sz w:val="1"/>
                <w:szCs w:val="1"/>
                <w:color w:val="auto"/>
              </w:rPr>
            </w:pPr>
          </w:p>
        </w:tc>
      </w:tr>
      <w:tr>
        <w:trPr>
          <w:trHeight w:val="265"/>
        </w:trPr>
        <w:tc>
          <w:tcPr>
            <w:tcW w:w="3220" w:type="dxa"/>
            <w:vAlign w:val="bottom"/>
          </w:tcPr>
          <w:p>
            <w:pPr>
              <w:ind w:left="220"/>
              <w:spacing w:after="0"/>
              <w:rPr>
                <w:sz w:val="20"/>
                <w:szCs w:val="20"/>
                <w:color w:val="auto"/>
              </w:rPr>
            </w:pPr>
            <w:r>
              <w:rPr>
                <w:rFonts w:ascii="Arial" w:cs="Arial" w:eastAsia="Arial" w:hAnsi="Arial"/>
                <w:sz w:val="22"/>
                <w:szCs w:val="22"/>
                <w:color w:val="auto"/>
              </w:rPr>
              <w:t>Total adjusted EBITDA</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16,110</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25,375</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49,904</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68,998</w:t>
            </w:r>
          </w:p>
        </w:tc>
        <w:tc>
          <w:tcPr>
            <w:tcW w:w="0" w:type="dxa"/>
            <w:vAlign w:val="bottom"/>
          </w:tcPr>
          <w:p>
            <w:pPr>
              <w:spacing w:after="0"/>
              <w:rPr>
                <w:sz w:val="1"/>
                <w:szCs w:val="1"/>
                <w:color w:val="auto"/>
              </w:rPr>
            </w:pPr>
          </w:p>
        </w:tc>
      </w:tr>
      <w:tr>
        <w:trPr>
          <w:trHeight w:val="21"/>
        </w:trPr>
        <w:tc>
          <w:tcPr>
            <w:tcW w:w="322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20" w:type="dxa"/>
            <w:vAlign w:val="bottom"/>
          </w:tcPr>
          <w:p>
            <w:pPr>
              <w:ind w:left="100"/>
              <w:spacing w:after="0"/>
              <w:rPr>
                <w:sz w:val="20"/>
                <w:szCs w:val="20"/>
                <w:color w:val="auto"/>
              </w:rPr>
            </w:pPr>
            <w:r>
              <w:rPr>
                <w:rFonts w:ascii="Arial" w:cs="Arial" w:eastAsia="Arial" w:hAnsi="Arial"/>
                <w:sz w:val="22"/>
                <w:szCs w:val="22"/>
                <w:color w:val="auto"/>
              </w:rPr>
              <w:t>Canada</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(11,691)</w:t>
            </w:r>
          </w:p>
        </w:tc>
        <w:tc>
          <w:tcPr>
            <w:tcW w:w="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(44,742)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(26,283)</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(53,758)</w:t>
            </w:r>
          </w:p>
        </w:tc>
        <w:tc>
          <w:tcPr>
            <w:tcW w:w="0" w:type="dxa"/>
            <w:vAlign w:val="bottom"/>
          </w:tcPr>
          <w:p>
            <w:pPr>
              <w:spacing w:after="0"/>
              <w:rPr>
                <w:sz w:val="1"/>
                <w:szCs w:val="1"/>
                <w:color w:val="auto"/>
              </w:rPr>
            </w:pPr>
          </w:p>
        </w:tc>
      </w:tr>
    </w:tbl>
    <w:p>
      <w:pPr>
        <w:sectPr>
          <w:pgSz w:w="11900" w:h="16894" w:orient="portrait"/>
          <w:cols w:equalWidth="0" w:num="1">
            <w:col w:w="10199"/>
          </w:cols>
          <w:pgMar w:left="260" w:top="118" w:right="1440" w:bottom="0" w:gutter="0" w:footer="0" w:header="0"/>
        </w:sectPr>
      </w:pPr>
    </w:p>
    <w:bookmarkStart w:id="8" w:name="page9"/>
    <w:bookmarkEnd w:id="8"/>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71"/>
        </w:trPr>
        <w:tc>
          <w:tcPr>
            <w:tcW w:w="3120" w:type="dxa"/>
            <w:vAlign w:val="bottom"/>
          </w:tcPr>
          <w:p>
            <w:pPr>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(3,667)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(1,918)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(8,284)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(4,454)</w:t>
            </w:r>
          </w:p>
        </w:tc>
      </w:tr>
      <w:tr>
        <w:trPr>
          <w:trHeight w:val="270"/>
        </w:trPr>
        <w:tc>
          <w:tcPr>
            <w:tcW w:w="3120" w:type="dxa"/>
            <w:vAlign w:val="bottom"/>
          </w:tcPr>
          <w:p>
            <w:pPr>
              <w:spacing w:after="0"/>
              <w:rPr>
                <w:sz w:val="20"/>
                <w:szCs w:val="20"/>
                <w:color w:val="auto"/>
              </w:rPr>
            </w:pPr>
            <w:r>
              <w:rPr>
                <w:rFonts w:ascii="Arial" w:cs="Arial" w:eastAsia="Arial" w:hAnsi="Arial"/>
                <w:sz w:val="22"/>
                <w:szCs w:val="22"/>
                <w:color w:val="auto"/>
              </w:rPr>
              <w:t>United States</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(3,941)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(3,271)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(10,347)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(20,662)</w:t>
            </w:r>
          </w:p>
        </w:tc>
      </w:tr>
      <w:tr>
        <w:trPr>
          <w:trHeight w:val="276"/>
        </w:trPr>
        <w:tc>
          <w:tcPr>
            <w:tcW w:w="3120" w:type="dxa"/>
            <w:vAlign w:val="bottom"/>
          </w:tcPr>
          <w:p>
            <w:pPr>
              <w:spacing w:after="0"/>
              <w:rPr>
                <w:sz w:val="20"/>
                <w:szCs w:val="20"/>
                <w:color w:val="auto"/>
              </w:rPr>
            </w:pPr>
            <w:r>
              <w:rPr>
                <w:rFonts w:ascii="Arial" w:cs="Arial" w:eastAsia="Arial" w:hAnsi="Arial"/>
                <w:sz w:val="22"/>
                <w:szCs w:val="22"/>
                <w:color w:val="auto"/>
              </w:rPr>
              <w:t>Corporate and eliminations</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(2,045)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(7,529)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(2,295)</w:t>
            </w:r>
          </w:p>
        </w:tc>
      </w:tr>
      <w:tr>
        <w:trPr>
          <w:trHeight w:val="265"/>
        </w:trPr>
        <w:tc>
          <w:tcPr>
            <w:tcW w:w="3120" w:type="dxa"/>
            <w:vAlign w:val="bottom"/>
          </w:tcPr>
          <w:p>
            <w:pPr>
              <w:ind w:left="120"/>
              <w:spacing w:after="0"/>
              <w:rPr>
                <w:sz w:val="20"/>
                <w:szCs w:val="20"/>
                <w:color w:val="auto"/>
              </w:rPr>
            </w:pPr>
            <w:r>
              <w:rPr>
                <w:rFonts w:ascii="Arial" w:cs="Arial" w:eastAsia="Arial" w:hAnsi="Arial"/>
                <w:sz w:val="22"/>
                <w:szCs w:val="22"/>
                <w:color w:val="auto"/>
              </w:rPr>
              <w:t>Total operating loss</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(21,344)</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(48,958)</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(52,443)</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(81,169)</w:t>
            </w:r>
          </w:p>
        </w:tc>
      </w:tr>
      <w:tr>
        <w:trPr>
          <w:trHeight w:val="21"/>
        </w:trPr>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00" w:type="dxa"/>
            <w:vAlign w:val="bottom"/>
          </w:tcPr>
          <w:p>
            <w:pPr>
              <w:spacing w:after="0"/>
              <w:rPr>
                <w:sz w:val="21"/>
                <w:szCs w:val="21"/>
                <w:color w:val="auto"/>
              </w:rPr>
            </w:pPr>
          </w:p>
        </w:tc>
        <w:tc>
          <w:tcPr>
            <w:tcW w:w="282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600" w:type="dxa"/>
            <w:vAlign w:val="bottom"/>
            <w:gridSpan w:val="5"/>
          </w:tcPr>
          <w:p>
            <w:pPr>
              <w:jc w:val="right"/>
              <w:ind w:right="12"/>
              <w:spacing w:after="0"/>
              <w:rPr>
                <w:sz w:val="20"/>
                <w:szCs w:val="20"/>
                <w:color w:val="auto"/>
              </w:rPr>
            </w:pPr>
            <w:r>
              <w:rPr>
                <w:rFonts w:ascii="Arial" w:cs="Arial" w:eastAsia="Arial" w:hAnsi="Arial"/>
                <w:sz w:val="22"/>
                <w:szCs w:val="22"/>
                <w:b w:val="1"/>
                <w:bCs w:val="1"/>
                <w:color w:val="auto"/>
              </w:rPr>
              <w:t>NINE MONTHS ENDED</w:t>
            </w:r>
          </w:p>
        </w:tc>
      </w:tr>
      <w:tr>
        <w:trPr>
          <w:trHeight w:val="270"/>
        </w:trPr>
        <w:tc>
          <w:tcPr>
            <w:tcW w:w="5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ind w:left="240"/>
              <w:spacing w:after="0"/>
              <w:rPr>
                <w:sz w:val="20"/>
                <w:szCs w:val="20"/>
                <w:color w:val="auto"/>
              </w:rPr>
            </w:pPr>
            <w:r>
              <w:rPr>
                <w:rFonts w:ascii="Arial" w:cs="Arial" w:eastAsia="Arial" w:hAnsi="Arial"/>
                <w:sz w:val="22"/>
                <w:szCs w:val="22"/>
                <w:b w:val="1"/>
                <w:bCs w:val="1"/>
                <w:color w:val="auto"/>
              </w:rPr>
              <w:t>SEPTEMBER 30,</w:t>
            </w:r>
          </w:p>
        </w:tc>
        <w:tc>
          <w:tcPr>
            <w:tcW w:w="260" w:type="dxa"/>
            <w:vAlign w:val="bottom"/>
          </w:tcPr>
          <w:p>
            <w:pPr>
              <w:spacing w:after="0"/>
              <w:rPr>
                <w:sz w:val="23"/>
                <w:szCs w:val="23"/>
                <w:color w:val="auto"/>
              </w:rPr>
            </w:pPr>
          </w:p>
        </w:tc>
        <w:tc>
          <w:tcPr>
            <w:tcW w:w="2340" w:type="dxa"/>
            <w:vAlign w:val="bottom"/>
            <w:gridSpan w:val="4"/>
          </w:tcPr>
          <w:p>
            <w:pPr>
              <w:ind w:left="200"/>
              <w:spacing w:after="0"/>
              <w:rPr>
                <w:sz w:val="20"/>
                <w:szCs w:val="20"/>
                <w:color w:val="auto"/>
              </w:rPr>
            </w:pPr>
            <w:r>
              <w:rPr>
                <w:rFonts w:ascii="Arial" w:cs="Arial" w:eastAsia="Arial" w:hAnsi="Arial"/>
                <w:sz w:val="22"/>
                <w:szCs w:val="22"/>
                <w:b w:val="1"/>
                <w:bCs w:val="1"/>
                <w:color w:val="auto"/>
              </w:rPr>
              <w:t>SEPTEMBER 30,</w:t>
            </w:r>
          </w:p>
        </w:tc>
      </w:tr>
      <w:tr>
        <w:trPr>
          <w:trHeight w:val="282"/>
        </w:trPr>
        <w:tc>
          <w:tcPr>
            <w:tcW w:w="5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2016</w:t>
            </w:r>
          </w:p>
        </w:tc>
      </w:tr>
      <w:tr>
        <w:trPr>
          <w:trHeight w:val="528"/>
        </w:trPr>
        <w:tc>
          <w:tcPr>
            <w:tcW w:w="5900" w:type="dxa"/>
            <w:vAlign w:val="bottom"/>
          </w:tcPr>
          <w:p>
            <w:pPr>
              <w:spacing w:after="0"/>
              <w:rPr>
                <w:sz w:val="20"/>
                <w:szCs w:val="20"/>
                <w:color w:val="auto"/>
              </w:rPr>
            </w:pPr>
            <w:r>
              <w:rPr>
                <w:rFonts w:ascii="Arial" w:cs="Arial" w:eastAsia="Arial" w:hAnsi="Arial"/>
                <w:sz w:val="22"/>
                <w:szCs w:val="22"/>
                <w:color w:val="auto"/>
              </w:rPr>
              <w:t>EBITDA (1)</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11,750</w:t>
            </w:r>
          </w:p>
        </w:tc>
        <w:tc>
          <w:tcPr>
            <w:tcW w:w="10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(14,061)</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tcPr>
          <w:p>
            <w:pPr>
              <w:ind w:left="240"/>
              <w:spacing w:after="0"/>
              <w:rPr>
                <w:sz w:val="20"/>
                <w:szCs w:val="20"/>
                <w:color w:val="auto"/>
              </w:rPr>
            </w:pPr>
            <w:r>
              <w:rPr>
                <w:rFonts w:ascii="Arial" w:cs="Arial" w:eastAsia="Arial" w:hAnsi="Arial"/>
                <w:sz w:val="22"/>
                <w:szCs w:val="22"/>
                <w:color w:val="auto"/>
              </w:rPr>
              <w:t>45,544</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19,891</w:t>
            </w:r>
          </w:p>
        </w:tc>
      </w:tr>
      <w:tr>
        <w:trPr>
          <w:trHeight w:val="270"/>
        </w:trPr>
        <w:tc>
          <w:tcPr>
            <w:tcW w:w="5900" w:type="dxa"/>
            <w:vAlign w:val="bottom"/>
          </w:tcPr>
          <w:p>
            <w:pPr>
              <w:spacing w:after="0"/>
              <w:rPr>
                <w:sz w:val="20"/>
                <w:szCs w:val="20"/>
                <w:color w:val="auto"/>
              </w:rPr>
            </w:pPr>
            <w:r>
              <w:rPr>
                <w:rFonts w:ascii="Arial" w:cs="Arial" w:eastAsia="Arial" w:hAnsi="Arial"/>
                <w:sz w:val="22"/>
                <w:szCs w:val="22"/>
                <w:color w:val="auto"/>
              </w:rPr>
              <w:t>Adjusted EBITDA (1)</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16,110</w:t>
            </w:r>
          </w:p>
        </w:tc>
        <w:tc>
          <w:tcPr>
            <w:tcW w:w="1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25,375</w:t>
            </w:r>
          </w:p>
        </w:tc>
        <w:tc>
          <w:tcPr>
            <w:tcW w:w="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tcPr>
          <w:p>
            <w:pPr>
              <w:ind w:left="240"/>
              <w:spacing w:after="0"/>
              <w:rPr>
                <w:sz w:val="20"/>
                <w:szCs w:val="20"/>
                <w:color w:val="auto"/>
              </w:rPr>
            </w:pPr>
            <w:r>
              <w:rPr>
                <w:rFonts w:ascii="Arial" w:cs="Arial" w:eastAsia="Arial" w:hAnsi="Arial"/>
                <w:sz w:val="22"/>
                <w:szCs w:val="22"/>
                <w:color w:val="auto"/>
              </w:rPr>
              <w:t>49,904</w:t>
            </w:r>
          </w:p>
        </w:tc>
        <w:tc>
          <w:tcPr>
            <w:tcW w:w="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68,998</w:t>
            </w:r>
          </w:p>
        </w:tc>
      </w:tr>
      <w:tr>
        <w:trPr>
          <w:trHeight w:val="275"/>
        </w:trPr>
        <w:tc>
          <w:tcPr>
            <w:tcW w:w="5900" w:type="dxa"/>
            <w:vAlign w:val="bottom"/>
          </w:tcPr>
          <w:p>
            <w:pPr>
              <w:spacing w:after="0"/>
              <w:rPr>
                <w:sz w:val="20"/>
                <w:szCs w:val="20"/>
                <w:color w:val="auto"/>
              </w:rPr>
            </w:pPr>
            <w:r>
              <w:rPr>
                <w:rFonts w:ascii="Arial" w:cs="Arial" w:eastAsia="Arial" w:hAnsi="Arial"/>
                <w:sz w:val="22"/>
                <w:szCs w:val="22"/>
                <w:color w:val="auto"/>
              </w:rPr>
              <w:t>Free Cash Flow (2)</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29,606</w:t>
            </w:r>
          </w:p>
        </w:tc>
        <w:tc>
          <w:tcPr>
            <w:tcW w:w="1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10,669</w:t>
            </w:r>
          </w:p>
        </w:tc>
        <w:tc>
          <w:tcPr>
            <w:tcW w:w="8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tcPr>
          <w:p>
            <w:pPr>
              <w:ind w:left="240"/>
              <w:spacing w:after="0"/>
              <w:rPr>
                <w:sz w:val="20"/>
                <w:szCs w:val="20"/>
                <w:color w:val="auto"/>
              </w:rPr>
            </w:pPr>
            <w:r>
              <w:rPr>
                <w:rFonts w:ascii="Arial" w:cs="Arial" w:eastAsia="Arial" w:hAnsi="Arial"/>
                <w:sz w:val="22"/>
                <w:szCs w:val="22"/>
                <w:color w:val="auto"/>
              </w:rPr>
              <w:t>39,130</w:t>
            </w:r>
          </w:p>
        </w:tc>
        <w:tc>
          <w:tcPr>
            <w:tcW w:w="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38,074</w:t>
            </w:r>
          </w:p>
        </w:tc>
      </w:tr>
    </w:tbl>
    <w:p>
      <w:pPr>
        <w:spacing w:after="0" w:line="266" w:lineRule="exact"/>
        <w:rPr>
          <w:sz w:val="20"/>
          <w:szCs w:val="20"/>
          <w:color w:val="auto"/>
        </w:rPr>
      </w:pPr>
    </w:p>
    <w:p>
      <w:pPr>
        <w:ind w:right="20" w:firstLine="2"/>
        <w:spacing w:after="0" w:line="244" w:lineRule="auto"/>
        <w:tabs>
          <w:tab w:leader="none" w:pos="30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term EBITDA is defined as net income (loss) plus interest, taxes, depreciation and amortization. The term Adjusted EBITDA is defined as EBITDA adjusted to exclude impairment charges and certain costs associated with Civeo's redomiciliation.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68" w:lineRule="exact"/>
        <w:rPr>
          <w:sz w:val="20"/>
          <w:szCs w:val="20"/>
          <w:color w:val="auto"/>
        </w:rPr>
      </w:pPr>
    </w:p>
    <w:p>
      <w:pPr>
        <w:jc w:val="both"/>
        <w:ind w:right="980"/>
        <w:spacing w:after="0"/>
        <w:rPr>
          <w:sz w:val="20"/>
          <w:szCs w:val="20"/>
          <w:color w:val="auto"/>
        </w:rPr>
      </w:pPr>
      <w:r>
        <w:rPr>
          <w:rFonts w:ascii="Arial" w:cs="Arial" w:eastAsia="Arial" w:hAnsi="Arial"/>
          <w:sz w:val="22"/>
          <w:szCs w:val="22"/>
          <w:color w:val="auto"/>
        </w:rPr>
        <w:t>The following table sets forth a reconciliation of EBITDA and Adjusted EBITDA to net loss,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5500" w:type="dxa"/>
            <w:vAlign w:val="bottom"/>
          </w:tcPr>
          <w:p>
            <w:pPr>
              <w:spacing w:after="0"/>
              <w:rPr>
                <w:sz w:val="21"/>
                <w:szCs w:val="21"/>
                <w:color w:val="auto"/>
              </w:rPr>
            </w:pPr>
          </w:p>
        </w:tc>
        <w:tc>
          <w:tcPr>
            <w:tcW w:w="282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600" w:type="dxa"/>
            <w:vAlign w:val="bottom"/>
            <w:gridSpan w:val="5"/>
          </w:tcPr>
          <w:p>
            <w:pPr>
              <w:jc w:val="right"/>
              <w:ind w:right="12"/>
              <w:spacing w:after="0"/>
              <w:rPr>
                <w:sz w:val="20"/>
                <w:szCs w:val="20"/>
                <w:color w:val="auto"/>
              </w:rPr>
            </w:pPr>
            <w:r>
              <w:rPr>
                <w:rFonts w:ascii="Arial" w:cs="Arial" w:eastAsia="Arial" w:hAnsi="Arial"/>
                <w:sz w:val="22"/>
                <w:szCs w:val="22"/>
                <w:b w:val="1"/>
                <w:bCs w:val="1"/>
                <w:color w:val="auto"/>
              </w:rPr>
              <w:t>NINE MONTHS ENDED</w:t>
            </w:r>
          </w:p>
        </w:tc>
      </w:tr>
      <w:tr>
        <w:trPr>
          <w:trHeight w:val="270"/>
        </w:trPr>
        <w:tc>
          <w:tcPr>
            <w:tcW w:w="5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ind w:left="240"/>
              <w:spacing w:after="0"/>
              <w:rPr>
                <w:sz w:val="20"/>
                <w:szCs w:val="20"/>
                <w:color w:val="auto"/>
              </w:rPr>
            </w:pPr>
            <w:r>
              <w:rPr>
                <w:rFonts w:ascii="Arial" w:cs="Arial" w:eastAsia="Arial" w:hAnsi="Arial"/>
                <w:sz w:val="22"/>
                <w:szCs w:val="22"/>
                <w:b w:val="1"/>
                <w:bCs w:val="1"/>
                <w:color w:val="auto"/>
              </w:rPr>
              <w:t>SEPTEMBER 30,</w:t>
            </w:r>
          </w:p>
        </w:tc>
        <w:tc>
          <w:tcPr>
            <w:tcW w:w="260" w:type="dxa"/>
            <w:vAlign w:val="bottom"/>
          </w:tcPr>
          <w:p>
            <w:pPr>
              <w:spacing w:after="0"/>
              <w:rPr>
                <w:sz w:val="23"/>
                <w:szCs w:val="23"/>
                <w:color w:val="auto"/>
              </w:rPr>
            </w:pPr>
          </w:p>
        </w:tc>
        <w:tc>
          <w:tcPr>
            <w:tcW w:w="2340" w:type="dxa"/>
            <w:vAlign w:val="bottom"/>
            <w:gridSpan w:val="4"/>
          </w:tcPr>
          <w:p>
            <w:pPr>
              <w:jc w:val="right"/>
              <w:ind w:right="372"/>
              <w:spacing w:after="0"/>
              <w:rPr>
                <w:sz w:val="20"/>
                <w:szCs w:val="20"/>
                <w:color w:val="auto"/>
              </w:rPr>
            </w:pPr>
            <w:r>
              <w:rPr>
                <w:rFonts w:ascii="Arial" w:cs="Arial" w:eastAsia="Arial" w:hAnsi="Arial"/>
                <w:sz w:val="22"/>
                <w:szCs w:val="22"/>
                <w:b w:val="1"/>
                <w:bCs w:val="1"/>
                <w:color w:val="auto"/>
              </w:rPr>
              <w:t>SEPTEMBER 30,</w:t>
            </w:r>
          </w:p>
        </w:tc>
      </w:tr>
      <w:tr>
        <w:trPr>
          <w:trHeight w:val="282"/>
        </w:trPr>
        <w:tc>
          <w:tcPr>
            <w:tcW w:w="5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2016</w:t>
            </w:r>
          </w:p>
        </w:tc>
      </w:tr>
      <w:tr>
        <w:trPr>
          <w:trHeight w:val="528"/>
        </w:trPr>
        <w:tc>
          <w:tcPr>
            <w:tcW w:w="550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(22,331)</w:t>
            </w:r>
          </w:p>
        </w:tc>
        <w:tc>
          <w:tcPr>
            <w:tcW w:w="10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(42,131)</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(58,134)</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(80,439)</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Income tax benefit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(4,011)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(11,697)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(9,875)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(17,217)</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32,700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33,721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97,083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100,444</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842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302</w:t>
            </w:r>
          </w:p>
        </w:tc>
      </w:tr>
      <w:tr>
        <w:trPr>
          <w:trHeight w:val="275"/>
        </w:trPr>
        <w:tc>
          <w:tcPr>
            <w:tcW w:w="550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5,441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6,072</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15,697</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16,941</w:t>
            </w:r>
          </w:p>
        </w:tc>
      </w:tr>
      <w:tr>
        <w:trPr>
          <w:trHeight w:val="267"/>
        </w:trPr>
        <w:tc>
          <w:tcPr>
            <w:tcW w:w="5500" w:type="dxa"/>
            <w:vAlign w:val="bottom"/>
          </w:tcPr>
          <w:p>
            <w:pPr>
              <w:ind w:left="100"/>
              <w:spacing w:after="0"/>
              <w:rPr>
                <w:sz w:val="20"/>
                <w:szCs w:val="20"/>
                <w:color w:val="auto"/>
              </w:rPr>
            </w:pPr>
            <w:r>
              <w:rPr>
                <w:rFonts w:ascii="Arial" w:cs="Arial" w:eastAsia="Arial" w:hAnsi="Arial"/>
                <w:sz w:val="22"/>
                <w:szCs w:val="22"/>
                <w:color w:val="auto"/>
              </w:rPr>
              <w:t>EBITDA</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11,750</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(14,061)</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45,544</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19,891</w:t>
            </w:r>
          </w:p>
        </w:tc>
      </w:tr>
      <w:tr>
        <w:trPr>
          <w:trHeight w:val="256"/>
        </w:trPr>
        <w:tc>
          <w:tcPr>
            <w:tcW w:w="5500" w:type="dxa"/>
            <w:vAlign w:val="bottom"/>
          </w:tcPr>
          <w:p>
            <w:pPr>
              <w:spacing w:after="0"/>
              <w:rPr>
                <w:sz w:val="20"/>
                <w:szCs w:val="20"/>
                <w:color w:val="auto"/>
              </w:rPr>
            </w:pPr>
            <w:r>
              <w:rPr>
                <w:rFonts w:ascii="Arial" w:cs="Arial" w:eastAsia="Arial" w:hAnsi="Arial"/>
                <w:sz w:val="22"/>
                <w:szCs w:val="22"/>
                <w:color w:val="auto"/>
              </w:rPr>
              <w:t>Adjustments to EBITDA</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5500" w:type="dxa"/>
            <w:vAlign w:val="bottom"/>
          </w:tcPr>
          <w:p>
            <w:pPr>
              <w:ind w:left="100"/>
              <w:spacing w:after="0"/>
              <w:rPr>
                <w:sz w:val="20"/>
                <w:szCs w:val="20"/>
                <w:color w:val="auto"/>
              </w:rPr>
            </w:pPr>
            <w:r>
              <w:rPr>
                <w:rFonts w:ascii="Arial" w:cs="Arial" w:eastAsia="Arial" w:hAnsi="Arial"/>
                <w:sz w:val="22"/>
                <w:szCs w:val="22"/>
                <w:color w:val="auto"/>
              </w:rPr>
              <w:t>Impairment expense (a)</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4,360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38,579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4,360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46,979</w:t>
            </w:r>
          </w:p>
        </w:tc>
      </w:tr>
      <w:tr>
        <w:trPr>
          <w:trHeight w:val="270"/>
        </w:trPr>
        <w:tc>
          <w:tcPr>
            <w:tcW w:w="5500" w:type="dxa"/>
            <w:vAlign w:val="bottom"/>
          </w:tcPr>
          <w:p>
            <w:pPr>
              <w:ind w:left="100"/>
              <w:spacing w:after="0"/>
              <w:rPr>
                <w:sz w:val="20"/>
                <w:szCs w:val="20"/>
                <w:color w:val="auto"/>
              </w:rPr>
            </w:pPr>
            <w:r>
              <w:rPr>
                <w:rFonts w:ascii="Arial" w:cs="Arial" w:eastAsia="Arial" w:hAnsi="Arial"/>
                <w:sz w:val="22"/>
                <w:szCs w:val="22"/>
                <w:color w:val="auto"/>
              </w:rPr>
              <w:t>Redomiciliation costs (b)</w:t>
            </w:r>
          </w:p>
        </w:tc>
        <w:tc>
          <w:tcPr>
            <w:tcW w:w="30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1,271</w:t>
            </w:r>
          </w:p>
        </w:tc>
      </w:tr>
      <w:tr>
        <w:trPr>
          <w:trHeight w:val="276"/>
        </w:trPr>
        <w:tc>
          <w:tcPr>
            <w:tcW w:w="5500" w:type="dxa"/>
            <w:vAlign w:val="bottom"/>
          </w:tcPr>
          <w:p>
            <w:pPr>
              <w:ind w:left="100"/>
              <w:spacing w:after="0"/>
              <w:rPr>
                <w:sz w:val="20"/>
                <w:szCs w:val="20"/>
                <w:color w:val="auto"/>
              </w:rPr>
            </w:pPr>
            <w:r>
              <w:rPr>
                <w:rFonts w:ascii="Arial" w:cs="Arial" w:eastAsia="Arial" w:hAnsi="Arial"/>
                <w:sz w:val="22"/>
                <w:szCs w:val="22"/>
                <w:color w:val="auto"/>
              </w:rPr>
              <w:t>Severance (c)</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857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857</w:t>
            </w:r>
          </w:p>
        </w:tc>
      </w:tr>
      <w:tr>
        <w:trPr>
          <w:trHeight w:val="265"/>
        </w:trPr>
        <w:tc>
          <w:tcPr>
            <w:tcW w:w="5500" w:type="dxa"/>
            <w:vAlign w:val="bottom"/>
          </w:tcPr>
          <w:p>
            <w:pPr>
              <w:ind w:left="200"/>
              <w:spacing w:after="0"/>
              <w:rPr>
                <w:sz w:val="20"/>
                <w:szCs w:val="20"/>
                <w:color w:val="auto"/>
              </w:rPr>
            </w:pPr>
            <w:r>
              <w:rPr>
                <w:rFonts w:ascii="Arial" w:cs="Arial" w:eastAsia="Arial" w:hAnsi="Arial"/>
                <w:sz w:val="22"/>
                <w:szCs w:val="22"/>
                <w:color w:val="auto"/>
              </w:rPr>
              <w:t>Adjusted EBITDA</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16,110</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25,375</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49,904</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68,998</w:t>
            </w:r>
          </w:p>
        </w:tc>
      </w:tr>
      <w:tr>
        <w:trPr>
          <w:trHeight w:val="21"/>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20" w:firstLine="2"/>
        <w:spacing w:after="0" w:line="279" w:lineRule="auto"/>
        <w:tabs>
          <w:tab w:leader="none" w:pos="294" w:val="left"/>
        </w:tabs>
        <w:numPr>
          <w:ilvl w:val="0"/>
          <w:numId w:val="5"/>
        </w:numPr>
        <w:rPr>
          <w:rFonts w:ascii="Arial" w:cs="Arial" w:eastAsia="Arial" w:hAnsi="Arial"/>
          <w:sz w:val="19"/>
          <w:szCs w:val="19"/>
          <w:color w:val="auto"/>
        </w:rPr>
      </w:pPr>
      <w:r>
        <w:rPr>
          <w:rFonts w:ascii="Arial" w:cs="Arial" w:eastAsia="Arial" w:hAnsi="Arial"/>
          <w:sz w:val="19"/>
          <w:szCs w:val="19"/>
          <w:color w:val="auto"/>
        </w:rPr>
        <w:t>Relates to the impairment of assets in Canada and the United States. During the third quarter 2017, we recorded a pre-tax loss of $4.4 million ($3.2 million after-tax, or $0.02 per diluted share), which is included in Impairment expense on the unaudited statements of operations. During the third quarter 2016, we recorded a pre-tax loss of $38.6 million ($28.2 million after-tax, or $0.26 per diluted share), of which $0.9 million is included in Cost of sales and $37.7 million is included in Impairment expense on the unaudited statements of operations. During the first quarter 2016, we recorded a pre-tax loss of $8.4 million ($8.4 million after-tax, or $0.08 per diluted share), which is included in Impairment expense on the unaudited statements of operations.</w:t>
      </w:r>
    </w:p>
    <w:p>
      <w:pPr>
        <w:sectPr>
          <w:pgSz w:w="11900" w:h="16838" w:orient="portrait"/>
          <w:cols w:equalWidth="0" w:num="1">
            <w:col w:w="11320"/>
          </w:cols>
          <w:pgMar w:left="260" w:top="118" w:right="319" w:bottom="0" w:gutter="0" w:footer="0" w:header="0"/>
        </w:sectPr>
      </w:pPr>
    </w:p>
    <w:bookmarkStart w:id="9" w:name="page10"/>
    <w:bookmarkEnd w:id="9"/>
    <w:p>
      <w:pPr>
        <w:ind w:right="180" w:firstLine="2"/>
        <w:spacing w:after="0" w:line="241" w:lineRule="auto"/>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Relates to costs incurred associated with Civeo's redomiciliation to Canada. The $1.3 million of costs in 2016 ($1.2 million after-tax, or $0.01, per diluted share), which are primarily corporate in nature, are included in Selling, general and administrative costs on the unaudited statements of operations.</w:t>
      </w:r>
    </w:p>
    <w:p>
      <w:pPr>
        <w:spacing w:after="0" w:line="264" w:lineRule="exact"/>
        <w:rPr>
          <w:rFonts w:ascii="Arial" w:cs="Arial" w:eastAsia="Arial" w:hAnsi="Arial"/>
          <w:sz w:val="22"/>
          <w:szCs w:val="22"/>
          <w:color w:val="auto"/>
        </w:rPr>
      </w:pPr>
    </w:p>
    <w:p>
      <w:pPr>
        <w:ind w:right="140" w:firstLine="2"/>
        <w:spacing w:after="0"/>
        <w:tabs>
          <w:tab w:leader="none" w:pos="294" w:val="left"/>
        </w:tabs>
        <w:numPr>
          <w:ilvl w:val="0"/>
          <w:numId w:val="6"/>
        </w:numPr>
        <w:rPr>
          <w:rFonts w:ascii="Arial" w:cs="Arial" w:eastAsia="Arial" w:hAnsi="Arial"/>
          <w:sz w:val="22"/>
          <w:szCs w:val="22"/>
          <w:color w:val="auto"/>
        </w:rPr>
      </w:pPr>
      <w:r>
        <w:rPr>
          <w:rFonts w:ascii="Arial" w:cs="Arial" w:eastAsia="Arial" w:hAnsi="Arial"/>
          <w:sz w:val="22"/>
          <w:szCs w:val="22"/>
          <w:color w:val="auto"/>
        </w:rPr>
        <w:t>Relates to severance costs associated with the termination of executives. The $0.9 million expense ($0.6 million after-tax, or $0.01 per diluted share), which is related to our Canadian segment, is included in Selling, general and administrative expenses on the unaudited statements of operations.</w:t>
      </w:r>
    </w:p>
    <w:p>
      <w:pPr>
        <w:spacing w:after="0" w:line="268" w:lineRule="exact"/>
        <w:rPr>
          <w:sz w:val="20"/>
          <w:szCs w:val="20"/>
          <w:color w:val="auto"/>
        </w:rPr>
      </w:pPr>
    </w:p>
    <w:p>
      <w:pPr>
        <w:ind w:right="60" w:firstLine="2"/>
        <w:spacing w:after="0" w:line="245" w:lineRule="auto"/>
        <w:tabs>
          <w:tab w:leader="none" w:pos="306"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26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5580" w:type="dxa"/>
            <w:vAlign w:val="bottom"/>
          </w:tcPr>
          <w:p>
            <w:pPr>
              <w:spacing w:after="0"/>
              <w:rPr>
                <w:sz w:val="21"/>
                <w:szCs w:val="21"/>
                <w:color w:val="auto"/>
              </w:rPr>
            </w:pPr>
          </w:p>
        </w:tc>
        <w:tc>
          <w:tcPr>
            <w:tcW w:w="2820" w:type="dxa"/>
            <w:vAlign w:val="bottom"/>
            <w:gridSpan w:val="6"/>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600" w:type="dxa"/>
            <w:vAlign w:val="bottom"/>
            <w:gridSpan w:val="5"/>
          </w:tcPr>
          <w:p>
            <w:pPr>
              <w:jc w:val="right"/>
              <w:ind w:right="12"/>
              <w:spacing w:after="0"/>
              <w:rPr>
                <w:sz w:val="20"/>
                <w:szCs w:val="20"/>
                <w:color w:val="auto"/>
              </w:rPr>
            </w:pPr>
            <w:r>
              <w:rPr>
                <w:rFonts w:ascii="Arial" w:cs="Arial" w:eastAsia="Arial" w:hAnsi="Arial"/>
                <w:sz w:val="22"/>
                <w:szCs w:val="22"/>
                <w:b w:val="1"/>
                <w:bCs w:val="1"/>
                <w:color w:val="auto"/>
              </w:rPr>
              <w:t>NINE MONTHS ENDED</w:t>
            </w:r>
          </w:p>
        </w:tc>
      </w:tr>
      <w:tr>
        <w:trPr>
          <w:trHeight w:val="270"/>
        </w:trPr>
        <w:tc>
          <w:tcPr>
            <w:tcW w:w="5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ind w:left="240"/>
              <w:spacing w:after="0"/>
              <w:rPr>
                <w:sz w:val="20"/>
                <w:szCs w:val="20"/>
                <w:color w:val="auto"/>
              </w:rPr>
            </w:pPr>
            <w:r>
              <w:rPr>
                <w:rFonts w:ascii="Arial" w:cs="Arial" w:eastAsia="Arial" w:hAnsi="Arial"/>
                <w:sz w:val="22"/>
                <w:szCs w:val="22"/>
                <w:b w:val="1"/>
                <w:bCs w:val="1"/>
                <w:color w:val="auto"/>
              </w:rPr>
              <w:t>SEPTEMBER 30,</w:t>
            </w:r>
          </w:p>
        </w:tc>
        <w:tc>
          <w:tcPr>
            <w:tcW w:w="260" w:type="dxa"/>
            <w:vAlign w:val="bottom"/>
          </w:tcPr>
          <w:p>
            <w:pPr>
              <w:spacing w:after="0"/>
              <w:rPr>
                <w:sz w:val="23"/>
                <w:szCs w:val="23"/>
                <w:color w:val="auto"/>
              </w:rPr>
            </w:pPr>
          </w:p>
        </w:tc>
        <w:tc>
          <w:tcPr>
            <w:tcW w:w="2340" w:type="dxa"/>
            <w:vAlign w:val="bottom"/>
            <w:gridSpan w:val="4"/>
          </w:tcPr>
          <w:p>
            <w:pPr>
              <w:jc w:val="right"/>
              <w:ind w:right="372"/>
              <w:spacing w:after="0"/>
              <w:rPr>
                <w:sz w:val="20"/>
                <w:szCs w:val="20"/>
                <w:color w:val="auto"/>
              </w:rPr>
            </w:pPr>
            <w:r>
              <w:rPr>
                <w:rFonts w:ascii="Arial" w:cs="Arial" w:eastAsia="Arial" w:hAnsi="Arial"/>
                <w:sz w:val="22"/>
                <w:szCs w:val="22"/>
                <w:b w:val="1"/>
                <w:bCs w:val="1"/>
                <w:color w:val="auto"/>
              </w:rPr>
              <w:t>SEPTEMBER 30,</w:t>
            </w:r>
          </w:p>
        </w:tc>
      </w:tr>
      <w:tr>
        <w:trPr>
          <w:trHeight w:val="282"/>
        </w:trPr>
        <w:tc>
          <w:tcPr>
            <w:tcW w:w="5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2016</w:t>
            </w:r>
          </w:p>
        </w:tc>
      </w:tr>
      <w:tr>
        <w:trPr>
          <w:trHeight w:val="528"/>
        </w:trPr>
        <w:tc>
          <w:tcPr>
            <w:tcW w:w="558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31,124</w:t>
            </w:r>
          </w:p>
        </w:tc>
        <w:tc>
          <w:tcPr>
            <w:tcW w:w="10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13,662</w:t>
            </w:r>
          </w:p>
        </w:tc>
        <w:tc>
          <w:tcPr>
            <w:tcW w:w="8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45,525</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48,855</w:t>
            </w:r>
          </w:p>
        </w:tc>
      </w:tr>
      <w:tr>
        <w:trPr>
          <w:trHeight w:val="270"/>
        </w:trPr>
        <w:tc>
          <w:tcPr>
            <w:tcW w:w="558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(1,983)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(5,353)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(8,020)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(15,246)</w:t>
            </w:r>
          </w:p>
        </w:tc>
      </w:tr>
      <w:tr>
        <w:trPr>
          <w:trHeight w:val="275"/>
        </w:trPr>
        <w:tc>
          <w:tcPr>
            <w:tcW w:w="5580" w:type="dxa"/>
            <w:vAlign w:val="bottom"/>
          </w:tcPr>
          <w:p>
            <w:pPr>
              <w:ind w:left="120"/>
              <w:spacing w:after="0"/>
              <w:rPr>
                <w:sz w:val="20"/>
                <w:szCs w:val="20"/>
                <w:color w:val="auto"/>
              </w:rPr>
            </w:pPr>
            <w:r>
              <w:rPr>
                <w:rFonts w:ascii="Arial" w:cs="Arial" w:eastAsia="Arial" w:hAnsi="Arial"/>
                <w:sz w:val="22"/>
                <w:szCs w:val="22"/>
                <w:color w:val="auto"/>
                <w:w w:val="94"/>
              </w:rPr>
              <w:t>Proceeds from disposition of property, plant and equipment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2,360</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1,625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4,465</w:t>
            </w:r>
          </w:p>
        </w:tc>
      </w:tr>
      <w:tr>
        <w:trPr>
          <w:trHeight w:val="267"/>
        </w:trPr>
        <w:tc>
          <w:tcPr>
            <w:tcW w:w="5580" w:type="dxa"/>
            <w:vAlign w:val="bottom"/>
          </w:tcPr>
          <w:p>
            <w:pPr>
              <w:ind w:left="120"/>
              <w:spacing w:after="0"/>
              <w:rPr>
                <w:sz w:val="20"/>
                <w:szCs w:val="20"/>
                <w:color w:val="auto"/>
              </w:rPr>
            </w:pPr>
            <w:r>
              <w:rPr>
                <w:rFonts w:ascii="Arial" w:cs="Arial" w:eastAsia="Arial" w:hAnsi="Arial"/>
                <w:sz w:val="22"/>
                <w:szCs w:val="22"/>
                <w:color w:val="auto"/>
              </w:rPr>
              <w:t>Free Cash Flow</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29,606</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10,669</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39,130</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38,074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 - GUIDANCE</w:t>
      </w:r>
    </w:p>
    <w:p>
      <w:pPr>
        <w:ind w:left="510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0" w:type="dxa"/>
            <w:vAlign w:val="bottom"/>
            <w:gridSpan w:val="3"/>
          </w:tcPr>
          <w:p>
            <w:pPr>
              <w:jc w:val="right"/>
              <w:ind w:right="472"/>
              <w:spacing w:after="0"/>
              <w:rPr>
                <w:sz w:val="20"/>
                <w:szCs w:val="20"/>
                <w:color w:val="auto"/>
              </w:rPr>
            </w:pPr>
            <w:r>
              <w:rPr>
                <w:rFonts w:ascii="Arial" w:cs="Arial" w:eastAsia="Arial" w:hAnsi="Arial"/>
                <w:sz w:val="22"/>
                <w:szCs w:val="22"/>
                <w:b w:val="1"/>
                <w:bCs w:val="1"/>
                <w:color w:val="auto"/>
              </w:rPr>
              <w:t>THREE MONTHS ENDING</w:t>
            </w:r>
          </w:p>
        </w:tc>
        <w:tc>
          <w:tcPr>
            <w:tcW w:w="46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22"/>
                <w:szCs w:val="22"/>
                <w:b w:val="1"/>
                <w:bCs w:val="1"/>
                <w:color w:val="auto"/>
              </w:rPr>
              <w:t>YEAR ENDING</w:t>
            </w:r>
          </w:p>
        </w:tc>
        <w:tc>
          <w:tcPr>
            <w:tcW w:w="460" w:type="dxa"/>
            <w:vAlign w:val="bottom"/>
          </w:tcPr>
          <w:p>
            <w:pPr>
              <w:spacing w:after="0"/>
              <w:rPr>
                <w:sz w:val="21"/>
                <w:szCs w:val="21"/>
                <w:color w:val="auto"/>
              </w:rPr>
            </w:pPr>
          </w:p>
        </w:tc>
      </w:tr>
      <w:tr>
        <w:trPr>
          <w:trHeight w:val="276"/>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80" w:type="dxa"/>
            <w:vAlign w:val="bottom"/>
            <w:gridSpan w:val="2"/>
          </w:tcPr>
          <w:p>
            <w:pPr>
              <w:jc w:val="right"/>
              <w:ind w:right="32"/>
              <w:spacing w:after="0"/>
              <w:rPr>
                <w:sz w:val="20"/>
                <w:szCs w:val="20"/>
                <w:color w:val="auto"/>
              </w:rPr>
            </w:pPr>
            <w:r>
              <w:rPr>
                <w:rFonts w:ascii="Arial" w:cs="Arial" w:eastAsia="Arial" w:hAnsi="Arial"/>
                <w:sz w:val="22"/>
                <w:szCs w:val="22"/>
                <w:b w:val="1"/>
                <w:bCs w:val="1"/>
                <w:color w:val="auto"/>
              </w:rPr>
              <w:t>DECEMBER 31, 2017</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gridSpan w:val="3"/>
          </w:tcPr>
          <w:p>
            <w:pPr>
              <w:jc w:val="right"/>
              <w:ind w:right="172"/>
              <w:spacing w:after="0"/>
              <w:rPr>
                <w:sz w:val="20"/>
                <w:szCs w:val="20"/>
                <w:color w:val="auto"/>
              </w:rPr>
            </w:pPr>
            <w:r>
              <w:rPr>
                <w:rFonts w:ascii="Arial" w:cs="Arial" w:eastAsia="Arial" w:hAnsi="Arial"/>
                <w:sz w:val="22"/>
                <w:szCs w:val="22"/>
                <w:b w:val="1"/>
                <w:bCs w:val="1"/>
                <w:color w:val="auto"/>
              </w:rPr>
              <w:t>DECEMBER 31, 2017</w:t>
            </w:r>
          </w:p>
        </w:tc>
      </w:tr>
      <w:tr>
        <w:trPr>
          <w:trHeight w:val="270"/>
        </w:trPr>
        <w:tc>
          <w:tcPr>
            <w:tcW w:w="3540" w:type="dxa"/>
            <w:vAlign w:val="bottom"/>
          </w:tcPr>
          <w:p>
            <w:pPr>
              <w:spacing w:after="0"/>
              <w:rPr>
                <w:sz w:val="20"/>
                <w:szCs w:val="20"/>
                <w:color w:val="auto"/>
              </w:rPr>
            </w:pPr>
            <w:r>
              <w:rPr>
                <w:rFonts w:ascii="Arial" w:cs="Arial" w:eastAsia="Arial" w:hAnsi="Arial"/>
                <w:sz w:val="22"/>
                <w:szCs w:val="22"/>
                <w:color w:val="auto"/>
              </w:rPr>
              <w:t>EBITDA Range (1)</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460" w:type="dxa"/>
            <w:vAlign w:val="bottom"/>
          </w:tcPr>
          <w:p>
            <w:pPr>
              <w:jc w:val="right"/>
              <w:ind w:right="152"/>
              <w:spacing w:after="0"/>
              <w:rPr>
                <w:sz w:val="20"/>
                <w:szCs w:val="20"/>
                <w:color w:val="auto"/>
              </w:rPr>
            </w:pPr>
            <w:r>
              <w:rPr>
                <w:rFonts w:ascii="Arial" w:cs="Arial" w:eastAsia="Arial" w:hAnsi="Arial"/>
                <w:sz w:val="22"/>
                <w:szCs w:val="22"/>
                <w:color w:val="auto"/>
              </w:rPr>
              <w:t>13.0</w:t>
            </w:r>
          </w:p>
        </w:tc>
        <w:tc>
          <w:tcPr>
            <w:tcW w:w="1220" w:type="dxa"/>
            <w:vAlign w:val="bottom"/>
          </w:tcPr>
          <w:p>
            <w:pPr>
              <w:jc w:val="right"/>
              <w:ind w:right="752"/>
              <w:spacing w:after="0"/>
              <w:rPr>
                <w:sz w:val="20"/>
                <w:szCs w:val="20"/>
                <w:color w:val="auto"/>
              </w:rPr>
            </w:pPr>
            <w:r>
              <w:rPr>
                <w:rFonts w:ascii="Arial" w:cs="Arial" w:eastAsia="Arial" w:hAnsi="Arial"/>
                <w:sz w:val="22"/>
                <w:szCs w:val="22"/>
                <w:color w:val="auto"/>
              </w:rPr>
              <w:t>$</w:t>
            </w:r>
          </w:p>
        </w:tc>
        <w:tc>
          <w:tcPr>
            <w:tcW w:w="720" w:type="dxa"/>
            <w:vAlign w:val="bottom"/>
          </w:tcPr>
          <w:p>
            <w:pPr>
              <w:jc w:val="right"/>
              <w:ind w:right="112"/>
              <w:spacing w:after="0"/>
              <w:rPr>
                <w:sz w:val="20"/>
                <w:szCs w:val="20"/>
                <w:color w:val="auto"/>
              </w:rPr>
            </w:pPr>
            <w:r>
              <w:rPr>
                <w:rFonts w:ascii="Arial" w:cs="Arial" w:eastAsia="Arial" w:hAnsi="Arial"/>
                <w:sz w:val="22"/>
                <w:szCs w:val="22"/>
                <w:color w:val="auto"/>
              </w:rPr>
              <w:t>16.0</w:t>
            </w:r>
          </w:p>
        </w:tc>
        <w:tc>
          <w:tcPr>
            <w:tcW w:w="4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58.6</w:t>
            </w:r>
          </w:p>
        </w:tc>
        <w:tc>
          <w:tcPr>
            <w:tcW w:w="920" w:type="dxa"/>
            <w:vAlign w:val="bottom"/>
          </w:tcPr>
          <w:p>
            <w:pPr>
              <w:jc w:val="right"/>
              <w:ind w:right="512"/>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61.6</w:t>
            </w:r>
          </w:p>
        </w:tc>
      </w:tr>
      <w:tr>
        <w:trPr>
          <w:trHeight w:val="275"/>
        </w:trPr>
        <w:tc>
          <w:tcPr>
            <w:tcW w:w="3540" w:type="dxa"/>
            <w:vAlign w:val="bottom"/>
          </w:tcPr>
          <w:p>
            <w:pPr>
              <w:spacing w:after="0"/>
              <w:rPr>
                <w:sz w:val="20"/>
                <w:szCs w:val="20"/>
                <w:color w:val="auto"/>
              </w:rPr>
            </w:pPr>
            <w:r>
              <w:rPr>
                <w:rFonts w:ascii="Arial" w:cs="Arial" w:eastAsia="Arial" w:hAnsi="Arial"/>
                <w:sz w:val="22"/>
                <w:szCs w:val="22"/>
                <w:color w:val="auto"/>
              </w:rPr>
              <w:t>Adjusted EBITDA Range (1)</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460" w:type="dxa"/>
            <w:vAlign w:val="bottom"/>
          </w:tcPr>
          <w:p>
            <w:pPr>
              <w:jc w:val="right"/>
              <w:ind w:right="152"/>
              <w:spacing w:after="0"/>
              <w:rPr>
                <w:sz w:val="20"/>
                <w:szCs w:val="20"/>
                <w:color w:val="auto"/>
              </w:rPr>
            </w:pPr>
            <w:r>
              <w:rPr>
                <w:rFonts w:ascii="Arial" w:cs="Arial" w:eastAsia="Arial" w:hAnsi="Arial"/>
                <w:sz w:val="22"/>
                <w:szCs w:val="22"/>
                <w:color w:val="auto"/>
              </w:rPr>
              <w:t>13.0</w:t>
            </w:r>
          </w:p>
        </w:tc>
        <w:tc>
          <w:tcPr>
            <w:tcW w:w="1220" w:type="dxa"/>
            <w:vAlign w:val="bottom"/>
          </w:tcPr>
          <w:p>
            <w:pPr>
              <w:jc w:val="right"/>
              <w:ind w:right="752"/>
              <w:spacing w:after="0"/>
              <w:rPr>
                <w:sz w:val="20"/>
                <w:szCs w:val="20"/>
                <w:color w:val="auto"/>
              </w:rPr>
            </w:pPr>
            <w:r>
              <w:rPr>
                <w:rFonts w:ascii="Arial" w:cs="Arial" w:eastAsia="Arial" w:hAnsi="Arial"/>
                <w:sz w:val="22"/>
                <w:szCs w:val="22"/>
                <w:color w:val="auto"/>
              </w:rPr>
              <w:t>$</w:t>
            </w:r>
          </w:p>
        </w:tc>
        <w:tc>
          <w:tcPr>
            <w:tcW w:w="720" w:type="dxa"/>
            <w:vAlign w:val="bottom"/>
          </w:tcPr>
          <w:p>
            <w:pPr>
              <w:jc w:val="right"/>
              <w:ind w:right="112"/>
              <w:spacing w:after="0"/>
              <w:rPr>
                <w:sz w:val="20"/>
                <w:szCs w:val="20"/>
                <w:color w:val="auto"/>
              </w:rPr>
            </w:pPr>
            <w:r>
              <w:rPr>
                <w:rFonts w:ascii="Arial" w:cs="Arial" w:eastAsia="Arial" w:hAnsi="Arial"/>
                <w:sz w:val="22"/>
                <w:szCs w:val="22"/>
                <w:color w:val="auto"/>
              </w:rPr>
              <w:t>16.0</w:t>
            </w:r>
          </w:p>
        </w:tc>
        <w:tc>
          <w:tcPr>
            <w:tcW w:w="4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92"/>
              <w:spacing w:after="0"/>
              <w:rPr>
                <w:sz w:val="20"/>
                <w:szCs w:val="20"/>
                <w:color w:val="auto"/>
              </w:rPr>
            </w:pPr>
            <w:r>
              <w:rPr>
                <w:rFonts w:ascii="Arial" w:cs="Arial" w:eastAsia="Arial" w:hAnsi="Arial"/>
                <w:sz w:val="22"/>
                <w:szCs w:val="22"/>
                <w:color w:val="auto"/>
              </w:rPr>
              <w:t>63.0</w:t>
            </w:r>
          </w:p>
        </w:tc>
        <w:tc>
          <w:tcPr>
            <w:tcW w:w="920" w:type="dxa"/>
            <w:vAlign w:val="bottom"/>
          </w:tcPr>
          <w:p>
            <w:pPr>
              <w:jc w:val="right"/>
              <w:ind w:right="512"/>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66.0</w:t>
            </w:r>
          </w:p>
        </w:tc>
      </w:tr>
    </w:tbl>
    <w:p>
      <w:pPr>
        <w:spacing w:after="0" w:line="266" w:lineRule="exact"/>
        <w:rPr>
          <w:sz w:val="20"/>
          <w:szCs w:val="20"/>
          <w:color w:val="auto"/>
        </w:rPr>
      </w:pPr>
    </w:p>
    <w:p>
      <w:pPr>
        <w:ind w:right="360" w:firstLine="2"/>
        <w:spacing w:after="0"/>
        <w:tabs>
          <w:tab w:leader="none" w:pos="30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following table sets forth a reconciliation of estimated EBITDA and Adjusted EBITDA to estimated net income (loss), which is the most directly comparable measure of financial performance calculated under generally accepted accounting principles (in millions) (unaudited):</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3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20" w:type="dxa"/>
            <w:vAlign w:val="bottom"/>
            <w:gridSpan w:val="5"/>
          </w:tcPr>
          <w:p>
            <w:pPr>
              <w:jc w:val="center"/>
              <w:ind w:right="560"/>
              <w:spacing w:after="0"/>
              <w:rPr>
                <w:sz w:val="20"/>
                <w:szCs w:val="20"/>
                <w:color w:val="auto"/>
              </w:rPr>
            </w:pPr>
            <w:r>
              <w:rPr>
                <w:rFonts w:ascii="Arial" w:cs="Arial" w:eastAsia="Arial" w:hAnsi="Arial"/>
                <w:sz w:val="22"/>
                <w:szCs w:val="22"/>
                <w:b w:val="1"/>
                <w:bCs w:val="1"/>
                <w:color w:val="auto"/>
              </w:rPr>
              <w:t>THREE MONTHS ENDING</w:t>
            </w:r>
          </w:p>
        </w:tc>
        <w:tc>
          <w:tcPr>
            <w:tcW w:w="340" w:type="dxa"/>
            <w:vAlign w:val="bottom"/>
          </w:tcPr>
          <w:p>
            <w:pPr>
              <w:spacing w:after="0"/>
              <w:rPr>
                <w:sz w:val="21"/>
                <w:szCs w:val="21"/>
                <w:color w:val="auto"/>
              </w:rPr>
            </w:pPr>
          </w:p>
        </w:tc>
        <w:tc>
          <w:tcPr>
            <w:tcW w:w="19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rPr>
              <w:t>YEAR ENDING</w:t>
            </w:r>
          </w:p>
        </w:tc>
        <w:tc>
          <w:tcPr>
            <w:tcW w:w="720" w:type="dxa"/>
            <w:vAlign w:val="bottom"/>
          </w:tcPr>
          <w:p>
            <w:pPr>
              <w:spacing w:after="0"/>
              <w:rPr>
                <w:sz w:val="21"/>
                <w:szCs w:val="21"/>
                <w:color w:val="auto"/>
              </w:rPr>
            </w:pPr>
          </w:p>
        </w:tc>
      </w:tr>
      <w:tr>
        <w:trPr>
          <w:trHeight w:val="270"/>
        </w:trPr>
        <w:tc>
          <w:tcPr>
            <w:tcW w:w="3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4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4"/>
              </w:rPr>
              <w:t>DECEMBER 31, 2017</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80" w:type="dxa"/>
            <w:vAlign w:val="bottom"/>
            <w:gridSpan w:val="4"/>
          </w:tcPr>
          <w:p>
            <w:pPr>
              <w:jc w:val="center"/>
              <w:ind w:right="232"/>
              <w:spacing w:after="0"/>
              <w:rPr>
                <w:sz w:val="20"/>
                <w:szCs w:val="20"/>
                <w:color w:val="auto"/>
              </w:rPr>
            </w:pPr>
            <w:r>
              <w:rPr>
                <w:rFonts w:ascii="Arial" w:cs="Arial" w:eastAsia="Arial" w:hAnsi="Arial"/>
                <w:sz w:val="22"/>
                <w:szCs w:val="22"/>
                <w:b w:val="1"/>
                <w:bCs w:val="1"/>
                <w:color w:val="auto"/>
                <w:w w:val="94"/>
              </w:rPr>
              <w:t>DECEMBER 31, 2017</w:t>
            </w:r>
          </w:p>
        </w:tc>
      </w:tr>
      <w:tr>
        <w:trPr>
          <w:trHeight w:val="281"/>
        </w:trPr>
        <w:tc>
          <w:tcPr>
            <w:tcW w:w="3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4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86"/>
              </w:rPr>
              <w:t>(estimated)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86"/>
              </w:rPr>
              <w:t>(estimated)</w:t>
            </w:r>
          </w:p>
        </w:tc>
        <w:tc>
          <w:tcPr>
            <w:tcW w:w="720" w:type="dxa"/>
            <w:vAlign w:val="bottom"/>
          </w:tcPr>
          <w:p>
            <w:pPr>
              <w:spacing w:after="0"/>
              <w:rPr>
                <w:sz w:val="24"/>
                <w:szCs w:val="24"/>
                <w:color w:val="auto"/>
              </w:rPr>
            </w:pPr>
          </w:p>
        </w:tc>
      </w:tr>
      <w:tr>
        <w:trPr>
          <w:trHeight w:val="536"/>
        </w:trPr>
        <w:tc>
          <w:tcPr>
            <w:tcW w:w="3980" w:type="dxa"/>
            <w:vAlign w:val="bottom"/>
          </w:tcPr>
          <w:p>
            <w:pPr>
              <w:spacing w:after="0"/>
              <w:rPr>
                <w:sz w:val="20"/>
                <w:szCs w:val="20"/>
                <w:color w:val="auto"/>
              </w:rPr>
            </w:pPr>
            <w:r>
              <w:rPr>
                <w:rFonts w:ascii="Arial" w:cs="Arial" w:eastAsia="Arial" w:hAnsi="Arial"/>
                <w:sz w:val="22"/>
                <w:szCs w:val="22"/>
                <w:color w:val="auto"/>
              </w:rPr>
              <w:t>Net loss</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(21.5)</w:t>
            </w:r>
          </w:p>
        </w:tc>
        <w:tc>
          <w:tcPr>
            <w:tcW w:w="180" w:type="dxa"/>
            <w:vAlign w:val="bottom"/>
          </w:tcPr>
          <w:p>
            <w:pPr>
              <w:spacing w:after="0"/>
              <w:rPr>
                <w:sz w:val="24"/>
                <w:szCs w:val="24"/>
                <w:color w:val="auto"/>
              </w:rPr>
            </w:pPr>
          </w:p>
        </w:tc>
        <w:tc>
          <w:tcPr>
            <w:tcW w:w="1080" w:type="dxa"/>
            <w:vAlign w:val="bottom"/>
          </w:tcPr>
          <w:p>
            <w:pPr>
              <w:jc w:val="right"/>
              <w:ind w:right="712"/>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52"/>
              <w:spacing w:after="0"/>
              <w:rPr>
                <w:sz w:val="20"/>
                <w:szCs w:val="20"/>
                <w:color w:val="auto"/>
              </w:rPr>
            </w:pPr>
            <w:r>
              <w:rPr>
                <w:rFonts w:ascii="Arial" w:cs="Arial" w:eastAsia="Arial" w:hAnsi="Arial"/>
                <w:sz w:val="22"/>
                <w:szCs w:val="22"/>
                <w:color w:val="auto"/>
              </w:rPr>
              <w:t>(17.5)</w:t>
            </w:r>
          </w:p>
        </w:tc>
        <w:tc>
          <w:tcPr>
            <w:tcW w:w="100" w:type="dxa"/>
            <w:vAlign w:val="bottom"/>
          </w:tcPr>
          <w:p>
            <w:pPr>
              <w:spacing w:after="0"/>
              <w:rPr>
                <w:sz w:val="24"/>
                <w:szCs w:val="24"/>
                <w:color w:val="auto"/>
              </w:rPr>
            </w:pP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(79.5)</w:t>
            </w:r>
          </w:p>
        </w:tc>
        <w:tc>
          <w:tcPr>
            <w:tcW w:w="140" w:type="dxa"/>
            <w:vAlign w:val="bottom"/>
          </w:tcPr>
          <w:p>
            <w:pPr>
              <w:spacing w:after="0"/>
              <w:rPr>
                <w:sz w:val="24"/>
                <w:szCs w:val="24"/>
                <w:color w:val="auto"/>
              </w:rPr>
            </w:pPr>
          </w:p>
        </w:tc>
        <w:tc>
          <w:tcPr>
            <w:tcW w:w="760" w:type="dxa"/>
            <w:vAlign w:val="bottom"/>
          </w:tcPr>
          <w:p>
            <w:pPr>
              <w:jc w:val="right"/>
              <w:ind w:right="452"/>
              <w:spacing w:after="0"/>
              <w:rPr>
                <w:sz w:val="20"/>
                <w:szCs w:val="20"/>
                <w:color w:val="auto"/>
              </w:rPr>
            </w:pPr>
            <w:r>
              <w:rPr>
                <w:rFonts w:ascii="Arial" w:cs="Arial" w:eastAsia="Arial" w:hAnsi="Arial"/>
                <w:sz w:val="22"/>
                <w:szCs w:val="22"/>
                <w:color w:val="auto"/>
              </w:rPr>
              <w:t>$</w:t>
            </w:r>
          </w:p>
        </w:tc>
        <w:tc>
          <w:tcPr>
            <w:tcW w:w="720" w:type="dxa"/>
            <w:vAlign w:val="bottom"/>
          </w:tcPr>
          <w:p>
            <w:pPr>
              <w:jc w:val="right"/>
              <w:ind w:right="12"/>
              <w:spacing w:after="0"/>
              <w:rPr>
                <w:sz w:val="20"/>
                <w:szCs w:val="20"/>
                <w:color w:val="auto"/>
              </w:rPr>
            </w:pPr>
            <w:r>
              <w:rPr>
                <w:rFonts w:ascii="Arial" w:cs="Arial" w:eastAsia="Arial" w:hAnsi="Arial"/>
                <w:sz w:val="22"/>
                <w:szCs w:val="22"/>
                <w:color w:val="auto"/>
              </w:rPr>
              <w:t>(75.5)</w:t>
            </w:r>
          </w:p>
        </w:tc>
      </w:tr>
      <w:tr>
        <w:trPr>
          <w:trHeight w:val="270"/>
        </w:trPr>
        <w:tc>
          <w:tcPr>
            <w:tcW w:w="3980" w:type="dxa"/>
            <w:vAlign w:val="bottom"/>
          </w:tcPr>
          <w:p>
            <w:pPr>
              <w:spacing w:after="0"/>
              <w:rPr>
                <w:sz w:val="20"/>
                <w:szCs w:val="20"/>
                <w:color w:val="auto"/>
              </w:rPr>
            </w:pPr>
            <w:r>
              <w:rPr>
                <w:rFonts w:ascii="Arial" w:cs="Arial" w:eastAsia="Arial" w:hAnsi="Arial"/>
                <w:sz w:val="22"/>
                <w:szCs w:val="22"/>
                <w:color w:val="auto"/>
              </w:rPr>
              <w:t>Income tax benefit</w:t>
            </w:r>
          </w:p>
        </w:tc>
        <w:tc>
          <w:tcPr>
            <w:tcW w:w="40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22"/>
                <w:szCs w:val="22"/>
                <w:color w:val="auto"/>
              </w:rPr>
              <w:t>(2.5)</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22"/>
                <w:szCs w:val="22"/>
                <w:color w:val="auto"/>
              </w:rPr>
              <w:t>(3.5)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(12.4)</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22"/>
                <w:szCs w:val="22"/>
                <w:color w:val="auto"/>
              </w:rPr>
              <w:t>(13.4)</w:t>
            </w:r>
          </w:p>
        </w:tc>
      </w:tr>
      <w:tr>
        <w:trPr>
          <w:trHeight w:val="270"/>
        </w:trPr>
        <w:tc>
          <w:tcPr>
            <w:tcW w:w="39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00" w:type="dxa"/>
            <w:vAlign w:val="bottom"/>
          </w:tcPr>
          <w:p>
            <w:pPr>
              <w:spacing w:after="0"/>
              <w:rPr>
                <w:sz w:val="23"/>
                <w:szCs w:val="23"/>
                <w:color w:val="auto"/>
              </w:rPr>
            </w:pPr>
          </w:p>
        </w:tc>
        <w:tc>
          <w:tcPr>
            <w:tcW w:w="1380" w:type="dxa"/>
            <w:vAlign w:val="bottom"/>
          </w:tcPr>
          <w:p>
            <w:pPr>
              <w:jc w:val="right"/>
              <w:ind w:right="72"/>
              <w:spacing w:after="0"/>
              <w:rPr>
                <w:sz w:val="20"/>
                <w:szCs w:val="20"/>
                <w:color w:val="auto"/>
              </w:rPr>
            </w:pPr>
            <w:r>
              <w:rPr>
                <w:rFonts w:ascii="Arial" w:cs="Arial" w:eastAsia="Arial" w:hAnsi="Arial"/>
                <w:sz w:val="22"/>
                <w:szCs w:val="22"/>
                <w:color w:val="auto"/>
              </w:rPr>
              <w:t>32.0</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jc w:val="right"/>
              <w:ind w:right="132"/>
              <w:spacing w:after="0"/>
              <w:rPr>
                <w:sz w:val="20"/>
                <w:szCs w:val="20"/>
                <w:color w:val="auto"/>
              </w:rPr>
            </w:pPr>
            <w:r>
              <w:rPr>
                <w:rFonts w:ascii="Arial" w:cs="Arial" w:eastAsia="Arial" w:hAnsi="Arial"/>
                <w:sz w:val="22"/>
                <w:szCs w:val="22"/>
                <w:color w:val="auto"/>
              </w:rPr>
              <w:t>32.0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129.0</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jc w:val="right"/>
              <w:ind w:right="92"/>
              <w:spacing w:after="0"/>
              <w:rPr>
                <w:sz w:val="20"/>
                <w:szCs w:val="20"/>
                <w:color w:val="auto"/>
              </w:rPr>
            </w:pPr>
            <w:r>
              <w:rPr>
                <w:rFonts w:ascii="Arial" w:cs="Arial" w:eastAsia="Arial" w:hAnsi="Arial"/>
                <w:sz w:val="22"/>
                <w:szCs w:val="22"/>
                <w:color w:val="auto"/>
                <w:w w:val="90"/>
              </w:rPr>
              <w:t>129.0</w:t>
            </w:r>
          </w:p>
        </w:tc>
      </w:tr>
      <w:tr>
        <w:trPr>
          <w:trHeight w:val="275"/>
        </w:trPr>
        <w:tc>
          <w:tcPr>
            <w:tcW w:w="3980" w:type="dxa"/>
            <w:vAlign w:val="bottom"/>
          </w:tcPr>
          <w:p>
            <w:pPr>
              <w:spacing w:after="0"/>
              <w:rPr>
                <w:sz w:val="20"/>
                <w:szCs w:val="20"/>
                <w:color w:val="auto"/>
              </w:rPr>
            </w:pPr>
            <w:r>
              <w:rPr>
                <w:rFonts w:ascii="Arial" w:cs="Arial" w:eastAsia="Arial" w:hAnsi="Arial"/>
                <w:sz w:val="22"/>
                <w:szCs w:val="22"/>
                <w:color w:val="auto"/>
              </w:rPr>
              <w:t>Interest expense</w:t>
            </w: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5.0</w:t>
            </w:r>
          </w:p>
        </w:tc>
        <w:tc>
          <w:tcPr>
            <w:tcW w:w="18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21.5</w:t>
            </w:r>
          </w:p>
        </w:tc>
        <w:tc>
          <w:tcPr>
            <w:tcW w:w="14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21.5</w:t>
            </w:r>
          </w:p>
        </w:tc>
      </w:tr>
      <w:tr>
        <w:trPr>
          <w:trHeight w:val="267"/>
        </w:trPr>
        <w:tc>
          <w:tcPr>
            <w:tcW w:w="3980" w:type="dxa"/>
            <w:vAlign w:val="bottom"/>
          </w:tcPr>
          <w:p>
            <w:pPr>
              <w:ind w:left="100"/>
              <w:spacing w:after="0"/>
              <w:rPr>
                <w:sz w:val="20"/>
                <w:szCs w:val="20"/>
                <w:color w:val="auto"/>
              </w:rPr>
            </w:pPr>
            <w:r>
              <w:rPr>
                <w:rFonts w:ascii="Arial" w:cs="Arial" w:eastAsia="Arial" w:hAnsi="Arial"/>
                <w:sz w:val="22"/>
                <w:szCs w:val="22"/>
                <w:color w:val="auto"/>
              </w:rPr>
              <w:t>EBITDA</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13.0</w:t>
            </w:r>
          </w:p>
        </w:tc>
        <w:tc>
          <w:tcPr>
            <w:tcW w:w="180" w:type="dxa"/>
            <w:vAlign w:val="bottom"/>
          </w:tcPr>
          <w:p>
            <w:pPr>
              <w:spacing w:after="0"/>
              <w:rPr>
                <w:sz w:val="23"/>
                <w:szCs w:val="23"/>
                <w:color w:val="auto"/>
              </w:rPr>
            </w:pPr>
          </w:p>
        </w:tc>
        <w:tc>
          <w:tcPr>
            <w:tcW w:w="108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16.0</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58.6</w:t>
            </w:r>
          </w:p>
        </w:tc>
        <w:tc>
          <w:tcPr>
            <w:tcW w:w="140" w:type="dxa"/>
            <w:vAlign w:val="bottom"/>
          </w:tcPr>
          <w:p>
            <w:pPr>
              <w:spacing w:after="0"/>
              <w:rPr>
                <w:sz w:val="23"/>
                <w:szCs w:val="23"/>
                <w:color w:val="auto"/>
              </w:rPr>
            </w:pPr>
          </w:p>
        </w:tc>
        <w:tc>
          <w:tcPr>
            <w:tcW w:w="76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61.6</w:t>
            </w:r>
          </w:p>
        </w:tc>
      </w:tr>
      <w:tr>
        <w:trPr>
          <w:trHeight w:val="256"/>
        </w:trPr>
        <w:tc>
          <w:tcPr>
            <w:tcW w:w="3980" w:type="dxa"/>
            <w:vAlign w:val="bottom"/>
          </w:tcPr>
          <w:p>
            <w:pPr>
              <w:spacing w:after="0"/>
              <w:rPr>
                <w:sz w:val="20"/>
                <w:szCs w:val="20"/>
                <w:color w:val="auto"/>
              </w:rPr>
            </w:pPr>
            <w:r>
              <w:rPr>
                <w:rFonts w:ascii="Arial" w:cs="Arial" w:eastAsia="Arial" w:hAnsi="Arial"/>
                <w:sz w:val="22"/>
                <w:szCs w:val="22"/>
                <w:color w:val="auto"/>
              </w:rPr>
              <w:t>Adjustments to EBITDA</w:t>
            </w: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3980" w:type="dxa"/>
            <w:vAlign w:val="bottom"/>
          </w:tcPr>
          <w:p>
            <w:pPr>
              <w:ind w:left="100"/>
              <w:spacing w:after="0"/>
              <w:rPr>
                <w:sz w:val="20"/>
                <w:szCs w:val="20"/>
                <w:color w:val="auto"/>
              </w:rPr>
            </w:pPr>
            <w:r>
              <w:rPr>
                <w:rFonts w:ascii="Arial" w:cs="Arial" w:eastAsia="Arial" w:hAnsi="Arial"/>
                <w:sz w:val="22"/>
                <w:szCs w:val="22"/>
                <w:color w:val="auto"/>
              </w:rPr>
              <w:t>Impairment of fixed assets (a)</w:t>
            </w: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4.4</w:t>
            </w:r>
          </w:p>
        </w:tc>
        <w:tc>
          <w:tcPr>
            <w:tcW w:w="1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4.4</w:t>
            </w:r>
          </w:p>
        </w:tc>
      </w:tr>
      <w:tr>
        <w:trPr>
          <w:trHeight w:val="265"/>
        </w:trPr>
        <w:tc>
          <w:tcPr>
            <w:tcW w:w="3980" w:type="dxa"/>
            <w:vAlign w:val="bottom"/>
          </w:tcPr>
          <w:p>
            <w:pPr>
              <w:ind w:left="100"/>
              <w:spacing w:after="0"/>
              <w:rPr>
                <w:sz w:val="20"/>
                <w:szCs w:val="20"/>
                <w:color w:val="auto"/>
              </w:rPr>
            </w:pPr>
            <w:r>
              <w:rPr>
                <w:rFonts w:ascii="Arial" w:cs="Arial" w:eastAsia="Arial" w:hAnsi="Arial"/>
                <w:sz w:val="22"/>
                <w:szCs w:val="22"/>
                <w:color w:val="auto"/>
              </w:rPr>
              <w:t>Adjusted EBITDA</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13.0</w:t>
            </w:r>
          </w:p>
        </w:tc>
        <w:tc>
          <w:tcPr>
            <w:tcW w:w="180" w:type="dxa"/>
            <w:vAlign w:val="bottom"/>
          </w:tcPr>
          <w:p>
            <w:pPr>
              <w:spacing w:after="0"/>
              <w:rPr>
                <w:sz w:val="23"/>
                <w:szCs w:val="23"/>
                <w:color w:val="auto"/>
              </w:rPr>
            </w:pPr>
          </w:p>
        </w:tc>
        <w:tc>
          <w:tcPr>
            <w:tcW w:w="108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16.0</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63.0</w:t>
            </w:r>
          </w:p>
        </w:tc>
        <w:tc>
          <w:tcPr>
            <w:tcW w:w="140" w:type="dxa"/>
            <w:vAlign w:val="bottom"/>
          </w:tcPr>
          <w:p>
            <w:pPr>
              <w:spacing w:after="0"/>
              <w:rPr>
                <w:sz w:val="23"/>
                <w:szCs w:val="23"/>
                <w:color w:val="auto"/>
              </w:rPr>
            </w:pPr>
          </w:p>
        </w:tc>
        <w:tc>
          <w:tcPr>
            <w:tcW w:w="76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66.0</w:t>
            </w:r>
          </w:p>
        </w:tc>
      </w:tr>
      <w:tr>
        <w:trPr>
          <w:trHeight w:val="21"/>
        </w:trPr>
        <w:tc>
          <w:tcPr>
            <w:tcW w:w="3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right="140" w:firstLine="2"/>
        <w:spacing w:after="0" w:line="328" w:lineRule="auto"/>
        <w:tabs>
          <w:tab w:leader="none" w:pos="294" w:val="left"/>
        </w:tabs>
        <w:numPr>
          <w:ilvl w:val="0"/>
          <w:numId w:val="9"/>
        </w:numPr>
        <w:rPr>
          <w:rFonts w:ascii="Arial" w:cs="Arial" w:eastAsia="Arial" w:hAnsi="Arial"/>
          <w:sz w:val="19"/>
          <w:szCs w:val="19"/>
          <w:color w:val="auto"/>
        </w:rPr>
      </w:pPr>
      <w:r>
        <w:rPr>
          <w:rFonts w:ascii="Arial" w:cs="Arial" w:eastAsia="Arial" w:hAnsi="Arial"/>
          <w:sz w:val="19"/>
          <w:szCs w:val="19"/>
          <w:color w:val="auto"/>
        </w:rPr>
        <w:t>Relates to the impairment of assets in Canada. During the third quarter 2017, we recorded a pre-tax loss of $4.4 million ($3.2 million after-tax, or $0.02 per diluted share), which is included in Impairment expense on the unaudited statements of operations.</w:t>
      </w:r>
    </w:p>
    <w:p>
      <w:pPr>
        <w:sectPr>
          <w:pgSz w:w="11900" w:h="16838" w:orient="portrait"/>
          <w:cols w:equalWidth="0" w:num="1">
            <w:col w:w="11320"/>
          </w:cols>
          <w:pgMar w:left="260" w:top="118" w:right="319" w:bottom="0" w:gutter="0" w:footer="0" w:header="0"/>
        </w:sectPr>
      </w:pPr>
    </w:p>
    <w:bookmarkStart w:id="10" w:name="page11"/>
    <w:bookmarkEnd w:id="10"/>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22"/>
                <w:szCs w:val="22"/>
                <w:b w:val="1"/>
                <w:bCs w:val="1"/>
                <w:color w:val="auto"/>
                <w:w w:val="99"/>
              </w:rPr>
              <w:t>THREE MONTHS ENDED</w:t>
            </w:r>
          </w:p>
        </w:tc>
        <w:tc>
          <w:tcPr>
            <w:tcW w:w="180" w:type="dxa"/>
            <w:vAlign w:val="bottom"/>
          </w:tcPr>
          <w:p>
            <w:pPr>
              <w:spacing w:after="0"/>
              <w:rPr>
                <w:sz w:val="21"/>
                <w:szCs w:val="21"/>
                <w:color w:val="auto"/>
              </w:rPr>
            </w:pPr>
          </w:p>
        </w:tc>
        <w:tc>
          <w:tcPr>
            <w:tcW w:w="2660" w:type="dxa"/>
            <w:vAlign w:val="bottom"/>
            <w:gridSpan w:val="4"/>
          </w:tcPr>
          <w:p>
            <w:pPr>
              <w:jc w:val="right"/>
              <w:ind w:right="132"/>
              <w:spacing w:after="0"/>
              <w:rPr>
                <w:sz w:val="20"/>
                <w:szCs w:val="20"/>
                <w:color w:val="auto"/>
              </w:rPr>
            </w:pPr>
            <w:r>
              <w:rPr>
                <w:rFonts w:ascii="Arial" w:cs="Arial" w:eastAsia="Arial" w:hAnsi="Arial"/>
                <w:sz w:val="22"/>
                <w:szCs w:val="22"/>
                <w:b w:val="1"/>
                <w:bCs w:val="1"/>
                <w:color w:val="auto"/>
              </w:rPr>
              <w:t>NINE MONTHS ENDED</w:t>
            </w:r>
          </w:p>
        </w:tc>
      </w:tr>
      <w:tr>
        <w:trPr>
          <w:trHeight w:val="270"/>
        </w:trPr>
        <w:tc>
          <w:tcPr>
            <w:tcW w:w="5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22"/>
                <w:szCs w:val="22"/>
                <w:b w:val="1"/>
                <w:bCs w:val="1"/>
                <w:color w:val="auto"/>
                <w:w w:val="95"/>
              </w:rPr>
              <w:t>SEPTEMBER 30,</w:t>
            </w:r>
          </w:p>
        </w:tc>
        <w:tc>
          <w:tcPr>
            <w:tcW w:w="180" w:type="dxa"/>
            <w:vAlign w:val="bottom"/>
          </w:tcPr>
          <w:p>
            <w:pPr>
              <w:spacing w:after="0"/>
              <w:rPr>
                <w:sz w:val="23"/>
                <w:szCs w:val="23"/>
                <w:color w:val="auto"/>
              </w:rPr>
            </w:pPr>
          </w:p>
        </w:tc>
        <w:tc>
          <w:tcPr>
            <w:tcW w:w="2660" w:type="dxa"/>
            <w:vAlign w:val="bottom"/>
            <w:gridSpan w:val="4"/>
          </w:tcPr>
          <w:p>
            <w:pPr>
              <w:jc w:val="right"/>
              <w:ind w:right="492"/>
              <w:spacing w:after="0"/>
              <w:rPr>
                <w:sz w:val="20"/>
                <w:szCs w:val="20"/>
                <w:color w:val="auto"/>
              </w:rPr>
            </w:pPr>
            <w:r>
              <w:rPr>
                <w:rFonts w:ascii="Arial" w:cs="Arial" w:eastAsia="Arial" w:hAnsi="Arial"/>
                <w:sz w:val="22"/>
                <w:szCs w:val="22"/>
                <w:b w:val="1"/>
                <w:bCs w:val="1"/>
                <w:color w:val="auto"/>
              </w:rPr>
              <w:t>SEPTEMBER 30,</w:t>
            </w:r>
          </w:p>
        </w:tc>
      </w:tr>
      <w:tr>
        <w:trPr>
          <w:trHeight w:val="281"/>
        </w:trPr>
        <w:tc>
          <w:tcPr>
            <w:tcW w:w="5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2016</w:t>
            </w:r>
          </w:p>
        </w:tc>
      </w:tr>
      <w:tr>
        <w:trPr>
          <w:trHeight w:val="529"/>
        </w:trPr>
        <w:tc>
          <w:tcPr>
            <w:tcW w:w="552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520" w:type="dxa"/>
            <w:vAlign w:val="bottom"/>
          </w:tcPr>
          <w:p>
            <w:pPr>
              <w:ind w:left="100"/>
              <w:spacing w:after="0"/>
              <w:rPr>
                <w:sz w:val="20"/>
                <w:szCs w:val="20"/>
                <w:color w:val="auto"/>
              </w:rPr>
            </w:pPr>
            <w:r>
              <w:rPr>
                <w:rFonts w:ascii="Arial" w:cs="Arial" w:eastAsia="Arial" w:hAnsi="Arial"/>
                <w:sz w:val="22"/>
                <w:szCs w:val="22"/>
                <w:color w:val="auto"/>
              </w:rPr>
              <w:t>Revenues</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22"/>
                <w:szCs w:val="22"/>
                <w:color w:val="auto"/>
              </w:rPr>
              <w:t>Lodge revenues (1)</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59,484</w:t>
            </w:r>
          </w:p>
        </w:tc>
        <w:tc>
          <w:tcPr>
            <w:tcW w:w="10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61,712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168,654</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182,899</w:t>
            </w:r>
          </w:p>
        </w:tc>
      </w:tr>
      <w:tr>
        <w:trPr>
          <w:trHeight w:val="275"/>
        </w:trPr>
        <w:tc>
          <w:tcPr>
            <w:tcW w:w="5520" w:type="dxa"/>
            <w:vAlign w:val="bottom"/>
          </w:tcPr>
          <w:p>
            <w:pPr>
              <w:ind w:left="220"/>
              <w:spacing w:after="0"/>
              <w:rPr>
                <w:sz w:val="20"/>
                <w:szCs w:val="20"/>
                <w:color w:val="auto"/>
              </w:rPr>
            </w:pPr>
            <w:r>
              <w:rPr>
                <w:rFonts w:ascii="Arial" w:cs="Arial" w:eastAsia="Arial" w:hAnsi="Arial"/>
                <w:sz w:val="22"/>
                <w:szCs w:val="22"/>
                <w:color w:val="auto"/>
              </w:rPr>
              <w:t>Mobile, open camp and product revenues</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4,348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11,827</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13,352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33,269</w:t>
            </w:r>
          </w:p>
        </w:tc>
      </w:tr>
      <w:tr>
        <w:trPr>
          <w:trHeight w:val="272"/>
        </w:trPr>
        <w:tc>
          <w:tcPr>
            <w:tcW w:w="5520" w:type="dxa"/>
            <w:vAlign w:val="bottom"/>
          </w:tcPr>
          <w:p>
            <w:pPr>
              <w:ind w:left="320"/>
              <w:spacing w:after="0"/>
              <w:rPr>
                <w:sz w:val="20"/>
                <w:szCs w:val="20"/>
                <w:color w:val="auto"/>
              </w:rPr>
            </w:pPr>
            <w:r>
              <w:rPr>
                <w:rFonts w:ascii="Arial" w:cs="Arial" w:eastAsia="Arial" w:hAnsi="Arial"/>
                <w:sz w:val="22"/>
                <w:szCs w:val="22"/>
                <w:color w:val="auto"/>
              </w:rPr>
              <w:t>Total Canadian revenues</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63,832</w:t>
            </w:r>
          </w:p>
        </w:tc>
        <w:tc>
          <w:tcPr>
            <w:tcW w:w="10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73,539</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182,006</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216,168</w:t>
            </w:r>
          </w:p>
        </w:tc>
      </w:tr>
      <w:tr>
        <w:trPr>
          <w:trHeight w:val="532"/>
        </w:trPr>
        <w:tc>
          <w:tcPr>
            <w:tcW w:w="5520" w:type="dxa"/>
            <w:vAlign w:val="bottom"/>
          </w:tcPr>
          <w:p>
            <w:pPr>
              <w:ind w:left="100"/>
              <w:spacing w:after="0"/>
              <w:rPr>
                <w:sz w:val="20"/>
                <w:szCs w:val="20"/>
                <w:color w:val="auto"/>
              </w:rPr>
            </w:pPr>
            <w:r>
              <w:rPr>
                <w:rFonts w:ascii="Arial" w:cs="Arial" w:eastAsia="Arial" w:hAnsi="Arial"/>
                <w:sz w:val="22"/>
                <w:szCs w:val="22"/>
                <w:color w:val="auto"/>
              </w:rPr>
              <w:t>Average available lodge rooms (2)</w:t>
            </w:r>
          </w:p>
        </w:tc>
        <w:tc>
          <w:tcPr>
            <w:tcW w:w="1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14,720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14,670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14,720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14,647</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Rentable rooms (3)</w:t>
            </w:r>
          </w:p>
        </w:tc>
        <w:tc>
          <w:tcPr>
            <w:tcW w:w="1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8,698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10,588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8,564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10,199</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Average daily rates (4)</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92</w:t>
            </w:r>
          </w:p>
        </w:tc>
        <w:tc>
          <w:tcPr>
            <w:tcW w:w="10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100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93</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106</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Occupancy in lodges (5)</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Canadian dollar to U.S. dollar</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0.799</w:t>
            </w:r>
          </w:p>
        </w:tc>
        <w:tc>
          <w:tcPr>
            <w:tcW w:w="10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0.767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0.766</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0.757</w:t>
            </w:r>
          </w:p>
        </w:tc>
      </w:tr>
      <w:tr>
        <w:trPr>
          <w:trHeight w:val="806"/>
        </w:trPr>
        <w:tc>
          <w:tcPr>
            <w:tcW w:w="5520" w:type="dxa"/>
            <w:vAlign w:val="bottom"/>
          </w:tcPr>
          <w:p>
            <w:pPr>
              <w:spacing w:after="0"/>
              <w:rPr>
                <w:sz w:val="20"/>
                <w:szCs w:val="20"/>
                <w:color w:val="auto"/>
              </w:rPr>
            </w:pPr>
            <w:r>
              <w:rPr>
                <w:rFonts w:ascii="Arial" w:cs="Arial" w:eastAsia="Arial" w:hAnsi="Arial"/>
                <w:sz w:val="22"/>
                <w:szCs w:val="22"/>
                <w:b w:val="1"/>
                <w:bCs w:val="1"/>
                <w:color w:val="auto"/>
              </w:rPr>
              <w:t>Supplemental Operating Data - Australian Segment</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520" w:type="dxa"/>
            <w:vAlign w:val="bottom"/>
          </w:tcPr>
          <w:p>
            <w:pPr>
              <w:ind w:left="100"/>
              <w:spacing w:after="0"/>
              <w:rPr>
                <w:sz w:val="20"/>
                <w:szCs w:val="20"/>
                <w:color w:val="auto"/>
              </w:rPr>
            </w:pPr>
            <w:r>
              <w:rPr>
                <w:rFonts w:ascii="Arial" w:cs="Arial" w:eastAsia="Arial" w:hAnsi="Arial"/>
                <w:sz w:val="22"/>
                <w:szCs w:val="22"/>
                <w:color w:val="auto"/>
              </w:rPr>
              <w:t>Revenues</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5520" w:type="dxa"/>
            <w:vAlign w:val="bottom"/>
          </w:tcPr>
          <w:p>
            <w:pPr>
              <w:ind w:left="220"/>
              <w:spacing w:after="0"/>
              <w:rPr>
                <w:sz w:val="20"/>
                <w:szCs w:val="20"/>
                <w:color w:val="auto"/>
              </w:rPr>
            </w:pPr>
            <w:r>
              <w:rPr>
                <w:rFonts w:ascii="Arial" w:cs="Arial" w:eastAsia="Arial" w:hAnsi="Arial"/>
                <w:sz w:val="22"/>
                <w:szCs w:val="22"/>
                <w:color w:val="auto"/>
              </w:rPr>
              <w:t>Village revenues (1)</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27,541</w:t>
            </w:r>
          </w:p>
        </w:tc>
        <w:tc>
          <w:tcPr>
            <w:tcW w:w="10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27,679</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83,164</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80,694</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Average available village rooms (2)</w:t>
            </w:r>
          </w:p>
        </w:tc>
        <w:tc>
          <w:tcPr>
            <w:tcW w:w="1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9,359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9,344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9,377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9,317</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Rentable rooms (3)</w:t>
            </w:r>
          </w:p>
        </w:tc>
        <w:tc>
          <w:tcPr>
            <w:tcW w:w="14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8,725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8,675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8,753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8,700</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Average daily rates (4)</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81</w:t>
            </w:r>
          </w:p>
        </w:tc>
        <w:tc>
          <w:tcPr>
            <w:tcW w:w="10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81</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81</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75</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Occupancy in villages (5)</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540"/>
        </w:trPr>
        <w:tc>
          <w:tcPr>
            <w:tcW w:w="5520" w:type="dxa"/>
            <w:vAlign w:val="bottom"/>
          </w:tcPr>
          <w:p>
            <w:pPr>
              <w:ind w:left="100"/>
              <w:spacing w:after="0"/>
              <w:rPr>
                <w:sz w:val="20"/>
                <w:szCs w:val="20"/>
                <w:color w:val="auto"/>
              </w:rPr>
            </w:pPr>
            <w:r>
              <w:rPr>
                <w:rFonts w:ascii="Arial" w:cs="Arial" w:eastAsia="Arial" w:hAnsi="Arial"/>
                <w:sz w:val="22"/>
                <w:szCs w:val="22"/>
                <w:color w:val="auto"/>
              </w:rPr>
              <w:t>Australian dollar to U.S. dollar</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0.790</w:t>
            </w:r>
          </w:p>
        </w:tc>
        <w:tc>
          <w:tcPr>
            <w:tcW w:w="10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0.758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0.766</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72"/>
              <w:spacing w:after="0"/>
              <w:rPr>
                <w:sz w:val="20"/>
                <w:szCs w:val="20"/>
                <w:color w:val="auto"/>
              </w:rPr>
            </w:pPr>
            <w:r>
              <w:rPr>
                <w:rFonts w:ascii="Arial" w:cs="Arial" w:eastAsia="Arial" w:hAnsi="Arial"/>
                <w:sz w:val="22"/>
                <w:szCs w:val="22"/>
                <w:color w:val="auto"/>
              </w:rPr>
              <w:t>0.742</w:t>
            </w:r>
          </w:p>
        </w:tc>
      </w:tr>
    </w:tbl>
    <w:p>
      <w:pPr>
        <w:spacing w:after="0" w:line="200" w:lineRule="exact"/>
        <w:rPr>
          <w:sz w:val="20"/>
          <w:szCs w:val="20"/>
          <w:color w:val="auto"/>
        </w:rPr>
      </w:pPr>
    </w:p>
    <w:p>
      <w:pPr>
        <w:spacing w:after="0" w:line="336" w:lineRule="exact"/>
        <w:rPr>
          <w:sz w:val="20"/>
          <w:szCs w:val="20"/>
          <w:color w:val="auto"/>
        </w:rPr>
      </w:pPr>
    </w:p>
    <w:p>
      <w:pPr>
        <w:ind w:left="20" w:right="240" w:firstLine="2"/>
        <w:spacing w:after="0" w:line="251" w:lineRule="auto"/>
        <w:tabs>
          <w:tab w:leader="none" w:pos="3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Includes revenue related to rooms as well as the fees associated with catering, laundry and other services including facilities management.</w:t>
      </w:r>
    </w:p>
    <w:p>
      <w:pPr>
        <w:spacing w:after="0" w:line="254" w:lineRule="exact"/>
        <w:rPr>
          <w:rFonts w:ascii="Arial" w:cs="Arial" w:eastAsia="Arial" w:hAnsi="Arial"/>
          <w:sz w:val="22"/>
          <w:szCs w:val="22"/>
          <w:color w:val="auto"/>
        </w:rPr>
      </w:pPr>
    </w:p>
    <w:p>
      <w:pPr>
        <w:ind w:left="20" w:right="740" w:firstLine="2"/>
        <w:spacing w:after="0" w:line="251" w:lineRule="auto"/>
        <w:tabs>
          <w:tab w:leader="none" w:pos="3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20" w:right="220" w:firstLine="2"/>
        <w:spacing w:after="0" w:line="251" w:lineRule="auto"/>
        <w:tabs>
          <w:tab w:leader="none" w:pos="3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80" w:hanging="358"/>
        <w:spacing w:after="0"/>
        <w:tabs>
          <w:tab w:leader="none" w:pos="3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20" w:right="600" w:firstLine="2"/>
        <w:spacing w:after="0" w:line="251" w:lineRule="auto"/>
        <w:tabs>
          <w:tab w:leader="none" w:pos="3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rPr>
          <w:sz w:val="20"/>
          <w:szCs w:val="20"/>
          <w:color w:val="auto"/>
        </w:rPr>
      </w:pPr>
      <w:r>
        <w:rPr>
          <w:rFonts w:ascii="Arial" w:cs="Arial" w:eastAsia="Arial" w:hAnsi="Arial"/>
          <w:sz w:val="22"/>
          <w:szCs w:val="22"/>
          <w:color w:val="auto"/>
        </w:rPr>
        <w:t>Senior Vice President and Chief Financial Officer</w:t>
      </w:r>
    </w:p>
    <w:p>
      <w:pPr>
        <w:sectPr>
          <w:pgSz w:w="11900" w:h="16904" w:orient="portrait"/>
          <w:cols w:equalWidth="0" w:num="1">
            <w:col w:w="11340"/>
          </w:cols>
          <w:pgMar w:left="240" w:top="585" w:right="319" w:bottom="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713-510-2400</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Marc Cunningham</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Jeffrey Spittel</w:t>
      </w:r>
    </w:p>
    <w:p>
      <w:pPr>
        <w:spacing w:after="0" w:line="230" w:lineRule="auto"/>
        <w:rPr>
          <w:sz w:val="20"/>
          <w:szCs w:val="20"/>
          <w:color w:val="auto"/>
        </w:rPr>
      </w:pPr>
      <w:r>
        <w:rPr>
          <w:rFonts w:ascii="Arial" w:cs="Arial" w:eastAsia="Arial" w:hAnsi="Arial"/>
          <w:sz w:val="22"/>
          <w:szCs w:val="22"/>
          <w:color w:val="auto"/>
        </w:rPr>
        <w:t>FTI Consulting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888"/>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2019-12-29T03:50:27Z</dcterms:created>
  <dcterms:modified xsi:type="dcterms:W3CDTF">2019-12-29T03:50:27Z</dcterms:modified>
</cp:coreProperties>
</file>