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4"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December 23, 2014</w:t>
      </w:r>
    </w:p>
    <w:p>
      <w:pPr>
        <w:spacing w:after="0" w:line="229" w:lineRule="exact"/>
        <w:rPr>
          <w:sz w:val="24"/>
          <w:szCs w:val="24"/>
          <w:color w:val="auto"/>
        </w:rPr>
      </w:pPr>
    </w:p>
    <w:p>
      <w:pPr>
        <w:ind w:left="4820"/>
        <w:spacing w:after="0"/>
        <w:rPr>
          <w:sz w:val="20"/>
          <w:szCs w:val="20"/>
          <w:color w:val="auto"/>
        </w:rPr>
      </w:pPr>
      <w:r>
        <w:rPr>
          <w:rFonts w:ascii="Arial" w:cs="Arial" w:eastAsia="Arial" w:hAnsi="Arial"/>
          <w:sz w:val="18"/>
          <w:szCs w:val="18"/>
          <w:u w:val="single" w:color="auto"/>
          <w:color w:val="auto"/>
        </w:rPr>
        <w:t>____________________</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0"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3360" w:type="dxa"/>
            <w:vAlign w:val="bottom"/>
          </w:tcPr>
          <w:p>
            <w:pPr>
              <w:jc w:val="center"/>
              <w:ind w:right="890"/>
              <w:spacing w:after="0"/>
              <w:rPr>
                <w:sz w:val="20"/>
                <w:szCs w:val="20"/>
                <w:color w:val="auto"/>
              </w:rPr>
            </w:pPr>
            <w:r>
              <w:rPr>
                <w:rFonts w:ascii="Arial" w:cs="Arial" w:eastAsia="Arial" w:hAnsi="Arial"/>
                <w:sz w:val="18"/>
                <w:szCs w:val="18"/>
                <w:b w:val="1"/>
                <w:bCs w:val="1"/>
                <w:color w:val="auto"/>
                <w:w w:val="93"/>
              </w:rPr>
              <w:t>Delaware</w:t>
            </w:r>
          </w:p>
        </w:tc>
        <w:tc>
          <w:tcPr>
            <w:tcW w:w="34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1-36246</w:t>
            </w:r>
          </w:p>
        </w:tc>
        <w:tc>
          <w:tcPr>
            <w:tcW w:w="248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46-3831207</w:t>
            </w:r>
          </w:p>
        </w:tc>
      </w:tr>
      <w:tr>
        <w:trPr>
          <w:trHeight w:val="216"/>
        </w:trPr>
        <w:tc>
          <w:tcPr>
            <w:tcW w:w="3360" w:type="dxa"/>
            <w:vAlign w:val="bottom"/>
          </w:tcPr>
          <w:p>
            <w:pPr>
              <w:jc w:val="center"/>
              <w:ind w:right="890"/>
              <w:spacing w:after="0"/>
              <w:rPr>
                <w:sz w:val="20"/>
                <w:szCs w:val="20"/>
                <w:color w:val="auto"/>
              </w:rPr>
            </w:pPr>
            <w:r>
              <w:rPr>
                <w:rFonts w:ascii="Arial" w:cs="Arial" w:eastAsia="Arial" w:hAnsi="Arial"/>
                <w:sz w:val="18"/>
                <w:szCs w:val="18"/>
                <w:color w:val="auto"/>
                <w:w w:val="92"/>
              </w:rPr>
              <w:t>(State or other jurisdiction</w:t>
            </w:r>
          </w:p>
        </w:tc>
        <w:tc>
          <w:tcPr>
            <w:tcW w:w="3440" w:type="dxa"/>
            <w:vAlign w:val="bottom"/>
          </w:tcPr>
          <w:p>
            <w:pPr>
              <w:jc w:val="center"/>
              <w:ind w:right="90"/>
              <w:spacing w:after="0"/>
              <w:rPr>
                <w:sz w:val="20"/>
                <w:szCs w:val="20"/>
                <w:color w:val="auto"/>
              </w:rPr>
            </w:pPr>
            <w:r>
              <w:rPr>
                <w:rFonts w:ascii="Arial" w:cs="Arial" w:eastAsia="Arial" w:hAnsi="Arial"/>
                <w:sz w:val="18"/>
                <w:szCs w:val="18"/>
                <w:color w:val="auto"/>
                <w:w w:val="93"/>
              </w:rPr>
              <w:t>(Commission File</w:t>
            </w:r>
          </w:p>
        </w:tc>
        <w:tc>
          <w:tcPr>
            <w:tcW w:w="2480" w:type="dxa"/>
            <w:vAlign w:val="bottom"/>
          </w:tcPr>
          <w:p>
            <w:pPr>
              <w:jc w:val="center"/>
              <w:ind w:left="1070"/>
              <w:spacing w:after="0"/>
              <w:rPr>
                <w:sz w:val="20"/>
                <w:szCs w:val="20"/>
                <w:color w:val="auto"/>
              </w:rPr>
            </w:pPr>
            <w:r>
              <w:rPr>
                <w:rFonts w:ascii="Arial" w:cs="Arial" w:eastAsia="Arial" w:hAnsi="Arial"/>
                <w:sz w:val="18"/>
                <w:szCs w:val="18"/>
                <w:color w:val="auto"/>
                <w:w w:val="93"/>
              </w:rPr>
              <w:t>(I.R.S. Employer</w:t>
            </w:r>
          </w:p>
        </w:tc>
      </w:tr>
      <w:tr>
        <w:trPr>
          <w:trHeight w:val="230"/>
        </w:trPr>
        <w:tc>
          <w:tcPr>
            <w:tcW w:w="3360" w:type="dxa"/>
            <w:vAlign w:val="bottom"/>
          </w:tcPr>
          <w:p>
            <w:pPr>
              <w:jc w:val="center"/>
              <w:ind w:right="910"/>
              <w:spacing w:after="0"/>
              <w:rPr>
                <w:sz w:val="20"/>
                <w:szCs w:val="20"/>
                <w:color w:val="auto"/>
              </w:rPr>
            </w:pPr>
            <w:r>
              <w:rPr>
                <w:rFonts w:ascii="Arial" w:cs="Arial" w:eastAsia="Arial" w:hAnsi="Arial"/>
                <w:sz w:val="18"/>
                <w:szCs w:val="18"/>
                <w:color w:val="auto"/>
                <w:w w:val="92"/>
              </w:rPr>
              <w:t>of incorporation or organization)</w:t>
            </w:r>
          </w:p>
        </w:tc>
        <w:tc>
          <w:tcPr>
            <w:tcW w:w="3440" w:type="dxa"/>
            <w:vAlign w:val="bottom"/>
          </w:tcPr>
          <w:p>
            <w:pPr>
              <w:jc w:val="center"/>
              <w:ind w:right="90"/>
              <w:spacing w:after="0"/>
              <w:rPr>
                <w:sz w:val="20"/>
                <w:szCs w:val="20"/>
                <w:color w:val="auto"/>
              </w:rPr>
            </w:pPr>
            <w:r>
              <w:rPr>
                <w:rFonts w:ascii="Arial" w:cs="Arial" w:eastAsia="Arial" w:hAnsi="Arial"/>
                <w:sz w:val="18"/>
                <w:szCs w:val="18"/>
                <w:color w:val="auto"/>
                <w:w w:val="94"/>
              </w:rPr>
              <w:t>Number)</w:t>
            </w:r>
          </w:p>
        </w:tc>
        <w:tc>
          <w:tcPr>
            <w:tcW w:w="2480" w:type="dxa"/>
            <w:vAlign w:val="bottom"/>
          </w:tcPr>
          <w:p>
            <w:pPr>
              <w:jc w:val="center"/>
              <w:ind w:left="105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(Address and zip code of principal executive offices)</w:t>
      </w:r>
    </w:p>
    <w:p>
      <w:pPr>
        <w:spacing w:after="0" w:line="207"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4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681990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234" w:right="359" w:bottom="1440" w:gutter="0" w:footer="0" w:header="0"/>
        </w:sectPr>
      </w:pPr>
    </w:p>
    <w:bookmarkStart w:id="1" w:name="page2"/>
    <w:bookmarkEnd w:id="1"/>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24, 2014, Civeo Corporation announced that Gary Rosenthal and Marc Weisman have resigned from the Board of Directors of Civeo Corporation effective December 23, 2014 and December 24, 2014, respectively. Neither resignation was a result of any disagreement with Civeo on any matter relating to its operations, policies or practices.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President and Chief Executive Officer Bradley J. Dodson, stated, “On behalf of the Board and management team, I would like to thank both Gary and Marc for their dedicated service to Civeo. Gary has been a long-time director, also serving on the Oil States board, and has been a key contributor to the Company. Additionally, Marc has offered valuable counsel and insight. We wish them all the best in their future endeavors.”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609600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24, 2014</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Bradley J. Dodson</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-130175</wp:posOffset>
            </wp:positionV>
            <wp:extent cx="2529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Title:</w:t>
        <w:tab/>
        <w:t>President and Chief Executive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2019-12-08T08:45:04Z</dcterms:created>
  <dcterms:modified xsi:type="dcterms:W3CDTF">2019-12-08T08:45:04Z</dcterms:modified>
</cp:coreProperties>
</file>