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color w:val="auto"/>
        </w:rPr>
        <w:t>As filed with the Securities and Exchange Commission on May 6, 2014</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5"/>
          <w:szCs w:val="15"/>
          <w:color w:val="auto"/>
        </w:rPr>
        <w:t>Registration No. 001-36246</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UNITED STATES SECURITIES AND EXCHANGE COMMISSION</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GENERAL FORM FOR REGISTRATION OF SECURITIES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PURSUANT TO SECTION 12(b) OR 12(g) OF</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7580" w:type="dxa"/>
            <w:vAlign w:val="bottom"/>
            <w:gridSpan w:val="3"/>
          </w:tcPr>
          <w:p>
            <w:pPr>
              <w:jc w:val="center"/>
              <w:ind w:right="1840"/>
              <w:spacing w:after="0"/>
              <w:rPr>
                <w:sz w:val="20"/>
                <w:szCs w:val="20"/>
                <w:color w:val="auto"/>
              </w:rPr>
            </w:pPr>
            <w:r>
              <w:rPr>
                <w:rFonts w:ascii="Arial" w:cs="Arial" w:eastAsia="Arial" w:hAnsi="Arial"/>
                <w:sz w:val="15"/>
                <w:szCs w:val="15"/>
                <w:b w:val="1"/>
                <w:bCs w:val="1"/>
                <w:color w:val="auto"/>
                <w:w w:val="87"/>
              </w:rPr>
              <w:t>Delaware</w:t>
            </w:r>
          </w:p>
        </w:tc>
        <w:tc>
          <w:tcPr>
            <w:tcW w:w="3880" w:type="dxa"/>
            <w:vAlign w:val="bottom"/>
          </w:tcPr>
          <w:p>
            <w:pPr>
              <w:jc w:val="right"/>
              <w:ind w:right="2447"/>
              <w:spacing w:after="0"/>
              <w:rPr>
                <w:sz w:val="20"/>
                <w:szCs w:val="20"/>
                <w:color w:val="auto"/>
              </w:rPr>
            </w:pPr>
            <w:r>
              <w:rPr>
                <w:rFonts w:ascii="Arial" w:cs="Arial" w:eastAsia="Arial" w:hAnsi="Arial"/>
                <w:sz w:val="15"/>
                <w:szCs w:val="15"/>
                <w:b w:val="1"/>
                <w:bCs w:val="1"/>
                <w:color w:val="auto"/>
              </w:rPr>
              <w:t>46-3831207</w:t>
            </w:r>
          </w:p>
        </w:tc>
      </w:tr>
      <w:tr>
        <w:trPr>
          <w:trHeight w:val="175"/>
        </w:trPr>
        <w:tc>
          <w:tcPr>
            <w:tcW w:w="7580" w:type="dxa"/>
            <w:vAlign w:val="bottom"/>
            <w:gridSpan w:val="3"/>
          </w:tcPr>
          <w:p>
            <w:pPr>
              <w:jc w:val="center"/>
              <w:ind w:right="1840"/>
              <w:spacing w:after="0"/>
              <w:rPr>
                <w:sz w:val="20"/>
                <w:szCs w:val="20"/>
                <w:color w:val="auto"/>
              </w:rPr>
            </w:pPr>
            <w:r>
              <w:rPr>
                <w:rFonts w:ascii="Arial" w:cs="Arial" w:eastAsia="Arial" w:hAnsi="Arial"/>
                <w:sz w:val="15"/>
                <w:szCs w:val="15"/>
                <w:i w:val="1"/>
                <w:iCs w:val="1"/>
                <w:color w:val="auto"/>
                <w:w w:val="90"/>
              </w:rPr>
              <w:t>(State or other jurisdiction of</w:t>
            </w:r>
          </w:p>
        </w:tc>
        <w:tc>
          <w:tcPr>
            <w:tcW w:w="3880" w:type="dxa"/>
            <w:vAlign w:val="bottom"/>
          </w:tcPr>
          <w:p>
            <w:pPr>
              <w:jc w:val="center"/>
              <w:ind w:right="1767"/>
              <w:spacing w:after="0"/>
              <w:rPr>
                <w:sz w:val="20"/>
                <w:szCs w:val="20"/>
                <w:color w:val="auto"/>
              </w:rPr>
            </w:pPr>
            <w:r>
              <w:rPr>
                <w:rFonts w:ascii="Arial" w:cs="Arial" w:eastAsia="Arial" w:hAnsi="Arial"/>
                <w:sz w:val="15"/>
                <w:szCs w:val="15"/>
                <w:i w:val="1"/>
                <w:iCs w:val="1"/>
                <w:color w:val="auto"/>
                <w:w w:val="87"/>
              </w:rPr>
              <w:t>(I.R.S. Employer</w:t>
            </w:r>
          </w:p>
        </w:tc>
      </w:tr>
      <w:tr>
        <w:trPr>
          <w:trHeight w:val="184"/>
        </w:trPr>
        <w:tc>
          <w:tcPr>
            <w:tcW w:w="7580" w:type="dxa"/>
            <w:vAlign w:val="bottom"/>
            <w:gridSpan w:val="3"/>
          </w:tcPr>
          <w:p>
            <w:pPr>
              <w:jc w:val="center"/>
              <w:ind w:right="1820"/>
              <w:spacing w:after="0"/>
              <w:rPr>
                <w:sz w:val="20"/>
                <w:szCs w:val="20"/>
                <w:color w:val="auto"/>
              </w:rPr>
            </w:pPr>
            <w:r>
              <w:rPr>
                <w:rFonts w:ascii="Arial" w:cs="Arial" w:eastAsia="Arial" w:hAnsi="Arial"/>
                <w:sz w:val="15"/>
                <w:szCs w:val="15"/>
                <w:i w:val="1"/>
                <w:iCs w:val="1"/>
                <w:color w:val="auto"/>
                <w:w w:val="92"/>
              </w:rPr>
              <w:t>incorporation or organization)</w:t>
            </w:r>
          </w:p>
        </w:tc>
        <w:tc>
          <w:tcPr>
            <w:tcW w:w="3880" w:type="dxa"/>
            <w:vAlign w:val="bottom"/>
          </w:tcPr>
          <w:p>
            <w:pPr>
              <w:jc w:val="center"/>
              <w:ind w:right="1767"/>
              <w:spacing w:after="0"/>
              <w:rPr>
                <w:sz w:val="20"/>
                <w:szCs w:val="20"/>
                <w:color w:val="auto"/>
              </w:rPr>
            </w:pPr>
            <w:r>
              <w:rPr>
                <w:rFonts w:ascii="Arial" w:cs="Arial" w:eastAsia="Arial" w:hAnsi="Arial"/>
                <w:sz w:val="15"/>
                <w:szCs w:val="15"/>
                <w:i w:val="1"/>
                <w:iCs w:val="1"/>
                <w:color w:val="auto"/>
                <w:w w:val="92"/>
              </w:rPr>
              <w:t>Identification No.)</w:t>
            </w:r>
          </w:p>
        </w:tc>
      </w:tr>
      <w:tr>
        <w:trPr>
          <w:trHeight w:val="516"/>
        </w:trPr>
        <w:tc>
          <w:tcPr>
            <w:tcW w:w="7580" w:type="dxa"/>
            <w:vAlign w:val="bottom"/>
            <w:gridSpan w:val="3"/>
          </w:tcPr>
          <w:p>
            <w:pPr>
              <w:jc w:val="center"/>
              <w:ind w:right="1840"/>
              <w:spacing w:after="0"/>
              <w:rPr>
                <w:sz w:val="20"/>
                <w:szCs w:val="20"/>
                <w:color w:val="auto"/>
              </w:rPr>
            </w:pPr>
            <w:r>
              <w:rPr>
                <w:rFonts w:ascii="Arial" w:cs="Arial" w:eastAsia="Arial" w:hAnsi="Arial"/>
                <w:sz w:val="15"/>
                <w:szCs w:val="15"/>
                <w:b w:val="1"/>
                <w:bCs w:val="1"/>
                <w:color w:val="auto"/>
                <w:w w:val="87"/>
              </w:rPr>
              <w:t>Three Allen Center, 333 Clay Street, Suite 4980, Houston, Texas</w:t>
            </w:r>
          </w:p>
        </w:tc>
        <w:tc>
          <w:tcPr>
            <w:tcW w:w="3880" w:type="dxa"/>
            <w:vAlign w:val="bottom"/>
          </w:tcPr>
          <w:p>
            <w:pPr>
              <w:jc w:val="right"/>
              <w:ind w:right="2607"/>
              <w:spacing w:after="0"/>
              <w:rPr>
                <w:sz w:val="20"/>
                <w:szCs w:val="20"/>
                <w:color w:val="auto"/>
              </w:rPr>
            </w:pPr>
            <w:r>
              <w:rPr>
                <w:rFonts w:ascii="Arial" w:cs="Arial" w:eastAsia="Arial" w:hAnsi="Arial"/>
                <w:sz w:val="15"/>
                <w:szCs w:val="15"/>
                <w:b w:val="1"/>
                <w:bCs w:val="1"/>
                <w:color w:val="auto"/>
              </w:rPr>
              <w:t>77002</w:t>
            </w:r>
          </w:p>
        </w:tc>
      </w:tr>
      <w:tr>
        <w:trPr>
          <w:trHeight w:val="184"/>
        </w:trPr>
        <w:tc>
          <w:tcPr>
            <w:tcW w:w="7580" w:type="dxa"/>
            <w:vAlign w:val="bottom"/>
            <w:gridSpan w:val="3"/>
          </w:tcPr>
          <w:p>
            <w:pPr>
              <w:jc w:val="center"/>
              <w:ind w:right="1840"/>
              <w:spacing w:after="0"/>
              <w:rPr>
                <w:sz w:val="20"/>
                <w:szCs w:val="20"/>
                <w:color w:val="auto"/>
              </w:rPr>
            </w:pPr>
            <w:r>
              <w:rPr>
                <w:rFonts w:ascii="Arial" w:cs="Arial" w:eastAsia="Arial" w:hAnsi="Arial"/>
                <w:sz w:val="15"/>
                <w:szCs w:val="15"/>
                <w:i w:val="1"/>
                <w:iCs w:val="1"/>
                <w:color w:val="auto"/>
                <w:w w:val="88"/>
              </w:rPr>
              <w:t>(Address of Principal Executive Offices)</w:t>
            </w:r>
          </w:p>
        </w:tc>
        <w:tc>
          <w:tcPr>
            <w:tcW w:w="3880" w:type="dxa"/>
            <w:vAlign w:val="bottom"/>
          </w:tcPr>
          <w:p>
            <w:pPr>
              <w:jc w:val="center"/>
              <w:ind w:right="1767"/>
              <w:spacing w:after="0"/>
              <w:rPr>
                <w:sz w:val="20"/>
                <w:szCs w:val="20"/>
                <w:color w:val="auto"/>
              </w:rPr>
            </w:pPr>
            <w:r>
              <w:rPr>
                <w:rFonts w:ascii="Arial" w:cs="Arial" w:eastAsia="Arial" w:hAnsi="Arial"/>
                <w:sz w:val="15"/>
                <w:szCs w:val="15"/>
                <w:i w:val="1"/>
                <w:iCs w:val="1"/>
                <w:color w:val="auto"/>
                <w:w w:val="90"/>
              </w:rPr>
              <w:t>(Zip Code)</w:t>
            </w:r>
          </w:p>
        </w:tc>
      </w:tr>
      <w:tr>
        <w:trPr>
          <w:trHeight w:val="525"/>
        </w:trPr>
        <w:tc>
          <w:tcPr>
            <w:tcW w:w="7580" w:type="dxa"/>
            <w:vAlign w:val="bottom"/>
            <w:gridSpan w:val="3"/>
          </w:tcPr>
          <w:p>
            <w:pPr>
              <w:jc w:val="center"/>
              <w:ind w:left="3807"/>
              <w:spacing w:after="0"/>
              <w:rPr>
                <w:sz w:val="20"/>
                <w:szCs w:val="20"/>
                <w:color w:val="auto"/>
              </w:rPr>
            </w:pPr>
            <w:r>
              <w:rPr>
                <w:rFonts w:ascii="Arial" w:cs="Arial" w:eastAsia="Arial" w:hAnsi="Arial"/>
                <w:sz w:val="15"/>
                <w:szCs w:val="15"/>
                <w:color w:val="auto"/>
                <w:w w:val="87"/>
              </w:rPr>
              <w:t>Registrant’s telephone number, including area code:</w:t>
            </w:r>
          </w:p>
        </w:tc>
        <w:tc>
          <w:tcPr>
            <w:tcW w:w="3880" w:type="dxa"/>
            <w:vAlign w:val="bottom"/>
          </w:tcPr>
          <w:p>
            <w:pPr>
              <w:spacing w:after="0"/>
              <w:rPr>
                <w:sz w:val="24"/>
                <w:szCs w:val="24"/>
                <w:color w:val="auto"/>
              </w:rPr>
            </w:pPr>
          </w:p>
        </w:tc>
      </w:tr>
      <w:tr>
        <w:trPr>
          <w:trHeight w:val="350"/>
        </w:trPr>
        <w:tc>
          <w:tcPr>
            <w:tcW w:w="7580" w:type="dxa"/>
            <w:vAlign w:val="bottom"/>
            <w:gridSpan w:val="3"/>
          </w:tcPr>
          <w:p>
            <w:pPr>
              <w:jc w:val="center"/>
              <w:ind w:left="3807"/>
              <w:spacing w:after="0"/>
              <w:rPr>
                <w:sz w:val="20"/>
                <w:szCs w:val="20"/>
                <w:color w:val="auto"/>
              </w:rPr>
            </w:pPr>
            <w:r>
              <w:rPr>
                <w:rFonts w:ascii="Arial" w:cs="Arial" w:eastAsia="Arial" w:hAnsi="Arial"/>
                <w:sz w:val="15"/>
                <w:szCs w:val="15"/>
                <w:b w:val="1"/>
                <w:bCs w:val="1"/>
                <w:color w:val="auto"/>
                <w:w w:val="87"/>
              </w:rPr>
              <w:t>(713) 652-0582</w:t>
            </w:r>
          </w:p>
        </w:tc>
        <w:tc>
          <w:tcPr>
            <w:tcW w:w="3880" w:type="dxa"/>
            <w:vAlign w:val="bottom"/>
          </w:tcPr>
          <w:p>
            <w:pPr>
              <w:spacing w:after="0"/>
              <w:rPr>
                <w:sz w:val="24"/>
                <w:szCs w:val="24"/>
                <w:color w:val="auto"/>
              </w:rPr>
            </w:pPr>
          </w:p>
        </w:tc>
      </w:tr>
      <w:tr>
        <w:trPr>
          <w:trHeight w:val="350"/>
        </w:trPr>
        <w:tc>
          <w:tcPr>
            <w:tcW w:w="7580" w:type="dxa"/>
            <w:vAlign w:val="bottom"/>
            <w:gridSpan w:val="3"/>
          </w:tcPr>
          <w:p>
            <w:pPr>
              <w:jc w:val="center"/>
              <w:ind w:left="3827"/>
              <w:spacing w:after="0"/>
              <w:rPr>
                <w:sz w:val="20"/>
                <w:szCs w:val="20"/>
                <w:color w:val="auto"/>
              </w:rPr>
            </w:pPr>
            <w:r>
              <w:rPr>
                <w:rFonts w:ascii="Arial" w:cs="Arial" w:eastAsia="Arial" w:hAnsi="Arial"/>
                <w:sz w:val="15"/>
                <w:szCs w:val="15"/>
                <w:color w:val="auto"/>
                <w:w w:val="87"/>
              </w:rPr>
              <w:t>Securities to be registered pursuant to Section 12(b) of the Act:</w:t>
            </w:r>
          </w:p>
        </w:tc>
        <w:tc>
          <w:tcPr>
            <w:tcW w:w="3880" w:type="dxa"/>
            <w:vAlign w:val="bottom"/>
          </w:tcPr>
          <w:p>
            <w:pPr>
              <w:spacing w:after="0"/>
              <w:rPr>
                <w:sz w:val="24"/>
                <w:szCs w:val="24"/>
                <w:color w:val="auto"/>
              </w:rPr>
            </w:pPr>
          </w:p>
        </w:tc>
      </w:tr>
      <w:tr>
        <w:trPr>
          <w:trHeight w:val="337"/>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80" w:type="dxa"/>
            <w:vAlign w:val="bottom"/>
          </w:tcPr>
          <w:p>
            <w:pPr>
              <w:jc w:val="center"/>
              <w:ind w:right="1647"/>
              <w:spacing w:after="0"/>
              <w:rPr>
                <w:sz w:val="20"/>
                <w:szCs w:val="20"/>
                <w:color w:val="auto"/>
              </w:rPr>
            </w:pPr>
            <w:r>
              <w:rPr>
                <w:rFonts w:ascii="Arial" w:cs="Arial" w:eastAsia="Arial" w:hAnsi="Arial"/>
                <w:sz w:val="15"/>
                <w:szCs w:val="15"/>
                <w:b w:val="1"/>
                <w:bCs w:val="1"/>
                <w:color w:val="auto"/>
                <w:w w:val="87"/>
              </w:rPr>
              <w:t>Name of Each Exchange on Which</w:t>
            </w:r>
          </w:p>
        </w:tc>
      </w:tr>
      <w:tr>
        <w:trPr>
          <w:trHeight w:val="18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Title of Each Class to be so Registered</w:t>
            </w:r>
          </w:p>
        </w:tc>
        <w:tc>
          <w:tcPr>
            <w:tcW w:w="24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jc w:val="center"/>
              <w:ind w:right="1647"/>
              <w:spacing w:after="0"/>
              <w:rPr>
                <w:sz w:val="20"/>
                <w:szCs w:val="20"/>
                <w:color w:val="auto"/>
              </w:rPr>
            </w:pPr>
            <w:r>
              <w:rPr>
                <w:rFonts w:ascii="Arial" w:cs="Arial" w:eastAsia="Arial" w:hAnsi="Arial"/>
                <w:sz w:val="15"/>
                <w:szCs w:val="15"/>
                <w:b w:val="1"/>
                <w:bCs w:val="1"/>
                <w:color w:val="auto"/>
                <w:w w:val="84"/>
              </w:rPr>
              <w:t>Each Class is to be Registered</w:t>
            </w:r>
          </w:p>
        </w:tc>
      </w:tr>
      <w:tr>
        <w:trPr>
          <w:trHeight w:val="340"/>
        </w:trPr>
        <w:tc>
          <w:tcPr>
            <w:tcW w:w="7580" w:type="dxa"/>
            <w:vAlign w:val="bottom"/>
            <w:gridSpan w:val="3"/>
          </w:tcPr>
          <w:p>
            <w:pPr>
              <w:jc w:val="center"/>
              <w:ind w:right="1960"/>
              <w:spacing w:after="0"/>
              <w:rPr>
                <w:sz w:val="20"/>
                <w:szCs w:val="20"/>
                <w:color w:val="auto"/>
              </w:rPr>
            </w:pPr>
            <w:r>
              <w:rPr>
                <w:rFonts w:ascii="Arial" w:cs="Arial" w:eastAsia="Arial" w:hAnsi="Arial"/>
                <w:sz w:val="15"/>
                <w:szCs w:val="15"/>
                <w:color w:val="auto"/>
                <w:w w:val="86"/>
              </w:rPr>
              <w:t>Common stock, par value $0.01 per share</w:t>
            </w:r>
          </w:p>
        </w:tc>
        <w:tc>
          <w:tcPr>
            <w:tcW w:w="3880" w:type="dxa"/>
            <w:vAlign w:val="bottom"/>
          </w:tcPr>
          <w:p>
            <w:pPr>
              <w:jc w:val="center"/>
              <w:ind w:right="1647"/>
              <w:spacing w:after="0"/>
              <w:rPr>
                <w:sz w:val="20"/>
                <w:szCs w:val="20"/>
                <w:color w:val="auto"/>
              </w:rPr>
            </w:pPr>
            <w:r>
              <w:rPr>
                <w:rFonts w:ascii="Arial" w:cs="Arial" w:eastAsia="Arial" w:hAnsi="Arial"/>
                <w:sz w:val="15"/>
                <w:szCs w:val="15"/>
                <w:color w:val="auto"/>
                <w:w w:val="88"/>
              </w:rPr>
              <w:t>The New York Stock Exchange, Inc.</w:t>
            </w:r>
          </w:p>
        </w:tc>
      </w:tr>
    </w:tbl>
    <w:p>
      <w:pPr>
        <w:spacing w:after="0" w:line="16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to be registered pursuant to Section 12(g) of the Act:</w:t>
      </w:r>
    </w:p>
    <w:p>
      <w:pPr>
        <w:spacing w:after="0" w:line="181" w:lineRule="exact"/>
        <w:rPr>
          <w:sz w:val="24"/>
          <w:szCs w:val="24"/>
          <w:color w:val="auto"/>
        </w:rPr>
      </w:pPr>
    </w:p>
    <w:p>
      <w:pPr>
        <w:jc w:val="center"/>
        <w:ind w:left="260"/>
        <w:spacing w:after="0"/>
        <w:rPr>
          <w:sz w:val="20"/>
          <w:szCs w:val="20"/>
          <w:color w:val="auto"/>
        </w:rPr>
      </w:pPr>
      <w:r>
        <w:rPr>
          <w:rFonts w:ascii="Arial" w:cs="Arial" w:eastAsia="Arial" w:hAnsi="Arial"/>
          <w:sz w:val="15"/>
          <w:szCs w:val="15"/>
          <w:color w:val="auto"/>
        </w:rPr>
        <w:t>None</w:t>
      </w:r>
    </w:p>
    <w:p>
      <w:pPr>
        <w:spacing w:after="0" w:line="177" w:lineRule="exact"/>
        <w:rPr>
          <w:sz w:val="24"/>
          <w:szCs w:val="24"/>
          <w:color w:val="auto"/>
        </w:rPr>
      </w:pPr>
    </w:p>
    <w:p>
      <w:pPr>
        <w:ind w:right="160" w:firstLine="262"/>
        <w:spacing w:after="0" w:line="29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103" w:lineRule="exact"/>
        <w:rPr>
          <w:sz w:val="24"/>
          <w:szCs w:val="24"/>
          <w:color w:val="auto"/>
        </w:rPr>
      </w:pPr>
    </w:p>
    <w:p>
      <w:pPr>
        <w:ind w:left="700"/>
        <w:spacing w:after="0" w:line="173" w:lineRule="exact"/>
        <w:tabs>
          <w:tab w:leader="none" w:pos="3720" w:val="left"/>
          <w:tab w:leader="none" w:pos="6440" w:val="left"/>
          <w:tab w:leader="none" w:pos="912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729234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35" w:right="2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INFORMATION REQUIRED IN REGISTRATION STATEMENT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CROSS-REFERENCE SHEET BETWEEN INFORMATION STATEMENT AND ITEMS OF FORM 10</w:t>
      </w:r>
    </w:p>
    <w:p>
      <w:pPr>
        <w:spacing w:after="0" w:line="181" w:lineRule="exact"/>
        <w:rPr>
          <w:sz w:val="20"/>
          <w:szCs w:val="20"/>
          <w:color w:val="auto"/>
        </w:rPr>
      </w:pPr>
    </w:p>
    <w:p>
      <w:pPr>
        <w:ind w:right="180" w:firstLine="262"/>
        <w:spacing w:after="0" w:line="259" w:lineRule="auto"/>
        <w:rPr>
          <w:sz w:val="20"/>
          <w:szCs w:val="20"/>
          <w:color w:val="auto"/>
        </w:rPr>
      </w:pPr>
      <w:r>
        <w:rPr>
          <w:rFonts w:ascii="Arial" w:cs="Arial" w:eastAsia="Arial" w:hAnsi="Arial"/>
          <w:sz w:val="15"/>
          <w:szCs w:val="15"/>
          <w:color w:val="auto"/>
        </w:rPr>
        <w:t>The information required by the following Form 10 Registration Statement items is contained in the Information Statement sections that we identify below, each of which we incorporate in this report by reference:</w:t>
      </w:r>
    </w:p>
    <w:p>
      <w:pPr>
        <w:spacing w:after="0" w:line="14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181" w:lineRule="exact"/>
        <w:rPr>
          <w:sz w:val="20"/>
          <w:szCs w:val="20"/>
          <w:color w:val="auto"/>
        </w:rPr>
      </w:pPr>
    </w:p>
    <w:p>
      <w:pPr>
        <w:ind w:firstLine="262"/>
        <w:spacing w:after="0" w:line="383" w:lineRule="auto"/>
        <w:rPr>
          <w:sz w:val="20"/>
          <w:szCs w:val="20"/>
          <w:color w:val="auto"/>
        </w:rPr>
      </w:pPr>
      <w:r>
        <w:rPr>
          <w:rFonts w:ascii="Arial" w:cs="Arial" w:eastAsia="Arial" w:hAnsi="Arial"/>
          <w:sz w:val="12"/>
          <w:szCs w:val="12"/>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information required by this item is contained under the section “Risk Factors” of the Information Statement. That section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2"/>
          <w:szCs w:val="12"/>
          <w:b w:val="1"/>
          <w:bCs w:val="1"/>
          <w:i w:val="1"/>
          <w:iCs w:val="1"/>
          <w:color w:val="auto"/>
        </w:rPr>
        <w:t>Financial Information</w:t>
      </w:r>
    </w:p>
    <w:p>
      <w:pPr>
        <w:spacing w:after="0" w:line="181" w:lineRule="exact"/>
        <w:rPr>
          <w:sz w:val="20"/>
          <w:szCs w:val="20"/>
          <w:color w:val="auto"/>
        </w:rPr>
      </w:pPr>
    </w:p>
    <w:p>
      <w:pPr>
        <w:ind w:right="160" w:firstLine="262"/>
        <w:spacing w:after="0" w:line="251" w:lineRule="auto"/>
        <w:rPr>
          <w:sz w:val="20"/>
          <w:szCs w:val="20"/>
          <w:color w:val="auto"/>
        </w:rPr>
      </w:pPr>
      <w:r>
        <w:rPr>
          <w:rFonts w:ascii="Arial" w:cs="Arial" w:eastAsia="Arial" w:hAnsi="Arial"/>
          <w:sz w:val="15"/>
          <w:szCs w:val="15"/>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2"/>
          <w:szCs w:val="12"/>
          <w:b w:val="1"/>
          <w:bCs w:val="1"/>
          <w:i w:val="1"/>
          <w:iCs w:val="1"/>
          <w:color w:val="auto"/>
        </w:rPr>
        <w:t>Properties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information required by this item is contained under the section “Business” of the Information Statement. That section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w:t>
      </w:r>
    </w:p>
    <w:p>
      <w:pPr>
        <w:spacing w:after="0" w:line="181" w:lineRule="exact"/>
        <w:rPr>
          <w:sz w:val="20"/>
          <w:szCs w:val="20"/>
          <w:color w:val="auto"/>
        </w:rPr>
      </w:pPr>
    </w:p>
    <w:p>
      <w:pPr>
        <w:ind w:right="420" w:firstLine="262"/>
        <w:spacing w:after="0" w:line="259" w:lineRule="auto"/>
        <w:rPr>
          <w:sz w:val="20"/>
          <w:szCs w:val="20"/>
          <w:color w:val="auto"/>
        </w:rPr>
      </w:pPr>
      <w:r>
        <w:rPr>
          <w:rFonts w:ascii="Arial" w:cs="Arial" w:eastAsia="Arial" w:hAnsi="Arial"/>
          <w:sz w:val="15"/>
          <w:szCs w:val="15"/>
          <w:color w:val="auto"/>
        </w:rPr>
        <w:t>The information required by this item is contained under the section “Security Ownership of Certain Beneficial Owners and Management” of the Information Statement. That section is incorporated herein by reference.</w:t>
      </w:r>
    </w:p>
    <w:p>
      <w:pPr>
        <w:spacing w:after="0" w:line="14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2"/>
          <w:szCs w:val="12"/>
          <w:b w:val="1"/>
          <w:bCs w:val="1"/>
          <w:i w:val="1"/>
          <w:iCs w:val="1"/>
          <w:color w:val="auto"/>
        </w:rPr>
        <w:t>Directors and Executive Officers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information required by this item is contained under the section “Management” of the Information Statement. That section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81" w:lineRule="exact"/>
        <w:rPr>
          <w:sz w:val="20"/>
          <w:szCs w:val="20"/>
          <w:color w:val="auto"/>
        </w:rPr>
      </w:pPr>
    </w:p>
    <w:p>
      <w:pPr>
        <w:ind w:right="380" w:firstLine="262"/>
        <w:spacing w:after="0" w:line="251" w:lineRule="auto"/>
        <w:rPr>
          <w:sz w:val="20"/>
          <w:szCs w:val="20"/>
          <w:color w:val="auto"/>
        </w:rPr>
      </w:pPr>
      <w:r>
        <w:rPr>
          <w:rFonts w:ascii="Arial" w:cs="Arial" w:eastAsia="Arial" w:hAnsi="Arial"/>
          <w:sz w:val="15"/>
          <w:szCs w:val="15"/>
          <w:color w:val="auto"/>
        </w:rPr>
        <w:t>The information required by this item is contained under the sections “Executive Compensation,” “Summary Compensation Table,” Grants of Plan Based Awards,” “Outstanding Equity Awards at 2013 Fiscal Year End,” “Options Exercised and Stock Vested,” “Nonqualified Deferred Compensation,” and “Potential Payments upon Termination or Change of Control” of the Information Statement. Those sections are incorporated herein by reference.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81"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29234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6" w:right="259" w:bottom="1440" w:gutter="0" w:footer="0" w:header="0"/>
        </w:sectPr>
      </w:pPr>
    </w:p>
    <w:bookmarkStart w:id="2" w:name="page3"/>
    <w:bookmarkEnd w:id="2"/>
    <w:p>
      <w:pPr>
        <w:spacing w:after="0"/>
        <w:tabs>
          <w:tab w:leader="none" w:pos="78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2"/>
          <w:szCs w:val="12"/>
          <w:b w:val="1"/>
          <w:bCs w:val="1"/>
          <w:i w:val="1"/>
          <w:iCs w:val="1"/>
          <w:color w:val="auto"/>
        </w:rPr>
        <w:t>Legal Proceedings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contained under the section “Business—Legal Proceedings” of the Information Statement. That section is incorporated herein by reference.</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2"/>
          <w:szCs w:val="12"/>
          <w:b w:val="1"/>
          <w:bCs w:val="1"/>
          <w:i w:val="1"/>
          <w:iCs w:val="1"/>
          <w:color w:val="auto"/>
        </w:rPr>
        <w:t>Market Price of and Dividends on the Registrant’s Common Equity and Related Stockholder Matters</w:t>
      </w:r>
    </w:p>
    <w:p>
      <w:pPr>
        <w:spacing w:after="0" w:line="181" w:lineRule="exact"/>
        <w:rPr>
          <w:sz w:val="20"/>
          <w:szCs w:val="20"/>
          <w:color w:val="auto"/>
        </w:rPr>
      </w:pPr>
    </w:p>
    <w:p>
      <w:pPr>
        <w:ind w:right="60" w:firstLine="262"/>
        <w:spacing w:after="0" w:line="259" w:lineRule="auto"/>
        <w:rPr>
          <w:sz w:val="20"/>
          <w:szCs w:val="20"/>
          <w:color w:val="auto"/>
        </w:rPr>
      </w:pPr>
      <w:r>
        <w:rPr>
          <w:rFonts w:ascii="Arial" w:cs="Arial" w:eastAsia="Arial" w:hAnsi="Arial"/>
          <w:sz w:val="15"/>
          <w:szCs w:val="15"/>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4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2"/>
          <w:szCs w:val="12"/>
          <w:b w:val="1"/>
          <w:bCs w:val="1"/>
          <w:i w:val="1"/>
          <w:iCs w:val="1"/>
          <w:color w:val="auto"/>
        </w:rPr>
        <w:t>Recent Sales of Unregistered Securities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information required by this item is contained under the sections “Description of Capital Stock.” That section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2"/>
          <w:szCs w:val="12"/>
          <w:b w:val="1"/>
          <w:bCs w:val="1"/>
          <w:i w:val="1"/>
          <w:iCs w:val="1"/>
          <w:color w:val="auto"/>
        </w:rPr>
        <w:t>Description of Registrant’s Securities to be Registered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contained under the section “Description of Capital Stock” of the Information Statement. That section is incorporated herein by reference.</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2"/>
          <w:szCs w:val="12"/>
          <w:b w:val="1"/>
          <w:bCs w:val="1"/>
          <w:i w:val="1"/>
          <w:iCs w:val="1"/>
          <w:color w:val="auto"/>
        </w:rPr>
        <w:t>Indemnification of Directors and Officers</w:t>
      </w:r>
    </w:p>
    <w:p>
      <w:pPr>
        <w:spacing w:after="0" w:line="181" w:lineRule="exact"/>
        <w:rPr>
          <w:sz w:val="20"/>
          <w:szCs w:val="20"/>
          <w:color w:val="auto"/>
        </w:rPr>
      </w:pPr>
    </w:p>
    <w:p>
      <w:pPr>
        <w:ind w:right="200" w:firstLine="262"/>
        <w:spacing w:after="0" w:line="259" w:lineRule="auto"/>
        <w:rPr>
          <w:sz w:val="20"/>
          <w:szCs w:val="20"/>
          <w:color w:val="auto"/>
        </w:rPr>
      </w:pPr>
      <w:r>
        <w:rPr>
          <w:rFonts w:ascii="Arial" w:cs="Arial" w:eastAsia="Arial" w:hAnsi="Arial"/>
          <w:sz w:val="15"/>
          <w:szCs w:val="15"/>
          <w:color w:val="auto"/>
        </w:rPr>
        <w:t>The information required by this item is contained under the section “Description of Capital Stock—Limitation of Liability and Indemnification Matters” of the Information Statement. That section is incorporated herein by reference.</w:t>
      </w:r>
    </w:p>
    <w:p>
      <w:pPr>
        <w:spacing w:after="0" w:line="14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81" w:lineRule="exact"/>
        <w:rPr>
          <w:sz w:val="20"/>
          <w:szCs w:val="20"/>
          <w:color w:val="auto"/>
        </w:rPr>
      </w:pPr>
    </w:p>
    <w:p>
      <w:pPr>
        <w:ind w:right="20" w:firstLine="262"/>
        <w:spacing w:after="0" w:line="251" w:lineRule="auto"/>
        <w:rPr>
          <w:sz w:val="20"/>
          <w:szCs w:val="20"/>
          <w:color w:val="auto"/>
        </w:rPr>
      </w:pPr>
      <w:r>
        <w:rPr>
          <w:rFonts w:ascii="Arial" w:cs="Arial" w:eastAsia="Arial" w:hAnsi="Arial"/>
          <w:sz w:val="15"/>
          <w:szCs w:val="15"/>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2"/>
          <w:szCs w:val="12"/>
          <w:b w:val="1"/>
          <w:bCs w:val="1"/>
          <w:i w:val="1"/>
          <w:iCs w:val="1"/>
          <w:color w:val="auto"/>
        </w:rPr>
        <w:t>Financial Statements and Exhibits</w:t>
      </w:r>
    </w:p>
    <w:p>
      <w:pPr>
        <w:spacing w:after="0" w:line="181" w:lineRule="exact"/>
        <w:rPr>
          <w:sz w:val="20"/>
          <w:szCs w:val="20"/>
          <w:color w:val="auto"/>
        </w:rPr>
      </w:pPr>
    </w:p>
    <w:p>
      <w:pPr>
        <w:ind w:left="360" w:hanging="353"/>
        <w:spacing w:after="0"/>
        <w:tabs>
          <w:tab w:leader="none" w:pos="3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Financial Statements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information required by this item is contained under the section “Index to Financial Statements, Supplementary Data and Schedules” beginning on page F-1 of the Information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That section is incorporated herein by reference.</w:t>
      </w:r>
    </w:p>
    <w:p>
      <w:pPr>
        <w:spacing w:after="0" w:line="168" w:lineRule="exact"/>
        <w:rPr>
          <w:sz w:val="20"/>
          <w:szCs w:val="20"/>
          <w:color w:val="auto"/>
        </w:rPr>
      </w:pPr>
    </w:p>
    <w:p>
      <w:pPr>
        <w:ind w:left="360" w:hanging="353"/>
        <w:spacing w:after="0"/>
        <w:tabs>
          <w:tab w:leader="none" w:pos="36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Exhibits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documents are filed as exhibits hereto:</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Exhibit No.</w:t>
            </w:r>
          </w:p>
        </w:tc>
        <w:tc>
          <w:tcPr>
            <w:tcW w:w="220" w:type="dxa"/>
            <w:vAlign w:val="bottom"/>
          </w:tcPr>
          <w:p>
            <w:pPr>
              <w:spacing w:after="0"/>
              <w:rPr>
                <w:sz w:val="16"/>
                <w:szCs w:val="16"/>
                <w:color w:val="auto"/>
              </w:rPr>
            </w:pPr>
          </w:p>
        </w:tc>
        <w:tc>
          <w:tcPr>
            <w:tcW w:w="9660" w:type="dxa"/>
            <w:vAlign w:val="bottom"/>
            <w:tcBorders>
              <w:bottom w:val="single" w:sz="8" w:color="auto"/>
            </w:tcBorders>
          </w:tcPr>
          <w:p>
            <w:pPr>
              <w:ind w:left="4460"/>
              <w:spacing w:after="0"/>
              <w:rPr>
                <w:sz w:val="20"/>
                <w:szCs w:val="20"/>
                <w:color w:val="auto"/>
              </w:rPr>
            </w:pPr>
            <w:r>
              <w:rPr>
                <w:rFonts w:ascii="Arial" w:cs="Arial" w:eastAsia="Arial" w:hAnsi="Arial"/>
                <w:sz w:val="15"/>
                <w:szCs w:val="15"/>
                <w:b w:val="1"/>
                <w:bCs w:val="1"/>
                <w:color w:val="auto"/>
              </w:rPr>
              <w:t>Description</w:t>
            </w:r>
          </w:p>
        </w:tc>
        <w:tc>
          <w:tcPr>
            <w:tcW w:w="220" w:type="dxa"/>
            <w:vAlign w:val="bottom"/>
          </w:tcPr>
          <w:p>
            <w:pPr>
              <w:spacing w:after="0"/>
              <w:rPr>
                <w:sz w:val="16"/>
                <w:szCs w:val="16"/>
                <w:color w:val="auto"/>
              </w:rPr>
            </w:pPr>
          </w:p>
        </w:tc>
      </w:tr>
      <w:tr>
        <w:trPr>
          <w:trHeight w:val="340"/>
        </w:trPr>
        <w:tc>
          <w:tcPr>
            <w:tcW w:w="260" w:type="dxa"/>
            <w:vAlign w:val="bottom"/>
          </w:tcPr>
          <w:p>
            <w:pPr>
              <w:spacing w:after="0"/>
              <w:rPr>
                <w:sz w:val="24"/>
                <w:szCs w:val="24"/>
                <w:color w:val="auto"/>
              </w:rPr>
            </w:pPr>
          </w:p>
        </w:tc>
        <w:tc>
          <w:tcPr>
            <w:tcW w:w="1120" w:type="dxa"/>
            <w:vAlign w:val="bottom"/>
          </w:tcPr>
          <w:p>
            <w:pPr>
              <w:jc w:val="right"/>
              <w:ind w:right="327"/>
              <w:spacing w:after="0"/>
              <w:rPr>
                <w:sz w:val="20"/>
                <w:szCs w:val="20"/>
                <w:color w:val="auto"/>
              </w:rPr>
            </w:pPr>
            <w:r>
              <w:rPr>
                <w:rFonts w:ascii="Arial" w:cs="Arial" w:eastAsia="Arial" w:hAnsi="Arial"/>
                <w:sz w:val="15"/>
                <w:szCs w:val="15"/>
                <w:color w:val="auto"/>
              </w:rPr>
              <w:t>2.1**</w:t>
            </w:r>
          </w:p>
        </w:tc>
        <w:tc>
          <w:tcPr>
            <w:tcW w:w="9880" w:type="dxa"/>
            <w:vAlign w:val="bottom"/>
            <w:gridSpan w:val="2"/>
          </w:tcPr>
          <w:p>
            <w:pPr>
              <w:ind w:left="220"/>
              <w:spacing w:after="0"/>
              <w:rPr>
                <w:sz w:val="20"/>
                <w:szCs w:val="20"/>
                <w:color w:val="auto"/>
              </w:rPr>
            </w:pPr>
            <w:r>
              <w:rPr>
                <w:rFonts w:ascii="Arial" w:cs="Arial" w:eastAsia="Arial" w:hAnsi="Arial"/>
                <w:sz w:val="15"/>
                <w:szCs w:val="15"/>
                <w:color w:val="auto"/>
              </w:rPr>
              <w:t>Form of Separation and Distribution Agreement between Oil States International, Inc. and Civeo Corporation</w:t>
            </w:r>
          </w:p>
        </w:tc>
        <w:tc>
          <w:tcPr>
            <w:tcW w:w="220" w:type="dxa"/>
            <w:vAlign w:val="bottom"/>
          </w:tcPr>
          <w:p>
            <w:pPr>
              <w:spacing w:after="0"/>
              <w:rPr>
                <w:sz w:val="24"/>
                <w:szCs w:val="24"/>
                <w:color w:val="auto"/>
              </w:rPr>
            </w:pPr>
          </w:p>
        </w:tc>
      </w:tr>
      <w:tr>
        <w:trPr>
          <w:trHeight w:val="708"/>
        </w:trPr>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 w:name="page4"/>
    <w:bookmarkEnd w:id="3"/>
    <w:tbl>
      <w:tblPr>
        <w:tblLayout w:type="fixed"/>
        <w:tblInd w:w="240" w:type="dxa"/>
        <w:tblCellMar>
          <w:top w:w="0" w:type="dxa"/>
          <w:left w:w="0" w:type="dxa"/>
          <w:bottom w:w="0" w:type="dxa"/>
          <w:right w:w="0" w:type="dxa"/>
        </w:tblCellMar>
      </w:tblPr>
      <w:tr>
        <w:trPr>
          <w:trHeight w:val="189"/>
        </w:trPr>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Exhibit No.</w:t>
            </w:r>
          </w:p>
        </w:tc>
        <w:tc>
          <w:tcPr>
            <w:tcW w:w="220" w:type="dxa"/>
            <w:vAlign w:val="bottom"/>
          </w:tcPr>
          <w:p>
            <w:pPr>
              <w:spacing w:after="0"/>
              <w:rPr>
                <w:sz w:val="16"/>
                <w:szCs w:val="16"/>
                <w:color w:val="auto"/>
              </w:rPr>
            </w:pPr>
          </w:p>
        </w:tc>
        <w:tc>
          <w:tcPr>
            <w:tcW w:w="9680" w:type="dxa"/>
            <w:vAlign w:val="bottom"/>
            <w:tcBorders>
              <w:bottom w:val="single" w:sz="8" w:color="auto"/>
            </w:tcBorders>
          </w:tcPr>
          <w:p>
            <w:pPr>
              <w:ind w:left="4480"/>
              <w:spacing w:after="0"/>
              <w:rPr>
                <w:sz w:val="20"/>
                <w:szCs w:val="20"/>
                <w:color w:val="auto"/>
              </w:rPr>
            </w:pPr>
            <w:r>
              <w:rPr>
                <w:rFonts w:ascii="Arial" w:cs="Arial" w:eastAsia="Arial" w:hAnsi="Arial"/>
                <w:sz w:val="15"/>
                <w:szCs w:val="15"/>
                <w:b w:val="1"/>
                <w:bCs w:val="1"/>
                <w:color w:val="auto"/>
              </w:rPr>
              <w:t>Description</w:t>
            </w:r>
          </w:p>
        </w:tc>
      </w:tr>
      <w:tr>
        <w:trPr>
          <w:trHeight w:val="34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3.1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Amended and Restated Certificate of Incorporation of Civeo Corporation</w:t>
            </w:r>
          </w:p>
        </w:tc>
      </w:tr>
      <w:tr>
        <w:trPr>
          <w:trHeight w:val="35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3.2</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Amended and Restated Bylaws of Civeo Corporation</w:t>
            </w:r>
          </w:p>
        </w:tc>
      </w:tr>
      <w:tr>
        <w:trPr>
          <w:trHeight w:val="35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4.1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Common Stock Certificate</w:t>
            </w:r>
          </w:p>
        </w:tc>
      </w:tr>
      <w:tr>
        <w:trPr>
          <w:trHeight w:val="35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10.1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Transition Services Agreement between Oil States International, Inc. and Civeo Corporation</w:t>
            </w:r>
          </w:p>
        </w:tc>
      </w:tr>
      <w:tr>
        <w:trPr>
          <w:trHeight w:val="350"/>
        </w:trPr>
        <w:tc>
          <w:tcPr>
            <w:tcW w:w="1100" w:type="dxa"/>
            <w:vAlign w:val="bottom"/>
          </w:tcPr>
          <w:p>
            <w:pPr>
              <w:jc w:val="right"/>
              <w:ind w:right="327"/>
              <w:spacing w:after="0"/>
              <w:rPr>
                <w:sz w:val="20"/>
                <w:szCs w:val="20"/>
                <w:color w:val="auto"/>
              </w:rPr>
            </w:pPr>
            <w:r>
              <w:rPr>
                <w:rFonts w:ascii="Arial" w:cs="Arial" w:eastAsia="Arial" w:hAnsi="Arial"/>
                <w:sz w:val="15"/>
                <w:szCs w:val="15"/>
                <w:color w:val="auto"/>
              </w:rPr>
              <w:t>10.2**</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Tax Sharing Agreement between Oil States International, Inc. and Civeo Corporation</w:t>
            </w:r>
          </w:p>
        </w:tc>
      </w:tr>
      <w:tr>
        <w:trPr>
          <w:trHeight w:val="350"/>
        </w:trPr>
        <w:tc>
          <w:tcPr>
            <w:tcW w:w="1100" w:type="dxa"/>
            <w:vAlign w:val="bottom"/>
          </w:tcPr>
          <w:p>
            <w:pPr>
              <w:jc w:val="right"/>
              <w:ind w:right="327"/>
              <w:spacing w:after="0"/>
              <w:rPr>
                <w:sz w:val="20"/>
                <w:szCs w:val="20"/>
                <w:color w:val="auto"/>
              </w:rPr>
            </w:pPr>
            <w:r>
              <w:rPr>
                <w:rFonts w:ascii="Arial" w:cs="Arial" w:eastAsia="Arial" w:hAnsi="Arial"/>
                <w:sz w:val="15"/>
                <w:szCs w:val="15"/>
                <w:color w:val="auto"/>
              </w:rPr>
              <w:t>10.3**</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Employee Matters Agreement between Oil States International, Inc. and Civeo Corporation</w:t>
            </w:r>
          </w:p>
        </w:tc>
      </w:tr>
      <w:tr>
        <w:trPr>
          <w:trHeight w:val="350"/>
        </w:trPr>
        <w:tc>
          <w:tcPr>
            <w:tcW w:w="1100" w:type="dxa"/>
            <w:vAlign w:val="bottom"/>
          </w:tcPr>
          <w:p>
            <w:pPr>
              <w:jc w:val="right"/>
              <w:ind w:right="327"/>
              <w:spacing w:after="0"/>
              <w:rPr>
                <w:sz w:val="20"/>
                <w:szCs w:val="20"/>
                <w:color w:val="auto"/>
              </w:rPr>
            </w:pPr>
            <w:r>
              <w:rPr>
                <w:rFonts w:ascii="Arial" w:cs="Arial" w:eastAsia="Arial" w:hAnsi="Arial"/>
                <w:sz w:val="15"/>
                <w:szCs w:val="15"/>
                <w:color w:val="auto"/>
              </w:rPr>
              <w:t>10.4**</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Indemnification and Release Agreement between Oil States International, Inc. and Civeo Corporation</w:t>
            </w:r>
          </w:p>
        </w:tc>
      </w:tr>
      <w:tr>
        <w:trPr>
          <w:trHeight w:val="35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10.5</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Credit Agreement of Civeo Corporation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10.6**+</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2014 Equity Participation Plan of Civeo Corporation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10.7**+</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Civeo Corporation Annual Incentive Compensation Plan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10.8**+</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Canadian Long-Term Incentive Plan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10.9**+</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Employee Non Qualified Stock Option Agreement under the 2014 Equity Participation Plan of Civeo Corporation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10.10**+</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Restricted Stock Agreement under the 2014 Equity Participation Plan of Civeo Corporation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Non-Employee Director Restricted Stock Agreement</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10.12**+</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Deferred Stock Agreement (Australia)</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10.13**+</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Deferred Stock Agreement (Canada)</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10.14**+</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Executive Agreement of Bradley J. Dodson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10.15**+</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Executive Agreement of Ron R. Green</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10.16**+</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Consulting Agreement of Frank Steininger</w:t>
            </w:r>
          </w:p>
        </w:tc>
      </w:tr>
      <w:tr>
        <w:trPr>
          <w:trHeight w:val="350"/>
        </w:trPr>
        <w:tc>
          <w:tcPr>
            <w:tcW w:w="1100" w:type="dxa"/>
            <w:vAlign w:val="bottom"/>
          </w:tcPr>
          <w:p>
            <w:pPr>
              <w:jc w:val="right"/>
              <w:ind w:right="247"/>
              <w:spacing w:after="0"/>
              <w:rPr>
                <w:sz w:val="20"/>
                <w:szCs w:val="20"/>
                <w:color w:val="auto"/>
              </w:rPr>
            </w:pPr>
            <w:r>
              <w:rPr>
                <w:rFonts w:ascii="Arial" w:cs="Arial" w:eastAsia="Arial" w:hAnsi="Arial"/>
                <w:sz w:val="15"/>
                <w:szCs w:val="15"/>
                <w:color w:val="auto"/>
              </w:rPr>
              <w:t>10.17**+</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Form of Indemnification Agreement</w:t>
            </w:r>
          </w:p>
        </w:tc>
      </w:tr>
      <w:tr>
        <w:trPr>
          <w:trHeight w:val="350"/>
        </w:trPr>
        <w:tc>
          <w:tcPr>
            <w:tcW w:w="1100" w:type="dxa"/>
            <w:vAlign w:val="bottom"/>
          </w:tcPr>
          <w:p>
            <w:pPr>
              <w:jc w:val="right"/>
              <w:ind w:right="327"/>
              <w:spacing w:after="0"/>
              <w:rPr>
                <w:sz w:val="20"/>
                <w:szCs w:val="20"/>
                <w:color w:val="auto"/>
              </w:rPr>
            </w:pPr>
            <w:r>
              <w:rPr>
                <w:rFonts w:ascii="Arial" w:cs="Arial" w:eastAsia="Arial" w:hAnsi="Arial"/>
                <w:sz w:val="15"/>
                <w:szCs w:val="15"/>
                <w:color w:val="auto"/>
              </w:rPr>
              <w:t>21.1**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List of Subsidiaries of Civeo Corporation</w:t>
            </w:r>
          </w:p>
        </w:tc>
      </w:tr>
      <w:tr>
        <w:trPr>
          <w:trHeight w:val="350"/>
        </w:trPr>
        <w:tc>
          <w:tcPr>
            <w:tcW w:w="1100" w:type="dxa"/>
            <w:vAlign w:val="bottom"/>
          </w:tcPr>
          <w:p>
            <w:pPr>
              <w:jc w:val="right"/>
              <w:ind w:right="467"/>
              <w:spacing w:after="0"/>
              <w:rPr>
                <w:sz w:val="20"/>
                <w:szCs w:val="20"/>
                <w:color w:val="auto"/>
              </w:rPr>
            </w:pPr>
            <w:r>
              <w:rPr>
                <w:rFonts w:ascii="Arial" w:cs="Arial" w:eastAsia="Arial" w:hAnsi="Arial"/>
                <w:sz w:val="15"/>
                <w:szCs w:val="15"/>
                <w:color w:val="auto"/>
              </w:rPr>
              <w:t>99.1</w:t>
            </w:r>
          </w:p>
        </w:tc>
        <w:tc>
          <w:tcPr>
            <w:tcW w:w="9900" w:type="dxa"/>
            <w:vAlign w:val="bottom"/>
            <w:gridSpan w:val="2"/>
          </w:tcPr>
          <w:p>
            <w:pPr>
              <w:ind w:left="220"/>
              <w:spacing w:after="0"/>
              <w:rPr>
                <w:sz w:val="20"/>
                <w:szCs w:val="20"/>
                <w:color w:val="auto"/>
              </w:rPr>
            </w:pPr>
            <w:r>
              <w:rPr>
                <w:rFonts w:ascii="Arial" w:cs="Arial" w:eastAsia="Arial" w:hAnsi="Arial"/>
                <w:sz w:val="15"/>
                <w:szCs w:val="15"/>
                <w:color w:val="auto"/>
              </w:rPr>
              <w:t>Information Statement, preliminary and subject to completion, dated May 6,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283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9400" w:firstLine="7"/>
        <w:spacing w:after="0" w:line="311" w:lineRule="auto"/>
        <w:tabs>
          <w:tab w:leader="none" w:pos="262" w:val="left"/>
        </w:tabs>
        <w:numPr>
          <w:ilvl w:val="0"/>
          <w:numId w:val="3"/>
        </w:numPr>
        <w:rPr>
          <w:rFonts w:ascii="Arial" w:cs="Arial" w:eastAsia="Arial" w:hAnsi="Arial"/>
          <w:sz w:val="12"/>
          <w:szCs w:val="12"/>
          <w:color w:val="auto"/>
        </w:rPr>
      </w:pPr>
      <w:r>
        <w:rPr>
          <w:rFonts w:ascii="Arial" w:cs="Arial" w:eastAsia="Arial" w:hAnsi="Arial"/>
          <w:sz w:val="12"/>
          <w:szCs w:val="12"/>
          <w:color w:val="auto"/>
        </w:rPr>
        <w:t>To be filed by amendment. ** Previously filed.</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401955</wp:posOffset>
            </wp:positionV>
            <wp:extent cx="729234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240"/>
          </w:cols>
          <w:pgMar w:left="220" w:top="496" w:right="4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Pursuant to the requirements of Section 12 of the Securities Exchange Act of 1934, the registrant has duly caused this registration statement to be signed on its behalf by the undersigned, thereunto duly authorized.</w:t>
      </w: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Civeo Corporation</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5"/>
                <w:szCs w:val="15"/>
                <w:color w:val="auto"/>
              </w:rPr>
              <w:t>By:</w:t>
            </w:r>
          </w:p>
        </w:tc>
        <w:tc>
          <w:tcPr>
            <w:tcW w:w="80" w:type="dxa"/>
            <w:vAlign w:val="bottom"/>
          </w:tcPr>
          <w:p>
            <w:pPr>
              <w:spacing w:after="0"/>
              <w:rPr>
                <w:sz w:val="16"/>
                <w:szCs w:val="16"/>
                <w:color w:val="auto"/>
              </w:rPr>
            </w:pPr>
          </w:p>
        </w:tc>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 Bradley J. Dodson</w:t>
            </w:r>
          </w:p>
        </w:tc>
      </w:tr>
      <w:tr>
        <w:trPr>
          <w:trHeight w:val="156"/>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5"/>
                <w:szCs w:val="15"/>
                <w:color w:val="auto"/>
              </w:rPr>
              <w:t>Bradley J. Dodson</w:t>
            </w:r>
          </w:p>
        </w:tc>
      </w:tr>
      <w:tr>
        <w:trPr>
          <w:trHeight w:val="175"/>
        </w:trPr>
        <w:tc>
          <w:tcPr>
            <w:tcW w:w="280" w:type="dxa"/>
            <w:vAlign w:val="bottom"/>
          </w:tcPr>
          <w:p>
            <w:pPr>
              <w:spacing w:after="0"/>
              <w:rPr>
                <w:sz w:val="15"/>
                <w:szCs w:val="15"/>
                <w:color w:val="auto"/>
              </w:rPr>
            </w:pPr>
          </w:p>
        </w:tc>
        <w:tc>
          <w:tcPr>
            <w:tcW w:w="4080" w:type="dxa"/>
            <w:vAlign w:val="bottom"/>
            <w:gridSpan w:val="2"/>
          </w:tcPr>
          <w:p>
            <w:pPr>
              <w:ind w:left="80"/>
              <w:spacing w:after="0"/>
              <w:rPr>
                <w:sz w:val="20"/>
                <w:szCs w:val="20"/>
                <w:color w:val="auto"/>
              </w:rPr>
            </w:pPr>
            <w:r>
              <w:rPr>
                <w:rFonts w:ascii="Arial" w:cs="Arial" w:eastAsia="Arial" w:hAnsi="Arial"/>
                <w:sz w:val="15"/>
                <w:szCs w:val="15"/>
                <w:color w:val="auto"/>
              </w:rPr>
              <w:t>President and Chief Executive Officer</w:t>
            </w:r>
          </w:p>
        </w:tc>
      </w:tr>
      <w:tr>
        <w:trPr>
          <w:trHeight w:val="184"/>
        </w:trPr>
        <w:tc>
          <w:tcPr>
            <w:tcW w:w="280" w:type="dxa"/>
            <w:vAlign w:val="bottom"/>
          </w:tcPr>
          <w:p>
            <w:pPr>
              <w:spacing w:after="0"/>
              <w:rPr>
                <w:sz w:val="15"/>
                <w:szCs w:val="15"/>
                <w:color w:val="auto"/>
              </w:rPr>
            </w:pPr>
          </w:p>
        </w:tc>
        <w:tc>
          <w:tcPr>
            <w:tcW w:w="4080" w:type="dxa"/>
            <w:vAlign w:val="bottom"/>
            <w:gridSpan w:val="2"/>
          </w:tcPr>
          <w:p>
            <w:pPr>
              <w:ind w:left="80"/>
              <w:spacing w:after="0"/>
              <w:rPr>
                <w:sz w:val="20"/>
                <w:szCs w:val="20"/>
                <w:color w:val="auto"/>
              </w:rPr>
            </w:pPr>
            <w:r>
              <w:rPr>
                <w:rFonts w:ascii="Arial" w:cs="Arial" w:eastAsia="Arial" w:hAnsi="Arial"/>
                <w:sz w:val="15"/>
                <w:szCs w:val="15"/>
                <w:color w:val="auto"/>
              </w:rPr>
              <w:t>Date: May 6, 2014</w:t>
            </w:r>
          </w:p>
        </w:tc>
      </w:tr>
    </w:tbl>
    <w:p>
      <w:pPr>
        <w:sectPr>
          <w:pgSz w:w="11900" w:h="16838" w:orient="portrait"/>
          <w:cols w:equalWidth="0" w:num="1">
            <w:col w:w="11100"/>
          </w:cols>
          <w:pgMar w:left="220" w:top="496" w:right="57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color w:val="auto"/>
        </w:rPr>
        <w:t>Exhibit 3.1</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AMENDED AND RESTATED</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CERTIFICATE OF INCORPORATION</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OF</w:t>
      </w:r>
    </w:p>
    <w:p>
      <w:pPr>
        <w:spacing w:after="0" w:line="2"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CIVEO CORPORATION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name of the corporation is “Civeo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original certificate of incorporation was filed with the Secretary of State of the State of Delaware on October 8, 2013, under the name “</w:t>
      </w:r>
      <w:r>
        <w:rPr>
          <w:rFonts w:ascii="Arial" w:cs="Arial" w:eastAsia="Arial" w:hAnsi="Arial"/>
          <w:sz w:val="14"/>
          <w:szCs w:val="14"/>
          <w:u w:val="single" w:color="auto"/>
          <w:color w:val="auto"/>
        </w:rPr>
        <w:t>OIS Accommodations SpinCo Inc.</w:t>
      </w:r>
      <w:r>
        <w:rPr>
          <w:rFonts w:ascii="Arial" w:cs="Arial" w:eastAsia="Arial" w:hAnsi="Arial"/>
          <w:sz w:val="14"/>
          <w:szCs w:val="14"/>
          <w:color w:val="auto"/>
        </w:rPr>
        <w:t>”</w:t>
      </w:r>
    </w:p>
    <w:p>
      <w:pPr>
        <w:spacing w:after="0" w:line="189"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This Amended and Restated Certificate of Incorporation (this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has been declared advisable by the board of directors of the Corporation (the “</w:t>
      </w:r>
      <w:r>
        <w:rPr>
          <w:rFonts w:ascii="Arial" w:cs="Arial" w:eastAsia="Arial" w:hAnsi="Arial"/>
          <w:sz w:val="15"/>
          <w:szCs w:val="15"/>
          <w:u w:val="single" w:color="auto"/>
          <w:color w:val="auto"/>
        </w:rPr>
        <w:t>Board</w:t>
      </w:r>
      <w:r>
        <w:rPr>
          <w:rFonts w:ascii="Arial" w:cs="Arial" w:eastAsia="Arial" w:hAnsi="Arial"/>
          <w:sz w:val="15"/>
          <w:szCs w:val="15"/>
          <w:color w:val="auto"/>
        </w:rPr>
        <w:t>”), duly adopted by the stockholders of the Corporation and duly executed and acknowledged by the officers of the Corporation in accordance with Sections 103, 242 and 245 of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text of the certificate of incorporation of the Corporation is hereby amended and restated to read in its entirety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NAME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name of the Corporation is Civeo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REGISTERED AGENT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address of the Corporation's registered office in the State of Delaware is Corporation Trust Center, 1209 Orange Street, Wilmington, Delaware 19801 in the County of New Castle.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name of the Corporation's registered agent at such address is The Corporation Trust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purposes of the Corporation are to engage in any lawful act or activity for which corporations may be organized under the General Corporation Law of Delaware.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 STOCK</w:t>
      </w:r>
    </w:p>
    <w:p>
      <w:pPr>
        <w:spacing w:after="0" w:line="16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Authorized Capital Stock</w:t>
      </w:r>
      <w:r>
        <w:rPr>
          <w:rFonts w:ascii="Arial" w:cs="Arial" w:eastAsia="Arial" w:hAnsi="Arial"/>
          <w:sz w:val="15"/>
          <w:szCs w:val="15"/>
          <w:color w:val="auto"/>
        </w:rPr>
        <w:t>. The Corporation shall be authorized to issue 600,000,000 shares of capital stock, consisting of two classes: 550,000,000 shares of common stock, par value $.01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 50,000,000 shares of preferred stock, par value $.01 per share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29234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 w:name="page7"/>
    <w:bookmarkEnd w:id="6"/>
    <w:p>
      <w:pPr>
        <w:jc w:val="both"/>
        <w:ind w:firstLine="525"/>
        <w:spacing w:after="0" w:line="330" w:lineRule="auto"/>
        <w:rPr>
          <w:sz w:val="20"/>
          <w:szCs w:val="20"/>
          <w:color w:val="auto"/>
        </w:rPr>
      </w:pPr>
      <w:r>
        <w:rPr>
          <w:rFonts w:ascii="Arial" w:cs="Arial" w:eastAsia="Arial" w:hAnsi="Arial"/>
          <w:sz w:val="12"/>
          <w:szCs w:val="12"/>
          <w:color w:val="auto"/>
        </w:rPr>
        <w:t xml:space="preserve">Section 4.2 </w:t>
      </w:r>
      <w:r>
        <w:rPr>
          <w:rFonts w:ascii="Arial" w:cs="Arial" w:eastAsia="Arial" w:hAnsi="Arial"/>
          <w:sz w:val="12"/>
          <w:szCs w:val="12"/>
          <w:u w:val="single" w:color="auto"/>
          <w:color w:val="auto"/>
        </w:rPr>
        <w:t>Preferred Stock</w:t>
      </w:r>
      <w:r>
        <w:rPr>
          <w:rFonts w:ascii="Arial" w:cs="Arial" w:eastAsia="Arial" w:hAnsi="Arial"/>
          <w:sz w:val="12"/>
          <w:szCs w:val="12"/>
          <w:color w:val="auto"/>
        </w:rPr>
        <w:t>. The authorized shares of Preferred Stock may be issued in one or more series. Subject to any provision made in this Article Four fixing and determining the designations, rights and preferences of any series of Preferred Stock, the Board of Directors is hereby authorized to issue the shares of Preferred Stock in such series and to fix from time to time before issuance the number of shares to be included in any series and the designation, relative powers, preferences and rights and qualifications, limitations or restrictions of all shares of such series. The authority of the Board of Directors with respect to each series shall include, without limiting the generality of the foregoing, the determination of any or all of the following:</w:t>
      </w:r>
    </w:p>
    <w:p>
      <w:pPr>
        <w:spacing w:after="0" w:line="115" w:lineRule="exact"/>
        <w:rPr>
          <w:sz w:val="20"/>
          <w:szCs w:val="20"/>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number of shares of any series and the designation to distinguish the shares of such series from the shares of all other series;</w:t>
      </w:r>
    </w:p>
    <w:p>
      <w:pPr>
        <w:spacing w:after="0" w:line="177" w:lineRule="exact"/>
        <w:rPr>
          <w:rFonts w:ascii="Arial" w:cs="Arial" w:eastAsia="Arial" w:hAnsi="Arial"/>
          <w:sz w:val="15"/>
          <w:szCs w:val="15"/>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voting powers, if any, and whether such voting powers are full or limited, in such series;</w:t>
      </w:r>
    </w:p>
    <w:p>
      <w:pPr>
        <w:spacing w:after="0" w:line="177" w:lineRule="exact"/>
        <w:rPr>
          <w:rFonts w:ascii="Arial" w:cs="Arial" w:eastAsia="Arial" w:hAnsi="Arial"/>
          <w:sz w:val="15"/>
          <w:szCs w:val="15"/>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redemption provisions, if any, applicable to such series, including the redemption price or prices to be paid;</w:t>
      </w:r>
    </w:p>
    <w:p>
      <w:pPr>
        <w:spacing w:after="0" w:line="177" w:lineRule="exact"/>
        <w:rPr>
          <w:rFonts w:ascii="Arial" w:cs="Arial" w:eastAsia="Arial" w:hAnsi="Arial"/>
          <w:sz w:val="15"/>
          <w:szCs w:val="15"/>
          <w:color w:val="auto"/>
        </w:rPr>
      </w:pPr>
    </w:p>
    <w:p>
      <w:pPr>
        <w:ind w:left="1400" w:hanging="343"/>
        <w:spacing w:after="0"/>
        <w:tabs>
          <w:tab w:leader="none" w:pos="1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whether dividends, if any, shall be cumulative or noncumulative, the dividend rate of such series, and the dates and preferences of dividends on such series;</w:t>
      </w:r>
    </w:p>
    <w:p>
      <w:pPr>
        <w:spacing w:after="0" w:line="188" w:lineRule="exact"/>
        <w:rPr>
          <w:rFonts w:ascii="Arial" w:cs="Arial" w:eastAsia="Arial" w:hAnsi="Arial"/>
          <w:sz w:val="14"/>
          <w:szCs w:val="14"/>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rights of such series upon the voluntary or involuntary dissolution of, or upon any distribution of the assets of, the Corporation;</w:t>
      </w:r>
    </w:p>
    <w:p>
      <w:pPr>
        <w:spacing w:after="0" w:line="177" w:lineRule="exact"/>
        <w:rPr>
          <w:rFonts w:ascii="Arial" w:cs="Arial" w:eastAsia="Arial" w:hAnsi="Arial"/>
          <w:sz w:val="15"/>
          <w:szCs w:val="15"/>
          <w:color w:val="auto"/>
        </w:rPr>
      </w:pPr>
    </w:p>
    <w:p>
      <w:pPr>
        <w:ind w:right="20" w:firstLine="1057"/>
        <w:spacing w:after="0" w:line="383" w:lineRule="auto"/>
        <w:tabs>
          <w:tab w:leader="none" w:pos="1422"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if any, pursuant to which the shares of such series are convertible into, or exchangeable for, shares of any other class or classes of any other series of the same or any other class or classes of stock, or any other security, of the Corporation or any other corporation, and price or prices or the rates of exchange applicable thereto;</w:t>
      </w:r>
    </w:p>
    <w:p>
      <w:pPr>
        <w:spacing w:after="0" w:line="84" w:lineRule="exact"/>
        <w:rPr>
          <w:rFonts w:ascii="Arial" w:cs="Arial" w:eastAsia="Arial" w:hAnsi="Arial"/>
          <w:sz w:val="12"/>
          <w:szCs w:val="12"/>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right, if any, to subscribe for or to purchase any securities of the Corporation or any other corporation;</w:t>
      </w:r>
    </w:p>
    <w:p>
      <w:pPr>
        <w:spacing w:after="0" w:line="177" w:lineRule="exact"/>
        <w:rPr>
          <w:rFonts w:ascii="Arial" w:cs="Arial" w:eastAsia="Arial" w:hAnsi="Arial"/>
          <w:sz w:val="15"/>
          <w:szCs w:val="15"/>
          <w:color w:val="auto"/>
        </w:rPr>
      </w:pPr>
    </w:p>
    <w:p>
      <w:pPr>
        <w:ind w:left="1400" w:hanging="343"/>
        <w:spacing w:after="0"/>
        <w:tabs>
          <w:tab w:leader="none" w:pos="1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provisions, if any, of a sinking fund applicable to such series; and</w:t>
      </w:r>
    </w:p>
    <w:p>
      <w:pPr>
        <w:spacing w:after="0" w:line="177" w:lineRule="exact"/>
        <w:rPr>
          <w:rFonts w:ascii="Arial" w:cs="Arial" w:eastAsia="Arial" w:hAnsi="Arial"/>
          <w:sz w:val="15"/>
          <w:szCs w:val="15"/>
          <w:color w:val="auto"/>
        </w:rPr>
      </w:pPr>
    </w:p>
    <w:p>
      <w:pPr>
        <w:ind w:left="1380" w:hanging="323"/>
        <w:spacing w:after="0"/>
        <w:tabs>
          <w:tab w:leader="none" w:pos="1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other relative, participating, optional or other special powers, preferences, rights, qualifications, limitations or restrictions thereof;</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all as shall be determined from time to time by the Board of Directors and shall be stated in a resolution or resolutions providing for the issuance of such Preferred Stock (a “</w:t>
      </w:r>
      <w:r>
        <w:rPr>
          <w:rFonts w:ascii="Arial" w:cs="Arial" w:eastAsia="Arial" w:hAnsi="Arial"/>
          <w:sz w:val="15"/>
          <w:szCs w:val="15"/>
          <w:u w:val="single" w:color="auto"/>
          <w:color w:val="auto"/>
        </w:rPr>
        <w:t>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 Designation</w:t>
      </w:r>
      <w:r>
        <w:rPr>
          <w:rFonts w:ascii="Arial" w:cs="Arial" w:eastAsia="Arial" w:hAnsi="Arial"/>
          <w:sz w:val="15"/>
          <w:szCs w:val="15"/>
          <w:color w:val="auto"/>
        </w:rPr>
        <w:t>”).</w:t>
      </w:r>
    </w:p>
    <w:p>
      <w:pPr>
        <w:spacing w:after="0" w:line="152"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Except as required by law, holders of shares of Preferred Stock shall not be entitled to receive notice of any meeting of stockholders at which they are not entitled to vote. The number of authorized shares of Preferred Stock may be increased or decreased (but not below the number of shares thereof then outstanding) by the affirmative vote of the holders of a majority of the outstanding Common Stock, without a vote of the holders of the Preferred Stock, or of any series thereof, unless a vote of any such holders is required pursuant to any Preferred Stock Designation.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 w:name="page8"/>
    <w:bookmarkEnd w:id="7"/>
    <w:p>
      <w:pPr>
        <w:jc w:val="both"/>
        <w:ind w:firstLine="525"/>
        <w:spacing w:after="0" w:line="265"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Common Stock</w:t>
      </w:r>
      <w:r>
        <w:rPr>
          <w:rFonts w:ascii="Arial" w:cs="Arial" w:eastAsia="Arial" w:hAnsi="Arial"/>
          <w:sz w:val="14"/>
          <w:szCs w:val="14"/>
          <w:color w:val="auto"/>
        </w:rPr>
        <w:t>. The Common Stock shall be subject to the express terms of the Preferred Stock and any series thereof. The holders of shares of Common Stock shall be entitled to one vote for each such share upon all proposals on which the holders of Common Stock are entitled to vote. Except as otherwise provided by law or by the resolution or resolutions adopted by the Board designating the rights, powers and preferences of any series of Preferred Stock, the holders of Common Stock shall have the exclusive right to vote for the members of the Board (the “</w:t>
      </w:r>
      <w:r>
        <w:rPr>
          <w:rFonts w:ascii="Arial" w:cs="Arial" w:eastAsia="Arial" w:hAnsi="Arial"/>
          <w:sz w:val="14"/>
          <w:szCs w:val="14"/>
          <w:u w:val="single" w:color="auto"/>
          <w:color w:val="auto"/>
        </w:rPr>
        <w:t>Directors</w:t>
      </w:r>
      <w:r>
        <w:rPr>
          <w:rFonts w:ascii="Arial" w:cs="Arial" w:eastAsia="Arial" w:hAnsi="Arial"/>
          <w:sz w:val="14"/>
          <w:szCs w:val="14"/>
          <w:color w:val="auto"/>
        </w:rPr>
        <w:t>”) and for all other purposes. The number of authorized shares of Preferred Stock may be increased or decreased (but not below the number of shares thereof then outstanding) by the affirmative vote of the holders of a majority of the outstanding Common Stock, without a vote of the holders of the Preferred Stock, or of any series thereof, unless a vote of any such holders is required pursuant to any Preferred Stock Designation. The Corporation shall be entitled to treat the Person in which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48"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ARTICLE V</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THE BOARD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To the extent not provided for in this Certificate of Incorporation, the number, nominations, qualifications, tenure, vacancies and removal of the Directors shall be as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Bylaws.</w:t>
      </w:r>
    </w:p>
    <w:p>
      <w:pPr>
        <w:spacing w:after="0" w:line="168"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Number, Election and Terms of Directors</w:t>
      </w:r>
      <w:r>
        <w:rPr>
          <w:rFonts w:ascii="Arial" w:cs="Arial" w:eastAsia="Arial" w:hAnsi="Arial"/>
          <w:sz w:val="14"/>
          <w:szCs w:val="14"/>
          <w:color w:val="auto"/>
        </w:rPr>
        <w:t xml:space="preserve">. The number of Directors which shall constitute the entire Board shall be fixed from time to time exclusively by a majority of the Directors then in office. Until the Distribution Date (as defined below), Directors shall be elected for a term of one year ending on the date of the annual meeting of stockholders following the annual meeting at which the director was elected; </w:t>
      </w:r>
      <w:r>
        <w:rPr>
          <w:rFonts w:ascii="Arial" w:cs="Arial" w:eastAsia="Arial" w:hAnsi="Arial"/>
          <w:sz w:val="14"/>
          <w:szCs w:val="14"/>
          <w:i w:val="1"/>
          <w:iCs w:val="1"/>
          <w:color w:val="auto"/>
        </w:rPr>
        <w:t>provided however</w:t>
      </w:r>
      <w:r>
        <w:rPr>
          <w:rFonts w:ascii="Arial" w:cs="Arial" w:eastAsia="Arial" w:hAnsi="Arial"/>
          <w:sz w:val="14"/>
          <w:szCs w:val="14"/>
          <w:color w:val="auto"/>
        </w:rPr>
        <w:t>, the initial term of office of members of the Board on the date hereof shall expire at the 2015 annual meeting. Upon the first business day following the day on which Oil States International, Inc. distributes to holders of shares of its common stock all of the outstanding shares of the Corporation’s Common Stock (the “</w:t>
      </w:r>
      <w:r>
        <w:rPr>
          <w:rFonts w:ascii="Arial" w:cs="Arial" w:eastAsia="Arial" w:hAnsi="Arial"/>
          <w:sz w:val="14"/>
          <w:szCs w:val="14"/>
          <w:u w:val="single" w:color="auto"/>
          <w:color w:val="auto"/>
        </w:rPr>
        <w:t>Distribution Date</w:t>
      </w:r>
      <w:r>
        <w:rPr>
          <w:rFonts w:ascii="Arial" w:cs="Arial" w:eastAsia="Arial" w:hAnsi="Arial"/>
          <w:sz w:val="14"/>
          <w:szCs w:val="14"/>
          <w:color w:val="auto"/>
        </w:rPr>
        <w:t>”), the Board shall be divided into three classes, as nearly equal in number as is ratably possible: Class I, Class II and Class III, and the Board shall be authorized to assign members of the Board already in office to such classes at the time such classification becomes effective. Each Director shall serve for a term ending on the third annual meeting following the annual meeting of stockholders at which such Director was elected; provided, however, that the Directors first elected to Class I shall serve for a term expiring at the annual meeting of stockholders next following the end of the calendar year 2014, the Directors first elected to Class II shall serve for a term expiring at the annual meeting of stockholders next following the end of the calendar year 2015, and the Directors first elected to Class III shall serve for a term expiring at the annual meeting of stockholders next following the end of the calendar year 2016. Each Director shall hold office until the annual meeting of stockholders at which such Director's term expires and, the foregoing notwithstanding, shall serve until his or her successor shall have been duly elected and qualified or until his or her earlier death, resignation or removal.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 w:name="page9"/>
    <w:bookmarkEnd w:id="8"/>
    <w:p>
      <w:pPr>
        <w:jc w:val="both"/>
        <w:ind w:firstLine="525"/>
        <w:spacing w:after="0" w:line="251" w:lineRule="auto"/>
        <w:rPr>
          <w:sz w:val="20"/>
          <w:szCs w:val="20"/>
          <w:color w:val="auto"/>
        </w:rPr>
      </w:pPr>
      <w:r>
        <w:rPr>
          <w:rFonts w:ascii="Arial" w:cs="Arial" w:eastAsia="Arial" w:hAnsi="Arial"/>
          <w:sz w:val="15"/>
          <w:szCs w:val="15"/>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expires as Directorships of another class in order to more nearly achieve equality of number of Directors among the classes.</w:t>
      </w:r>
    </w:p>
    <w:p>
      <w:pPr>
        <w:spacing w:after="0" w:line="158"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In the event of any changes in the authorized number of Directors, each Director then continuing to serve shall nevertheless continue as a Director of the class of which he is a member until the expiration of his or her current term, or his or her prior death, resignation or removal. The Board shall specify the class to which a newly created Directorship shall be allocated.</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Election of Directors need not be by written ballot unless the Bylaws shall so provide.</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Removal Of Directors</w:t>
      </w:r>
      <w:r>
        <w:rPr>
          <w:rFonts w:ascii="Arial" w:cs="Arial" w:eastAsia="Arial" w:hAnsi="Arial"/>
          <w:sz w:val="15"/>
          <w:szCs w:val="15"/>
          <w:color w:val="auto"/>
        </w:rPr>
        <w:t>. No Director of the Corporation shall be removed from office as a Director by vote or other action of the stockholders or otherwise except for cause, and then only by the affirmative vote of the holders of a majority of the voting power of all outstanding shares of capital stock of the Corporation generally entitled to vote in the election of Directors, voting together as a single class.</w:t>
      </w:r>
    </w:p>
    <w:p>
      <w:pPr>
        <w:spacing w:after="0" w:line="158"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Vacancies</w:t>
      </w:r>
      <w:r>
        <w:rPr>
          <w:rFonts w:ascii="Arial" w:cs="Arial" w:eastAsia="Arial" w:hAnsi="Arial"/>
          <w:sz w:val="15"/>
          <w:szCs w:val="15"/>
          <w:color w:val="auto"/>
        </w:rPr>
        <w:t>. Subject to any requirements of law to the contrary, newly created Directorships resulting from any increase in the number of Directors and any vacancies on the Board resulting from death, resignation, removal or other cause shall be filled by the affirmative vote of a majority of the remaining Directors then in office, even though less than a quorum of the Board.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or until his or her earlier death, resignation or removal. No decrease in the number of Directors constituting the Board shall shorten the term of any incumbent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BYLAWS</w:t>
      </w:r>
    </w:p>
    <w:p>
      <w:pPr>
        <w:spacing w:after="0" w:line="16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In furtherance and not in limitation of the powers conferred by statute, the Bylaws may be altered, amended or repealed and new Bylaws may be adopted by the Board in accordance with the Bylaws.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OF CERTIFICATE OF INCORPORATION</w:t>
      </w:r>
    </w:p>
    <w:p>
      <w:pPr>
        <w:spacing w:after="0" w:line="168"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color w:val="auto"/>
        </w:rPr>
        <w:t>Except as otherwise provided in this Certificate of Incorporation, the Bylaws or by applicable law, the Corporation reserves the right at any time and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except as set forth in Article Tenth,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Seventh. Notwithstanding any other provision of this Certificate of Incorporation or the bylaws of the Corporation (and in addition to any other vote that may be required by law, this Certificate of Incorporation or the bylaws of the Corporation), the affirmative vote of the holders of least 66 2/3% in voting power of the outstanding shares of stock of the Corporation entitled to vote thereon, voting together as a single class, shall be required to amend, alter or repeal any provision of this Certificate of Incorporation.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 ACTION BY WRITTEN CONSENT</w:t>
      </w:r>
    </w:p>
    <w:p>
      <w:pPr>
        <w:spacing w:after="0" w:line="16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Any action required or permitted to be taken by the stockholders of the Corporation must be taken at a duly held annual or special meeting of stockholders and may not be taken by any consent in writing of such stockholders.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ANTI-DILUTION</w:t>
      </w:r>
    </w:p>
    <w:p>
      <w:pPr>
        <w:spacing w:after="0" w:line="168"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No holder of shares of capital stock of the Corporation shall have any preemptive or other right to purchase or subscribe for or receive any shares of capital stock of the Corporation, whether now or hereafter authorized, or any warrants, options, bonds or debentures exchangeable for or carrying any right to purchase any shares of capital stock of the Corporation.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LIMITED LIABILITY OF DIRECTORS</w:t>
      </w:r>
    </w:p>
    <w:p>
      <w:pPr>
        <w:spacing w:after="0" w:line="168"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No director of the Corporation shall be liable to the Corporation or its stockholders for monetary damages for breach of fiduciary duty as a director, except to the extent such exemption from liability or limitation thereof is not permitted under the DGCL as it now exists. In addition to the circumstances in which a director of the Corporation is not personally liable as set forth in the preceding sentence, a director of the Corporation shall not be liable to the fullest extent permitted by any amendment to the DGCL hereafter enacted that further limits the liability of a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FORUM SELECTION</w:t>
      </w:r>
    </w:p>
    <w:p>
      <w:pPr>
        <w:spacing w:after="0" w:line="168"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employee or agent of the Corporation to the Corporation or the Corporation’s stockholders, (iii) any action asserting a claim against the Corporation arising pursuant to any provision of the DGCL, this Certificate of Incorporation or the Corporation’s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Eleventh.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Civeo Corporation has caused this Amended and Restated Certificate of Incorporation to be signed by its President this 5</w:t>
      </w:r>
      <w:r>
        <w:rPr>
          <w:rFonts w:ascii="Arial" w:cs="Arial" w:eastAsia="Arial" w:hAnsi="Arial"/>
          <w:sz w:val="21"/>
          <w:szCs w:val="21"/>
          <w:color w:val="auto"/>
          <w:vertAlign w:val="superscript"/>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May, 2014.</w:t>
      </w:r>
    </w:p>
    <w:p>
      <w:pPr>
        <w:spacing w:after="0" w:line="128"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8255</wp:posOffset>
            </wp:positionV>
            <wp:extent cx="36017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1720"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Bradley J. Dodson</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President and Chief Executive Officer</w:t>
      </w:r>
    </w:p>
    <w:p>
      <w:pPr>
        <w:spacing w:after="0" w:line="200" w:lineRule="exact"/>
        <w:rPr>
          <w:sz w:val="20"/>
          <w:szCs w:val="20"/>
          <w:color w:val="auto"/>
        </w:rPr>
      </w:pPr>
    </w:p>
    <w:p>
      <w:pPr>
        <w:spacing w:after="0" w:line="33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80"/>
          </w:cols>
          <w:pgMar w:left="760" w:top="480" w:right="1159" w:bottom="1440" w:gutter="0" w:footer="0" w:header="0"/>
        </w:sectPr>
      </w:pPr>
    </w:p>
    <w:bookmarkStart w:id="11" w:name="page12"/>
    <w:bookmarkEnd w:id="11"/>
    <w:p>
      <w:pPr>
        <w:jc w:val="right"/>
        <w:spacing w:after="0"/>
        <w:rPr>
          <w:sz w:val="20"/>
          <w:szCs w:val="20"/>
          <w:color w:val="auto"/>
        </w:rPr>
      </w:pPr>
      <w:r>
        <w:rPr>
          <w:rFonts w:ascii="Arial" w:cs="Arial" w:eastAsia="Arial" w:hAnsi="Arial"/>
          <w:sz w:val="15"/>
          <w:szCs w:val="15"/>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233045</wp:posOffset>
            </wp:positionV>
            <wp:extent cx="72726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2095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267335</wp:posOffset>
            </wp:positionV>
            <wp:extent cx="727265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AMENDED AND RESTATED BYLAWS</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OF</w:t>
      </w:r>
    </w:p>
    <w:p>
      <w:pPr>
        <w:spacing w:after="0" w:line="200" w:lineRule="exact"/>
        <w:rPr>
          <w:sz w:val="20"/>
          <w:szCs w:val="20"/>
          <w:color w:val="auto"/>
        </w:rPr>
      </w:pPr>
    </w:p>
    <w:p>
      <w:pPr>
        <w:spacing w:after="0" w:line="327"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DATED AS OF MAY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788035</wp:posOffset>
            </wp:positionV>
            <wp:extent cx="727265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1340485</wp:posOffset>
            </wp:positionV>
            <wp:extent cx="729234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808990</wp:posOffset>
            </wp:positionV>
            <wp:extent cx="72726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860" w:type="dxa"/>
            <w:vAlign w:val="bottom"/>
            <w:gridSpan w:val="3"/>
          </w:tcPr>
          <w:p>
            <w:pPr>
              <w:jc w:val="center"/>
              <w:ind w:right="4620"/>
              <w:spacing w:after="0"/>
              <w:rPr>
                <w:sz w:val="20"/>
                <w:szCs w:val="20"/>
                <w:color w:val="auto"/>
              </w:rPr>
            </w:pPr>
            <w:r>
              <w:rPr>
                <w:rFonts w:ascii="Arial" w:cs="Arial" w:eastAsia="Arial" w:hAnsi="Arial"/>
                <w:sz w:val="15"/>
                <w:szCs w:val="15"/>
                <w:b w:val="1"/>
                <w:bCs w:val="1"/>
                <w:color w:val="auto"/>
                <w:w w:val="96"/>
              </w:rPr>
              <w:t>TABLE OF CONTENTS</w:t>
            </w: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60" w:type="dxa"/>
            <w:vAlign w:val="bottom"/>
            <w:gridSpan w:val="3"/>
          </w:tcPr>
          <w:p>
            <w:pPr>
              <w:ind w:left="6560"/>
              <w:spacing w:after="0"/>
              <w:rPr>
                <w:sz w:val="20"/>
                <w:szCs w:val="20"/>
                <w:color w:val="auto"/>
              </w:rPr>
            </w:pPr>
            <w:r>
              <w:rPr>
                <w:rFonts w:ascii="Arial" w:cs="Arial" w:eastAsia="Arial" w:hAnsi="Arial"/>
                <w:sz w:val="15"/>
                <w:szCs w:val="15"/>
                <w:color w:val="auto"/>
                <w:w w:val="79"/>
              </w:rPr>
              <w:t>Page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560" w:type="dxa"/>
            <w:vAlign w:val="bottom"/>
          </w:tcPr>
          <w:p>
            <w:pPr>
              <w:jc w:val="center"/>
              <w:ind w:right="4267"/>
              <w:spacing w:after="0"/>
              <w:rPr>
                <w:sz w:val="20"/>
                <w:szCs w:val="20"/>
                <w:color w:val="auto"/>
              </w:rPr>
            </w:pPr>
            <w:r>
              <w:rPr>
                <w:rFonts w:ascii="Arial" w:cs="Arial" w:eastAsia="Arial" w:hAnsi="Arial"/>
                <w:sz w:val="15"/>
                <w:szCs w:val="15"/>
                <w:color w:val="auto"/>
                <w:w w:val="99"/>
              </w:rPr>
              <w:t>Article I</w:t>
            </w:r>
          </w:p>
        </w:tc>
        <w:tc>
          <w:tcPr>
            <w:tcW w:w="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60" w:type="dxa"/>
            <w:vAlign w:val="bottom"/>
            <w:gridSpan w:val="3"/>
          </w:tcPr>
          <w:p>
            <w:pPr>
              <w:jc w:val="center"/>
              <w:ind w:right="4620"/>
              <w:spacing w:after="0"/>
              <w:rPr>
                <w:sz w:val="20"/>
                <w:szCs w:val="20"/>
                <w:color w:val="auto"/>
              </w:rPr>
            </w:pPr>
            <w:r>
              <w:rPr>
                <w:rFonts w:ascii="Arial" w:cs="Arial" w:eastAsia="Arial" w:hAnsi="Arial"/>
                <w:sz w:val="15"/>
                <w:szCs w:val="15"/>
                <w:color w:val="auto"/>
                <w:w w:val="91"/>
              </w:rPr>
              <w:t>OFFICES AND RECORDS</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60" w:type="dxa"/>
            <w:vAlign w:val="bottom"/>
            <w:gridSpan w:val="3"/>
          </w:tcPr>
          <w:p>
            <w:pPr>
              <w:jc w:val="center"/>
              <w:ind w:right="4640"/>
              <w:spacing w:after="0"/>
              <w:rPr>
                <w:sz w:val="20"/>
                <w:szCs w:val="20"/>
                <w:color w:val="auto"/>
              </w:rPr>
            </w:pPr>
            <w:r>
              <w:rPr>
                <w:rFonts w:ascii="Arial" w:cs="Arial" w:eastAsia="Arial" w:hAnsi="Arial"/>
                <w:sz w:val="15"/>
                <w:szCs w:val="15"/>
                <w:color w:val="auto"/>
                <w:w w:val="99"/>
              </w:rPr>
              <w:t>Article II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60" w:type="dxa"/>
            <w:vAlign w:val="bottom"/>
            <w:gridSpan w:val="3"/>
          </w:tcPr>
          <w:p>
            <w:pPr>
              <w:jc w:val="center"/>
              <w:ind w:right="4640"/>
              <w:spacing w:after="0"/>
              <w:rPr>
                <w:sz w:val="20"/>
                <w:szCs w:val="20"/>
                <w:color w:val="auto"/>
              </w:rPr>
            </w:pPr>
            <w:r>
              <w:rPr>
                <w:rFonts w:ascii="Arial" w:cs="Arial" w:eastAsia="Arial" w:hAnsi="Arial"/>
                <w:sz w:val="15"/>
                <w:szCs w:val="15"/>
                <w:color w:val="auto"/>
                <w:w w:val="91"/>
              </w:rPr>
              <w:t>STOCKHOLDERS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2.1</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Annual Meeting</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2.2</w:t>
            </w:r>
          </w:p>
        </w:tc>
        <w:tc>
          <w:tcPr>
            <w:tcW w:w="3680" w:type="dxa"/>
            <w:vAlign w:val="bottom"/>
          </w:tcPr>
          <w:p>
            <w:pPr>
              <w:ind w:left="220"/>
              <w:spacing w:after="0"/>
              <w:rPr>
                <w:sz w:val="20"/>
                <w:szCs w:val="20"/>
                <w:color w:val="auto"/>
              </w:rPr>
            </w:pPr>
            <w:r>
              <w:rPr>
                <w:rFonts w:ascii="Arial" w:cs="Arial" w:eastAsia="Arial" w:hAnsi="Arial"/>
                <w:sz w:val="15"/>
                <w:szCs w:val="15"/>
                <w:color w:val="auto"/>
              </w:rPr>
              <w:t>Special Meeting</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2.3</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Place of Meetings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2.4</w:t>
            </w:r>
          </w:p>
        </w:tc>
        <w:tc>
          <w:tcPr>
            <w:tcW w:w="3680" w:type="dxa"/>
            <w:vAlign w:val="bottom"/>
          </w:tcPr>
          <w:p>
            <w:pPr>
              <w:ind w:left="220"/>
              <w:spacing w:after="0"/>
              <w:rPr>
                <w:sz w:val="20"/>
                <w:szCs w:val="20"/>
                <w:color w:val="auto"/>
              </w:rPr>
            </w:pPr>
            <w:r>
              <w:rPr>
                <w:rFonts w:ascii="Arial" w:cs="Arial" w:eastAsia="Arial" w:hAnsi="Arial"/>
                <w:sz w:val="15"/>
                <w:szCs w:val="15"/>
                <w:color w:val="auto"/>
              </w:rPr>
              <w:t>Closing Of Transfer Books And Fixing Record Date</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2.5</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Notice of Meeting</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2.6</w:t>
            </w:r>
          </w:p>
        </w:tc>
        <w:tc>
          <w:tcPr>
            <w:tcW w:w="3680" w:type="dxa"/>
            <w:vAlign w:val="bottom"/>
          </w:tcPr>
          <w:p>
            <w:pPr>
              <w:ind w:left="220"/>
              <w:spacing w:after="0"/>
              <w:rPr>
                <w:sz w:val="20"/>
                <w:szCs w:val="20"/>
                <w:color w:val="auto"/>
              </w:rPr>
            </w:pPr>
            <w:r>
              <w:rPr>
                <w:rFonts w:ascii="Arial" w:cs="Arial" w:eastAsia="Arial" w:hAnsi="Arial"/>
                <w:sz w:val="15"/>
                <w:szCs w:val="15"/>
                <w:color w:val="auto"/>
              </w:rPr>
              <w:t>Quorum and Adjournment; Voting</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2.7</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Proxies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2.8</w:t>
            </w:r>
          </w:p>
        </w:tc>
        <w:tc>
          <w:tcPr>
            <w:tcW w:w="3680" w:type="dxa"/>
            <w:vAlign w:val="bottom"/>
          </w:tcPr>
          <w:p>
            <w:pPr>
              <w:ind w:left="220"/>
              <w:spacing w:after="0"/>
              <w:rPr>
                <w:sz w:val="20"/>
                <w:szCs w:val="20"/>
                <w:color w:val="auto"/>
              </w:rPr>
            </w:pPr>
            <w:r>
              <w:rPr>
                <w:rFonts w:ascii="Arial" w:cs="Arial" w:eastAsia="Arial" w:hAnsi="Arial"/>
                <w:sz w:val="15"/>
                <w:szCs w:val="15"/>
                <w:color w:val="auto"/>
              </w:rPr>
              <w:t>List of Stockholders Entitled to Vote</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2.9</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Notice of Stockholder Business and Nominations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2.10</w:t>
            </w:r>
          </w:p>
        </w:tc>
        <w:tc>
          <w:tcPr>
            <w:tcW w:w="3680" w:type="dxa"/>
            <w:vAlign w:val="bottom"/>
          </w:tcPr>
          <w:p>
            <w:pPr>
              <w:ind w:left="220"/>
              <w:spacing w:after="0"/>
              <w:rPr>
                <w:sz w:val="20"/>
                <w:szCs w:val="20"/>
                <w:color w:val="auto"/>
              </w:rPr>
            </w:pPr>
            <w:r>
              <w:rPr>
                <w:rFonts w:ascii="Arial" w:cs="Arial" w:eastAsia="Arial" w:hAnsi="Arial"/>
                <w:sz w:val="15"/>
                <w:szCs w:val="15"/>
                <w:color w:val="auto"/>
              </w:rPr>
              <w:t>Procedure for Election of Directors; Required Vote</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2.11</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5"/>
              </w:rPr>
              <w:t>Inspectors of Elections; Opening and Closing the Polls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2.12</w:t>
            </w:r>
          </w:p>
        </w:tc>
        <w:tc>
          <w:tcPr>
            <w:tcW w:w="3680" w:type="dxa"/>
            <w:vAlign w:val="bottom"/>
          </w:tcPr>
          <w:p>
            <w:pPr>
              <w:ind w:left="220"/>
              <w:spacing w:after="0"/>
              <w:rPr>
                <w:sz w:val="20"/>
                <w:szCs w:val="20"/>
                <w:color w:val="auto"/>
              </w:rPr>
            </w:pPr>
            <w:r>
              <w:rPr>
                <w:rFonts w:ascii="Arial" w:cs="Arial" w:eastAsia="Arial" w:hAnsi="Arial"/>
                <w:sz w:val="15"/>
                <w:szCs w:val="15"/>
                <w:color w:val="auto"/>
              </w:rPr>
              <w:t>Conduct of Meetings</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2.13</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Meetings by Remote Communication</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60" w:type="dxa"/>
            <w:vAlign w:val="bottom"/>
            <w:gridSpan w:val="3"/>
          </w:tcPr>
          <w:p>
            <w:pPr>
              <w:jc w:val="center"/>
              <w:ind w:right="4640"/>
              <w:spacing w:after="0"/>
              <w:rPr>
                <w:sz w:val="20"/>
                <w:szCs w:val="20"/>
                <w:color w:val="auto"/>
              </w:rPr>
            </w:pPr>
            <w:r>
              <w:rPr>
                <w:rFonts w:ascii="Arial" w:cs="Arial" w:eastAsia="Arial" w:hAnsi="Arial"/>
                <w:sz w:val="15"/>
                <w:szCs w:val="15"/>
                <w:color w:val="auto"/>
                <w:w w:val="99"/>
              </w:rPr>
              <w:t>Article III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60" w:type="dxa"/>
            <w:vAlign w:val="bottom"/>
            <w:gridSpan w:val="3"/>
          </w:tcPr>
          <w:p>
            <w:pPr>
              <w:jc w:val="center"/>
              <w:ind w:right="4640"/>
              <w:spacing w:after="0"/>
              <w:rPr>
                <w:sz w:val="20"/>
                <w:szCs w:val="20"/>
                <w:color w:val="auto"/>
              </w:rPr>
            </w:pPr>
            <w:r>
              <w:rPr>
                <w:rFonts w:ascii="Arial" w:cs="Arial" w:eastAsia="Arial" w:hAnsi="Arial"/>
                <w:sz w:val="15"/>
                <w:szCs w:val="15"/>
                <w:color w:val="auto"/>
                <w:w w:val="93"/>
              </w:rPr>
              <w:t>THE BOARD</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3.1</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General Powers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3.2</w:t>
            </w:r>
          </w:p>
        </w:tc>
        <w:tc>
          <w:tcPr>
            <w:tcW w:w="3680" w:type="dxa"/>
            <w:vAlign w:val="bottom"/>
          </w:tcPr>
          <w:p>
            <w:pPr>
              <w:ind w:left="220"/>
              <w:spacing w:after="0"/>
              <w:rPr>
                <w:sz w:val="20"/>
                <w:szCs w:val="20"/>
                <w:color w:val="auto"/>
              </w:rPr>
            </w:pPr>
            <w:r>
              <w:rPr>
                <w:rFonts w:ascii="Arial" w:cs="Arial" w:eastAsia="Arial" w:hAnsi="Arial"/>
                <w:sz w:val="15"/>
                <w:szCs w:val="15"/>
                <w:color w:val="auto"/>
              </w:rPr>
              <w:t>Number; Qualifications and Tenure</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3.3</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Regular Meetings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3.4</w:t>
            </w:r>
          </w:p>
        </w:tc>
        <w:tc>
          <w:tcPr>
            <w:tcW w:w="3680" w:type="dxa"/>
            <w:vAlign w:val="bottom"/>
          </w:tcPr>
          <w:p>
            <w:pPr>
              <w:ind w:left="220"/>
              <w:spacing w:after="0"/>
              <w:rPr>
                <w:sz w:val="20"/>
                <w:szCs w:val="20"/>
                <w:color w:val="auto"/>
              </w:rPr>
            </w:pPr>
            <w:r>
              <w:rPr>
                <w:rFonts w:ascii="Arial" w:cs="Arial" w:eastAsia="Arial" w:hAnsi="Arial"/>
                <w:sz w:val="15"/>
                <w:szCs w:val="15"/>
                <w:color w:val="auto"/>
              </w:rPr>
              <w:t>Special Meetings</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3.5</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Notice of Meetings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3.6</w:t>
            </w:r>
          </w:p>
        </w:tc>
        <w:tc>
          <w:tcPr>
            <w:tcW w:w="3680" w:type="dxa"/>
            <w:vAlign w:val="bottom"/>
          </w:tcPr>
          <w:p>
            <w:pPr>
              <w:ind w:left="220"/>
              <w:spacing w:after="0"/>
              <w:rPr>
                <w:sz w:val="20"/>
                <w:szCs w:val="20"/>
                <w:color w:val="auto"/>
              </w:rPr>
            </w:pPr>
            <w:r>
              <w:rPr>
                <w:rFonts w:ascii="Arial" w:cs="Arial" w:eastAsia="Arial" w:hAnsi="Arial"/>
                <w:sz w:val="15"/>
                <w:szCs w:val="15"/>
                <w:color w:val="auto"/>
              </w:rPr>
              <w:t>Action by Consent of Board</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3.7</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Conference Telephone Meetings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3.8</w:t>
            </w:r>
          </w:p>
        </w:tc>
        <w:tc>
          <w:tcPr>
            <w:tcW w:w="3680" w:type="dxa"/>
            <w:vAlign w:val="bottom"/>
          </w:tcPr>
          <w:p>
            <w:pPr>
              <w:ind w:left="220"/>
              <w:spacing w:after="0"/>
              <w:rPr>
                <w:sz w:val="20"/>
                <w:szCs w:val="20"/>
                <w:color w:val="auto"/>
              </w:rPr>
            </w:pPr>
            <w:r>
              <w:rPr>
                <w:rFonts w:ascii="Arial" w:cs="Arial" w:eastAsia="Arial" w:hAnsi="Arial"/>
                <w:sz w:val="15"/>
                <w:szCs w:val="15"/>
                <w:color w:val="auto"/>
              </w:rPr>
              <w:t>Quorum</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3.9</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Vacancies; Increases in the Number of Directors</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3.10</w:t>
            </w:r>
          </w:p>
        </w:tc>
        <w:tc>
          <w:tcPr>
            <w:tcW w:w="3680" w:type="dxa"/>
            <w:vAlign w:val="bottom"/>
          </w:tcPr>
          <w:p>
            <w:pPr>
              <w:ind w:left="220"/>
              <w:spacing w:after="0"/>
              <w:rPr>
                <w:sz w:val="20"/>
                <w:szCs w:val="20"/>
                <w:color w:val="auto"/>
              </w:rPr>
            </w:pPr>
            <w:r>
              <w:rPr>
                <w:rFonts w:ascii="Arial" w:cs="Arial" w:eastAsia="Arial" w:hAnsi="Arial"/>
                <w:sz w:val="15"/>
                <w:szCs w:val="15"/>
                <w:color w:val="auto"/>
              </w:rPr>
              <w:t>Committees</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3.11</w:t>
            </w:r>
          </w:p>
        </w:tc>
        <w:tc>
          <w:tcPr>
            <w:tcW w:w="3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Removal</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3.12</w:t>
            </w:r>
          </w:p>
        </w:tc>
        <w:tc>
          <w:tcPr>
            <w:tcW w:w="3680" w:type="dxa"/>
            <w:vAlign w:val="bottom"/>
          </w:tcPr>
          <w:p>
            <w:pPr>
              <w:ind w:left="220"/>
              <w:spacing w:after="0"/>
              <w:rPr>
                <w:sz w:val="20"/>
                <w:szCs w:val="20"/>
                <w:color w:val="auto"/>
              </w:rPr>
            </w:pPr>
            <w:r>
              <w:rPr>
                <w:rFonts w:ascii="Arial" w:cs="Arial" w:eastAsia="Arial" w:hAnsi="Arial"/>
                <w:sz w:val="15"/>
                <w:szCs w:val="15"/>
                <w:color w:val="auto"/>
              </w:rPr>
              <w:t>Records</w:t>
            </w:r>
          </w:p>
        </w:tc>
        <w:tc>
          <w:tcPr>
            <w:tcW w:w="68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0" w:type="dxa"/>
            <w:vAlign w:val="bottom"/>
            <w:gridSpan w:val="2"/>
          </w:tcPr>
          <w:p>
            <w:pPr>
              <w:jc w:val="center"/>
              <w:ind w:right="3680"/>
              <w:spacing w:after="0"/>
              <w:rPr>
                <w:sz w:val="20"/>
                <w:szCs w:val="20"/>
                <w:color w:val="auto"/>
              </w:rPr>
            </w:pPr>
            <w:r>
              <w:rPr>
                <w:rFonts w:ascii="Arial" w:cs="Arial" w:eastAsia="Arial" w:hAnsi="Arial"/>
                <w:sz w:val="15"/>
                <w:szCs w:val="15"/>
                <w:color w:val="auto"/>
                <w:w w:val="99"/>
              </w:rPr>
              <w:t>Article IV</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0" w:type="dxa"/>
            <w:vAlign w:val="bottom"/>
            <w:gridSpan w:val="2"/>
          </w:tcPr>
          <w:p>
            <w:pPr>
              <w:jc w:val="center"/>
              <w:ind w:right="3680"/>
              <w:spacing w:after="0"/>
              <w:rPr>
                <w:sz w:val="20"/>
                <w:szCs w:val="20"/>
                <w:color w:val="auto"/>
              </w:rPr>
            </w:pPr>
            <w:r>
              <w:rPr>
                <w:rFonts w:ascii="Arial" w:cs="Arial" w:eastAsia="Arial" w:hAnsi="Arial"/>
                <w:sz w:val="15"/>
                <w:szCs w:val="15"/>
                <w:color w:val="auto"/>
                <w:w w:val="89"/>
              </w:rPr>
              <w:t>OFFICERS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4.1</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Elected Officers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4.2</w:t>
            </w:r>
          </w:p>
        </w:tc>
        <w:tc>
          <w:tcPr>
            <w:tcW w:w="2740" w:type="dxa"/>
            <w:vAlign w:val="bottom"/>
          </w:tcPr>
          <w:p>
            <w:pPr>
              <w:ind w:left="220"/>
              <w:spacing w:after="0"/>
              <w:rPr>
                <w:sz w:val="20"/>
                <w:szCs w:val="20"/>
                <w:color w:val="auto"/>
              </w:rPr>
            </w:pPr>
            <w:r>
              <w:rPr>
                <w:rFonts w:ascii="Arial" w:cs="Arial" w:eastAsia="Arial" w:hAnsi="Arial"/>
                <w:sz w:val="15"/>
                <w:szCs w:val="15"/>
                <w:color w:val="auto"/>
              </w:rPr>
              <w:t>Election and Term of Office</w:t>
            </w:r>
          </w:p>
        </w:tc>
        <w:tc>
          <w:tcPr>
            <w:tcW w:w="778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4.3</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Chairman of the Board</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4.4</w:t>
            </w:r>
          </w:p>
        </w:tc>
        <w:tc>
          <w:tcPr>
            <w:tcW w:w="2740" w:type="dxa"/>
            <w:vAlign w:val="bottom"/>
          </w:tcPr>
          <w:p>
            <w:pPr>
              <w:ind w:left="220"/>
              <w:spacing w:after="0"/>
              <w:rPr>
                <w:sz w:val="20"/>
                <w:szCs w:val="20"/>
                <w:color w:val="auto"/>
              </w:rPr>
            </w:pPr>
            <w:r>
              <w:rPr>
                <w:rFonts w:ascii="Arial" w:cs="Arial" w:eastAsia="Arial" w:hAnsi="Arial"/>
                <w:sz w:val="15"/>
                <w:szCs w:val="15"/>
                <w:color w:val="auto"/>
              </w:rPr>
              <w:t>Chief Executive Officer</w:t>
            </w:r>
          </w:p>
        </w:tc>
        <w:tc>
          <w:tcPr>
            <w:tcW w:w="778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4.5</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President</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4.6</w:t>
            </w:r>
          </w:p>
        </w:tc>
        <w:tc>
          <w:tcPr>
            <w:tcW w:w="2740" w:type="dxa"/>
            <w:vAlign w:val="bottom"/>
          </w:tcPr>
          <w:p>
            <w:pPr>
              <w:ind w:left="220"/>
              <w:spacing w:after="0"/>
              <w:rPr>
                <w:sz w:val="20"/>
                <w:szCs w:val="20"/>
                <w:color w:val="auto"/>
              </w:rPr>
            </w:pPr>
            <w:r>
              <w:rPr>
                <w:rFonts w:ascii="Arial" w:cs="Arial" w:eastAsia="Arial" w:hAnsi="Arial"/>
                <w:sz w:val="15"/>
                <w:szCs w:val="15"/>
                <w:color w:val="auto"/>
              </w:rPr>
              <w:t>Vice Presidents</w:t>
            </w:r>
          </w:p>
        </w:tc>
        <w:tc>
          <w:tcPr>
            <w:tcW w:w="778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4.7</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Treasurer</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4.8</w:t>
            </w:r>
          </w:p>
        </w:tc>
        <w:tc>
          <w:tcPr>
            <w:tcW w:w="2740" w:type="dxa"/>
            <w:vAlign w:val="bottom"/>
          </w:tcPr>
          <w:p>
            <w:pPr>
              <w:ind w:left="220"/>
              <w:spacing w:after="0"/>
              <w:rPr>
                <w:sz w:val="20"/>
                <w:szCs w:val="20"/>
                <w:color w:val="auto"/>
              </w:rPr>
            </w:pPr>
            <w:r>
              <w:rPr>
                <w:rFonts w:ascii="Arial" w:cs="Arial" w:eastAsia="Arial" w:hAnsi="Arial"/>
                <w:sz w:val="15"/>
                <w:szCs w:val="15"/>
                <w:color w:val="auto"/>
              </w:rPr>
              <w:t>Secretary</w:t>
            </w:r>
          </w:p>
        </w:tc>
        <w:tc>
          <w:tcPr>
            <w:tcW w:w="778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4.9</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Assistant Secretaries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4.10</w:t>
            </w:r>
          </w:p>
        </w:tc>
        <w:tc>
          <w:tcPr>
            <w:tcW w:w="2740" w:type="dxa"/>
            <w:vAlign w:val="bottom"/>
          </w:tcPr>
          <w:p>
            <w:pPr>
              <w:ind w:left="220"/>
              <w:spacing w:after="0"/>
              <w:rPr>
                <w:sz w:val="20"/>
                <w:szCs w:val="20"/>
                <w:color w:val="auto"/>
              </w:rPr>
            </w:pPr>
            <w:r>
              <w:rPr>
                <w:rFonts w:ascii="Arial" w:cs="Arial" w:eastAsia="Arial" w:hAnsi="Arial"/>
                <w:sz w:val="15"/>
                <w:szCs w:val="15"/>
                <w:color w:val="auto"/>
              </w:rPr>
              <w:t>Removal</w:t>
            </w:r>
          </w:p>
        </w:tc>
        <w:tc>
          <w:tcPr>
            <w:tcW w:w="778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4.11</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Vacancies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0" w:type="dxa"/>
            <w:vAlign w:val="bottom"/>
            <w:gridSpan w:val="2"/>
          </w:tcPr>
          <w:p>
            <w:pPr>
              <w:jc w:val="center"/>
              <w:ind w:right="3700"/>
              <w:spacing w:after="0"/>
              <w:rPr>
                <w:sz w:val="20"/>
                <w:szCs w:val="20"/>
                <w:color w:val="auto"/>
              </w:rPr>
            </w:pPr>
            <w:r>
              <w:rPr>
                <w:rFonts w:ascii="Arial" w:cs="Arial" w:eastAsia="Arial" w:hAnsi="Arial"/>
                <w:sz w:val="15"/>
                <w:szCs w:val="15"/>
                <w:color w:val="auto"/>
                <w:w w:val="96"/>
              </w:rPr>
              <w:t>Article V</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0" w:type="dxa"/>
            <w:vAlign w:val="bottom"/>
            <w:gridSpan w:val="2"/>
          </w:tcPr>
          <w:p>
            <w:pPr>
              <w:jc w:val="center"/>
              <w:ind w:right="3680"/>
              <w:spacing w:after="0"/>
              <w:rPr>
                <w:sz w:val="20"/>
                <w:szCs w:val="20"/>
                <w:color w:val="auto"/>
              </w:rPr>
            </w:pPr>
            <w:r>
              <w:rPr>
                <w:rFonts w:ascii="Arial" w:cs="Arial" w:eastAsia="Arial" w:hAnsi="Arial"/>
                <w:sz w:val="15"/>
                <w:szCs w:val="15"/>
                <w:color w:val="auto"/>
                <w:w w:val="92"/>
              </w:rPr>
              <w:t>STOCK CERTIFICATES AND TRANSFERS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5.1</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 Certificates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5.2</w:t>
            </w:r>
          </w:p>
        </w:tc>
        <w:tc>
          <w:tcPr>
            <w:tcW w:w="2740" w:type="dxa"/>
            <w:vAlign w:val="bottom"/>
          </w:tcPr>
          <w:p>
            <w:pPr>
              <w:ind w:left="220"/>
              <w:spacing w:after="0"/>
              <w:rPr>
                <w:sz w:val="20"/>
                <w:szCs w:val="20"/>
                <w:color w:val="auto"/>
              </w:rPr>
            </w:pPr>
            <w:r>
              <w:rPr>
                <w:rFonts w:ascii="Arial" w:cs="Arial" w:eastAsia="Arial" w:hAnsi="Arial"/>
                <w:sz w:val="15"/>
                <w:szCs w:val="15"/>
                <w:color w:val="auto"/>
              </w:rPr>
              <w:t>Transfers of Stock</w:t>
            </w:r>
          </w:p>
        </w:tc>
        <w:tc>
          <w:tcPr>
            <w:tcW w:w="778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5.3</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Lost, Stolen or Destroyed Certificates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0" w:type="dxa"/>
            <w:vAlign w:val="bottom"/>
            <w:gridSpan w:val="2"/>
          </w:tcPr>
          <w:p>
            <w:pPr>
              <w:jc w:val="center"/>
              <w:ind w:right="3680"/>
              <w:spacing w:after="0"/>
              <w:rPr>
                <w:sz w:val="20"/>
                <w:szCs w:val="20"/>
                <w:color w:val="auto"/>
              </w:rPr>
            </w:pPr>
            <w:r>
              <w:rPr>
                <w:rFonts w:ascii="Arial" w:cs="Arial" w:eastAsia="Arial" w:hAnsi="Arial"/>
                <w:sz w:val="15"/>
                <w:szCs w:val="15"/>
                <w:color w:val="auto"/>
                <w:w w:val="99"/>
              </w:rPr>
              <w:t>Article VI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0" w:type="dxa"/>
            <w:vAlign w:val="bottom"/>
            <w:gridSpan w:val="2"/>
          </w:tcPr>
          <w:p>
            <w:pPr>
              <w:jc w:val="center"/>
              <w:ind w:right="3700"/>
              <w:spacing w:after="0"/>
              <w:rPr>
                <w:sz w:val="20"/>
                <w:szCs w:val="20"/>
                <w:color w:val="auto"/>
              </w:rPr>
            </w:pPr>
            <w:r>
              <w:rPr>
                <w:rFonts w:ascii="Arial" w:cs="Arial" w:eastAsia="Arial" w:hAnsi="Arial"/>
                <w:sz w:val="15"/>
                <w:szCs w:val="15"/>
                <w:color w:val="auto"/>
                <w:w w:val="93"/>
              </w:rPr>
              <w:t>INDEMNIFICATION OF DIRECTORS AND OFFICERS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6.1</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Right to Indemnification</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6.2</w:t>
            </w:r>
          </w:p>
        </w:tc>
        <w:tc>
          <w:tcPr>
            <w:tcW w:w="2740" w:type="dxa"/>
            <w:vAlign w:val="bottom"/>
          </w:tcPr>
          <w:p>
            <w:pPr>
              <w:ind w:left="220"/>
              <w:spacing w:after="0"/>
              <w:rPr>
                <w:sz w:val="20"/>
                <w:szCs w:val="20"/>
                <w:color w:val="auto"/>
              </w:rPr>
            </w:pPr>
            <w:r>
              <w:rPr>
                <w:rFonts w:ascii="Arial" w:cs="Arial" w:eastAsia="Arial" w:hAnsi="Arial"/>
                <w:sz w:val="15"/>
                <w:szCs w:val="15"/>
                <w:color w:val="auto"/>
              </w:rPr>
              <w:t>Right of Claimant to Bring Suit</w:t>
            </w:r>
          </w:p>
        </w:tc>
        <w:tc>
          <w:tcPr>
            <w:tcW w:w="778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6.3</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Non-Exclusivity of Rights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6.4</w:t>
            </w:r>
          </w:p>
        </w:tc>
        <w:tc>
          <w:tcPr>
            <w:tcW w:w="2740" w:type="dxa"/>
            <w:vAlign w:val="bottom"/>
          </w:tcPr>
          <w:p>
            <w:pPr>
              <w:ind w:left="220"/>
              <w:spacing w:after="0"/>
              <w:rPr>
                <w:sz w:val="20"/>
                <w:szCs w:val="20"/>
                <w:color w:val="auto"/>
              </w:rPr>
            </w:pPr>
            <w:r>
              <w:rPr>
                <w:rFonts w:ascii="Arial" w:cs="Arial" w:eastAsia="Arial" w:hAnsi="Arial"/>
                <w:sz w:val="15"/>
                <w:szCs w:val="15"/>
                <w:color w:val="auto"/>
              </w:rPr>
              <w:t>Insurance</w:t>
            </w:r>
          </w:p>
        </w:tc>
        <w:tc>
          <w:tcPr>
            <w:tcW w:w="778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6.5</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Severability</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0" w:type="dxa"/>
            <w:vAlign w:val="bottom"/>
            <w:gridSpan w:val="2"/>
          </w:tcPr>
          <w:p>
            <w:pPr>
              <w:jc w:val="center"/>
              <w:ind w:right="3680"/>
              <w:spacing w:after="0"/>
              <w:rPr>
                <w:sz w:val="20"/>
                <w:szCs w:val="20"/>
                <w:color w:val="auto"/>
              </w:rPr>
            </w:pPr>
            <w:r>
              <w:rPr>
                <w:rFonts w:ascii="Arial" w:cs="Arial" w:eastAsia="Arial" w:hAnsi="Arial"/>
                <w:sz w:val="15"/>
                <w:szCs w:val="15"/>
                <w:color w:val="auto"/>
                <w:w w:val="99"/>
              </w:rPr>
              <w:t>Article VII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800" w:type="dxa"/>
            <w:vAlign w:val="bottom"/>
            <w:gridSpan w:val="2"/>
          </w:tcPr>
          <w:p>
            <w:pPr>
              <w:jc w:val="center"/>
              <w:ind w:right="3700"/>
              <w:spacing w:after="0"/>
              <w:rPr>
                <w:sz w:val="20"/>
                <w:szCs w:val="20"/>
                <w:color w:val="auto"/>
              </w:rPr>
            </w:pPr>
            <w:r>
              <w:rPr>
                <w:rFonts w:ascii="Arial" w:cs="Arial" w:eastAsia="Arial" w:hAnsi="Arial"/>
                <w:sz w:val="15"/>
                <w:szCs w:val="15"/>
                <w:color w:val="auto"/>
                <w:w w:val="93"/>
              </w:rPr>
              <w:t>MISCELLANEOUS PROVISIONS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7.1</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Fiscal Year</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7.2</w:t>
            </w:r>
          </w:p>
        </w:tc>
        <w:tc>
          <w:tcPr>
            <w:tcW w:w="2740" w:type="dxa"/>
            <w:vAlign w:val="bottom"/>
          </w:tcPr>
          <w:p>
            <w:pPr>
              <w:ind w:left="220"/>
              <w:spacing w:after="0"/>
              <w:rPr>
                <w:sz w:val="20"/>
                <w:szCs w:val="20"/>
                <w:color w:val="auto"/>
              </w:rPr>
            </w:pPr>
            <w:r>
              <w:rPr>
                <w:rFonts w:ascii="Arial" w:cs="Arial" w:eastAsia="Arial" w:hAnsi="Arial"/>
                <w:sz w:val="15"/>
                <w:szCs w:val="15"/>
                <w:color w:val="auto"/>
              </w:rPr>
              <w:t>Dividends</w:t>
            </w:r>
          </w:p>
        </w:tc>
        <w:tc>
          <w:tcPr>
            <w:tcW w:w="778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7.3</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Seal</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7.4</w:t>
            </w:r>
          </w:p>
        </w:tc>
        <w:tc>
          <w:tcPr>
            <w:tcW w:w="2740" w:type="dxa"/>
            <w:vAlign w:val="bottom"/>
          </w:tcPr>
          <w:p>
            <w:pPr>
              <w:ind w:left="220"/>
              <w:spacing w:after="0"/>
              <w:rPr>
                <w:sz w:val="20"/>
                <w:szCs w:val="20"/>
                <w:color w:val="auto"/>
              </w:rPr>
            </w:pPr>
            <w:r>
              <w:rPr>
                <w:rFonts w:ascii="Arial" w:cs="Arial" w:eastAsia="Arial" w:hAnsi="Arial"/>
                <w:sz w:val="15"/>
                <w:szCs w:val="15"/>
                <w:color w:val="auto"/>
              </w:rPr>
              <w:t>Waiver of Notice</w:t>
            </w:r>
          </w:p>
        </w:tc>
        <w:tc>
          <w:tcPr>
            <w:tcW w:w="778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7.5</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Audits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Section 7.6</w:t>
            </w:r>
          </w:p>
        </w:tc>
        <w:tc>
          <w:tcPr>
            <w:tcW w:w="2740" w:type="dxa"/>
            <w:vAlign w:val="bottom"/>
          </w:tcPr>
          <w:p>
            <w:pPr>
              <w:ind w:left="220"/>
              <w:spacing w:after="0"/>
              <w:rPr>
                <w:sz w:val="20"/>
                <w:szCs w:val="20"/>
                <w:color w:val="auto"/>
              </w:rPr>
            </w:pPr>
            <w:r>
              <w:rPr>
                <w:rFonts w:ascii="Arial" w:cs="Arial" w:eastAsia="Arial" w:hAnsi="Arial"/>
                <w:sz w:val="15"/>
                <w:szCs w:val="15"/>
                <w:color w:val="auto"/>
              </w:rPr>
              <w:t>Resignations</w:t>
            </w:r>
          </w:p>
        </w:tc>
        <w:tc>
          <w:tcPr>
            <w:tcW w:w="778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5"/>
                <w:szCs w:val="15"/>
                <w:color w:val="auto"/>
              </w:rPr>
              <w:t>Section 7.7</w:t>
            </w:r>
          </w:p>
        </w:tc>
        <w:tc>
          <w:tcPr>
            <w:tcW w:w="2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Electronic Transmissions</w:t>
            </w:r>
          </w:p>
        </w:tc>
        <w:tc>
          <w:tcPr>
            <w:tcW w:w="7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20" w:type="dxa"/>
            <w:vAlign w:val="bottom"/>
          </w:tcPr>
          <w:p>
            <w:pPr>
              <w:jc w:val="center"/>
              <w:ind w:right="3167"/>
              <w:spacing w:after="0"/>
              <w:rPr>
                <w:sz w:val="20"/>
                <w:szCs w:val="20"/>
                <w:color w:val="auto"/>
              </w:rPr>
            </w:pPr>
            <w:r>
              <w:rPr>
                <w:rFonts w:ascii="Arial" w:cs="Arial" w:eastAsia="Arial" w:hAnsi="Arial"/>
                <w:sz w:val="15"/>
                <w:szCs w:val="15"/>
                <w:color w:val="auto"/>
              </w:rPr>
              <w:t>Article VIII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20" w:type="dxa"/>
            <w:vAlign w:val="bottom"/>
          </w:tcPr>
          <w:p>
            <w:pPr>
              <w:jc w:val="center"/>
              <w:ind w:right="3167"/>
              <w:spacing w:after="0"/>
              <w:rPr>
                <w:sz w:val="20"/>
                <w:szCs w:val="20"/>
                <w:color w:val="auto"/>
              </w:rPr>
            </w:pPr>
            <w:r>
              <w:rPr>
                <w:rFonts w:ascii="Arial" w:cs="Arial" w:eastAsia="Arial" w:hAnsi="Arial"/>
                <w:sz w:val="15"/>
                <w:szCs w:val="15"/>
                <w:color w:val="auto"/>
                <w:w w:val="91"/>
              </w:rPr>
              <w:t>CONTRACTS, PROXIES, ETC.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Section 8.1</w:t>
            </w:r>
          </w:p>
        </w:tc>
        <w:tc>
          <w:tcPr>
            <w:tcW w:w="2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Contracts</w:t>
            </w:r>
          </w:p>
        </w:tc>
        <w:tc>
          <w:tcPr>
            <w:tcW w:w="822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line="164" w:lineRule="exact"/>
              <w:rPr>
                <w:sz w:val="20"/>
                <w:szCs w:val="20"/>
                <w:color w:val="auto"/>
              </w:rPr>
            </w:pPr>
            <w:r>
              <w:rPr>
                <w:rFonts w:ascii="Arial" w:cs="Arial" w:eastAsia="Arial" w:hAnsi="Arial"/>
                <w:sz w:val="15"/>
                <w:szCs w:val="15"/>
                <w:color w:val="auto"/>
              </w:rPr>
              <w:t>Section 8.2</w:t>
            </w:r>
          </w:p>
        </w:tc>
        <w:tc>
          <w:tcPr>
            <w:tcW w:w="2340" w:type="dxa"/>
            <w:vAlign w:val="bottom"/>
          </w:tcPr>
          <w:p>
            <w:pPr>
              <w:ind w:left="260"/>
              <w:spacing w:after="0" w:line="164" w:lineRule="exact"/>
              <w:rPr>
                <w:sz w:val="20"/>
                <w:szCs w:val="20"/>
                <w:color w:val="auto"/>
              </w:rPr>
            </w:pPr>
            <w:r>
              <w:rPr>
                <w:rFonts w:ascii="Arial" w:cs="Arial" w:eastAsia="Arial" w:hAnsi="Arial"/>
                <w:sz w:val="15"/>
                <w:szCs w:val="15"/>
                <w:color w:val="auto"/>
              </w:rPr>
              <w:t>Proxies</w:t>
            </w:r>
          </w:p>
        </w:tc>
        <w:tc>
          <w:tcPr>
            <w:tcW w:w="8220" w:type="dxa"/>
            <w:vAlign w:val="bottom"/>
          </w:tcPr>
          <w:p>
            <w:pPr>
              <w:jc w:val="right"/>
              <w:ind w:right="347"/>
              <w:spacing w:after="0" w:line="164" w:lineRule="exact"/>
              <w:rPr>
                <w:sz w:val="20"/>
                <w:szCs w:val="20"/>
                <w:color w:val="auto"/>
              </w:rPr>
            </w:pPr>
            <w:r>
              <w:rPr>
                <w:rFonts w:ascii="Arial" w:cs="Arial" w:eastAsia="Arial" w:hAnsi="Arial"/>
                <w:sz w:val="15"/>
                <w:szCs w:val="15"/>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20" w:type="dxa"/>
            <w:vAlign w:val="bottom"/>
          </w:tcPr>
          <w:p>
            <w:pPr>
              <w:jc w:val="center"/>
              <w:ind w:right="3147"/>
              <w:spacing w:after="0"/>
              <w:rPr>
                <w:sz w:val="20"/>
                <w:szCs w:val="20"/>
                <w:color w:val="auto"/>
              </w:rPr>
            </w:pPr>
            <w:r>
              <w:rPr>
                <w:rFonts w:ascii="Arial" w:cs="Arial" w:eastAsia="Arial" w:hAnsi="Arial"/>
                <w:sz w:val="15"/>
                <w:szCs w:val="15"/>
                <w:color w:val="auto"/>
                <w:w w:val="99"/>
              </w:rPr>
              <w:t>Article IX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20" w:type="dxa"/>
            <w:vAlign w:val="bottom"/>
          </w:tcPr>
          <w:p>
            <w:pPr>
              <w:jc w:val="center"/>
              <w:ind w:right="3167"/>
              <w:spacing w:after="0"/>
              <w:rPr>
                <w:sz w:val="20"/>
                <w:szCs w:val="20"/>
                <w:color w:val="auto"/>
              </w:rPr>
            </w:pPr>
            <w:r>
              <w:rPr>
                <w:rFonts w:ascii="Arial" w:cs="Arial" w:eastAsia="Arial" w:hAnsi="Arial"/>
                <w:sz w:val="15"/>
                <w:szCs w:val="15"/>
                <w:color w:val="auto"/>
                <w:w w:val="95"/>
              </w:rPr>
              <w:t>AMENDMENTS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220" w:type="dxa"/>
            <w:vAlign w:val="bottom"/>
          </w:tcPr>
          <w:p>
            <w:pPr>
              <w:jc w:val="center"/>
              <w:ind w:right="3187"/>
              <w:spacing w:after="0"/>
              <w:rPr>
                <w:sz w:val="20"/>
                <w:szCs w:val="20"/>
                <w:color w:val="auto"/>
              </w:rPr>
            </w:pPr>
            <w:r>
              <w:rPr>
                <w:rFonts w:ascii="Arial" w:cs="Arial" w:eastAsia="Arial" w:hAnsi="Arial"/>
                <w:sz w:val="15"/>
                <w:szCs w:val="15"/>
                <w:color w:val="auto"/>
              </w:rPr>
              <w:t>iii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AMENDED AND RESTATED BYLAWS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CIVEO CORPORATION</w:t>
      </w:r>
    </w:p>
    <w:p>
      <w:pPr>
        <w:spacing w:after="0" w:line="16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These Amended and Restated Bylaws of Civeo Corporation (formerly known as OIS Accommodations SpinCo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were adopted by the Board of Directors of the Corporation (the “</w:t>
      </w:r>
      <w:r>
        <w:rPr>
          <w:rFonts w:ascii="Arial" w:cs="Arial" w:eastAsia="Arial" w:hAnsi="Arial"/>
          <w:sz w:val="15"/>
          <w:szCs w:val="15"/>
          <w:u w:val="single" w:color="auto"/>
          <w:color w:val="auto"/>
        </w:rPr>
        <w:t>Board</w:t>
      </w:r>
      <w:r>
        <w:rPr>
          <w:rFonts w:ascii="Arial" w:cs="Arial" w:eastAsia="Arial" w:hAnsi="Arial"/>
          <w:sz w:val="15"/>
          <w:szCs w:val="15"/>
          <w:color w:val="auto"/>
        </w:rPr>
        <w:t>”) on May 5, 2014 and duly executed and acknowledged by the officers of the Corporation in accordance with Section 109 of the General Corporation Law of the State of Delaware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OFFICES AND RECORDS</w:t>
      </w:r>
    </w:p>
    <w:p>
      <w:pPr>
        <w:spacing w:after="0" w:line="16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Corporation shall maintain a registered office in Delaware and may maintain other offices and keep its books, documents and records at such places within or without Delaware as may, from time to time, be designated by the Board.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STOCKHOLDERS</w:t>
      </w:r>
    </w:p>
    <w:p>
      <w:pPr>
        <w:spacing w:after="0" w:line="164" w:lineRule="exact"/>
        <w:rPr>
          <w:sz w:val="20"/>
          <w:szCs w:val="20"/>
          <w:color w:val="auto"/>
        </w:rPr>
      </w:pPr>
    </w:p>
    <w:p>
      <w:pPr>
        <w:jc w:val="both"/>
        <w:ind w:right="20" w:firstLine="525"/>
        <w:spacing w:after="0" w:line="390" w:lineRule="auto"/>
        <w:rPr>
          <w:sz w:val="20"/>
          <w:szCs w:val="20"/>
          <w:color w:val="auto"/>
        </w:rPr>
      </w:pPr>
      <w:r>
        <w:rPr>
          <w:rFonts w:ascii="Arial" w:cs="Arial" w:eastAsia="Arial" w:hAnsi="Arial"/>
          <w:sz w:val="12"/>
          <w:szCs w:val="12"/>
          <w:b w:val="1"/>
          <w:bCs w:val="1"/>
          <w:color w:val="auto"/>
        </w:rPr>
        <w:t>Section 2.1 Annual Meeting</w:t>
      </w:r>
      <w:r>
        <w:rPr>
          <w:rFonts w:ascii="Arial" w:cs="Arial" w:eastAsia="Arial" w:hAnsi="Arial"/>
          <w:sz w:val="12"/>
          <w:szCs w:val="12"/>
          <w:color w:val="auto"/>
        </w:rPr>
        <w:t>. The annual meeting of the stockholders of the Corporation, for the election of directors to succeed those whose terms expire and for the transaction of</w:t>
      </w:r>
      <w:r>
        <w:rPr>
          <w:rFonts w:ascii="Arial" w:cs="Arial" w:eastAsia="Arial" w:hAnsi="Arial"/>
          <w:sz w:val="12"/>
          <w:szCs w:val="12"/>
          <w:b w:val="1"/>
          <w:bCs w:val="1"/>
          <w:color w:val="auto"/>
        </w:rPr>
        <w:t xml:space="preserve"> </w:t>
      </w:r>
      <w:r>
        <w:rPr>
          <w:rFonts w:ascii="Arial" w:cs="Arial" w:eastAsia="Arial" w:hAnsi="Arial"/>
          <w:sz w:val="12"/>
          <w:szCs w:val="12"/>
          <w:color w:val="auto"/>
        </w:rPr>
        <w:t>other business as may properly come before the meeting, shall be held each year on a date and at a time as may be fixed by resolution of the Board and set forth in the notice of the meeting.</w:t>
      </w:r>
    </w:p>
    <w:p>
      <w:pPr>
        <w:spacing w:after="0" w:line="76"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2.2 Special Meeting</w:t>
      </w:r>
      <w:r>
        <w:rPr>
          <w:rFonts w:ascii="Arial" w:cs="Arial" w:eastAsia="Arial" w:hAnsi="Arial"/>
          <w:sz w:val="15"/>
          <w:szCs w:val="15"/>
          <w:color w:val="auto"/>
        </w:rPr>
        <w:t>. Except as otherwise required by law and subject to the rights of the holders of any class or series of stock having a preference over the Common Stock,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in the Amended and Restated Certificate of Incorporation of the Corporation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as to dividends or upon liquidation, special meetings of the stockholders of the Corporation for any purpose or purposes may be called only by:</w:t>
      </w:r>
    </w:p>
    <w:p>
      <w:pPr>
        <w:spacing w:after="0" w:line="158" w:lineRule="exact"/>
        <w:rPr>
          <w:sz w:val="20"/>
          <w:szCs w:val="20"/>
          <w:color w:val="auto"/>
        </w:rPr>
      </w:pPr>
    </w:p>
    <w:p>
      <w:pPr>
        <w:ind w:left="1400" w:hanging="343"/>
        <w:spacing w:after="0"/>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Board, pursuant to a resolution stating the purpose or purposes thereof approved by a majority of the Board, or</w:t>
      </w:r>
    </w:p>
    <w:p>
      <w:pPr>
        <w:spacing w:after="0" w:line="177" w:lineRule="exact"/>
        <w:rPr>
          <w:rFonts w:ascii="Arial" w:cs="Arial" w:eastAsia="Arial" w:hAnsi="Arial"/>
          <w:sz w:val="15"/>
          <w:szCs w:val="15"/>
          <w:color w:val="auto"/>
        </w:rPr>
      </w:pPr>
    </w:p>
    <w:p>
      <w:pPr>
        <w:ind w:left="1400" w:hanging="343"/>
        <w:spacing w:after="0"/>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Chairman of the Board.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 business other than that stated in the notice shall be transacted at any special meeting.</w:t>
      </w:r>
    </w:p>
    <w:p>
      <w:pPr>
        <w:spacing w:after="0" w:line="173"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2.3 Place of Meetings</w:t>
      </w:r>
      <w:r>
        <w:rPr>
          <w:rFonts w:ascii="Arial" w:cs="Arial" w:eastAsia="Arial" w:hAnsi="Arial"/>
          <w:sz w:val="15"/>
          <w:szCs w:val="15"/>
          <w:color w:val="auto"/>
        </w:rPr>
        <w:t>. The Board or the Chairman of the Board, as the case may be, may designate the place of meeting for any annual or special meeting of the stockholders.</w:t>
      </w:r>
      <w:r>
        <w:rPr>
          <w:rFonts w:ascii="Arial" w:cs="Arial" w:eastAsia="Arial" w:hAnsi="Arial"/>
          <w:sz w:val="15"/>
          <w:szCs w:val="15"/>
          <w:b w:val="1"/>
          <w:bCs w:val="1"/>
          <w:color w:val="auto"/>
        </w:rPr>
        <w:t xml:space="preserve"> </w:t>
      </w:r>
      <w:r>
        <w:rPr>
          <w:rFonts w:ascii="Arial" w:cs="Arial" w:eastAsia="Arial" w:hAnsi="Arial"/>
          <w:sz w:val="15"/>
          <w:szCs w:val="15"/>
          <w:color w:val="auto"/>
        </w:rPr>
        <w:t>If no designation is made, the place of meeting shall be the principal office of the Corporation. In lieu of holding a meeting of stockholders at a designated place, the Board may, in its sole discretion, determine that any meeting of stockholders may be held solely by means of remote communication.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6" w:name="page17"/>
    <w:bookmarkEnd w:id="16"/>
    <w:p>
      <w:pPr>
        <w:jc w:val="both"/>
        <w:ind w:firstLine="525"/>
        <w:spacing w:after="0" w:line="313" w:lineRule="auto"/>
        <w:rPr>
          <w:sz w:val="20"/>
          <w:szCs w:val="20"/>
          <w:color w:val="auto"/>
        </w:rPr>
      </w:pPr>
      <w:r>
        <w:rPr>
          <w:rFonts w:ascii="Arial" w:cs="Arial" w:eastAsia="Arial" w:hAnsi="Arial"/>
          <w:sz w:val="12"/>
          <w:szCs w:val="12"/>
          <w:b w:val="1"/>
          <w:bCs w:val="1"/>
          <w:color w:val="auto"/>
        </w:rPr>
        <w:t>Section 2.4 Closing Of Transfer Books And Fixing Record Date</w:t>
      </w:r>
      <w:r>
        <w:rPr>
          <w:rFonts w:ascii="Arial" w:cs="Arial" w:eastAsia="Arial" w:hAnsi="Arial"/>
          <w:sz w:val="12"/>
          <w:szCs w:val="12"/>
          <w:color w:val="auto"/>
        </w:rPr>
        <w:t>. For the purpose of determining stockholders entitled to notice of, or to vote at, any meeting of stockholders or any</w:t>
      </w:r>
      <w:r>
        <w:rPr>
          <w:rFonts w:ascii="Arial" w:cs="Arial" w:eastAsia="Arial" w:hAnsi="Arial"/>
          <w:sz w:val="12"/>
          <w:szCs w:val="12"/>
          <w:b w:val="1"/>
          <w:bCs w:val="1"/>
          <w:color w:val="auto"/>
        </w:rPr>
        <w:t xml:space="preserve"> </w:t>
      </w:r>
      <w:r>
        <w:rPr>
          <w:rFonts w:ascii="Arial" w:cs="Arial" w:eastAsia="Arial" w:hAnsi="Arial"/>
          <w:sz w:val="12"/>
          <w:szCs w:val="12"/>
          <w:color w:val="auto"/>
        </w:rPr>
        <w:t>adjournment thereof, or stockholders entitled to receive a distribution by the Corporation (other than a distribution involving a purchase or redemption by the Corporation of any of its own shares) or a share dividend, or in order to make a determination of stockholders for any other proper purpose, the Board may provide that the stock transfer books shall be closed for a stated period in no case to exceed 60 days. If the stock transfer books are closed for the purpose of determining stockholders entitled to notice of or to vote at a meeting of stockholders, the books shall be closed for at least 10 days immediately preceding the meeting. In lieu of closing the stock transfer books, the Board may fix in advance a date as the record date for any such determination of stockholders, such date in no case to be more than 60 days nor, in the case of a meeting of stockholders, less than 10 days prior to the date on which the particular action requiring the determination of stockholders is to be taken. If the stock transfer books are not closed and no record date is fixed: (a) the record date for determining stockholders entitled to notice of or to vote at a meeting of stockholders shall be at the close of business on the day next preceding the day on which notice is given, or, if in accordance with these Bylaws notice is waived, at the close of business on the day next preceding the day on which the meeting is held; and (b) the record date for determining stockholders for any other purpose shall be at the close of business on the day on which the Board adopts the resolution relating thereto. When a determination of stockholders entitled to vote at any meeting of stockholders has been made, as provided in this Section, the determination shall apply to any adjournment thereof except where the determination has been made through the closing of stock transfer books and the stated period of closing has expired.</w:t>
      </w:r>
    </w:p>
    <w:p>
      <w:pPr>
        <w:spacing w:after="0" w:line="299" w:lineRule="exact"/>
        <w:rPr>
          <w:sz w:val="20"/>
          <w:szCs w:val="20"/>
          <w:color w:val="auto"/>
        </w:rPr>
      </w:pPr>
    </w:p>
    <w:p>
      <w:pPr>
        <w:jc w:val="both"/>
        <w:ind w:firstLine="525"/>
        <w:spacing w:after="0" w:line="313" w:lineRule="auto"/>
        <w:rPr>
          <w:sz w:val="20"/>
          <w:szCs w:val="20"/>
          <w:color w:val="auto"/>
        </w:rPr>
      </w:pPr>
      <w:r>
        <w:rPr>
          <w:rFonts w:ascii="Arial" w:cs="Arial" w:eastAsia="Arial" w:hAnsi="Arial"/>
          <w:sz w:val="12"/>
          <w:szCs w:val="12"/>
          <w:b w:val="1"/>
          <w:bCs w:val="1"/>
          <w:color w:val="auto"/>
        </w:rPr>
        <w:t>Section 2.5 Notice of Meeting</w:t>
      </w:r>
      <w:r>
        <w:rPr>
          <w:rFonts w:ascii="Arial" w:cs="Arial" w:eastAsia="Arial" w:hAnsi="Arial"/>
          <w:sz w:val="12"/>
          <w:szCs w:val="12"/>
          <w:color w:val="auto"/>
        </w:rPr>
        <w:t>. All notices of meetings of stockholders shall be sent or otherwise given by the Corporation not less than 10 calendar days nor more than 60 calendar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days before the date of the meeting to each stockholder of record entitled to vote at the meeting. The notice shall specify the place, if any, date, hour of the meeting, the means of remote communications, if any, by which stockholders and proxy holders may be deemed to be present in person and vote at the meeting, and, in the case of a special meeting, the purpose or purposes for which the meeting is called. Holders of Preferred Stock, as defined in the Certificate of Incorporation, are not entitled to receive notice of any meeting of stockholders at which they are not entitled to vote. Without limiting the manner by which notice may otherwise be given effectively to stockholders, any notice to stockholders may be given by electronic transmission in the manner provided in the DGCL. If mailed, notice to stockholders shall be deemed to be given when deposited in the United States mail with postage thereon prepaid, addressed to the stockholder at such person’s address as it appears on the records of the Corporation. An affidavit of the Secretary or Assistant Secretary, proxy solicitor hired by the Corporation or of the transfer agent of the Corporation that the notice has been given shall, in the absence of fraud, be prima facie evidence of the facts stated therein. Only such business shall be conducted at a special meeting of stockholders as was included in the Corporation’s notice of meeting. Meetings may be held without notice if all stockholders entitled to vote are present, or if notice is waived by those not present in accordance with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of these Bylaws. Any previously scheduled meeting of the stockholders may be postponed, and any special meeting of the stockholders may be canceled, by resolution of the Board upon public notice given prior to the date previously scheduled for the meeting of stockholders.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7" w:name="page18"/>
    <w:bookmarkEnd w:id="17"/>
    <w:p>
      <w:pPr>
        <w:jc w:val="both"/>
        <w:ind w:firstLine="525"/>
        <w:spacing w:after="0" w:line="321" w:lineRule="auto"/>
        <w:rPr>
          <w:sz w:val="20"/>
          <w:szCs w:val="20"/>
          <w:color w:val="auto"/>
        </w:rPr>
      </w:pPr>
      <w:r>
        <w:rPr>
          <w:rFonts w:ascii="Arial" w:cs="Arial" w:eastAsia="Arial" w:hAnsi="Arial"/>
          <w:sz w:val="12"/>
          <w:szCs w:val="12"/>
          <w:b w:val="1"/>
          <w:bCs w:val="1"/>
          <w:color w:val="auto"/>
        </w:rPr>
        <w:t>Section 2.6 Quorum and Adjournment; Voting</w:t>
      </w:r>
      <w:r>
        <w:rPr>
          <w:rFonts w:ascii="Arial" w:cs="Arial" w:eastAsia="Arial" w:hAnsi="Arial"/>
          <w:sz w:val="12"/>
          <w:szCs w:val="12"/>
          <w:color w:val="auto"/>
        </w:rPr>
        <w:t>. Except as otherwise provided by law, the Certificate of Incorporation or these Bylaws, the holders of a majority of the voting power</w:t>
      </w:r>
      <w:r>
        <w:rPr>
          <w:rFonts w:ascii="Arial" w:cs="Arial" w:eastAsia="Arial" w:hAnsi="Arial"/>
          <w:sz w:val="12"/>
          <w:szCs w:val="12"/>
          <w:b w:val="1"/>
          <w:bCs w:val="1"/>
          <w:color w:val="auto"/>
        </w:rPr>
        <w:t xml:space="preserve"> </w:t>
      </w:r>
      <w:r>
        <w:rPr>
          <w:rFonts w:ascii="Arial" w:cs="Arial" w:eastAsia="Arial" w:hAnsi="Arial"/>
          <w:sz w:val="12"/>
          <w:szCs w:val="12"/>
          <w:color w:val="auto"/>
        </w:rPr>
        <w:t>of all outstanding shares of the Corporation entitled to vote generally in the election of Directors (as hereinafter defined) (the “</w:t>
      </w:r>
      <w:r>
        <w:rPr>
          <w:rFonts w:ascii="Arial" w:cs="Arial" w:eastAsia="Arial" w:hAnsi="Arial"/>
          <w:sz w:val="12"/>
          <w:szCs w:val="12"/>
          <w:u w:val="single" w:color="auto"/>
          <w:color w:val="auto"/>
        </w:rPr>
        <w:t>Voting Stock</w:t>
      </w:r>
      <w:r>
        <w:rPr>
          <w:rFonts w:ascii="Arial" w:cs="Arial" w:eastAsia="Arial" w:hAnsi="Arial"/>
          <w:sz w:val="12"/>
          <w:szCs w:val="12"/>
          <w:color w:val="auto"/>
        </w:rPr>
        <w:t>”), represented in person or by proxy, shall constitute a quorum at a meeting of stockholders, except that when specified business is to be voted on by a class or series of stock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Bylaws. The stockholders present in person or by proxy at a duly called meeting at which a quorum is present may continue to transact business until adjournment, notwithstanding the withdrawal of enough stockholders to leave less than a quorum.</w:t>
      </w:r>
    </w:p>
    <w:p>
      <w:pPr>
        <w:spacing w:after="0" w:line="117"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2.7 Proxies</w:t>
      </w:r>
      <w:r>
        <w:rPr>
          <w:rFonts w:ascii="Arial" w:cs="Arial" w:eastAsia="Arial" w:hAnsi="Arial"/>
          <w:sz w:val="15"/>
          <w:szCs w:val="15"/>
          <w:color w:val="auto"/>
        </w:rPr>
        <w:t>. At all meetings of stockholders, a stockholder may vote by proxy executed in writing (or in such other manner permitted by the DGCL, including electronic</w:t>
      </w:r>
      <w:r>
        <w:rPr>
          <w:rFonts w:ascii="Arial" w:cs="Arial" w:eastAsia="Arial" w:hAnsi="Arial"/>
          <w:sz w:val="15"/>
          <w:szCs w:val="15"/>
          <w:b w:val="1"/>
          <w:bCs w:val="1"/>
          <w:color w:val="auto"/>
        </w:rPr>
        <w:t xml:space="preserve"> </w:t>
      </w:r>
      <w:r>
        <w:rPr>
          <w:rFonts w:ascii="Arial" w:cs="Arial" w:eastAsia="Arial" w:hAnsi="Arial"/>
          <w:sz w:val="15"/>
          <w:szCs w:val="15"/>
          <w:color w:val="auto"/>
        </w:rPr>
        <w:t>transmissions) by the stockholder or by the stockholder’s duly authorized attorney-in-fact.</w:t>
      </w:r>
    </w:p>
    <w:p>
      <w:pPr>
        <w:spacing w:after="0" w:line="145"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2.8</w:t>
      </w:r>
      <w:r>
        <w:rPr>
          <w:sz w:val="20"/>
          <w:szCs w:val="20"/>
          <w:color w:val="auto"/>
        </w:rPr>
        <w:tab/>
      </w:r>
      <w:r>
        <w:rPr>
          <w:rFonts w:ascii="Arial" w:cs="Arial" w:eastAsia="Arial" w:hAnsi="Arial"/>
          <w:sz w:val="12"/>
          <w:szCs w:val="12"/>
          <w:b w:val="1"/>
          <w:bCs w:val="1"/>
          <w:color w:val="auto"/>
        </w:rPr>
        <w:t>List of Stockholders Entitled to Vote.</w:t>
      </w:r>
    </w:p>
    <w:p>
      <w:pPr>
        <w:spacing w:after="0" w:line="181" w:lineRule="exact"/>
        <w:rPr>
          <w:sz w:val="20"/>
          <w:szCs w:val="20"/>
          <w:color w:val="auto"/>
        </w:rPr>
      </w:pPr>
    </w:p>
    <w:p>
      <w:pPr>
        <w:jc w:val="both"/>
        <w:ind w:left="540" w:firstLine="517"/>
        <w:spacing w:after="0" w:line="330" w:lineRule="auto"/>
        <w:tabs>
          <w:tab w:leader="none" w:pos="1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complete list of stockholders entitled to vote at any meeting of stockholders, arranged in alphabetical order for each class of stock and showing the address of each such stockholder and the number of shares registered in the name of such stockholder, shall be open to the examination of any stockholder, for any purpose germane to the meeting, during ordinary business hours, for a period of at least 10 days prior to the meeting, (1) on a reasonably accessible electronic network, provided that the information required to gain access to the list is furnished with the notice of the meeting or (2) during ordinary business hours, at the principal place of business of the Corporation.</w:t>
      </w:r>
    </w:p>
    <w:p>
      <w:pPr>
        <w:spacing w:after="0" w:line="115" w:lineRule="exact"/>
        <w:rPr>
          <w:rFonts w:ascii="Arial" w:cs="Arial" w:eastAsia="Arial" w:hAnsi="Arial"/>
          <w:sz w:val="12"/>
          <w:szCs w:val="12"/>
          <w:color w:val="auto"/>
        </w:rPr>
      </w:pPr>
    </w:p>
    <w:p>
      <w:pPr>
        <w:jc w:val="both"/>
        <w:ind w:left="540" w:firstLine="517"/>
        <w:spacing w:after="0" w:line="269" w:lineRule="auto"/>
        <w:tabs>
          <w:tab w:leader="none" w:pos="1425"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If the Corporation determines to make the list available on an electronic network, the Corporation may take reasonable steps to ensure that the information is available only to stockholders. If the meeting is to be held at a place, then the list shall be produced and kept at the time and place of the meeting during the meeting and may be inspected by any stockholder who is present at that meeting. If the meeting is to be held solely by means of remote communication, then the list also shall be open to the examination of any stockholder during the meeting on a reasonably accessible electronic network, and the information required to access the list shall be provided with the notice of that meeting. Nothing contained in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shall require the Corporation to include electronic mail addresses or other electronic contact information on the list.</w:t>
      </w:r>
    </w:p>
    <w:p>
      <w:pPr>
        <w:spacing w:after="0" w:line="143"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2.9</w:t>
      </w:r>
      <w:r>
        <w:rPr>
          <w:sz w:val="20"/>
          <w:szCs w:val="20"/>
          <w:color w:val="auto"/>
        </w:rPr>
        <w:tab/>
      </w:r>
      <w:r>
        <w:rPr>
          <w:rFonts w:ascii="Arial" w:cs="Arial" w:eastAsia="Arial" w:hAnsi="Arial"/>
          <w:sz w:val="12"/>
          <w:szCs w:val="12"/>
          <w:color w:val="auto"/>
        </w:rPr>
        <w:t>Notice of Stockholder Business and Nominations.</w:t>
      </w:r>
    </w:p>
    <w:p>
      <w:pPr>
        <w:spacing w:after="0" w:line="181" w:lineRule="exact"/>
        <w:rPr>
          <w:sz w:val="20"/>
          <w:szCs w:val="20"/>
          <w:color w:val="auto"/>
        </w:rPr>
      </w:pPr>
    </w:p>
    <w:p>
      <w:pPr>
        <w:ind w:left="1400" w:hanging="343"/>
        <w:spacing w:after="0"/>
        <w:tabs>
          <w:tab w:leader="none" w:pos="1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Annual Meetings of Stockholders.</w:t>
      </w:r>
    </w:p>
    <w:p>
      <w:pPr>
        <w:spacing w:after="0" w:line="177" w:lineRule="exact"/>
        <w:rPr>
          <w:rFonts w:ascii="Arial" w:cs="Arial" w:eastAsia="Arial" w:hAnsi="Arial"/>
          <w:sz w:val="15"/>
          <w:szCs w:val="15"/>
          <w:color w:val="auto"/>
        </w:rPr>
      </w:pPr>
    </w:p>
    <w:p>
      <w:pPr>
        <w:jc w:val="both"/>
        <w:ind w:left="1060" w:firstLine="521"/>
        <w:spacing w:after="0" w:line="248" w:lineRule="auto"/>
        <w:tabs>
          <w:tab w:leader="none" w:pos="2008" w:val="left"/>
        </w:tabs>
        <w:numPr>
          <w:ilvl w:val="1"/>
          <w:numId w:val="7"/>
        </w:numPr>
        <w:rPr>
          <w:rFonts w:ascii="Arial" w:cs="Arial" w:eastAsia="Arial" w:hAnsi="Arial"/>
          <w:sz w:val="15"/>
          <w:szCs w:val="15"/>
          <w:color w:val="auto"/>
        </w:rPr>
      </w:pPr>
      <w:r>
        <w:rPr>
          <w:rFonts w:ascii="Arial" w:cs="Arial" w:eastAsia="Arial" w:hAnsi="Arial"/>
          <w:sz w:val="15"/>
          <w:szCs w:val="15"/>
          <w:color w:val="auto"/>
        </w:rPr>
        <w:t xml:space="preserve">Nominations of persons for election to the Board and the proposal of business to be considered by the stockholders may be made at an annual meeting of stockholders (A) pursuant to the Corporation’s notice of meeting in accordance with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of these Bylaws, (B) by or at the direction of the Board, or (C) by any stockholder of the Corporation who was a stockholder of record at the time the notice was delivered, who is entitled to vote at the meeting and who complies with the notice procedures set forth below.</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8" w:name="page19"/>
    <w:bookmarkEnd w:id="18"/>
    <w:p>
      <w:pPr>
        <w:jc w:val="both"/>
        <w:ind w:firstLine="525"/>
        <w:spacing w:after="0" w:line="265" w:lineRule="auto"/>
        <w:rPr>
          <w:sz w:val="20"/>
          <w:szCs w:val="20"/>
          <w:color w:val="auto"/>
        </w:rPr>
      </w:pPr>
      <w:r>
        <w:rPr>
          <w:rFonts w:ascii="Arial" w:cs="Arial" w:eastAsia="Arial" w:hAnsi="Arial"/>
          <w:sz w:val="14"/>
          <w:szCs w:val="14"/>
          <w:color w:val="auto"/>
        </w:rPr>
        <w:t xml:space="preserve">(ii) For nominations or other business to be properly brought before an annual meeting by a stockholder pursuant to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of hereof, the stockholder must have given timely notice thereof in writing to the Secretary of the Corporation in accordance with this and, in the case of business other than nominations, such other business must otherwise be a proper matter for stockholder action under the DGCL. To be considered timely, a stockholder’s notice shall be delivered to the Secretary at the principal executive offices of the Corporation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stockholder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Corporation. In no event shall the public announcement of an adjournment of an annual meeting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-805180</wp:posOffset>
            </wp:positionV>
            <wp:extent cx="2286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60" cy="698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-694690</wp:posOffset>
            </wp:positionV>
            <wp:extent cx="228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32" w:lineRule="exact"/>
        <w:rPr>
          <w:sz w:val="20"/>
          <w:szCs w:val="20"/>
          <w:color w:val="auto"/>
        </w:rPr>
      </w:pPr>
    </w:p>
    <w:p>
      <w:pPr>
        <w:ind w:left="920" w:hanging="399"/>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stockholder’s notice shall set forth:</w:t>
      </w:r>
    </w:p>
    <w:p>
      <w:pPr>
        <w:spacing w:after="0" w:line="177" w:lineRule="exact"/>
        <w:rPr>
          <w:rFonts w:ascii="Arial" w:cs="Arial" w:eastAsia="Arial" w:hAnsi="Arial"/>
          <w:sz w:val="15"/>
          <w:szCs w:val="15"/>
          <w:color w:val="auto"/>
        </w:rPr>
      </w:pPr>
    </w:p>
    <w:p>
      <w:pPr>
        <w:jc w:val="both"/>
        <w:ind w:left="520" w:firstLine="526"/>
        <w:spacing w:after="0" w:line="277" w:lineRule="auto"/>
        <w:tabs>
          <w:tab w:leader="none" w:pos="1434" w:val="left"/>
        </w:tabs>
        <w:numPr>
          <w:ilvl w:val="1"/>
          <w:numId w:val="8"/>
        </w:numPr>
        <w:rPr>
          <w:rFonts w:ascii="Arial" w:cs="Arial" w:eastAsia="Arial" w:hAnsi="Arial"/>
          <w:sz w:val="14"/>
          <w:szCs w:val="14"/>
          <w:color w:val="auto"/>
        </w:rPr>
      </w:pPr>
      <w:r>
        <w:rPr>
          <w:rFonts w:ascii="Arial" w:cs="Arial" w:eastAsia="Arial" w:hAnsi="Arial"/>
          <w:sz w:val="14"/>
          <w:szCs w:val="14"/>
          <w:color w:val="auto"/>
        </w:rPr>
        <w:t>to each person whom the stockholder proposes to nominate for election or re-election as a director, all information relating to such person that is required to be disclosed in solicitations of proxies for election of directors pursuant to Regulation 14A under the Securities Exchange Act of 1934, as amended (the “</w:t>
      </w:r>
      <w:r>
        <w:rPr>
          <w:rFonts w:ascii="Arial" w:cs="Arial" w:eastAsia="Arial" w:hAnsi="Arial"/>
          <w:sz w:val="14"/>
          <w:szCs w:val="14"/>
          <w:u w:val="single" w:color="auto"/>
          <w:color w:val="auto"/>
        </w:rPr>
        <w:t>Exchange</w:t>
      </w:r>
      <w:r>
        <w:rPr>
          <w:rFonts w:ascii="Arial" w:cs="Arial" w:eastAsia="Arial" w:hAnsi="Arial"/>
          <w:sz w:val="14"/>
          <w:szCs w:val="14"/>
          <w:color w:val="auto"/>
        </w:rPr>
        <w:t xml:space="preserve"> </w:t>
      </w:r>
      <w:r>
        <w:rPr>
          <w:rFonts w:ascii="Arial" w:cs="Arial" w:eastAsia="Arial" w:hAnsi="Arial"/>
          <w:sz w:val="14"/>
          <w:szCs w:val="14"/>
          <w:u w:val="single" w:color="auto"/>
          <w:color w:val="auto"/>
        </w:rPr>
        <w:t>Act</w:t>
      </w:r>
      <w:r>
        <w:rPr>
          <w:rFonts w:ascii="Arial" w:cs="Arial" w:eastAsia="Arial" w:hAnsi="Arial"/>
          <w:sz w:val="14"/>
          <w:szCs w:val="14"/>
          <w:color w:val="auto"/>
        </w:rPr>
        <w:t>”), including such person’s written consent to being named in the proxy statement as a nominee and to serving as a director if elected;</w:t>
      </w:r>
    </w:p>
    <w:p>
      <w:pPr>
        <w:spacing w:after="0" w:line="141" w:lineRule="exact"/>
        <w:rPr>
          <w:rFonts w:ascii="Arial" w:cs="Arial" w:eastAsia="Arial" w:hAnsi="Arial"/>
          <w:sz w:val="14"/>
          <w:szCs w:val="14"/>
          <w:color w:val="auto"/>
        </w:rPr>
      </w:pPr>
    </w:p>
    <w:p>
      <w:pPr>
        <w:jc w:val="both"/>
        <w:ind w:left="520" w:firstLine="526"/>
        <w:spacing w:after="0" w:line="271" w:lineRule="auto"/>
        <w:tabs>
          <w:tab w:leader="none" w:pos="1472" w:val="left"/>
        </w:tabs>
        <w:numPr>
          <w:ilvl w:val="1"/>
          <w:numId w:val="8"/>
        </w:numPr>
        <w:rPr>
          <w:rFonts w:ascii="Arial" w:cs="Arial" w:eastAsia="Arial" w:hAnsi="Arial"/>
          <w:sz w:val="14"/>
          <w:szCs w:val="14"/>
          <w:color w:val="auto"/>
        </w:rPr>
      </w:pPr>
      <w:r>
        <w:rPr>
          <w:rFonts w:ascii="Arial" w:cs="Arial" w:eastAsia="Arial" w:hAnsi="Arial"/>
          <w:sz w:val="14"/>
          <w:szCs w:val="14"/>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w:t>
      </w:r>
    </w:p>
    <w:p>
      <w:pPr>
        <w:spacing w:after="0" w:line="344"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60960</wp:posOffset>
            </wp:positionV>
            <wp:extent cx="729234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400"/>
          </w:cols>
          <w:pgMar w:left="1280" w:top="500" w:right="219" w:bottom="1440" w:gutter="0" w:footer="0" w:header="0"/>
        </w:sectPr>
      </w:pPr>
    </w:p>
    <w:bookmarkStart w:id="19" w:name="page20"/>
    <w:bookmarkEnd w:id="19"/>
    <w:p>
      <w:pPr>
        <w:jc w:val="both"/>
        <w:ind w:left="520" w:firstLine="526"/>
        <w:spacing w:after="0" w:line="310" w:lineRule="auto"/>
        <w:tabs>
          <w:tab w:leader="none" w:pos="1445"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stock of the Corporation held of record and beneficially by such stockholder and such beneficial owner, (iii) a description of any agreement, arrangement or understanding with respect to the nomination or proposal between or among such stockholder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owners, the effect or intent of which is to mitigate loss to, manage risk or benefit of share price changes for, or increase or decrease the voting power of, such stockholder or such beneficial owner, with respect to shares of stock of the Corporation, (v) the name in which all such shares of stock are registered on the stock transfer books of the Corporation, (vi) a representation that the stockholder is a holder of record of stock of the Corporation entitled to vote at such meeting and intends to appear at the meeting in person or by proxy to submit the business or nomination specified in such notice, (vii)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from stockholders in support of such proposal or nomination, and (viii) all other information relating to the proposed business or nomination which may be required to be disclosed under applicable law.</w:t>
      </w:r>
    </w:p>
    <w:p>
      <w:pPr>
        <w:spacing w:after="0" w:line="306"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In addition, a stockholder seeking to submit such business or nomination at the meeting shall promptly provide any other information reasonably requested by the Corporation. The foregoing notice requirements of this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-464820</wp:posOffset>
            </wp:positionV>
            <wp:extent cx="2286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43" w:lineRule="exact"/>
        <w:rPr>
          <w:sz w:val="20"/>
          <w:szCs w:val="20"/>
          <w:color w:val="auto"/>
        </w:rPr>
      </w:pPr>
    </w:p>
    <w:p>
      <w:pPr>
        <w:jc w:val="both"/>
        <w:ind w:firstLine="521"/>
        <w:spacing w:after="0" w:line="269" w:lineRule="auto"/>
        <w:tabs>
          <w:tab w:leader="none" w:pos="917"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Notwithstanding anything in the second sentence of </w:t>
      </w:r>
      <w:r>
        <w:rPr>
          <w:rFonts w:ascii="Arial" w:cs="Arial" w:eastAsia="Arial" w:hAnsi="Arial"/>
          <w:sz w:val="14"/>
          <w:szCs w:val="14"/>
          <w:u w:val="single" w:color="auto"/>
          <w:color w:val="auto"/>
        </w:rPr>
        <w:t>paragraph</w:t>
      </w:r>
      <w:r>
        <w:rPr>
          <w:rFonts w:ascii="Arial" w:cs="Arial" w:eastAsia="Arial" w:hAnsi="Arial"/>
          <w:sz w:val="14"/>
          <w:szCs w:val="14"/>
          <w:color w:val="auto"/>
        </w:rPr>
        <w:t xml:space="preserve"> of this Bylaw to the contrary, in the event that the number of Directors to be elected to the Board is increased and there is no public announcement by the Corporation naming all of the nominees for Director or specifying the size of the increased Board at least 120 calendar days prior to the first anniversary of the preceding year’s annual meeting, a stockholder’s notice required by this </w:t>
      </w:r>
      <w:r>
        <w:rPr>
          <w:rFonts w:ascii="Arial" w:cs="Arial" w:eastAsia="Arial" w:hAnsi="Arial"/>
          <w:sz w:val="14"/>
          <w:szCs w:val="14"/>
          <w:u w:val="single" w:color="auto"/>
          <w:color w:val="auto"/>
        </w:rPr>
        <w:t>Section 2.9</w:t>
      </w:r>
      <w:r>
        <w:rPr>
          <w:rFonts w:ascii="Arial" w:cs="Arial" w:eastAsia="Arial" w:hAnsi="Arial"/>
          <w:sz w:val="14"/>
          <w:szCs w:val="14"/>
          <w:color w:val="auto"/>
        </w:rPr>
        <w:t xml:space="preserve"> shall also be considered timely, but only with respect to nominees for any new positions created by such increase, if it is delivered to the Secretary at the principal executive offices of the Corporation not later than the close of business on the 10th calendar day following the day on which such public announcement is first made by the Corporation.</w:t>
      </w:r>
    </w:p>
    <w:p>
      <w:pPr>
        <w:spacing w:after="0" w:line="344"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60960</wp:posOffset>
            </wp:positionV>
            <wp:extent cx="729234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400"/>
          </w:cols>
          <w:pgMar w:left="1280" w:top="500" w:right="219" w:bottom="1440" w:gutter="0" w:footer="0" w:header="0"/>
        </w:sectPr>
      </w:pPr>
    </w:p>
    <w:bookmarkStart w:id="20" w:name="page21"/>
    <w:bookmarkEnd w:id="20"/>
    <w:p>
      <w:pPr>
        <w:jc w:val="both"/>
        <w:ind w:firstLine="517"/>
        <w:spacing w:after="0" w:line="313" w:lineRule="auto"/>
        <w:tabs>
          <w:tab w:leader="none" w:pos="882"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Special Meetings of the Stockholders. Only such business shall be conducted at a special meeting of stockholders as shall have been brought before the meeting pursuant to the Corporation’s notice of meeting under </w:t>
      </w:r>
      <w:r>
        <w:rPr>
          <w:rFonts w:ascii="Arial" w:cs="Arial" w:eastAsia="Arial" w:hAnsi="Arial"/>
          <w:sz w:val="12"/>
          <w:szCs w:val="12"/>
          <w:u w:val="single" w:color="auto"/>
          <w:color w:val="auto"/>
        </w:rPr>
        <w:t>Section 2.5</w:t>
      </w:r>
      <w:r>
        <w:rPr>
          <w:rFonts w:ascii="Arial" w:cs="Arial" w:eastAsia="Arial" w:hAnsi="Arial"/>
          <w:sz w:val="12"/>
          <w:szCs w:val="12"/>
          <w:color w:val="auto"/>
        </w:rPr>
        <w:t xml:space="preserve"> of these Bylaws. Nominations of persons for election to the Board may be made at a special meeting of stockholders at which Directors are to be elected pursuant to the Corporation’s notice of meeting (i) by or at the direction of the Board, provided that the Board has determined that Directors shall be elected at such meeting, or (ii) by any stockholder of the Corporation who is a stockholder of record at the time of giving of notice provided for in this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who shall be entitled to vote at the meeting and who complies with the notice procedures set forth in this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In the event the Corporation calls a special meeting of stockholders for the purpose of electing one or more Directors to the Board, any stockholder may nominate a person or persons (as the case may be) for election to such position(s) as specified in the Corporation’s notice of meeting pursuant to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if the stockholder’s notice required by </w:t>
      </w:r>
      <w:r>
        <w:rPr>
          <w:rFonts w:ascii="Arial" w:cs="Arial" w:eastAsia="Arial" w:hAnsi="Arial"/>
          <w:sz w:val="12"/>
          <w:szCs w:val="12"/>
          <w:u w:val="single" w:color="auto"/>
          <w:color w:val="auto"/>
        </w:rPr>
        <w:t>paragraphs</w:t>
      </w:r>
      <w:r>
        <w:rPr>
          <w:rFonts w:ascii="Arial" w:cs="Arial" w:eastAsia="Arial" w:hAnsi="Arial"/>
          <w:sz w:val="12"/>
          <w:szCs w:val="12"/>
          <w:color w:val="auto"/>
        </w:rPr>
        <w:t xml:space="preserve"> and of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is delivered to the Secretary at the principal executive offices of the Corporation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stockholder’s notice as described above.</w:t>
      </w:r>
    </w:p>
    <w:p>
      <w:pPr>
        <w:spacing w:after="0" w:line="303" w:lineRule="exact"/>
        <w:rPr>
          <w:rFonts w:ascii="Arial" w:cs="Arial" w:eastAsia="Arial" w:hAnsi="Arial"/>
          <w:sz w:val="12"/>
          <w:szCs w:val="12"/>
          <w:color w:val="auto"/>
        </w:rPr>
      </w:pPr>
    </w:p>
    <w:p>
      <w:pPr>
        <w:ind w:left="860" w:hanging="343"/>
        <w:spacing w:after="0"/>
        <w:tabs>
          <w:tab w:leader="none" w:pos="8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w:t>
      </w:r>
    </w:p>
    <w:p>
      <w:pPr>
        <w:spacing w:after="0" w:line="177" w:lineRule="exact"/>
        <w:rPr>
          <w:rFonts w:ascii="Arial" w:cs="Arial" w:eastAsia="Arial" w:hAnsi="Arial"/>
          <w:sz w:val="15"/>
          <w:szCs w:val="15"/>
          <w:color w:val="auto"/>
        </w:rPr>
      </w:pPr>
    </w:p>
    <w:p>
      <w:pPr>
        <w:jc w:val="both"/>
        <w:ind w:left="520" w:firstLine="521"/>
        <w:spacing w:after="0" w:line="269" w:lineRule="auto"/>
        <w:tabs>
          <w:tab w:leader="none" w:pos="1408" w:val="left"/>
        </w:tabs>
        <w:numPr>
          <w:ilvl w:val="1"/>
          <w:numId w:val="11"/>
        </w:numPr>
        <w:rPr>
          <w:rFonts w:ascii="Arial" w:cs="Arial" w:eastAsia="Arial" w:hAnsi="Arial"/>
          <w:sz w:val="14"/>
          <w:szCs w:val="14"/>
          <w:color w:val="auto"/>
        </w:rPr>
      </w:pPr>
      <w:r>
        <w:rPr>
          <w:rFonts w:ascii="Arial" w:cs="Arial" w:eastAsia="Arial" w:hAnsi="Arial"/>
          <w:sz w:val="14"/>
          <w:szCs w:val="14"/>
          <w:color w:val="auto"/>
        </w:rPr>
        <w:t xml:space="preserve">Only the persons who are nominated in accordance with the procedures set forth in this Bylaw are eligible to serve as Directors and only such business shall be conducted at a meeting of stockholders as shall have been brought before the meeting in accordance with the procedures set forth in this </w:t>
      </w:r>
      <w:r>
        <w:rPr>
          <w:rFonts w:ascii="Arial" w:cs="Arial" w:eastAsia="Arial" w:hAnsi="Arial"/>
          <w:sz w:val="14"/>
          <w:szCs w:val="14"/>
          <w:u w:val="single" w:color="auto"/>
          <w:color w:val="auto"/>
        </w:rPr>
        <w:t>Section 2.9</w:t>
      </w:r>
      <w:r>
        <w:rPr>
          <w:rFonts w:ascii="Arial" w:cs="Arial" w:eastAsia="Arial" w:hAnsi="Arial"/>
          <w:sz w:val="14"/>
          <w:szCs w:val="14"/>
          <w:color w:val="auto"/>
        </w:rPr>
        <w:t>.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in not in compliance with this Bylaw, to declare that the defective proposal or nomination will be disregarded.</w:t>
      </w:r>
    </w:p>
    <w:p>
      <w:pPr>
        <w:spacing w:after="0" w:line="146" w:lineRule="exact"/>
        <w:rPr>
          <w:rFonts w:ascii="Arial" w:cs="Arial" w:eastAsia="Arial" w:hAnsi="Arial"/>
          <w:sz w:val="14"/>
          <w:szCs w:val="14"/>
          <w:color w:val="auto"/>
        </w:rPr>
      </w:pPr>
    </w:p>
    <w:p>
      <w:pPr>
        <w:ind w:left="520" w:firstLine="521"/>
        <w:spacing w:after="0" w:line="259" w:lineRule="auto"/>
        <w:tabs>
          <w:tab w:leader="none" w:pos="1441" w:val="left"/>
        </w:tabs>
        <w:numPr>
          <w:ilvl w:val="1"/>
          <w:numId w:val="11"/>
        </w:numPr>
        <w:rPr>
          <w:rFonts w:ascii="Arial" w:cs="Arial" w:eastAsia="Arial" w:hAnsi="Arial"/>
          <w:sz w:val="15"/>
          <w:szCs w:val="15"/>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2.9</w:t>
      </w:r>
      <w:r>
        <w:rPr>
          <w:rFonts w:ascii="Arial" w:cs="Arial" w:eastAsia="Arial" w:hAnsi="Arial"/>
          <w:sz w:val="15"/>
          <w:szCs w:val="15"/>
          <w:color w:val="auto"/>
        </w:rPr>
        <w:t>, “</w:t>
      </w:r>
      <w:r>
        <w:rPr>
          <w:rFonts w:ascii="Arial" w:cs="Arial" w:eastAsia="Arial" w:hAnsi="Arial"/>
          <w:sz w:val="15"/>
          <w:szCs w:val="15"/>
          <w:u w:val="single" w:color="auto"/>
          <w:color w:val="auto"/>
        </w:rPr>
        <w:t>public announcement</w:t>
      </w:r>
      <w:r>
        <w:rPr>
          <w:rFonts w:ascii="Arial" w:cs="Arial" w:eastAsia="Arial" w:hAnsi="Arial"/>
          <w:sz w:val="15"/>
          <w:szCs w:val="15"/>
          <w:color w:val="auto"/>
        </w:rPr>
        <w:t>” shall mean disclosure in a press release reported by the Dow Jones News Service, Associated Press or comparable national news service or in a document publicly filed by the Corporation with the Securities and Exchange Commission.</w:t>
      </w: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60960</wp:posOffset>
            </wp:positionV>
            <wp:extent cx="729234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0"/>
          </w:cols>
          <w:pgMar w:left="760" w:top="500" w:right="219" w:bottom="1440" w:gutter="0" w:footer="0" w:header="0"/>
        </w:sectPr>
      </w:pPr>
    </w:p>
    <w:bookmarkStart w:id="21" w:name="page22"/>
    <w:bookmarkEnd w:id="21"/>
    <w:p>
      <w:pPr>
        <w:jc w:val="both"/>
        <w:ind w:left="1060" w:firstLine="521"/>
        <w:spacing w:after="0" w:line="248" w:lineRule="auto"/>
        <w:tabs>
          <w:tab w:leader="none" w:pos="2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a stockholder shall also comply with all applicable requirements of the Exchange Act and the rules and regulations thereunder with respect to the matters set forth in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Nothing in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shall be deemed to affect any rights (A) of stockholders to request inclusion of proposals in the Corporation’s proxy statement pursuant to Rule 14a-8 under the Exchange Act or (B) of the holders of any series of Preferred Stock to elect Directors under an applicable Preferred Stock Designation (as defined in the Certificate of Incorporation).</w:t>
      </w:r>
    </w:p>
    <w:p>
      <w:pPr>
        <w:spacing w:after="0" w:line="15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Section 2.10 Procedure for Election of Directors; Required Vote</w:t>
      </w:r>
      <w:r>
        <w:rPr>
          <w:rFonts w:ascii="Arial" w:cs="Arial" w:eastAsia="Arial" w:hAnsi="Arial"/>
          <w:sz w:val="15"/>
          <w:szCs w:val="15"/>
          <w:color w:val="auto"/>
        </w:rPr>
        <w:t>. Election of Directors at all meetings of the stockholders at which Directors are to be elected need not be by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ballot unless otherwise determined by the Board prior to such meeting, and, subject to the rights of the holders of any series of Preferred Stock to elect Directors under an applicable Preferred Stock Designation, a plurality of the votes cast thereat shall elect Directors. Except as otherwise provided by law, the Certificate of Incorporation, any Preferred Stock Designation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spacing w:after="0" w:line="158"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b w:val="1"/>
          <w:bCs w:val="1"/>
          <w:color w:val="auto"/>
        </w:rPr>
        <w:t>Section 2.11 Inspectors of Elections; Opening and Closing the Polls</w:t>
      </w:r>
      <w:r>
        <w:rPr>
          <w:rFonts w:ascii="Arial" w:cs="Arial" w:eastAsia="Arial" w:hAnsi="Arial"/>
          <w:sz w:val="14"/>
          <w:szCs w:val="14"/>
          <w:color w:val="auto"/>
        </w:rPr>
        <w:t>. The Board by resolution shall appoint, or shall authorize an officer of the Corporation to appoint,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the stockholders,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stockholders will vote at a meeting.</w:t>
      </w:r>
    </w:p>
    <w:p>
      <w:pPr>
        <w:spacing w:after="0" w:line="145" w:lineRule="exact"/>
        <w:rPr>
          <w:sz w:val="20"/>
          <w:szCs w:val="20"/>
          <w:color w:val="auto"/>
        </w:rPr>
      </w:pPr>
    </w:p>
    <w:p>
      <w:pPr>
        <w:jc w:val="both"/>
        <w:ind w:firstLine="525"/>
        <w:spacing w:after="0" w:line="316" w:lineRule="auto"/>
        <w:rPr>
          <w:sz w:val="20"/>
          <w:szCs w:val="20"/>
          <w:color w:val="auto"/>
        </w:rPr>
      </w:pPr>
      <w:r>
        <w:rPr>
          <w:rFonts w:ascii="Arial" w:cs="Arial" w:eastAsia="Arial" w:hAnsi="Arial"/>
          <w:sz w:val="12"/>
          <w:szCs w:val="12"/>
          <w:b w:val="1"/>
          <w:bCs w:val="1"/>
          <w:color w:val="auto"/>
        </w:rPr>
        <w:t>Section 2.12 Conduct of Meetings</w:t>
      </w:r>
      <w:r>
        <w:rPr>
          <w:rFonts w:ascii="Arial" w:cs="Arial" w:eastAsia="Arial" w:hAnsi="Arial"/>
          <w:sz w:val="12"/>
          <w:szCs w:val="12"/>
          <w:color w:val="auto"/>
        </w:rPr>
        <w:t>. The Board may to the extent not prohibited by law adopt such rules and regulations for the conduct of meetings of stockholders as it shall deem</w:t>
      </w:r>
      <w:r>
        <w:rPr>
          <w:rFonts w:ascii="Arial" w:cs="Arial" w:eastAsia="Arial" w:hAnsi="Arial"/>
          <w:sz w:val="12"/>
          <w:szCs w:val="12"/>
          <w:b w:val="1"/>
          <w:bCs w:val="1"/>
          <w:color w:val="auto"/>
        </w:rPr>
        <w:t xml:space="preserve"> </w:t>
      </w:r>
      <w:r>
        <w:rPr>
          <w:rFonts w:ascii="Arial" w:cs="Arial" w:eastAsia="Arial" w:hAnsi="Arial"/>
          <w:sz w:val="12"/>
          <w:szCs w:val="12"/>
          <w:color w:val="auto"/>
        </w:rPr>
        <w:t>appropriate. Except to the extent inconsistent with such rules and regulations as adopted by the Board,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The date and time of the opening and closing of the polls for each matter upon which the stockholders will vote at a meeting shall be announced at the meeting by the person presiding over the meeting. Unless and to the extent determined by the Board or the chairman of the meeting, meetings of stockholders are not required to be held in accordance with the rules of parliamentary procedure.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2" w:name="page23"/>
    <w:bookmarkEnd w:id="22"/>
    <w:p>
      <w:pPr>
        <w:jc w:val="both"/>
        <w:ind w:firstLine="525"/>
        <w:spacing w:after="0" w:line="267" w:lineRule="auto"/>
        <w:rPr>
          <w:sz w:val="20"/>
          <w:szCs w:val="20"/>
          <w:color w:val="auto"/>
        </w:rPr>
      </w:pPr>
      <w:r>
        <w:rPr>
          <w:rFonts w:ascii="Arial" w:cs="Arial" w:eastAsia="Arial" w:hAnsi="Arial"/>
          <w:sz w:val="14"/>
          <w:szCs w:val="14"/>
          <w:b w:val="1"/>
          <w:bCs w:val="1"/>
          <w:color w:val="auto"/>
        </w:rPr>
        <w:t>Section 2.13 Meetings by Remote Communication</w:t>
      </w:r>
      <w:r>
        <w:rPr>
          <w:rFonts w:ascii="Arial" w:cs="Arial" w:eastAsia="Arial" w:hAnsi="Arial"/>
          <w:sz w:val="14"/>
          <w:szCs w:val="14"/>
          <w:color w:val="auto"/>
        </w:rPr>
        <w:t>. If authorized by the Board, and subject to any guidelines and procedures that the Board may adopt, stockholders and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not physically present at a meeting of stockholders may, by means of remote communication, participate in the meeting and be deemed present in person and vote at the meeting, whether the meeting is to be held in a designated place or solely by means of remote communication, provided that (a) the Corporation implements reasonable measures to verify that each person deemed present and permitted to vote at the meeting by means of remote communication is a stockholder or proxy holder; (b) the Corporation implements reasonable measures to provide stockholders and proxy holders a reasonable opportunity to participate in the meeting and to vote on matters submitted to the stockholders, including the opportunity to read or hear the proceedings in the meeting substantially concurrently with such proceedings; and (c) if the stockholder or proxy holder votes or takes other action at the meeting by means of remote communication, a record of the vote or other action is maintained by the Corporation.</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THE BOARD</w:t>
      </w:r>
    </w:p>
    <w:p>
      <w:pPr>
        <w:spacing w:after="0" w:line="164"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Section 3.1 General Powers</w:t>
      </w:r>
      <w:r>
        <w:rPr>
          <w:rFonts w:ascii="Arial" w:cs="Arial" w:eastAsia="Arial" w:hAnsi="Arial"/>
          <w:sz w:val="15"/>
          <w:szCs w:val="15"/>
          <w:color w:val="auto"/>
        </w:rPr>
        <w:t>. The business and affairs of the Corporation shall be managed under the direction of the Board. In addition to the powers and authorities expressly</w:t>
      </w:r>
      <w:r>
        <w:rPr>
          <w:rFonts w:ascii="Arial" w:cs="Arial" w:eastAsia="Arial" w:hAnsi="Arial"/>
          <w:sz w:val="15"/>
          <w:szCs w:val="15"/>
          <w:b w:val="1"/>
          <w:bCs w:val="1"/>
          <w:color w:val="auto"/>
        </w:rPr>
        <w:t xml:space="preserve"> </w:t>
      </w:r>
      <w:r>
        <w:rPr>
          <w:rFonts w:ascii="Arial" w:cs="Arial" w:eastAsia="Arial" w:hAnsi="Arial"/>
          <w:sz w:val="15"/>
          <w:szCs w:val="15"/>
          <w:color w:val="auto"/>
        </w:rPr>
        <w:t>conferred upon the Board by these Bylaws, the Board may exercise all such powers of the Corporation and do all such lawful acts and things as are not by statute, the Certificate of Incorporation or these Bylaws required to be exercised or done by the stockholders. Except as otherwise provided by law, these Bylaws or the Certificate of Incorporation, all decisions of the Board shall require the affirmative vote of a majority of the Directors present at a meeting at which a quorum is present.</w:t>
      </w:r>
    </w:p>
    <w:p>
      <w:pPr>
        <w:spacing w:after="0" w:line="156"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Section 3.2 Number; Qualifications and Tenure</w:t>
      </w:r>
      <w:r>
        <w:rPr>
          <w:rFonts w:ascii="Arial" w:cs="Arial" w:eastAsia="Arial" w:hAnsi="Arial"/>
          <w:sz w:val="15"/>
          <w:szCs w:val="15"/>
          <w:color w:val="auto"/>
        </w:rPr>
        <w:t>. The number of the Directors constituting the entire Board shall be fixed form time to time by resolution of the Board. A Director</w:t>
      </w:r>
      <w:r>
        <w:rPr>
          <w:rFonts w:ascii="Arial" w:cs="Arial" w:eastAsia="Arial" w:hAnsi="Arial"/>
          <w:sz w:val="15"/>
          <w:szCs w:val="15"/>
          <w:b w:val="1"/>
          <w:bCs w:val="1"/>
          <w:color w:val="auto"/>
        </w:rPr>
        <w:t xml:space="preserve"> </w:t>
      </w:r>
      <w:r>
        <w:rPr>
          <w:rFonts w:ascii="Arial" w:cs="Arial" w:eastAsia="Arial" w:hAnsi="Arial"/>
          <w:sz w:val="15"/>
          <w:szCs w:val="15"/>
          <w:color w:val="auto"/>
        </w:rPr>
        <w:t>need not be a stockholder of the Corporation. Any Director so chosen shall hold office for a term expiring at the annual meeting of stockholders at which the term of office of the class to which he or she has been elected expires and until the Director’s successor is duly elected and qualified or until his or her earlier resignation or removal. No decrease in the number of authorized Directors shall shorten the term of any incumbent director.</w:t>
      </w:r>
    </w:p>
    <w:p>
      <w:pPr>
        <w:spacing w:after="0" w:line="156"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3.3</w:t>
      </w:r>
      <w:r>
        <w:rPr>
          <w:sz w:val="20"/>
          <w:szCs w:val="20"/>
          <w:color w:val="auto"/>
        </w:rPr>
        <w:tab/>
      </w:r>
      <w:r>
        <w:rPr>
          <w:rFonts w:ascii="Arial" w:cs="Arial" w:eastAsia="Arial" w:hAnsi="Arial"/>
          <w:sz w:val="12"/>
          <w:szCs w:val="12"/>
          <w:b w:val="1"/>
          <w:bCs w:val="1"/>
          <w:color w:val="auto"/>
        </w:rPr>
        <w:t>Regular Meetings</w:t>
      </w:r>
      <w:r>
        <w:rPr>
          <w:rFonts w:ascii="Arial" w:cs="Arial" w:eastAsia="Arial" w:hAnsi="Arial"/>
          <w:sz w:val="12"/>
          <w:szCs w:val="12"/>
          <w:color w:val="auto"/>
        </w:rPr>
        <w:t>. The Board shall hold regular meetings on such dates and at such times and places as are determined from time to time by resolution of the Board.</w:t>
      </w:r>
    </w:p>
    <w:p>
      <w:pPr>
        <w:spacing w:after="0" w:line="177"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3.4 Special Meetings</w:t>
      </w:r>
      <w:r>
        <w:rPr>
          <w:rFonts w:ascii="Arial" w:cs="Arial" w:eastAsia="Arial" w:hAnsi="Arial"/>
          <w:sz w:val="15"/>
          <w:szCs w:val="15"/>
          <w:color w:val="auto"/>
        </w:rPr>
        <w:t>. A special meeting of the Board may be called at any time at the request of (a) the Chairman of the Board or (b) any four Directors. The place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 shall be the corporate headquarters of the Corporation unless otherwise agreed by a majority of the Directors.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3" w:name="page24"/>
    <w:bookmarkEnd w:id="23"/>
    <w:p>
      <w:pPr>
        <w:jc w:val="both"/>
        <w:ind w:firstLine="525"/>
        <w:spacing w:after="0" w:line="318" w:lineRule="auto"/>
        <w:rPr>
          <w:sz w:val="20"/>
          <w:szCs w:val="20"/>
          <w:color w:val="auto"/>
        </w:rPr>
      </w:pPr>
      <w:r>
        <w:rPr>
          <w:rFonts w:ascii="Arial" w:cs="Arial" w:eastAsia="Arial" w:hAnsi="Arial"/>
          <w:sz w:val="12"/>
          <w:szCs w:val="12"/>
          <w:b w:val="1"/>
          <w:bCs w:val="1"/>
          <w:color w:val="auto"/>
        </w:rPr>
        <w:t>Section 3.5 Notice of Meetings</w:t>
      </w:r>
      <w:r>
        <w:rPr>
          <w:rFonts w:ascii="Arial" w:cs="Arial" w:eastAsia="Arial" w:hAnsi="Arial"/>
          <w:sz w:val="12"/>
          <w:szCs w:val="12"/>
          <w:color w:val="auto"/>
        </w:rPr>
        <w:t>. Notice of the time and place of regular and special meetings shall be delivered in person or by telephone to each director or sent by first-class mail,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addressed to each director at that director’s address as it is shown on the records of the Corporation, or electronic transmission. If the notice is mailed, it shall be deposited in the United States mail at least 7 days prior to any regular or special meeting. If the notice is delivered in person, by telephone or electronic transmission, it shall be delivered at least 3 days prior to any regular meeting and 24 hours prior to any special meeting. The notice for a special meeting need not specify the purpose or place of the meeting if the meeting is to be held at the corporate headquarters of the Corporation. Neither the business to be transacted at, nor the purpose of, any regular or special meeting of the Board need be specified in the notice of such meeting, except for amendments to these Bylaws, as provided under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 meeting may be held at any time without notice if all the Directors are present or if those not present waive notice of the meeting in accordance with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of these Bylaws. As used in these Bylaws, the term “</w:t>
      </w:r>
      <w:r>
        <w:rPr>
          <w:rFonts w:ascii="Arial" w:cs="Arial" w:eastAsia="Arial" w:hAnsi="Arial"/>
          <w:sz w:val="12"/>
          <w:szCs w:val="12"/>
          <w:u w:val="single" w:color="auto"/>
          <w:color w:val="auto"/>
        </w:rPr>
        <w:t>Business Day</w:t>
      </w:r>
      <w:r>
        <w:rPr>
          <w:rFonts w:ascii="Arial" w:cs="Arial" w:eastAsia="Arial" w:hAnsi="Arial"/>
          <w:sz w:val="12"/>
          <w:szCs w:val="12"/>
          <w:color w:val="auto"/>
        </w:rPr>
        <w:t>” shall mean any day on which banks are generally open to conduct business in the State of Texas.</w:t>
      </w:r>
    </w:p>
    <w:p>
      <w:pPr>
        <w:spacing w:after="0" w:line="119"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3.6 Action by Consent of Board</w:t>
      </w:r>
      <w:r>
        <w:rPr>
          <w:rFonts w:ascii="Arial" w:cs="Arial" w:eastAsia="Arial" w:hAnsi="Arial"/>
          <w:sz w:val="15"/>
          <w:szCs w:val="15"/>
          <w:color w:val="auto"/>
        </w:rPr>
        <w:t>. To the extent permitted by applicable law, the Board and any committee thereof may act without a meeting so long as all members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or committee have executed a written consent with respect to any Board action taken in lieu of a meeting.</w:t>
      </w:r>
    </w:p>
    <w:p>
      <w:pPr>
        <w:spacing w:after="0" w:line="145"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3.7 Conference Telephone Meetings</w:t>
      </w:r>
      <w:r>
        <w:rPr>
          <w:rFonts w:ascii="Arial" w:cs="Arial" w:eastAsia="Arial" w:hAnsi="Arial"/>
          <w:sz w:val="15"/>
          <w:szCs w:val="15"/>
          <w:color w:val="auto"/>
        </w:rPr>
        <w:t>. Members of the Board or any committee thereof may participate in a meeting of the Board or such committee by means of conference</w:t>
      </w:r>
      <w:r>
        <w:rPr>
          <w:rFonts w:ascii="Arial" w:cs="Arial" w:eastAsia="Arial" w:hAnsi="Arial"/>
          <w:sz w:val="15"/>
          <w:szCs w:val="15"/>
          <w:b w:val="1"/>
          <w:bCs w:val="1"/>
          <w:color w:val="auto"/>
        </w:rPr>
        <w:t xml:space="preserve"> </w:t>
      </w:r>
      <w:r>
        <w:rPr>
          <w:rFonts w:ascii="Arial" w:cs="Arial" w:eastAsia="Arial" w:hAnsi="Arial"/>
          <w:sz w:val="15"/>
          <w:szCs w:val="15"/>
          <w:color w:val="auto"/>
        </w:rPr>
        <w:t>telephone or similar communications equipment by means of which all persons participating in the meeting can hear each other, and such participation in a meeting shall constitute presence in person at the meeting.</w:t>
      </w:r>
    </w:p>
    <w:p>
      <w:pPr>
        <w:spacing w:after="0" w:line="154" w:lineRule="exact"/>
        <w:rPr>
          <w:sz w:val="20"/>
          <w:szCs w:val="20"/>
          <w:color w:val="auto"/>
        </w:rPr>
      </w:pPr>
    </w:p>
    <w:p>
      <w:pPr>
        <w:jc w:val="both"/>
        <w:ind w:firstLine="525"/>
        <w:spacing w:after="0" w:line="332" w:lineRule="auto"/>
        <w:rPr>
          <w:sz w:val="20"/>
          <w:szCs w:val="20"/>
          <w:color w:val="auto"/>
        </w:rPr>
      </w:pPr>
      <w:r>
        <w:rPr>
          <w:rFonts w:ascii="Arial" w:cs="Arial" w:eastAsia="Arial" w:hAnsi="Arial"/>
          <w:sz w:val="12"/>
          <w:szCs w:val="12"/>
          <w:b w:val="1"/>
          <w:bCs w:val="1"/>
          <w:color w:val="auto"/>
        </w:rPr>
        <w:t>Section 3.8 Quorum</w:t>
      </w:r>
      <w:r>
        <w:rPr>
          <w:rFonts w:ascii="Arial" w:cs="Arial" w:eastAsia="Arial" w:hAnsi="Arial"/>
          <w:sz w:val="12"/>
          <w:szCs w:val="12"/>
          <w:color w:val="auto"/>
        </w:rPr>
        <w:t>. A majority of the entire Board present in person, participating in accordance with</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3.7</w:t>
      </w:r>
      <w:r>
        <w:rPr>
          <w:rFonts w:ascii="Arial" w:cs="Arial" w:eastAsia="Arial" w:hAnsi="Arial"/>
          <w:sz w:val="12"/>
          <w:szCs w:val="12"/>
          <w:b w:val="1"/>
          <w:bCs w:val="1"/>
          <w:color w:val="auto"/>
        </w:rPr>
        <w:t xml:space="preserve"> </w:t>
      </w:r>
      <w:r>
        <w:rPr>
          <w:rFonts w:ascii="Arial" w:cs="Arial" w:eastAsia="Arial" w:hAnsi="Arial"/>
          <w:sz w:val="12"/>
          <w:szCs w:val="12"/>
          <w:color w:val="auto"/>
        </w:rPr>
        <w:t>or represented by proxy, shall constitute a quorum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 of business, but if at any meeting of the Board there is less than a quorum present, a majority of the Directors present may adjourn the meeting from time to time without further notice. Subject to any provisions of any law, these Bylaws or the Certificate of Incorporation,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11"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Section 3.9 Vacancies; Increases in the Number of Directors</w:t>
      </w:r>
      <w:r>
        <w:rPr>
          <w:rFonts w:ascii="Arial" w:cs="Arial" w:eastAsia="Arial" w:hAnsi="Arial"/>
          <w:sz w:val="15"/>
          <w:szCs w:val="15"/>
          <w:color w:val="auto"/>
        </w:rPr>
        <w:t>. Except as otherwise provided in the Certificate of Incorporation, vacancies and newly created directorships resulting</w:t>
      </w:r>
      <w:r>
        <w:rPr>
          <w:rFonts w:ascii="Arial" w:cs="Arial" w:eastAsia="Arial" w:hAnsi="Arial"/>
          <w:sz w:val="15"/>
          <w:szCs w:val="15"/>
          <w:b w:val="1"/>
          <w:bCs w:val="1"/>
          <w:color w:val="auto"/>
        </w:rPr>
        <w:t xml:space="preserve"> </w:t>
      </w:r>
      <w:r>
        <w:rPr>
          <w:rFonts w:ascii="Arial" w:cs="Arial" w:eastAsia="Arial" w:hAnsi="Arial"/>
          <w:sz w:val="15"/>
          <w:szCs w:val="15"/>
          <w:color w:val="auto"/>
        </w:rPr>
        <w:t>from any increase in the authorized number of Directors may be filled by a majority of the Directors then in office, although less than a quorum, or a sole remaining Director; and any Director so chosen shall hold office for a term expiring at the annual meeting of stockholders at which the term of office of the class to which he or she has been elected expires and until the Director’s successor is duly elected and qualified or until his or her earlier resignation or removal.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4" w:name="page25"/>
    <w:bookmarkEnd w:id="24"/>
    <w:p>
      <w:pPr>
        <w:jc w:val="both"/>
        <w:ind w:firstLine="525"/>
        <w:spacing w:after="0" w:line="248" w:lineRule="auto"/>
        <w:rPr>
          <w:sz w:val="20"/>
          <w:szCs w:val="20"/>
          <w:color w:val="auto"/>
        </w:rPr>
      </w:pPr>
      <w:r>
        <w:rPr>
          <w:rFonts w:ascii="Arial" w:cs="Arial" w:eastAsia="Arial" w:hAnsi="Arial"/>
          <w:sz w:val="15"/>
          <w:szCs w:val="15"/>
          <w:b w:val="1"/>
          <w:bCs w:val="1"/>
          <w:color w:val="auto"/>
        </w:rPr>
        <w:t>Section 3.10 Committees</w:t>
      </w:r>
      <w:r>
        <w:rPr>
          <w:rFonts w:ascii="Arial" w:cs="Arial" w:eastAsia="Arial" w:hAnsi="Arial"/>
          <w:sz w:val="15"/>
          <w:szCs w:val="15"/>
          <w:color w:val="auto"/>
        </w:rPr>
        <w:t>. The Board may establish one or more committees and may delegate certain of its responsibilities to such committees. Unless the Board otherwise provides,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majority of the members of any committee may fix the time and place of its meetings and may determine its action. Notice of committee meetings shall be given to each member of the committee in the manner provided for in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of these Bylaws. The Board shall have power at any time to fill vacancies in, to change the membership of, or to dissolve any such committee. Nothing herein shall be deemed to prevent the Board from appointing one or more committees consisting in whole or in part of persons who are not Directors; provided, however, that no such committee shall have or may exercise any authority of the Board.</w:t>
      </w:r>
    </w:p>
    <w:p>
      <w:pPr>
        <w:spacing w:after="0" w:line="158"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3.11 Removal</w:t>
      </w:r>
      <w:r>
        <w:rPr>
          <w:rFonts w:ascii="Arial" w:cs="Arial" w:eastAsia="Arial" w:hAnsi="Arial"/>
          <w:sz w:val="15"/>
          <w:szCs w:val="15"/>
          <w:color w:val="auto"/>
        </w:rPr>
        <w:t>. Except as otherwise provided by law, the Certificate of Incorporation or these Bylaws, any Director or the entire Board may be removed, with or without cause,</w:t>
      </w:r>
      <w:r>
        <w:rPr>
          <w:rFonts w:ascii="Arial" w:cs="Arial" w:eastAsia="Arial" w:hAnsi="Arial"/>
          <w:sz w:val="15"/>
          <w:szCs w:val="15"/>
          <w:b w:val="1"/>
          <w:bCs w:val="1"/>
          <w:color w:val="auto"/>
        </w:rPr>
        <w:t xml:space="preserve"> </w:t>
      </w:r>
      <w:r>
        <w:rPr>
          <w:rFonts w:ascii="Arial" w:cs="Arial" w:eastAsia="Arial" w:hAnsi="Arial"/>
          <w:sz w:val="15"/>
          <w:szCs w:val="15"/>
          <w:color w:val="auto"/>
        </w:rPr>
        <w:t>by the holders of a majority of the Voting Stock.</w:t>
      </w:r>
    </w:p>
    <w:p>
      <w:pPr>
        <w:spacing w:after="0" w:line="145"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3.12 Records</w:t>
      </w:r>
      <w:r>
        <w:rPr>
          <w:rFonts w:ascii="Arial" w:cs="Arial" w:eastAsia="Arial" w:hAnsi="Arial"/>
          <w:sz w:val="15"/>
          <w:szCs w:val="15"/>
          <w:color w:val="auto"/>
        </w:rPr>
        <w:t>. The Board shall cause to be kept a record containing the minutes of the proceedings of the meetings of the Board and of the stockholders, appropriate stock</w:t>
      </w:r>
      <w:r>
        <w:rPr>
          <w:rFonts w:ascii="Arial" w:cs="Arial" w:eastAsia="Arial" w:hAnsi="Arial"/>
          <w:sz w:val="15"/>
          <w:szCs w:val="15"/>
          <w:b w:val="1"/>
          <w:bCs w:val="1"/>
          <w:color w:val="auto"/>
        </w:rPr>
        <w:t xml:space="preserve"> </w:t>
      </w:r>
      <w:r>
        <w:rPr>
          <w:rFonts w:ascii="Arial" w:cs="Arial" w:eastAsia="Arial" w:hAnsi="Arial"/>
          <w:sz w:val="15"/>
          <w:szCs w:val="15"/>
          <w:color w:val="auto"/>
        </w:rPr>
        <w:t>books and registers and such books of records and accounts as may be necessary for the proper conduct of the business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OFFICERS</w:t>
      </w:r>
    </w:p>
    <w:p>
      <w:pPr>
        <w:spacing w:after="0" w:line="164"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b w:val="1"/>
          <w:bCs w:val="1"/>
          <w:color w:val="auto"/>
        </w:rPr>
        <w:t>Section 4.1 Elected Officers</w:t>
      </w:r>
      <w:r>
        <w:rPr>
          <w:rFonts w:ascii="Arial" w:cs="Arial" w:eastAsia="Arial" w:hAnsi="Arial"/>
          <w:sz w:val="14"/>
          <w:szCs w:val="14"/>
          <w:color w:val="auto"/>
        </w:rPr>
        <w:t>. The executive officers of the Corporation shall be selected by, and serve at the pleasure of, the Board. Such officers shall have the authority and duties</w:t>
      </w:r>
      <w:r>
        <w:rPr>
          <w:rFonts w:ascii="Arial" w:cs="Arial" w:eastAsia="Arial" w:hAnsi="Arial"/>
          <w:sz w:val="14"/>
          <w:szCs w:val="14"/>
          <w:b w:val="1"/>
          <w:bCs w:val="1"/>
          <w:color w:val="auto"/>
        </w:rPr>
        <w:t xml:space="preserve"> </w:t>
      </w:r>
      <w:r>
        <w:rPr>
          <w:rFonts w:ascii="Arial" w:cs="Arial" w:eastAsia="Arial" w:hAnsi="Arial"/>
          <w:sz w:val="14"/>
          <w:szCs w:val="14"/>
          <w:color w:val="auto"/>
        </w:rPr>
        <w:t>delegated to each of them, respectively, by the Board from time to time. The elected officers of the Corporation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Chairman of the Board, as the case may be.</w:t>
      </w:r>
    </w:p>
    <w:p>
      <w:pPr>
        <w:spacing w:after="0" w:line="146"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4.2 Election and Term of Office</w:t>
      </w:r>
      <w:r>
        <w:rPr>
          <w:rFonts w:ascii="Arial" w:cs="Arial" w:eastAsia="Arial" w:hAnsi="Arial"/>
          <w:sz w:val="15"/>
          <w:szCs w:val="15"/>
          <w:color w:val="auto"/>
        </w:rPr>
        <w:t>. The elected officers of the Corporation shall be elected from time to time by the Board. If the election of officers is not held at such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election shall be held as soon thereafter as convenient. Each officer shall hold office until such person’s successor is duly elected and qualified or until such person’s death or until he or she resigns or is removed pursuant to these Bylaws.</w:t>
      </w:r>
    </w:p>
    <w:p>
      <w:pPr>
        <w:spacing w:after="0" w:line="154"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Section 4.3 Chairman of the Board</w:t>
      </w:r>
      <w:r>
        <w:rPr>
          <w:rFonts w:ascii="Arial" w:cs="Arial" w:eastAsia="Arial" w:hAnsi="Arial"/>
          <w:sz w:val="14"/>
          <w:szCs w:val="14"/>
          <w:color w:val="auto"/>
        </w:rPr>
        <w:t>. The Chairman of the Board shall preside at all meetings of the stockholders and of the Board. He shall make reports to the Board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upon his or her absence or inability to act.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5" w:name="page26"/>
    <w:bookmarkEnd w:id="25"/>
    <w:p>
      <w:pPr>
        <w:jc w:val="both"/>
        <w:ind w:firstLine="525"/>
        <w:spacing w:after="0" w:line="250" w:lineRule="auto"/>
        <w:rPr>
          <w:sz w:val="20"/>
          <w:szCs w:val="20"/>
          <w:color w:val="auto"/>
        </w:rPr>
      </w:pPr>
      <w:r>
        <w:rPr>
          <w:rFonts w:ascii="Arial" w:cs="Arial" w:eastAsia="Arial" w:hAnsi="Arial"/>
          <w:sz w:val="15"/>
          <w:szCs w:val="15"/>
          <w:b w:val="1"/>
          <w:bCs w:val="1"/>
          <w:color w:val="auto"/>
        </w:rPr>
        <w:t>Section 4.4 Chief Executive Officer</w:t>
      </w:r>
      <w:r>
        <w:rPr>
          <w:rFonts w:ascii="Arial" w:cs="Arial" w:eastAsia="Arial" w:hAnsi="Arial"/>
          <w:sz w:val="15"/>
          <w:szCs w:val="15"/>
          <w:color w:val="auto"/>
        </w:rPr>
        <w:t>. The Chief Executive Officer shall be responsible for the general management of the affairs of the Corporation and shall perform all duties</w:t>
      </w:r>
      <w:r>
        <w:rPr>
          <w:rFonts w:ascii="Arial" w:cs="Arial" w:eastAsia="Arial" w:hAnsi="Arial"/>
          <w:sz w:val="15"/>
          <w:szCs w:val="15"/>
          <w:b w:val="1"/>
          <w:bCs w:val="1"/>
          <w:color w:val="auto"/>
        </w:rPr>
        <w:t xml:space="preserve"> </w:t>
      </w:r>
      <w:r>
        <w:rPr>
          <w:rFonts w:ascii="Arial" w:cs="Arial" w:eastAsia="Arial" w:hAnsi="Arial"/>
          <w:sz w:val="15"/>
          <w:szCs w:val="15"/>
          <w:color w:val="auto"/>
        </w:rPr>
        <w:t>incidental to such person’s office which may be required by law and all such other duties as are properly required of him by the Board. Unless the Board has elected a vice-chairman and such vice-chairman is able to act in the place of the Chairman, the Chief Executive Officer, if he is also a Director, shall, in the absence of or because of the inability to act of the Chairman, perform all duties of the Chairman of the Board and preside at all meetings of stockholders and the Board.</w:t>
      </w:r>
    </w:p>
    <w:p>
      <w:pPr>
        <w:spacing w:after="0" w:line="156"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4.5 President</w:t>
      </w:r>
      <w:r>
        <w:rPr>
          <w:rFonts w:ascii="Arial" w:cs="Arial" w:eastAsia="Arial" w:hAnsi="Arial"/>
          <w:sz w:val="15"/>
          <w:szCs w:val="15"/>
          <w:color w:val="auto"/>
        </w:rPr>
        <w:t>. The President shall act in a general executive capacity and shall assist the Chief Executive Officer in the administration and operation of the Corporation’s</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and general supervision of its policies and affairs. The President shall have such other powers and shall perform such other duties as are assigned to him by the Board or the Chairman of the Board.</w:t>
      </w:r>
    </w:p>
    <w:p>
      <w:pPr>
        <w:spacing w:after="0" w:line="154"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4.6 Vice Presidents</w:t>
      </w:r>
      <w:r>
        <w:rPr>
          <w:rFonts w:ascii="Arial" w:cs="Arial" w:eastAsia="Arial" w:hAnsi="Arial"/>
          <w:sz w:val="15"/>
          <w:szCs w:val="15"/>
          <w:color w:val="auto"/>
        </w:rPr>
        <w:t>. Each Executive Vice President and Senior Vice President and any Vice President shall have such powers and perform such duties as are assigned to him by</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or the Chairman of the Board.</w:t>
      </w:r>
    </w:p>
    <w:p>
      <w:pPr>
        <w:spacing w:after="0" w:line="145"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Section 4.7 Treasurer</w:t>
      </w:r>
      <w:r>
        <w:rPr>
          <w:rFonts w:ascii="Arial" w:cs="Arial" w:eastAsia="Arial" w:hAnsi="Arial"/>
          <w:sz w:val="15"/>
          <w:szCs w:val="15"/>
          <w:color w:val="auto"/>
        </w:rPr>
        <w:t>. The Treasurer shall exercise general supervision over the receipt, custody and disbursement of corporate funds. The Treasurer shall cause the funds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56"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4"/>
          <w:szCs w:val="14"/>
          <w:b w:val="1"/>
          <w:bCs w:val="1"/>
          <w:color w:val="auto"/>
        </w:rPr>
        <w:t>Section 4.8 Secretary</w:t>
      </w:r>
      <w:r>
        <w:rPr>
          <w:rFonts w:ascii="Arial" w:cs="Arial" w:eastAsia="Arial" w:hAnsi="Arial"/>
          <w:sz w:val="14"/>
          <w:szCs w:val="14"/>
          <w:color w:val="auto"/>
        </w:rPr>
        <w:t>. The Secretary shall keep or cause to be kept, in one or more books provided for that purpose, the minutes of all meetings of the Board, the committees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Board and the stockholders. The Secretary shall see that all notices are duly given in accordance with the provisions of these Bylaws and as required by law;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4"/>
          <w:szCs w:val="14"/>
          <w:b w:val="1"/>
          <w:bCs w:val="1"/>
          <w:color w:val="auto"/>
        </w:rPr>
        <w:t>Section 4.9 Assistant Secretaries</w:t>
      </w:r>
      <w:r>
        <w:rPr>
          <w:rFonts w:ascii="Arial" w:cs="Arial" w:eastAsia="Arial" w:hAnsi="Arial"/>
          <w:sz w:val="14"/>
          <w:szCs w:val="14"/>
          <w:color w:val="auto"/>
        </w:rPr>
        <w:t>. Assistant Secretaries shall have such of the authority and perform such of the duties of the Secretary as may be provided in these Bylaws or assigned</w:t>
      </w:r>
      <w:r>
        <w:rPr>
          <w:rFonts w:ascii="Arial" w:cs="Arial" w:eastAsia="Arial" w:hAnsi="Arial"/>
          <w:sz w:val="14"/>
          <w:szCs w:val="14"/>
          <w:b w:val="1"/>
          <w:bCs w:val="1"/>
          <w:color w:val="auto"/>
        </w:rPr>
        <w:t xml:space="preserve"> </w:t>
      </w:r>
      <w:r>
        <w:rPr>
          <w:rFonts w:ascii="Arial" w:cs="Arial" w:eastAsia="Arial" w:hAnsi="Arial"/>
          <w:sz w:val="14"/>
          <w:szCs w:val="14"/>
          <w:color w:val="auto"/>
        </w:rPr>
        <w:t>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6" w:name="page27"/>
    <w:bookmarkEnd w:id="26"/>
    <w:p>
      <w:pPr>
        <w:jc w:val="both"/>
        <w:ind w:firstLine="525"/>
        <w:spacing w:after="0" w:line="273" w:lineRule="auto"/>
        <w:rPr>
          <w:sz w:val="20"/>
          <w:szCs w:val="20"/>
          <w:color w:val="auto"/>
        </w:rPr>
      </w:pPr>
      <w:r>
        <w:rPr>
          <w:rFonts w:ascii="Arial" w:cs="Arial" w:eastAsia="Arial" w:hAnsi="Arial"/>
          <w:sz w:val="14"/>
          <w:szCs w:val="14"/>
          <w:b w:val="1"/>
          <w:bCs w:val="1"/>
          <w:color w:val="auto"/>
        </w:rPr>
        <w:t>Section 4.10 Removal</w:t>
      </w:r>
      <w:r>
        <w:rPr>
          <w:rFonts w:ascii="Arial" w:cs="Arial" w:eastAsia="Arial" w:hAnsi="Arial"/>
          <w:sz w:val="14"/>
          <w:szCs w:val="14"/>
          <w:color w:val="auto"/>
        </w:rPr>
        <w:t>. Any officer elected, or agent appointed, by the Board may be removed by the affirmative vote of a majority of the Board or, except in the case of an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chosen by the Board, by the Chairman of the Board or any other officer upon whom such power of removal may be conferred by the Board. No elected officer shall have any contractual rights against the Corporation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142"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4.11 Vacancies</w:t>
      </w:r>
      <w:r>
        <w:rPr>
          <w:rFonts w:ascii="Arial" w:cs="Arial" w:eastAsia="Arial" w:hAnsi="Arial"/>
          <w:sz w:val="15"/>
          <w:szCs w:val="15"/>
          <w:color w:val="auto"/>
        </w:rPr>
        <w:t>. A newly created elected office and a vacancy in any elected office because of death, resignation or removal may be filled by the Board, the Corporation’s</w:t>
      </w:r>
      <w:r>
        <w:rPr>
          <w:rFonts w:ascii="Arial" w:cs="Arial" w:eastAsia="Arial" w:hAnsi="Arial"/>
          <w:sz w:val="15"/>
          <w:szCs w:val="15"/>
          <w:b w:val="1"/>
          <w:bCs w:val="1"/>
          <w:color w:val="auto"/>
        </w:rPr>
        <w:t xml:space="preserve"> </w:t>
      </w:r>
      <w:r>
        <w:rPr>
          <w:rFonts w:ascii="Arial" w:cs="Arial" w:eastAsia="Arial" w:hAnsi="Arial"/>
          <w:sz w:val="15"/>
          <w:szCs w:val="15"/>
          <w:color w:val="auto"/>
        </w:rPr>
        <w:t>Chairman of the Board or any other officer upon whom such power may be conferred by the Board for the unexpired portion of the term.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CERTIFICATES AND TRANSFERS</w:t>
      </w:r>
    </w:p>
    <w:p>
      <w:pPr>
        <w:spacing w:after="0" w:line="164"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4"/>
          <w:szCs w:val="14"/>
          <w:b w:val="1"/>
          <w:bCs w:val="1"/>
          <w:color w:val="auto"/>
        </w:rPr>
        <w:t>Section 5.1 Stock Certificates</w:t>
      </w:r>
      <w:r>
        <w:rPr>
          <w:rFonts w:ascii="Arial" w:cs="Arial" w:eastAsia="Arial" w:hAnsi="Arial"/>
          <w:sz w:val="14"/>
          <w:szCs w:val="14"/>
          <w:color w:val="auto"/>
        </w:rPr>
        <w:t>. The interest of each stockholder of the Corporation shall be evidenced by certificates for shares of stock in such form as the appropriate officers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may from time to time prescribe. The certificates of stock shall be signed, countersigned and registered in such manner as the Board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Notwithstanding the foregoing provisions regarding share certificates, the proper officers of the Corporation may provide that some or all of any or all classes or series of the Corporation’s common or any preferred shares may be uncertificated shares.</w:t>
      </w:r>
    </w:p>
    <w:p>
      <w:pPr>
        <w:spacing w:after="0" w:line="145"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5.2 Transfers of Stock</w:t>
      </w:r>
      <w:r>
        <w:rPr>
          <w:rFonts w:ascii="Arial" w:cs="Arial" w:eastAsia="Arial" w:hAnsi="Arial"/>
          <w:sz w:val="15"/>
          <w:szCs w:val="15"/>
          <w:color w:val="auto"/>
        </w:rPr>
        <w:t>. Upon surrender to the Corporation or the transfer agent of the Corporation of a certificate for shares duly endorsed or accompanied by proper evidence</w:t>
      </w:r>
      <w:r>
        <w:rPr>
          <w:rFonts w:ascii="Arial" w:cs="Arial" w:eastAsia="Arial" w:hAnsi="Arial"/>
          <w:sz w:val="15"/>
          <w:szCs w:val="15"/>
          <w:b w:val="1"/>
          <w:bCs w:val="1"/>
          <w:color w:val="auto"/>
        </w:rPr>
        <w:t xml:space="preserve"> </w:t>
      </w:r>
      <w:r>
        <w:rPr>
          <w:rFonts w:ascii="Arial" w:cs="Arial" w:eastAsia="Arial" w:hAnsi="Arial"/>
          <w:sz w:val="15"/>
          <w:szCs w:val="15"/>
          <w:color w:val="auto"/>
        </w:rPr>
        <w:t>of succession, assignation or authority to transfer, it shall be the duty of the Corporation to issue a new certificate or evidence of the issuance of uncertificated shares to the person entitled thereto, cancel the old certificate, and record the transaction in the Corporation’s books.</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Upon the receipt of proper transfer instructions from the registered owner of uncertificated shares, the uncertificated shares shall be cancelled, issuance of new equivalent uncertificated shares or certificated shares shall be made to the stockholder entitled thereto and the transaction shall be recorded upon the books of the Corporation. If the Corporation has a transfer agent or registrar acting on its behalf, the signature of any officer or representative thereof may be in facsimile.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7" w:name="page28"/>
    <w:bookmarkEnd w:id="27"/>
    <w:p>
      <w:pPr>
        <w:jc w:val="both"/>
        <w:ind w:firstLine="525"/>
        <w:spacing w:after="0" w:line="259" w:lineRule="auto"/>
        <w:rPr>
          <w:sz w:val="20"/>
          <w:szCs w:val="20"/>
          <w:color w:val="auto"/>
        </w:rPr>
      </w:pPr>
      <w:r>
        <w:rPr>
          <w:rFonts w:ascii="Arial" w:cs="Arial" w:eastAsia="Arial" w:hAnsi="Arial"/>
          <w:sz w:val="15"/>
          <w:szCs w:val="15"/>
          <w:color w:val="auto"/>
        </w:rPr>
        <w:t>The Board may appoint a transfer agent and one or more co-transfer agents and registrar and one or more co-registrars and may make or authorize the agent to make all rules and regulations deemed expedient concerning the issue, transfer and registration of shares of stock.</w:t>
      </w:r>
    </w:p>
    <w:p>
      <w:pPr>
        <w:spacing w:after="0" w:line="148"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Section 5.3 Lost, Stolen or Destroyed Certificates</w:t>
      </w:r>
      <w:r>
        <w:rPr>
          <w:rFonts w:ascii="Arial" w:cs="Arial" w:eastAsia="Arial" w:hAnsi="Arial"/>
          <w:sz w:val="14"/>
          <w:szCs w:val="14"/>
          <w:color w:val="auto"/>
        </w:rPr>
        <w:t>. No new certificate for shares of stock or uncertificated shares of stock of the Corporation shall be issued in place of any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issued certificate alleged to have been lost, destroyed or stolen, except on production of evidence of such loss, destruction or theft and on delivery to the Corporation of a bond of indemnity in such amount, upon such terms and secured by such surety, as the Board or any financial officer may in its or such officer’s discretion require.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INDEMNIFICATION OF DIRECTORS AND OFFICERS</w:t>
      </w:r>
    </w:p>
    <w:p>
      <w:pPr>
        <w:spacing w:after="0" w:line="164" w:lineRule="exact"/>
        <w:rPr>
          <w:sz w:val="20"/>
          <w:szCs w:val="20"/>
          <w:color w:val="auto"/>
        </w:rPr>
      </w:pPr>
    </w:p>
    <w:p>
      <w:pPr>
        <w:jc w:val="both"/>
        <w:ind w:firstLine="525"/>
        <w:spacing w:after="0" w:line="309" w:lineRule="auto"/>
        <w:rPr>
          <w:sz w:val="20"/>
          <w:szCs w:val="20"/>
          <w:color w:val="auto"/>
        </w:rPr>
      </w:pPr>
      <w:r>
        <w:rPr>
          <w:rFonts w:ascii="Arial" w:cs="Arial" w:eastAsia="Arial" w:hAnsi="Arial"/>
          <w:sz w:val="12"/>
          <w:szCs w:val="12"/>
          <w:b w:val="1"/>
          <w:bCs w:val="1"/>
          <w:color w:val="auto"/>
        </w:rPr>
        <w:t>Section 6.1 Right to Indemnification</w:t>
      </w:r>
      <w:r>
        <w:rPr>
          <w:rFonts w:ascii="Arial" w:cs="Arial" w:eastAsia="Arial" w:hAnsi="Arial"/>
          <w:sz w:val="12"/>
          <w:szCs w:val="12"/>
          <w:color w:val="auto"/>
        </w:rPr>
        <w:t>. Each person who was or is made a party to or is threatened to be made a party to or is involved in any action, suit or proceeding, whether civil,</w:t>
      </w:r>
      <w:r>
        <w:rPr>
          <w:rFonts w:ascii="Arial" w:cs="Arial" w:eastAsia="Arial" w:hAnsi="Arial"/>
          <w:sz w:val="12"/>
          <w:szCs w:val="12"/>
          <w:b w:val="1"/>
          <w:bCs w:val="1"/>
          <w:color w:val="auto"/>
        </w:rPr>
        <w:t xml:space="preserve"> </w:t>
      </w:r>
      <w:r>
        <w:rPr>
          <w:rFonts w:ascii="Arial" w:cs="Arial" w:eastAsia="Arial" w:hAnsi="Arial"/>
          <w:sz w:val="12"/>
          <w:szCs w:val="12"/>
          <w:color w:val="auto"/>
        </w:rPr>
        <w:t>criminal, administrative or investigative (hereinafter, a “</w:t>
      </w:r>
      <w:r>
        <w:rPr>
          <w:rFonts w:ascii="Arial" w:cs="Arial" w:eastAsia="Arial" w:hAnsi="Arial"/>
          <w:sz w:val="12"/>
          <w:szCs w:val="12"/>
          <w:u w:val="single" w:color="auto"/>
          <w:color w:val="auto"/>
        </w:rPr>
        <w:t>proceeding</w:t>
      </w:r>
      <w:r>
        <w:rPr>
          <w:rFonts w:ascii="Arial" w:cs="Arial" w:eastAsia="Arial" w:hAnsi="Arial"/>
          <w:sz w:val="12"/>
          <w:szCs w:val="12"/>
          <w:color w:val="auto"/>
        </w:rPr>
        <w:t xml:space="preserve">”), by reason of the fact that such person, or a person of whom such person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DGCL, as the same exists or may hereafter be amended (but, in the case of any such amendment, to the fullest extent permitted by law,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the Corporation shall indemnify any such person seeking indemnification in connection with a proceeding (or part thereof) initiated by such person only if such proceeding (or part thereof) was authorized by the Board. The right to indemnification conferred in this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shall be a contract right and shall include the right to have the Corporation pay the expenses incurred in defending any such proceeding in advance of its final disposition, any advance payments to be paid by the Corporation within 20 calendar days after the receipt by the Corporation of a statement or statements from the claimant requesting such advance or advances from time to time; provided, however, that, if and to the extent the DGCL 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otherwise. The Corporation may, to the extent authorized from time to time by the Board, grant rights to indemnification, and rights to have the Corporation pay the expenses incurred in defending any proceeding in advance of its final disposition, to any employee or agent of the Corporation to the fullest extent of the provisions of this with respect to the indemnification and advancement of expenses of Directors and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67310</wp:posOffset>
            </wp:positionV>
            <wp:extent cx="228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8" w:name="page29"/>
    <w:bookmarkEnd w:id="28"/>
    <w:p>
      <w:pPr>
        <w:jc w:val="both"/>
        <w:ind w:firstLine="525"/>
        <w:spacing w:after="0" w:line="316" w:lineRule="auto"/>
        <w:rPr>
          <w:sz w:val="20"/>
          <w:szCs w:val="20"/>
          <w:color w:val="auto"/>
        </w:rPr>
      </w:pPr>
      <w:r>
        <w:rPr>
          <w:rFonts w:ascii="Arial" w:cs="Arial" w:eastAsia="Arial" w:hAnsi="Arial"/>
          <w:sz w:val="12"/>
          <w:szCs w:val="12"/>
          <w:b w:val="1"/>
          <w:bCs w:val="1"/>
          <w:color w:val="auto"/>
        </w:rPr>
        <w:t>Section 6.2 Right of Claimant to Bring Suit</w:t>
      </w:r>
      <w:r>
        <w:rPr>
          <w:rFonts w:ascii="Arial" w:cs="Arial" w:eastAsia="Arial" w:hAnsi="Arial"/>
          <w:sz w:val="12"/>
          <w:szCs w:val="12"/>
          <w:color w:val="auto"/>
        </w:rPr>
        <w:t>. If a claim under</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6.1</w:t>
      </w:r>
      <w:r>
        <w:rPr>
          <w:rFonts w:ascii="Arial" w:cs="Arial" w:eastAsia="Arial" w:hAnsi="Arial"/>
          <w:sz w:val="12"/>
          <w:szCs w:val="12"/>
          <w:b w:val="1"/>
          <w:bCs w:val="1"/>
          <w:color w:val="auto"/>
        </w:rPr>
        <w:t xml:space="preserve"> </w:t>
      </w:r>
      <w:r>
        <w:rPr>
          <w:rFonts w:ascii="Arial" w:cs="Arial" w:eastAsia="Arial" w:hAnsi="Arial"/>
          <w:sz w:val="12"/>
          <w:szCs w:val="12"/>
          <w:color w:val="auto"/>
        </w:rPr>
        <w:t>of this is not paid in full by the Corporation within 60 calendar days after a written claim has been received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DGCL for the Corporation to indemnify the claimant for the amount claimed, but the burden of proving such defense shall be on the Corporation. Neither the failure of the Corporation (including its Board, independent legal counsel or its stockholders) to have made a determination prior to the circumstances that the claimant has met the applicable standard of conduct set forth in the DGCL, nor an actual determination by the Corporation (including its Board, independent legal counsel or its stockholders) that the claimant has not met such applicable standard of conduct, shall be a defense to the action or create a presumption that the claimant has not met the applicable standard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-822960</wp:posOffset>
            </wp:positionV>
            <wp:extent cx="228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00"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4"/>
          <w:szCs w:val="14"/>
          <w:b w:val="1"/>
          <w:bCs w:val="1"/>
          <w:color w:val="auto"/>
        </w:rPr>
        <w:t>Section 6.3 Non-Exclusivity of Rights</w:t>
      </w:r>
      <w:r>
        <w:rPr>
          <w:rFonts w:ascii="Arial" w:cs="Arial" w:eastAsia="Arial" w:hAnsi="Arial"/>
          <w:sz w:val="14"/>
          <w:szCs w:val="14"/>
          <w:color w:val="auto"/>
        </w:rPr>
        <w:t>. The right to indemnification and the payment of expenses incurred in defending a proceeding in advance of its final disposition conferred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is not exclusive of any other right which any person may have or hereafter acquire under any statute, provision of the Certificate of Incorporation, these Bylaws, agreement, vote of stockholders or disinterested Directors or otherwise. No repeal or modification of this shall in any way diminish or adversely affect the rights of any Director, officer, employee or agent of the Corporation hereunder in respect of any occurrence or matter arising prior to any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-142875</wp:posOffset>
            </wp:positionV>
            <wp:extent cx="228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22"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Section 6.4 Insurance</w:t>
      </w:r>
      <w:r>
        <w:rPr>
          <w:rFonts w:ascii="Arial" w:cs="Arial" w:eastAsia="Arial" w:hAnsi="Arial"/>
          <w:sz w:val="15"/>
          <w:szCs w:val="15"/>
          <w:color w:val="auto"/>
        </w:rPr>
        <w:t>. The Corporation may maintain insurance, at its expense, to protect itself and any Director, officer, employee or agent of the Corporation or another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partnership, joint venture, trust or other enterprise against any such expense, liability or loss, whether or not the Corporation would have the power to indemnify such person against such expense, liability or loss under the DGCL.</w:t>
      </w:r>
    </w:p>
    <w:p>
      <w:pPr>
        <w:spacing w:after="0" w:line="154"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Section 6.5 Severability</w:t>
      </w:r>
      <w:r>
        <w:rPr>
          <w:rFonts w:ascii="Arial" w:cs="Arial" w:eastAsia="Arial" w:hAnsi="Arial"/>
          <w:sz w:val="15"/>
          <w:szCs w:val="15"/>
          <w:color w:val="auto"/>
        </w:rPr>
        <w:t>. If any provision or provisions of this is held to be invalid, illegal or unenforceable for any reason whatsoever: (a) the validity, legality and enforceability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remaining provisions of this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(including, without limitation, each portion of any paragraph of this containing any such provision held to be invalid, illegal or unenforceable, that is not itself held to be invalid, illegal or unenforceable) shall not in any way be affected or impaired thereby; and (b) to the fullest extent possible, the provisions of this (including, without limitation, each such portion of any paragraph of this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containing any such provision held to be invalid, illegal or unenforceable) shall be construed so as to give effect to the intent manifested by the provision or provisions held invalid, illegal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-465455</wp:posOffset>
            </wp:positionV>
            <wp:extent cx="228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60" cy="698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-354965</wp:posOffset>
            </wp:positionV>
            <wp:extent cx="228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9" w:name="page30"/>
    <w:bookmarkEnd w:id="29"/>
    <w:p>
      <w:pPr>
        <w:jc w:val="center"/>
        <w:spacing w:after="0"/>
        <w:rPr>
          <w:sz w:val="20"/>
          <w:szCs w:val="20"/>
          <w:color w:val="auto"/>
        </w:rPr>
      </w:pPr>
      <w:r>
        <w:rPr>
          <w:rFonts w:ascii="Arial" w:cs="Arial" w:eastAsia="Arial" w:hAnsi="Arial"/>
          <w:sz w:val="15"/>
          <w:szCs w:val="15"/>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MISCELLANEOUS PROVISIONS</w:t>
      </w:r>
    </w:p>
    <w:p>
      <w:pPr>
        <w:spacing w:after="0" w:line="164"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7.1</w:t>
      </w:r>
      <w:r>
        <w:rPr>
          <w:sz w:val="20"/>
          <w:szCs w:val="20"/>
          <w:color w:val="auto"/>
        </w:rPr>
        <w:tab/>
      </w:r>
      <w:r>
        <w:rPr>
          <w:rFonts w:ascii="Arial" w:cs="Arial" w:eastAsia="Arial" w:hAnsi="Arial"/>
          <w:sz w:val="12"/>
          <w:szCs w:val="12"/>
          <w:b w:val="1"/>
          <w:bCs w:val="1"/>
          <w:color w:val="auto"/>
        </w:rPr>
        <w:t>Fiscal Year</w:t>
      </w:r>
      <w:r>
        <w:rPr>
          <w:rFonts w:ascii="Arial" w:cs="Arial" w:eastAsia="Arial" w:hAnsi="Arial"/>
          <w:sz w:val="12"/>
          <w:szCs w:val="12"/>
          <w:color w:val="auto"/>
        </w:rPr>
        <w:t>. The fiscal year of the Corporation shall begin and end on such dates as the Board at any time shall determine by resolution.</w:t>
      </w:r>
    </w:p>
    <w:p>
      <w:pPr>
        <w:spacing w:after="0" w:line="177"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7.2 Dividends</w:t>
      </w:r>
      <w:r>
        <w:rPr>
          <w:rFonts w:ascii="Arial" w:cs="Arial" w:eastAsia="Arial" w:hAnsi="Arial"/>
          <w:sz w:val="15"/>
          <w:szCs w:val="15"/>
          <w:color w:val="auto"/>
        </w:rPr>
        <w:t>. The Board may from time to time declare, and the Corporation may pay, dividends on its outstanding shares in the manner and upon the terms and conditions</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by law and the Certificate of Incorporation.</w:t>
      </w:r>
    </w:p>
    <w:p>
      <w:pPr>
        <w:spacing w:after="0" w:line="145"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b w:val="1"/>
          <w:bCs w:val="1"/>
          <w:color w:val="auto"/>
        </w:rPr>
        <w:t>Section 7.3</w:t>
      </w:r>
      <w:r>
        <w:rPr>
          <w:sz w:val="20"/>
          <w:szCs w:val="20"/>
          <w:color w:val="auto"/>
        </w:rPr>
        <w:tab/>
      </w:r>
      <w:r>
        <w:rPr>
          <w:rFonts w:ascii="Arial" w:cs="Arial" w:eastAsia="Arial" w:hAnsi="Arial"/>
          <w:sz w:val="12"/>
          <w:szCs w:val="12"/>
          <w:b w:val="1"/>
          <w:bCs w:val="1"/>
          <w:color w:val="auto"/>
        </w:rPr>
        <w:t>Seal</w:t>
      </w:r>
      <w:r>
        <w:rPr>
          <w:rFonts w:ascii="Arial" w:cs="Arial" w:eastAsia="Arial" w:hAnsi="Arial"/>
          <w:sz w:val="12"/>
          <w:szCs w:val="12"/>
          <w:color w:val="auto"/>
        </w:rPr>
        <w:t>. The corporate seal, if any, shall have inscribed thereon the words “Corporate Seal,” the year of incorporation and the word “Delaware.”</w:t>
      </w:r>
    </w:p>
    <w:p>
      <w:pPr>
        <w:spacing w:after="0" w:line="177" w:lineRule="exact"/>
        <w:rPr>
          <w:sz w:val="20"/>
          <w:szCs w:val="20"/>
          <w:color w:val="auto"/>
        </w:rPr>
      </w:pPr>
    </w:p>
    <w:p>
      <w:pPr>
        <w:jc w:val="both"/>
        <w:ind w:firstLine="525"/>
        <w:spacing w:after="0" w:line="347" w:lineRule="auto"/>
        <w:rPr>
          <w:sz w:val="20"/>
          <w:szCs w:val="20"/>
          <w:color w:val="auto"/>
        </w:rPr>
      </w:pPr>
      <w:r>
        <w:rPr>
          <w:rFonts w:ascii="Arial" w:cs="Arial" w:eastAsia="Arial" w:hAnsi="Arial"/>
          <w:sz w:val="12"/>
          <w:szCs w:val="12"/>
          <w:b w:val="1"/>
          <w:bCs w:val="1"/>
          <w:color w:val="auto"/>
        </w:rPr>
        <w:t>Section 7.4 Waiver of Notice</w:t>
      </w:r>
      <w:r>
        <w:rPr>
          <w:rFonts w:ascii="Arial" w:cs="Arial" w:eastAsia="Arial" w:hAnsi="Arial"/>
          <w:sz w:val="12"/>
          <w:szCs w:val="12"/>
          <w:color w:val="auto"/>
        </w:rPr>
        <w:t>. Whenever any notice is required to be given to any stockholder or Director under the provisions of the DGCL or these Bylaws, a waiver thereof in</w:t>
      </w:r>
      <w:r>
        <w:rPr>
          <w:rFonts w:ascii="Arial" w:cs="Arial" w:eastAsia="Arial" w:hAnsi="Arial"/>
          <w:sz w:val="12"/>
          <w:szCs w:val="12"/>
          <w:b w:val="1"/>
          <w:bCs w:val="1"/>
          <w:color w:val="auto"/>
        </w:rPr>
        <w:t xml:space="preserve"> </w:t>
      </w:r>
      <w:r>
        <w:rPr>
          <w:rFonts w:ascii="Arial" w:cs="Arial" w:eastAsia="Arial" w:hAnsi="Arial"/>
          <w:sz w:val="12"/>
          <w:szCs w:val="12"/>
          <w:color w:val="auto"/>
        </w:rPr>
        <w:t>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the Board or committee thereof need be specified in any waiver of notice of such meeting.</w:t>
      </w:r>
    </w:p>
    <w:p>
      <w:pPr>
        <w:spacing w:after="0" w:line="101"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Section 7.5 Audits</w:t>
      </w:r>
      <w:r>
        <w:rPr>
          <w:rFonts w:ascii="Arial" w:cs="Arial" w:eastAsia="Arial" w:hAnsi="Arial"/>
          <w:sz w:val="15"/>
          <w:szCs w:val="15"/>
          <w:color w:val="auto"/>
        </w:rPr>
        <w:t>. The accounts, books and records of the Corporation shall be audited upon the conclusion of each fiscal year by an independent certified public accountant selected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Board or Board committee, and it shall be the duty of the Board or Board committee to cause such audit to be done annually.</w:t>
      </w:r>
    </w:p>
    <w:p>
      <w:pPr>
        <w:spacing w:after="0" w:line="145" w:lineRule="exact"/>
        <w:rPr>
          <w:sz w:val="20"/>
          <w:szCs w:val="20"/>
          <w:color w:val="auto"/>
        </w:rPr>
      </w:pPr>
    </w:p>
    <w:p>
      <w:pPr>
        <w:jc w:val="both"/>
        <w:ind w:firstLine="525"/>
        <w:spacing w:after="0" w:line="270" w:lineRule="auto"/>
        <w:rPr>
          <w:sz w:val="20"/>
          <w:szCs w:val="20"/>
          <w:color w:val="auto"/>
        </w:rPr>
      </w:pPr>
      <w:r>
        <w:rPr>
          <w:rFonts w:ascii="Arial" w:cs="Arial" w:eastAsia="Arial" w:hAnsi="Arial"/>
          <w:sz w:val="14"/>
          <w:szCs w:val="14"/>
          <w:b w:val="1"/>
          <w:bCs w:val="1"/>
          <w:color w:val="auto"/>
        </w:rPr>
        <w:t>Section 7.6 Resignations</w:t>
      </w:r>
      <w:r>
        <w:rPr>
          <w:rFonts w:ascii="Arial" w:cs="Arial" w:eastAsia="Arial" w:hAnsi="Arial"/>
          <w:sz w:val="14"/>
          <w:szCs w:val="14"/>
          <w:color w:val="auto"/>
        </w:rPr>
        <w:t>. Any Director or any officer, whether elected or appointed, may resign at any time by giving notice in writing or by electronic transmission of the resignation</w:t>
      </w:r>
      <w:r>
        <w:rPr>
          <w:rFonts w:ascii="Arial" w:cs="Arial" w:eastAsia="Arial" w:hAnsi="Arial"/>
          <w:sz w:val="14"/>
          <w:szCs w:val="14"/>
          <w:b w:val="1"/>
          <w:bCs w:val="1"/>
          <w:color w:val="auto"/>
        </w:rPr>
        <w:t xml:space="preserve"> </w:t>
      </w:r>
      <w:r>
        <w:rPr>
          <w:rFonts w:ascii="Arial" w:cs="Arial" w:eastAsia="Arial" w:hAnsi="Arial"/>
          <w:sz w:val="14"/>
          <w:szCs w:val="14"/>
          <w:color w:val="auto"/>
        </w:rPr>
        <w:t>to the Corporation, and the resignation shall be deemed to be effective as of the close of business on the date the notice is received by the Corporation, or at such later time as is specified therein. No formal action is required by the Board or the stockholders to make the resignation effective, provided however that if such resignation is tendered by a Director to the Board or a committee of the Board solely to permit the Board or committee of the Board to consider the necessity of such resignation pursuant to any corporate governance guideline or policy of the Corporation, then such resignation will not be effective unless and until it is accepted by the Board or its designee.</w:t>
      </w:r>
    </w:p>
    <w:p>
      <w:pPr>
        <w:spacing w:after="0" w:line="144" w:lineRule="exact"/>
        <w:rPr>
          <w:sz w:val="20"/>
          <w:szCs w:val="20"/>
          <w:color w:val="auto"/>
        </w:rPr>
      </w:pPr>
    </w:p>
    <w:p>
      <w:pPr>
        <w:jc w:val="both"/>
        <w:ind w:firstLine="525"/>
        <w:spacing w:after="0" w:line="390" w:lineRule="auto"/>
        <w:rPr>
          <w:sz w:val="20"/>
          <w:szCs w:val="20"/>
          <w:color w:val="auto"/>
        </w:rPr>
      </w:pPr>
      <w:r>
        <w:rPr>
          <w:rFonts w:ascii="Arial" w:cs="Arial" w:eastAsia="Arial" w:hAnsi="Arial"/>
          <w:sz w:val="12"/>
          <w:szCs w:val="12"/>
          <w:b w:val="1"/>
          <w:bCs w:val="1"/>
          <w:color w:val="auto"/>
        </w:rPr>
        <w:t>Section 7.7 Electronic Transmissions</w:t>
      </w:r>
      <w:r>
        <w:rPr>
          <w:rFonts w:ascii="Arial" w:cs="Arial" w:eastAsia="Arial" w:hAnsi="Arial"/>
          <w:sz w:val="12"/>
          <w:szCs w:val="12"/>
          <w:color w:val="auto"/>
        </w:rPr>
        <w:t>. For purposes of these Bylaws, “</w:t>
      </w:r>
      <w:r>
        <w:rPr>
          <w:rFonts w:ascii="Arial" w:cs="Arial" w:eastAsia="Arial" w:hAnsi="Arial"/>
          <w:sz w:val="12"/>
          <w:szCs w:val="12"/>
          <w:u w:val="single" w:color="auto"/>
          <w:color w:val="auto"/>
        </w:rPr>
        <w:t>electronic transmission</w:t>
      </w:r>
      <w:r>
        <w:rPr>
          <w:rFonts w:ascii="Arial" w:cs="Arial" w:eastAsia="Arial" w:hAnsi="Arial"/>
          <w:sz w:val="12"/>
          <w:szCs w:val="12"/>
          <w:color w:val="auto"/>
        </w:rPr>
        <w:t>” means any form of communication, not directly involving the physical transmission of</w:t>
      </w:r>
      <w:r>
        <w:rPr>
          <w:rFonts w:ascii="Arial" w:cs="Arial" w:eastAsia="Arial" w:hAnsi="Arial"/>
          <w:sz w:val="12"/>
          <w:szCs w:val="12"/>
          <w:b w:val="1"/>
          <w:bCs w:val="1"/>
          <w:color w:val="auto"/>
        </w:rPr>
        <w:t xml:space="preserve"> </w:t>
      </w:r>
      <w:r>
        <w:rPr>
          <w:rFonts w:ascii="Arial" w:cs="Arial" w:eastAsia="Arial" w:hAnsi="Arial"/>
          <w:sz w:val="12"/>
          <w:szCs w:val="12"/>
          <w:color w:val="auto"/>
        </w:rPr>
        <w:t>paper, that creates a record that may be retained, retrieved, and reviewed by a recipient, and that may be directly reproduced in paper form by that recipient through an automated process.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5"/>
          <w:szCs w:val="15"/>
          <w:b w:val="1"/>
          <w:bCs w:val="1"/>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CONTRACTS, PROXIES, ETC.</w:t>
      </w:r>
    </w:p>
    <w:p>
      <w:pPr>
        <w:spacing w:after="0" w:line="164"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b w:val="1"/>
          <w:bCs w:val="1"/>
          <w:color w:val="auto"/>
        </w:rPr>
        <w:t>Section 8.1 Contracts</w:t>
      </w:r>
      <w:r>
        <w:rPr>
          <w:rFonts w:ascii="Arial" w:cs="Arial" w:eastAsia="Arial" w:hAnsi="Arial"/>
          <w:sz w:val="14"/>
          <w:szCs w:val="14"/>
          <w:color w:val="auto"/>
        </w:rPr>
        <w:t>. Except as otherwise required by law, the Certificate of Incorporation, a Preferred Stock Designation or these Bylaws, any contracts or other instruments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and delivered in the name and on the behalf of the Corporation by an officer or officers of the Corporation as the Board may from time to time direct. Such authority may be general or confined to specific instances as the Board may determine.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Corporation. Subject to any restrictions imposed by the Board, the Chairman of the Board, the Chief Executive Officer, the President or any Executive Vice President, Senior Vice President or Vice President of the Corporation may delegate contractual powers to others under such person’s jurisdiction, it being understood, however, that any such delegation of power shall not relieve the officer of responsibility with respect to the exercise of the delegated power.</w:t>
      </w:r>
    </w:p>
    <w:p>
      <w:pPr>
        <w:spacing w:after="0" w:line="145" w:lineRule="exact"/>
        <w:rPr>
          <w:sz w:val="20"/>
          <w:szCs w:val="20"/>
          <w:color w:val="auto"/>
        </w:rPr>
      </w:pPr>
    </w:p>
    <w:p>
      <w:pPr>
        <w:jc w:val="both"/>
        <w:ind w:firstLine="525"/>
        <w:spacing w:after="0" w:line="321" w:lineRule="auto"/>
        <w:rPr>
          <w:sz w:val="20"/>
          <w:szCs w:val="20"/>
          <w:color w:val="auto"/>
        </w:rPr>
      </w:pPr>
      <w:r>
        <w:rPr>
          <w:rFonts w:ascii="Arial" w:cs="Arial" w:eastAsia="Arial" w:hAnsi="Arial"/>
          <w:sz w:val="12"/>
          <w:szCs w:val="12"/>
          <w:b w:val="1"/>
          <w:bCs w:val="1"/>
          <w:color w:val="auto"/>
        </w:rPr>
        <w:t>Section 8.2 Proxies</w:t>
      </w:r>
      <w:r>
        <w:rPr>
          <w:rFonts w:ascii="Arial" w:cs="Arial" w:eastAsia="Arial" w:hAnsi="Arial"/>
          <w:sz w:val="12"/>
          <w:szCs w:val="12"/>
          <w:color w:val="auto"/>
        </w:rPr>
        <w:t>. Unless otherwise provided by resolution adopted by the Board, the Chief Executive Officer, the Chairman of the Board, the President or any Executive Vice</w:t>
      </w:r>
      <w:r>
        <w:rPr>
          <w:rFonts w:ascii="Arial" w:cs="Arial" w:eastAsia="Arial" w:hAnsi="Arial"/>
          <w:sz w:val="12"/>
          <w:szCs w:val="12"/>
          <w:b w:val="1"/>
          <w:bCs w:val="1"/>
          <w:color w:val="auto"/>
        </w:rPr>
        <w:t xml:space="preserve"> </w:t>
      </w:r>
      <w:r>
        <w:rPr>
          <w:rFonts w:ascii="Arial" w:cs="Arial" w:eastAsia="Arial" w:hAnsi="Arial"/>
          <w:sz w:val="12"/>
          <w:szCs w:val="12"/>
          <w:color w:val="auto"/>
        </w:rPr>
        <w:t>President, Senior Vice President or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 or other securities may be held by the Corporation, at meetings of the holders of the stock or other securities of the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AMENDMENTS</w:t>
      </w:r>
    </w:p>
    <w:p>
      <w:pPr>
        <w:spacing w:after="0" w:line="168"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These Bylaws, including this , may be altered, amended or repealed and new Bylaws may be adopted (a) at any annual or special meeting of stockholders by the affirmative vote of the holders of 66 2/3% of the voting power of the stock issued and outstanding and entitled to vote thereat or (b) by the affirmative vote of a majority of the Board; provided, however, that, in the case of any stockholder action at a special meeting of stockholders, notice of the proposed alteration, amendment, repeal or adoption of these Bylaws must be contained in the notice of the special meeting.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1" w:name="page32"/>
    <w:bookmarkEnd w:id="31"/>
    <w:p>
      <w:pPr>
        <w:jc w:val="center"/>
        <w:ind w:left="540"/>
        <w:spacing w:after="0"/>
        <w:rPr>
          <w:sz w:val="20"/>
          <w:szCs w:val="20"/>
          <w:color w:val="auto"/>
        </w:rPr>
      </w:pPr>
      <w:r>
        <w:rPr>
          <w:rFonts w:ascii="Arial" w:cs="Arial" w:eastAsia="Arial" w:hAnsi="Arial"/>
          <w:sz w:val="15"/>
          <w:szCs w:val="15"/>
          <w:b w:val="1"/>
          <w:bCs w:val="1"/>
          <w:color w:val="auto"/>
        </w:rPr>
        <w:t>CERTIFICATE BY SECRETARY</w:t>
      </w:r>
    </w:p>
    <w:p>
      <w:pPr>
        <w:spacing w:after="0" w:line="181"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The undersigned, being the Secretary of the Corporation, hereby certifies that the foregoing Amended and Restated Bylaws were duly approved and adopted by the Board effective on May 5, 2014.</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I have signed this certification on this 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May, 2014.</w:t>
      </w:r>
    </w:p>
    <w:p>
      <w:pPr>
        <w:spacing w:after="0" w:line="94"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 Robert L. Norris</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Robert L. Norris, Vice President, Corporate Development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-107950</wp:posOffset>
            </wp:positionV>
            <wp:extent cx="36366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366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Amended and Restated Bylaws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of Civeo Corporation</w:t>
      </w:r>
    </w:p>
    <w:p>
      <w:pPr>
        <w:sectPr>
          <w:pgSz w:w="11900" w:h="16838" w:orient="portrait"/>
          <w:cols w:equalWidth="0" w:num="1">
            <w:col w:w="11460"/>
          </w:cols>
          <w:pgMar w:left="220" w:top="496" w:right="219" w:bottom="1440" w:gutter="0" w:footer="0" w:header="0"/>
        </w:sectPr>
      </w:pPr>
    </w:p>
    <w:bookmarkStart w:id="32" w:name="page33"/>
    <w:bookmarkEnd w:id="32"/>
    <w:p>
      <w:pPr>
        <w:ind w:left="9560"/>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143510</wp:posOffset>
            </wp:positionV>
            <wp:extent cx="7325995" cy="6096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5995" cy="609600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5662930" cy="7328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662930" cy="732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ind w:right="20"/>
        <w:spacing w:after="0"/>
        <w:rPr>
          <w:sz w:val="20"/>
          <w:szCs w:val="20"/>
          <w:color w:val="auto"/>
        </w:rPr>
      </w:pPr>
      <w:r>
        <w:rPr>
          <w:rFonts w:ascii="Arial" w:cs="Arial" w:eastAsia="Arial" w:hAnsi="Arial"/>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TRANSITION SERVICES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BY AND BETWEEN</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OIL STATES INTERNATIONAL, INC.</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AND</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CIVEO CORPORATION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ind w:left="4740"/>
              <w:spacing w:after="0"/>
              <w:rPr>
                <w:sz w:val="20"/>
                <w:szCs w:val="20"/>
                <w:color w:val="auto"/>
              </w:rPr>
            </w:pPr>
            <w:r>
              <w:rPr>
                <w:rFonts w:ascii="Arial" w:cs="Arial" w:eastAsia="Arial" w:hAnsi="Arial"/>
                <w:sz w:val="15"/>
                <w:szCs w:val="15"/>
                <w:b w:val="1"/>
                <w:bCs w:val="1"/>
                <w:color w:val="auto"/>
              </w:rPr>
              <w:t>DATED AS OF</w:t>
            </w:r>
          </w:p>
        </w:tc>
        <w:tc>
          <w:tcPr>
            <w:tcW w:w="5440" w:type="dxa"/>
            <w:vAlign w:val="bottom"/>
          </w:tcPr>
          <w:p>
            <w:pPr>
              <w:jc w:val="right"/>
              <w:ind w:right="4687"/>
              <w:spacing w:after="0"/>
              <w:rPr>
                <w:sz w:val="20"/>
                <w:szCs w:val="20"/>
                <w:color w:val="auto"/>
              </w:rPr>
            </w:pPr>
            <w:r>
              <w:rPr>
                <w:rFonts w:ascii="Arial" w:cs="Arial" w:eastAsia="Arial" w:hAnsi="Arial"/>
                <w:sz w:val="15"/>
                <w:szCs w:val="15"/>
                <w:b w:val="1"/>
                <w:bCs w:val="1"/>
                <w:color w:val="auto"/>
              </w:rPr>
              <w:t>, 2014</w:t>
            </w:r>
          </w:p>
        </w:tc>
      </w:tr>
      <w:tr>
        <w:trPr>
          <w:trHeight w:val="1538"/>
        </w:trPr>
        <w:tc>
          <w:tcPr>
            <w:tcW w:w="604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w w:val="96"/>
              </w:rPr>
              <w:t>TABLE OF CONTENTS</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460" w:type="dxa"/>
            <w:vAlign w:val="bottom"/>
            <w:gridSpan w:val="2"/>
          </w:tcPr>
          <w:p>
            <w:pPr>
              <w:jc w:val="center"/>
              <w:ind w:right="4040"/>
              <w:spacing w:after="0"/>
              <w:rPr>
                <w:sz w:val="20"/>
                <w:szCs w:val="20"/>
                <w:color w:val="auto"/>
              </w:rPr>
            </w:pPr>
            <w:r>
              <w:rPr>
                <w:rFonts w:ascii="Arial" w:cs="Arial" w:eastAsia="Arial" w:hAnsi="Arial"/>
                <w:sz w:val="15"/>
                <w:szCs w:val="15"/>
                <w:b w:val="1"/>
                <w:bCs w:val="1"/>
                <w:color w:val="auto"/>
              </w:rPr>
              <w:t>ARTICLE I</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w w:val="94"/>
              </w:rPr>
              <w:t>SERVICES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1.01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Provision of Services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1.02</w:t>
            </w:r>
          </w:p>
        </w:tc>
        <w:tc>
          <w:tcPr>
            <w:tcW w:w="3500" w:type="dxa"/>
            <w:vAlign w:val="bottom"/>
          </w:tcPr>
          <w:p>
            <w:pPr>
              <w:ind w:left="280"/>
              <w:spacing w:after="0"/>
              <w:rPr>
                <w:sz w:val="20"/>
                <w:szCs w:val="20"/>
                <w:color w:val="auto"/>
              </w:rPr>
            </w:pPr>
            <w:r>
              <w:rPr>
                <w:rFonts w:ascii="Arial" w:cs="Arial" w:eastAsia="Arial" w:hAnsi="Arial"/>
                <w:sz w:val="15"/>
                <w:szCs w:val="15"/>
                <w:color w:val="auto"/>
              </w:rPr>
              <w:t>Standard of Service</w:t>
            </w:r>
          </w:p>
        </w:tc>
        <w:tc>
          <w:tcPr>
            <w:tcW w:w="74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1.03</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Third-Party Service Providers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1.04</w:t>
            </w:r>
          </w:p>
        </w:tc>
        <w:tc>
          <w:tcPr>
            <w:tcW w:w="3500" w:type="dxa"/>
            <w:vAlign w:val="bottom"/>
          </w:tcPr>
          <w:p>
            <w:pPr>
              <w:ind w:left="280"/>
              <w:spacing w:after="0"/>
              <w:rPr>
                <w:sz w:val="20"/>
                <w:szCs w:val="20"/>
                <w:color w:val="auto"/>
              </w:rPr>
            </w:pPr>
            <w:r>
              <w:rPr>
                <w:rFonts w:ascii="Arial" w:cs="Arial" w:eastAsia="Arial" w:hAnsi="Arial"/>
                <w:sz w:val="15"/>
                <w:szCs w:val="15"/>
                <w:color w:val="auto"/>
              </w:rPr>
              <w:t>Access to Premises</w:t>
            </w:r>
          </w:p>
        </w:tc>
        <w:tc>
          <w:tcPr>
            <w:tcW w:w="74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460" w:type="dxa"/>
            <w:vAlign w:val="bottom"/>
            <w:gridSpan w:val="2"/>
          </w:tcPr>
          <w:p>
            <w:pPr>
              <w:jc w:val="center"/>
              <w:ind w:right="4040"/>
              <w:spacing w:after="0"/>
              <w:rPr>
                <w:sz w:val="20"/>
                <w:szCs w:val="20"/>
                <w:color w:val="auto"/>
              </w:rPr>
            </w:pPr>
            <w:r>
              <w:rPr>
                <w:rFonts w:ascii="Arial" w:cs="Arial" w:eastAsia="Arial" w:hAnsi="Arial"/>
                <w:sz w:val="15"/>
                <w:szCs w:val="15"/>
                <w:b w:val="1"/>
                <w:bCs w:val="1"/>
                <w:color w:val="auto"/>
              </w:rPr>
              <w:t>ARTICLE II</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w w:val="97"/>
              </w:rPr>
              <w:t>COMPENSATION</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2.01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Responsibility for Wages and Fees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2.02</w:t>
            </w:r>
          </w:p>
        </w:tc>
        <w:tc>
          <w:tcPr>
            <w:tcW w:w="3500" w:type="dxa"/>
            <w:vAlign w:val="bottom"/>
          </w:tcPr>
          <w:p>
            <w:pPr>
              <w:ind w:left="280"/>
              <w:spacing w:after="0"/>
              <w:rPr>
                <w:sz w:val="20"/>
                <w:szCs w:val="20"/>
                <w:color w:val="auto"/>
              </w:rPr>
            </w:pPr>
            <w:r>
              <w:rPr>
                <w:rFonts w:ascii="Arial" w:cs="Arial" w:eastAsia="Arial" w:hAnsi="Arial"/>
                <w:sz w:val="15"/>
                <w:szCs w:val="15"/>
                <w:color w:val="auto"/>
              </w:rPr>
              <w:t>Terms of Payment and Related Matters</w:t>
            </w:r>
          </w:p>
        </w:tc>
        <w:tc>
          <w:tcPr>
            <w:tcW w:w="74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2.03</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Extension of Services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2.04</w:t>
            </w:r>
          </w:p>
        </w:tc>
        <w:tc>
          <w:tcPr>
            <w:tcW w:w="3500" w:type="dxa"/>
            <w:vAlign w:val="bottom"/>
          </w:tcPr>
          <w:p>
            <w:pPr>
              <w:ind w:left="280"/>
              <w:spacing w:after="0"/>
              <w:rPr>
                <w:sz w:val="20"/>
                <w:szCs w:val="20"/>
                <w:color w:val="auto"/>
              </w:rPr>
            </w:pPr>
            <w:r>
              <w:rPr>
                <w:rFonts w:ascii="Arial" w:cs="Arial" w:eastAsia="Arial" w:hAnsi="Arial"/>
                <w:sz w:val="15"/>
                <w:szCs w:val="15"/>
                <w:color w:val="auto"/>
              </w:rPr>
              <w:t>Terminated Services</w:t>
            </w:r>
          </w:p>
        </w:tc>
        <w:tc>
          <w:tcPr>
            <w:tcW w:w="74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2.05</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Invoice Disputes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2.06</w:t>
            </w:r>
          </w:p>
        </w:tc>
        <w:tc>
          <w:tcPr>
            <w:tcW w:w="3500" w:type="dxa"/>
            <w:vAlign w:val="bottom"/>
          </w:tcPr>
          <w:p>
            <w:pPr>
              <w:ind w:left="280"/>
              <w:spacing w:after="0"/>
              <w:rPr>
                <w:sz w:val="20"/>
                <w:szCs w:val="20"/>
                <w:color w:val="auto"/>
              </w:rPr>
            </w:pPr>
            <w:r>
              <w:rPr>
                <w:rFonts w:ascii="Arial" w:cs="Arial" w:eastAsia="Arial" w:hAnsi="Arial"/>
                <w:sz w:val="15"/>
                <w:szCs w:val="15"/>
                <w:color w:val="auto"/>
              </w:rPr>
              <w:t>No Right of Setoff</w:t>
            </w:r>
          </w:p>
        </w:tc>
        <w:tc>
          <w:tcPr>
            <w:tcW w:w="744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2.07</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Taxes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460" w:type="dxa"/>
            <w:vAlign w:val="bottom"/>
            <w:gridSpan w:val="2"/>
          </w:tcPr>
          <w:p>
            <w:pPr>
              <w:jc w:val="center"/>
              <w:ind w:right="4040"/>
              <w:spacing w:after="0"/>
              <w:rPr>
                <w:sz w:val="20"/>
                <w:szCs w:val="20"/>
                <w:color w:val="auto"/>
              </w:rPr>
            </w:pPr>
            <w:r>
              <w:rPr>
                <w:rFonts w:ascii="Arial" w:cs="Arial" w:eastAsia="Arial" w:hAnsi="Arial"/>
                <w:sz w:val="15"/>
                <w:szCs w:val="15"/>
                <w:b w:val="1"/>
                <w:bCs w:val="1"/>
                <w:color w:val="auto"/>
              </w:rPr>
              <w:t>ARTICLE III</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40"/>
              <w:spacing w:after="0"/>
              <w:rPr>
                <w:sz w:val="20"/>
                <w:szCs w:val="20"/>
                <w:color w:val="auto"/>
              </w:rPr>
            </w:pPr>
            <w:r>
              <w:rPr>
                <w:rFonts w:ascii="Arial" w:cs="Arial" w:eastAsia="Arial" w:hAnsi="Arial"/>
                <w:sz w:val="15"/>
                <w:szCs w:val="15"/>
                <w:b w:val="1"/>
                <w:bCs w:val="1"/>
                <w:color w:val="auto"/>
              </w:rPr>
              <w:t>TERMINATION</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3.01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Termination of Agreement</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3.02</w:t>
            </w:r>
          </w:p>
        </w:tc>
        <w:tc>
          <w:tcPr>
            <w:tcW w:w="3500" w:type="dxa"/>
            <w:vAlign w:val="bottom"/>
          </w:tcPr>
          <w:p>
            <w:pPr>
              <w:ind w:left="280"/>
              <w:spacing w:after="0"/>
              <w:rPr>
                <w:sz w:val="20"/>
                <w:szCs w:val="20"/>
                <w:color w:val="auto"/>
              </w:rPr>
            </w:pPr>
            <w:r>
              <w:rPr>
                <w:rFonts w:ascii="Arial" w:cs="Arial" w:eastAsia="Arial" w:hAnsi="Arial"/>
                <w:sz w:val="15"/>
                <w:szCs w:val="15"/>
                <w:color w:val="auto"/>
              </w:rPr>
              <w:t>Breach</w:t>
            </w:r>
          </w:p>
        </w:tc>
        <w:tc>
          <w:tcPr>
            <w:tcW w:w="744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3.03</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Insolvency</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3.04</w:t>
            </w:r>
          </w:p>
        </w:tc>
        <w:tc>
          <w:tcPr>
            <w:tcW w:w="3500" w:type="dxa"/>
            <w:vAlign w:val="bottom"/>
          </w:tcPr>
          <w:p>
            <w:pPr>
              <w:ind w:left="280"/>
              <w:spacing w:after="0"/>
              <w:rPr>
                <w:sz w:val="20"/>
                <w:szCs w:val="20"/>
                <w:color w:val="auto"/>
              </w:rPr>
            </w:pPr>
            <w:r>
              <w:rPr>
                <w:rFonts w:ascii="Arial" w:cs="Arial" w:eastAsia="Arial" w:hAnsi="Arial"/>
                <w:sz w:val="15"/>
                <w:szCs w:val="15"/>
                <w:color w:val="auto"/>
              </w:rPr>
              <w:t>Effect of Termination</w:t>
            </w:r>
          </w:p>
        </w:tc>
        <w:tc>
          <w:tcPr>
            <w:tcW w:w="744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460" w:type="dxa"/>
            <w:vAlign w:val="bottom"/>
            <w:gridSpan w:val="2"/>
          </w:tcPr>
          <w:p>
            <w:pPr>
              <w:jc w:val="center"/>
              <w:ind w:right="4040"/>
              <w:spacing w:after="0"/>
              <w:rPr>
                <w:sz w:val="20"/>
                <w:szCs w:val="20"/>
                <w:color w:val="auto"/>
              </w:rPr>
            </w:pPr>
            <w:r>
              <w:rPr>
                <w:rFonts w:ascii="Arial" w:cs="Arial" w:eastAsia="Arial" w:hAnsi="Arial"/>
                <w:sz w:val="15"/>
                <w:szCs w:val="15"/>
                <w:b w:val="1"/>
                <w:bCs w:val="1"/>
                <w:color w:val="auto"/>
              </w:rPr>
              <w:t>ARTICLE IV</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rPr>
              <w:t>CONFIDENTIALITY</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4.01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Confidentiality</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rPr>
              <w:t>ARTICLE V</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460" w:type="dxa"/>
            <w:vAlign w:val="bottom"/>
            <w:gridSpan w:val="2"/>
          </w:tcPr>
          <w:p>
            <w:pPr>
              <w:jc w:val="center"/>
              <w:ind w:right="4020"/>
              <w:spacing w:after="0"/>
              <w:rPr>
                <w:sz w:val="20"/>
                <w:szCs w:val="20"/>
                <w:color w:val="auto"/>
              </w:rPr>
            </w:pPr>
            <w:r>
              <w:rPr>
                <w:rFonts w:ascii="Arial" w:cs="Arial" w:eastAsia="Arial" w:hAnsi="Arial"/>
                <w:sz w:val="15"/>
                <w:szCs w:val="15"/>
                <w:b w:val="1"/>
                <w:bCs w:val="1"/>
                <w:color w:val="auto"/>
                <w:w w:val="98"/>
              </w:rPr>
              <w:t>MISCELLANEOUS</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5.01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Counterparts; Entire Agreement</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5.02</w:t>
            </w:r>
          </w:p>
        </w:tc>
        <w:tc>
          <w:tcPr>
            <w:tcW w:w="3500" w:type="dxa"/>
            <w:vAlign w:val="bottom"/>
          </w:tcPr>
          <w:p>
            <w:pPr>
              <w:ind w:left="280"/>
              <w:spacing w:after="0"/>
              <w:rPr>
                <w:sz w:val="20"/>
                <w:szCs w:val="20"/>
                <w:color w:val="auto"/>
              </w:rPr>
            </w:pPr>
            <w:r>
              <w:rPr>
                <w:rFonts w:ascii="Arial" w:cs="Arial" w:eastAsia="Arial" w:hAnsi="Arial"/>
                <w:sz w:val="15"/>
                <w:szCs w:val="15"/>
                <w:color w:val="auto"/>
              </w:rPr>
              <w:t>Governing Law</w:t>
            </w:r>
          </w:p>
        </w:tc>
        <w:tc>
          <w:tcPr>
            <w:tcW w:w="744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5.03</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Assignability</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5.04</w:t>
            </w:r>
          </w:p>
        </w:tc>
        <w:tc>
          <w:tcPr>
            <w:tcW w:w="3500" w:type="dxa"/>
            <w:vAlign w:val="bottom"/>
          </w:tcPr>
          <w:p>
            <w:pPr>
              <w:ind w:left="280"/>
              <w:spacing w:after="0"/>
              <w:rPr>
                <w:sz w:val="20"/>
                <w:szCs w:val="20"/>
                <w:color w:val="auto"/>
              </w:rPr>
            </w:pPr>
            <w:r>
              <w:rPr>
                <w:rFonts w:ascii="Arial" w:cs="Arial" w:eastAsia="Arial" w:hAnsi="Arial"/>
                <w:sz w:val="15"/>
                <w:szCs w:val="15"/>
                <w:color w:val="auto"/>
              </w:rPr>
              <w:t>Third-Party Beneficiaries</w:t>
            </w:r>
          </w:p>
        </w:tc>
        <w:tc>
          <w:tcPr>
            <w:tcW w:w="744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5.05</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Notices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5.06</w:t>
            </w:r>
          </w:p>
        </w:tc>
        <w:tc>
          <w:tcPr>
            <w:tcW w:w="3500" w:type="dxa"/>
            <w:vAlign w:val="bottom"/>
          </w:tcPr>
          <w:p>
            <w:pPr>
              <w:ind w:left="280"/>
              <w:spacing w:after="0"/>
              <w:rPr>
                <w:sz w:val="20"/>
                <w:szCs w:val="20"/>
                <w:color w:val="auto"/>
              </w:rPr>
            </w:pPr>
            <w:r>
              <w:rPr>
                <w:rFonts w:ascii="Arial" w:cs="Arial" w:eastAsia="Arial" w:hAnsi="Arial"/>
                <w:sz w:val="15"/>
                <w:szCs w:val="15"/>
                <w:color w:val="auto"/>
              </w:rPr>
              <w:t>Severability</w:t>
            </w:r>
          </w:p>
        </w:tc>
        <w:tc>
          <w:tcPr>
            <w:tcW w:w="744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5.07</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Force Majeure</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5.08</w:t>
            </w:r>
          </w:p>
        </w:tc>
        <w:tc>
          <w:tcPr>
            <w:tcW w:w="3500" w:type="dxa"/>
            <w:vAlign w:val="bottom"/>
          </w:tcPr>
          <w:p>
            <w:pPr>
              <w:ind w:left="280"/>
              <w:spacing w:after="0"/>
              <w:rPr>
                <w:sz w:val="20"/>
                <w:szCs w:val="20"/>
                <w:color w:val="auto"/>
              </w:rPr>
            </w:pPr>
            <w:r>
              <w:rPr>
                <w:rFonts w:ascii="Arial" w:cs="Arial" w:eastAsia="Arial" w:hAnsi="Arial"/>
                <w:sz w:val="15"/>
                <w:szCs w:val="15"/>
                <w:color w:val="auto"/>
              </w:rPr>
              <w:t>Headings</w:t>
            </w:r>
          </w:p>
        </w:tc>
        <w:tc>
          <w:tcPr>
            <w:tcW w:w="744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5.09</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Waivers of Default</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5.10</w:t>
            </w:r>
          </w:p>
        </w:tc>
        <w:tc>
          <w:tcPr>
            <w:tcW w:w="3500" w:type="dxa"/>
            <w:vAlign w:val="bottom"/>
          </w:tcPr>
          <w:p>
            <w:pPr>
              <w:ind w:left="280"/>
              <w:spacing w:after="0"/>
              <w:rPr>
                <w:sz w:val="20"/>
                <w:szCs w:val="20"/>
                <w:color w:val="auto"/>
              </w:rPr>
            </w:pPr>
            <w:r>
              <w:rPr>
                <w:rFonts w:ascii="Arial" w:cs="Arial" w:eastAsia="Arial" w:hAnsi="Arial"/>
                <w:sz w:val="15"/>
                <w:szCs w:val="15"/>
                <w:color w:val="auto"/>
              </w:rPr>
              <w:t>Specific Performance</w:t>
            </w:r>
          </w:p>
        </w:tc>
        <w:tc>
          <w:tcPr>
            <w:tcW w:w="744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5"/>
              </w:rPr>
              <w:t>5.11</w:t>
            </w:r>
          </w:p>
        </w:tc>
        <w:tc>
          <w:tcPr>
            <w:tcW w:w="3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Amendments</w:t>
            </w:r>
          </w:p>
        </w:tc>
        <w:tc>
          <w:tcPr>
            <w:tcW w:w="7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 w:type="dxa"/>
            <w:vAlign w:val="bottom"/>
          </w:tcPr>
          <w:p>
            <w:pPr>
              <w:jc w:val="right"/>
              <w:ind w:right="187"/>
              <w:spacing w:after="0"/>
              <w:rPr>
                <w:sz w:val="20"/>
                <w:szCs w:val="20"/>
                <w:color w:val="auto"/>
              </w:rPr>
            </w:pPr>
            <w:r>
              <w:rPr>
                <w:rFonts w:ascii="Arial" w:cs="Arial" w:eastAsia="Arial" w:hAnsi="Arial"/>
                <w:sz w:val="15"/>
                <w:szCs w:val="15"/>
                <w:color w:val="auto"/>
                <w:w w:val="75"/>
              </w:rPr>
              <w:t>5.12</w:t>
            </w:r>
          </w:p>
        </w:tc>
        <w:tc>
          <w:tcPr>
            <w:tcW w:w="3500" w:type="dxa"/>
            <w:vAlign w:val="bottom"/>
          </w:tcPr>
          <w:p>
            <w:pPr>
              <w:ind w:left="280"/>
              <w:spacing w:after="0"/>
              <w:rPr>
                <w:sz w:val="20"/>
                <w:szCs w:val="20"/>
                <w:color w:val="auto"/>
              </w:rPr>
            </w:pPr>
            <w:r>
              <w:rPr>
                <w:rFonts w:ascii="Arial" w:cs="Arial" w:eastAsia="Arial" w:hAnsi="Arial"/>
                <w:sz w:val="15"/>
                <w:szCs w:val="15"/>
                <w:color w:val="auto"/>
              </w:rPr>
              <w:t>Interpretation</w:t>
            </w:r>
          </w:p>
        </w:tc>
        <w:tc>
          <w:tcPr>
            <w:tcW w:w="744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5"/>
          <w:szCs w:val="15"/>
          <w:b w:val="1"/>
          <w:bCs w:val="1"/>
          <w:color w:val="auto"/>
        </w:rPr>
        <w:t>TRANSITION SERVICES AGREEMENT</w:t>
      </w:r>
    </w:p>
    <w:p>
      <w:pPr>
        <w:spacing w:after="0" w:line="177" w:lineRule="exact"/>
        <w:rPr>
          <w:sz w:val="20"/>
          <w:szCs w:val="20"/>
          <w:color w:val="auto"/>
        </w:rPr>
      </w:pPr>
    </w:p>
    <w:p>
      <w:pPr>
        <w:jc w:val="both"/>
        <w:ind w:firstLine="525"/>
        <w:spacing w:after="0" w:line="347"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TRANSITION SERVICES AGREEMENT</w:t>
      </w:r>
      <w:r>
        <w:rPr>
          <w:rFonts w:ascii="Arial" w:cs="Arial" w:eastAsia="Arial" w:hAnsi="Arial"/>
          <w:sz w:val="12"/>
          <w:szCs w:val="12"/>
          <w:color w:val="auto"/>
        </w:rPr>
        <w:t>, made and entered into effective as of , 2014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is by and between Civeo Corporation, a Delaware corporation (“</w:t>
      </w:r>
      <w:r>
        <w:rPr>
          <w:rFonts w:ascii="Arial" w:cs="Arial" w:eastAsia="Arial" w:hAnsi="Arial"/>
          <w:sz w:val="12"/>
          <w:szCs w:val="12"/>
          <w:b w:val="1"/>
          <w:bCs w:val="1"/>
          <w:i w:val="1"/>
          <w:iCs w:val="1"/>
          <w:color w:val="auto"/>
        </w:rPr>
        <w:t>Civeo</w:t>
      </w:r>
      <w:r>
        <w:rPr>
          <w:rFonts w:ascii="Arial" w:cs="Arial" w:eastAsia="Arial" w:hAnsi="Arial"/>
          <w:sz w:val="12"/>
          <w:szCs w:val="12"/>
          <w:color w:val="auto"/>
        </w:rPr>
        <w:t>”), and Oil States International, Inc., a Delaware corporation (“</w:t>
      </w:r>
      <w:r>
        <w:rPr>
          <w:rFonts w:ascii="Arial" w:cs="Arial" w:eastAsia="Arial" w:hAnsi="Arial"/>
          <w:sz w:val="12"/>
          <w:szCs w:val="12"/>
          <w:b w:val="1"/>
          <w:bCs w:val="1"/>
          <w:i w:val="1"/>
          <w:iCs w:val="1"/>
          <w:color w:val="auto"/>
        </w:rPr>
        <w:t>Oil States</w:t>
      </w:r>
      <w:r>
        <w:rPr>
          <w:rFonts w:ascii="Arial" w:cs="Arial" w:eastAsia="Arial" w:hAnsi="Arial"/>
          <w:sz w:val="12"/>
          <w:szCs w:val="12"/>
          <w:color w:val="auto"/>
        </w:rPr>
        <w:t>”). Civeo and Oil States are sometimes referred to in this Agreement collectively as the “</w:t>
      </w:r>
      <w:r>
        <w:rPr>
          <w:rFonts w:ascii="Arial" w:cs="Arial" w:eastAsia="Arial" w:hAnsi="Arial"/>
          <w:sz w:val="12"/>
          <w:szCs w:val="12"/>
          <w:b w:val="1"/>
          <w:bCs w:val="1"/>
          <w:i w:val="1"/>
          <w:iCs w:val="1"/>
          <w:color w:val="auto"/>
        </w:rPr>
        <w:t>Parties</w:t>
      </w:r>
      <w:r>
        <w:rPr>
          <w:rFonts w:ascii="Arial" w:cs="Arial" w:eastAsia="Arial" w:hAnsi="Arial"/>
          <w:sz w:val="12"/>
          <w:szCs w:val="12"/>
          <w:color w:val="auto"/>
        </w:rPr>
        <w:t>” and individually as a “</w:t>
      </w:r>
      <w:r>
        <w:rPr>
          <w:rFonts w:ascii="Arial" w:cs="Arial" w:eastAsia="Arial" w:hAnsi="Arial"/>
          <w:sz w:val="12"/>
          <w:szCs w:val="12"/>
          <w:b w:val="1"/>
          <w:bCs w:val="1"/>
          <w:i w:val="1"/>
          <w:iCs w:val="1"/>
          <w:color w:val="auto"/>
        </w:rPr>
        <w:t>Party</w:t>
      </w:r>
      <w:r>
        <w:rPr>
          <w:rFonts w:ascii="Arial" w:cs="Arial" w:eastAsia="Arial" w:hAnsi="Arial"/>
          <w:sz w:val="12"/>
          <w:szCs w:val="12"/>
          <w:color w:val="auto"/>
        </w:rPr>
        <w:t>.” Capitalized terms used herein and not otherwise defined have the respective meanings assigned to them in the Separation and Distribution Agreement (as defined below).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WHEREAS, the board of directors of Oil States (the “</w:t>
      </w:r>
      <w:r>
        <w:rPr>
          <w:rFonts w:ascii="Arial" w:cs="Arial" w:eastAsia="Arial" w:hAnsi="Arial"/>
          <w:sz w:val="15"/>
          <w:szCs w:val="15"/>
          <w:b w:val="1"/>
          <w:bCs w:val="1"/>
          <w:i w:val="1"/>
          <w:iCs w:val="1"/>
          <w:color w:val="auto"/>
        </w:rPr>
        <w:t>Oil States Board</w:t>
      </w:r>
      <w:r>
        <w:rPr>
          <w:rFonts w:ascii="Arial" w:cs="Arial" w:eastAsia="Arial" w:hAnsi="Arial"/>
          <w:sz w:val="15"/>
          <w:szCs w:val="15"/>
          <w:color w:val="auto"/>
        </w:rPr>
        <w:t>”) has determined that it would be in the best interests of Oil States and its stockholders to separate the Civeo Business from Oil States;</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WHEREAS, Oil States and Civeo have entered into the Separation and Distribution Agreement dated , 2014 (as amended, modified or supplemented from time to time in accordance with its terms, the “</w:t>
      </w:r>
      <w:r>
        <w:rPr>
          <w:rFonts w:ascii="Arial" w:cs="Arial" w:eastAsia="Arial" w:hAnsi="Arial"/>
          <w:sz w:val="15"/>
          <w:szCs w:val="15"/>
          <w:b w:val="1"/>
          <w:bCs w:val="1"/>
          <w:i w:val="1"/>
          <w:iCs w:val="1"/>
          <w:color w:val="auto"/>
        </w:rPr>
        <w:t>Separation and Distribution Agreement</w:t>
      </w:r>
      <w:r>
        <w:rPr>
          <w:rFonts w:ascii="Arial" w:cs="Arial" w:eastAsia="Arial" w:hAnsi="Arial"/>
          <w:sz w:val="15"/>
          <w:szCs w:val="15"/>
          <w:color w:val="auto"/>
        </w:rPr>
        <w:t>”) in connection with the separation of the Civeo Business from Oil States (the “</w:t>
      </w:r>
      <w:r>
        <w:rPr>
          <w:rFonts w:ascii="Arial" w:cs="Arial" w:eastAsia="Arial" w:hAnsi="Arial"/>
          <w:sz w:val="15"/>
          <w:szCs w:val="15"/>
          <w:b w:val="1"/>
          <w:bCs w:val="1"/>
          <w:i w:val="1"/>
          <w:iCs w:val="1"/>
          <w:color w:val="auto"/>
        </w:rPr>
        <w:t>Separation</w:t>
      </w:r>
      <w:r>
        <w:rPr>
          <w:rFonts w:ascii="Arial" w:cs="Arial" w:eastAsia="Arial" w:hAnsi="Arial"/>
          <w:sz w:val="15"/>
          <w:szCs w:val="15"/>
          <w:color w:val="auto"/>
        </w:rPr>
        <w:t>”) and the distribution of Civeo Common Stock to stockholders of Oil States (the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w:t>
      </w:r>
    </w:p>
    <w:p>
      <w:pPr>
        <w:spacing w:after="0" w:line="15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WHEREAS, the Separation and Distribution Agreement also provides for the execution and delivery of certain other agreements, including this Agreement, in order to facilitate and provide for the separation of Civeo and its Subsidiaries from Oil States; and</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WHEREAS, in order to ensure an orderly transition under the Separation and Distribution Agreement, the Parties agree that it will be advisable for the Parties to provide to each other certain services described herein for a transitional period.</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NOW, THEREFORE, in consideration of the foregoing and the covenants and agreements set forth below and other good and valuable consideration, the receipt and sufficiency of which are acknowledged, and intending to be legally bound, the Parties agree as follows:</w:t>
      </w:r>
    </w:p>
    <w:p>
      <w:pPr>
        <w:spacing w:after="0" w:line="148"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SERVICES</w:t>
      </w:r>
    </w:p>
    <w:p>
      <w:pPr>
        <w:spacing w:after="0" w:line="164"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2"/>
          <w:szCs w:val="12"/>
          <w:b w:val="1"/>
          <w:bCs w:val="1"/>
          <w:color w:val="auto"/>
        </w:rPr>
        <w:t>Provision of Services.</w:t>
      </w:r>
    </w:p>
    <w:p>
      <w:pPr>
        <w:spacing w:after="0" w:line="181" w:lineRule="exact"/>
        <w:rPr>
          <w:sz w:val="20"/>
          <w:szCs w:val="20"/>
          <w:color w:val="auto"/>
        </w:rPr>
      </w:pPr>
    </w:p>
    <w:p>
      <w:pPr>
        <w:jc w:val="both"/>
        <w:ind w:firstLine="532"/>
        <w:spacing w:after="0" w:line="324" w:lineRule="auto"/>
        <w:tabs>
          <w:tab w:leader="none" w:pos="89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Oil States agrees to provide, or to cause its Affiliates to provide, the services (the “</w:t>
      </w:r>
      <w:r>
        <w:rPr>
          <w:rFonts w:ascii="Arial" w:cs="Arial" w:eastAsia="Arial" w:hAnsi="Arial"/>
          <w:sz w:val="12"/>
          <w:szCs w:val="12"/>
          <w:b w:val="1"/>
          <w:bCs w:val="1"/>
          <w:i w:val="1"/>
          <w:iCs w:val="1"/>
          <w:color w:val="auto"/>
        </w:rPr>
        <w:t>Oil States Services</w:t>
      </w:r>
      <w:r>
        <w:rPr>
          <w:rFonts w:ascii="Arial" w:cs="Arial" w:eastAsia="Arial" w:hAnsi="Arial"/>
          <w:sz w:val="12"/>
          <w:szCs w:val="12"/>
          <w:color w:val="auto"/>
        </w:rPr>
        <w:t xml:space="preserve">”) set forth on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(as such exhibit may be amended or supplemented pursuant to the terms of this Agreement, the “</w:t>
      </w:r>
      <w:r>
        <w:rPr>
          <w:rFonts w:ascii="Arial" w:cs="Arial" w:eastAsia="Arial" w:hAnsi="Arial"/>
          <w:sz w:val="12"/>
          <w:szCs w:val="12"/>
          <w:b w:val="1"/>
          <w:bCs w:val="1"/>
          <w:i w:val="1"/>
          <w:iCs w:val="1"/>
          <w:color w:val="auto"/>
        </w:rPr>
        <w:t>Oil States Service Exhibit</w:t>
      </w:r>
      <w:r>
        <w:rPr>
          <w:rFonts w:ascii="Arial" w:cs="Arial" w:eastAsia="Arial" w:hAnsi="Arial"/>
          <w:sz w:val="12"/>
          <w:szCs w:val="12"/>
          <w:color w:val="auto"/>
        </w:rPr>
        <w:t>”) to Civeo for the respective periods and on the other terms and conditions set forth in this Agreement and in the Oil States Service Exhibit. Civeo agrees to provide, or to cause its Affiliates to provide, the services (the “</w:t>
      </w:r>
      <w:r>
        <w:rPr>
          <w:rFonts w:ascii="Arial" w:cs="Arial" w:eastAsia="Arial" w:hAnsi="Arial"/>
          <w:sz w:val="12"/>
          <w:szCs w:val="12"/>
          <w:b w:val="1"/>
          <w:bCs w:val="1"/>
          <w:i w:val="1"/>
          <w:iCs w:val="1"/>
          <w:color w:val="auto"/>
        </w:rPr>
        <w:t>Civeo Services</w:t>
      </w:r>
      <w:r>
        <w:rPr>
          <w:rFonts w:ascii="Arial" w:cs="Arial" w:eastAsia="Arial" w:hAnsi="Arial"/>
          <w:sz w:val="12"/>
          <w:szCs w:val="12"/>
          <w:color w:val="auto"/>
        </w:rPr>
        <w:t>” and together with the Oil States Services, the “</w:t>
      </w:r>
      <w:r>
        <w:rPr>
          <w:rFonts w:ascii="Arial" w:cs="Arial" w:eastAsia="Arial" w:hAnsi="Arial"/>
          <w:sz w:val="12"/>
          <w:szCs w:val="12"/>
          <w:b w:val="1"/>
          <w:bCs w:val="1"/>
          <w:i w:val="1"/>
          <w:iCs w:val="1"/>
          <w:color w:val="auto"/>
        </w:rPr>
        <w:t>Services</w:t>
      </w:r>
      <w:r>
        <w:rPr>
          <w:rFonts w:ascii="Arial" w:cs="Arial" w:eastAsia="Arial" w:hAnsi="Arial"/>
          <w:sz w:val="12"/>
          <w:szCs w:val="12"/>
          <w:color w:val="auto"/>
        </w:rPr>
        <w:t xml:space="preserve">”) set forth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attached hereto (as such exhibit may be amended or supplemented pursuant to the terms of this Agreement, the “</w:t>
      </w:r>
      <w:r>
        <w:rPr>
          <w:rFonts w:ascii="Arial" w:cs="Arial" w:eastAsia="Arial" w:hAnsi="Arial"/>
          <w:sz w:val="12"/>
          <w:szCs w:val="12"/>
          <w:b w:val="1"/>
          <w:bCs w:val="1"/>
          <w:i w:val="1"/>
          <w:iCs w:val="1"/>
          <w:color w:val="auto"/>
        </w:rPr>
        <w:t>Civeo Service Exhibit</w:t>
      </w:r>
      <w:r>
        <w:rPr>
          <w:rFonts w:ascii="Arial" w:cs="Arial" w:eastAsia="Arial" w:hAnsi="Arial"/>
          <w:sz w:val="12"/>
          <w:szCs w:val="12"/>
          <w:color w:val="auto"/>
        </w:rPr>
        <w:t>” and together with the Oil States Service Exhibits, the “</w:t>
      </w:r>
      <w:r>
        <w:rPr>
          <w:rFonts w:ascii="Arial" w:cs="Arial" w:eastAsia="Arial" w:hAnsi="Arial"/>
          <w:sz w:val="12"/>
          <w:szCs w:val="12"/>
          <w:b w:val="1"/>
          <w:bCs w:val="1"/>
          <w:i w:val="1"/>
          <w:iCs w:val="1"/>
          <w:color w:val="auto"/>
        </w:rPr>
        <w:t>Service Exhibits</w:t>
      </w:r>
      <w:r>
        <w:rPr>
          <w:rFonts w:ascii="Arial" w:cs="Arial" w:eastAsia="Arial" w:hAnsi="Arial"/>
          <w:sz w:val="12"/>
          <w:szCs w:val="12"/>
          <w:color w:val="auto"/>
        </w:rPr>
        <w:t>”) to Oil States for the respective periods and on the other terms and conditions set forth in this Agreement and in the respective Civeo Service Exhibits.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7" w:name="page38"/>
    <w:bookmarkEnd w:id="37"/>
    <w:p>
      <w:pPr>
        <w:ind w:firstLine="532"/>
        <w:spacing w:after="0" w:line="294" w:lineRule="auto"/>
        <w:tabs>
          <w:tab w:leader="none" w:pos="89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Parties hereto acknowledge the transitional nature of the Services. Accordingly, as promptly as practicable following the execution of this Agreement, the Parties agree to use commercially reasonable efforts to make a transition of Service to their own internal organization or to obtain alternate third-party sources to provide the Services.</w:t>
      </w:r>
    </w:p>
    <w:p>
      <w:pPr>
        <w:spacing w:after="0" w:line="130" w:lineRule="exact"/>
        <w:rPr>
          <w:rFonts w:ascii="Arial" w:cs="Arial" w:eastAsia="Arial" w:hAnsi="Arial"/>
          <w:sz w:val="14"/>
          <w:szCs w:val="14"/>
          <w:color w:val="auto"/>
        </w:rPr>
      </w:pPr>
    </w:p>
    <w:p>
      <w:pPr>
        <w:jc w:val="both"/>
        <w:ind w:firstLine="532"/>
        <w:spacing w:after="0" w:line="317" w:lineRule="auto"/>
        <w:tabs>
          <w:tab w:leader="none" w:pos="912"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and the obligations of the Parties under this Agreement to provide Services shall terminate with respect to each Service on the end date specified in the applicable Service Exhibit (the “</w:t>
      </w:r>
      <w:r>
        <w:rPr>
          <w:rFonts w:ascii="Arial" w:cs="Arial" w:eastAsia="Arial" w:hAnsi="Arial"/>
          <w:sz w:val="12"/>
          <w:szCs w:val="12"/>
          <w:b w:val="1"/>
          <w:bCs w:val="1"/>
          <w:i w:val="1"/>
          <w:iCs w:val="1"/>
          <w:color w:val="auto"/>
        </w:rPr>
        <w:t>End Date</w:t>
      </w:r>
      <w:r>
        <w:rPr>
          <w:rFonts w:ascii="Arial" w:cs="Arial" w:eastAsia="Arial" w:hAnsi="Arial"/>
          <w:sz w:val="12"/>
          <w:szCs w:val="12"/>
          <w:color w:val="auto"/>
        </w:rPr>
        <w:t>”). Notwithstanding the foregoing, the Parties acknowledge and agree that the Party requesting provision of the Services (the “</w:t>
      </w:r>
      <w:r>
        <w:rPr>
          <w:rFonts w:ascii="Arial" w:cs="Arial" w:eastAsia="Arial" w:hAnsi="Arial"/>
          <w:sz w:val="12"/>
          <w:szCs w:val="12"/>
          <w:b w:val="1"/>
          <w:bCs w:val="1"/>
          <w:i w:val="1"/>
          <w:iCs w:val="1"/>
          <w:color w:val="auto"/>
        </w:rPr>
        <w:t>Service</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Recipient</w:t>
      </w:r>
      <w:r>
        <w:rPr>
          <w:rFonts w:ascii="Arial" w:cs="Arial" w:eastAsia="Arial" w:hAnsi="Arial"/>
          <w:sz w:val="12"/>
          <w:szCs w:val="12"/>
          <w:color w:val="auto"/>
        </w:rPr>
        <w:t>”) may determine from time to time that it does not require all the Services set out on the applicable Service Exhibit or that it does not require such Services for the entire period up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applicable End Date. Accordingly, the Service Recipient may terminate any Service, in whole or in part, upon notification to the Party providing the Services (the “</w:t>
      </w:r>
      <w:r>
        <w:rPr>
          <w:rFonts w:ascii="Arial" w:cs="Arial" w:eastAsia="Arial" w:hAnsi="Arial"/>
          <w:sz w:val="12"/>
          <w:szCs w:val="12"/>
          <w:b w:val="1"/>
          <w:bCs w:val="1"/>
          <w:i w:val="1"/>
          <w:iCs w:val="1"/>
          <w:color w:val="auto"/>
        </w:rPr>
        <w:t>Service Provider</w:t>
      </w:r>
      <w:r>
        <w:rPr>
          <w:rFonts w:ascii="Arial" w:cs="Arial" w:eastAsia="Arial" w:hAnsi="Arial"/>
          <w:sz w:val="12"/>
          <w:szCs w:val="12"/>
          <w:color w:val="auto"/>
        </w:rPr>
        <w:t>”) in writing of any such determination. Upon termination of a Service, there shall be no liability on the part of either Party with respect to that Service, other than that such termination shall not (i) relieve either Party of any liabilities resulting from any pre-termination breach hereof by such Party in the performance of such terminated Service, (ii) relieve either Party of any payment obligation with respect to such Service arising prior to the date of such termination or (iii) affect any rights arising as a result of any such breach or termination.</w:t>
      </w:r>
    </w:p>
    <w:p>
      <w:pPr>
        <w:spacing w:after="0" w:line="119"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2"/>
          <w:szCs w:val="12"/>
          <w:b w:val="1"/>
          <w:bCs w:val="1"/>
          <w:color w:val="auto"/>
        </w:rPr>
        <w:t>Standard of Service.</w:t>
      </w:r>
    </w:p>
    <w:p>
      <w:pPr>
        <w:spacing w:after="0" w:line="181" w:lineRule="exact"/>
        <w:rPr>
          <w:sz w:val="20"/>
          <w:szCs w:val="20"/>
          <w:color w:val="auto"/>
        </w:rPr>
      </w:pPr>
    </w:p>
    <w:p>
      <w:pPr>
        <w:jc w:val="both"/>
        <w:ind w:firstLine="532"/>
        <w:spacing w:after="0" w:line="269" w:lineRule="auto"/>
        <w:tabs>
          <w:tab w:leader="none" w:pos="868"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 Service Provider shall furnish the Services in accordance with applicable Law and, except as specifically provided in the Service Exhibits, (i) in the same or a similar manner as such Services were provided to the Service Recipient with respect to the Civeo Business and the Oil States Business, as applicable, preceding the date hereof and (ii) in good faith and with reasonable care, using substantially the same degree of skill and attention that the Service Provider uses in performing the same or similar services for itself and its Affiliates, and not, in any event, exercising less than a commercially reasonable degree of care.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 the Service Provider agrees to assign sufficient resources and qualified personnel as are reasonably required to perform the Services in accordance with the standards set forth in the preceding sentence.</w:t>
      </w:r>
    </w:p>
    <w:p>
      <w:pPr>
        <w:spacing w:after="0" w:line="146" w:lineRule="exact"/>
        <w:rPr>
          <w:rFonts w:ascii="Arial" w:cs="Arial" w:eastAsia="Arial" w:hAnsi="Arial"/>
          <w:sz w:val="14"/>
          <w:szCs w:val="14"/>
          <w:color w:val="auto"/>
        </w:rPr>
      </w:pPr>
    </w:p>
    <w:p>
      <w:pPr>
        <w:ind w:firstLine="532"/>
        <w:spacing w:after="0" w:line="383" w:lineRule="auto"/>
        <w:tabs>
          <w:tab w:leader="none" w:pos="876"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Service Provider shall use reasonable best efforts to provide or cause to be provided the Services to the Service Recipient in amounts up to the amount necessary for the Service Recipient to operate the Civeo Business and the Oil States Business, as applicable, at the capacity at which the Service Recipient operated prior to the date of this Agreement.</w:t>
      </w:r>
    </w:p>
    <w:p>
      <w:pPr>
        <w:spacing w:after="0" w:line="84" w:lineRule="exact"/>
        <w:rPr>
          <w:rFonts w:ascii="Arial" w:cs="Arial" w:eastAsia="Arial" w:hAnsi="Arial"/>
          <w:sz w:val="12"/>
          <w:szCs w:val="12"/>
          <w:color w:val="auto"/>
        </w:rPr>
      </w:pPr>
    </w:p>
    <w:p>
      <w:pPr>
        <w:jc w:val="both"/>
        <w:ind w:firstLine="532"/>
        <w:spacing w:after="0" w:line="248" w:lineRule="auto"/>
        <w:tabs>
          <w:tab w:leader="none" w:pos="868"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as set forth in this Agreement (including any such Service Exhibit) or in any contract entered into hereunder, the Service Provider makes no representations and warranties of any kind, implied or expressed, with respect to the Services, including, without limitation, no warranties of merchantability or fitness for a particular purpose, which are specifically disclaimed. The Parties acknowledge and agree that this Agreement does not create a fiduciary relationship, partnership, joint venture or relationships of trust or agency between the Parties and that all Services are provided by the Service Provider or its Affiliate as an independent contractor.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8" w:name="page39"/>
    <w:bookmarkEnd w:id="38"/>
    <w:p>
      <w:pPr>
        <w:jc w:val="both"/>
        <w:ind w:firstLine="525"/>
        <w:spacing w:after="0" w:line="321" w:lineRule="auto"/>
        <w:rPr>
          <w:sz w:val="20"/>
          <w:szCs w:val="20"/>
          <w:color w:val="auto"/>
        </w:rPr>
      </w:pPr>
      <w:r>
        <w:rPr>
          <w:rFonts w:ascii="Arial" w:cs="Arial" w:eastAsia="Arial" w:hAnsi="Arial"/>
          <w:sz w:val="12"/>
          <w:szCs w:val="12"/>
          <w:b w:val="1"/>
          <w:bCs w:val="1"/>
          <w:color w:val="auto"/>
        </w:rPr>
        <w:t>1.03 Third-Party Service Providers</w:t>
      </w:r>
      <w:r>
        <w:rPr>
          <w:rFonts w:ascii="Arial" w:cs="Arial" w:eastAsia="Arial" w:hAnsi="Arial"/>
          <w:sz w:val="12"/>
          <w:szCs w:val="12"/>
          <w:color w:val="auto"/>
        </w:rPr>
        <w:t>. It is understood and agreed that the Service Provider has been retaining, and will continue to retain, third-party service providers to provide some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Services to the Service Recipient. In addition, the Service Provider shall have the right to hire other third-party subcontractors to provide part of any Service hereunder; provided, however, that in the event such subcontracting is inconsistent with past practices, the Service Provider shall obtain the prior written consent of the Service Recipient to hire such subcontractor, such consent not to be unreasonably withheld. the Service Provider shall in all cases retain responsibility and remain liable for the provision of Services to the Service Recipient by any third party or by any of the Service Provider’s Affiliates. Without the prior written consent of the Service Recipient, the Service Provider shall not enter into any new agreement or contract with any third party to provide any Services hereunder pursuant to which the Service Recipient or any of its Affiliates would remain liable following the date of termination of such Service hereunder.</w:t>
      </w:r>
    </w:p>
    <w:p>
      <w:pPr>
        <w:spacing w:after="0" w:line="117"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1.04</w:t>
      </w:r>
      <w:r>
        <w:rPr>
          <w:sz w:val="20"/>
          <w:szCs w:val="20"/>
          <w:color w:val="auto"/>
        </w:rPr>
        <w:tab/>
      </w:r>
      <w:r>
        <w:rPr>
          <w:rFonts w:ascii="Arial" w:cs="Arial" w:eastAsia="Arial" w:hAnsi="Arial"/>
          <w:sz w:val="12"/>
          <w:szCs w:val="12"/>
          <w:b w:val="1"/>
          <w:bCs w:val="1"/>
          <w:color w:val="auto"/>
        </w:rPr>
        <w:t>Access to Premises.</w:t>
      </w:r>
    </w:p>
    <w:p>
      <w:pPr>
        <w:spacing w:after="0" w:line="181" w:lineRule="exact"/>
        <w:rPr>
          <w:sz w:val="20"/>
          <w:szCs w:val="20"/>
          <w:color w:val="auto"/>
        </w:rPr>
      </w:pPr>
    </w:p>
    <w:p>
      <w:pPr>
        <w:jc w:val="both"/>
        <w:ind w:firstLine="532"/>
        <w:spacing w:after="0" w:line="251" w:lineRule="auto"/>
        <w:tabs>
          <w:tab w:leader="none" w:pos="868"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order to enable the provision of the Services by the Service Provider, the Service Recipient agrees to provide to the Service Provider’s and its Affiliates’ employees and any third-party service providers or subcontractors who provide Services, at no cost to the Service Provider, access to the facilities, assets and books and records of the Service Recipient, in all cases to the extent necessary for the Service Provider to fulfill its obligations under this Agreement.</w:t>
      </w:r>
    </w:p>
    <w:p>
      <w:pPr>
        <w:spacing w:after="0" w:line="158" w:lineRule="exact"/>
        <w:rPr>
          <w:rFonts w:ascii="Arial" w:cs="Arial" w:eastAsia="Arial" w:hAnsi="Arial"/>
          <w:sz w:val="15"/>
          <w:szCs w:val="15"/>
          <w:color w:val="auto"/>
        </w:rPr>
      </w:pPr>
    </w:p>
    <w:p>
      <w:pPr>
        <w:jc w:val="both"/>
        <w:ind w:firstLine="532"/>
        <w:spacing w:after="0" w:line="343" w:lineRule="auto"/>
        <w:tabs>
          <w:tab w:leader="none" w:pos="909"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Service Provider agrees that all of its and its Affiliates’ employees and any third-party service providers and subcontractors, when on the property of the Service Recipient or when given access to any equipment, computer, software, network or files owned or controlled by the Service Recipient, shall conform to the policies and procedures of the Service Recipient concerning health, safety and security as in effect on the date of this Agreement, and as modified hereafter if made known to the Service Provider in advance in writing.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w:t>
      </w:r>
    </w:p>
    <w:p>
      <w:pPr>
        <w:spacing w:after="0" w:line="164"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2.01 Responsibility for Wages and Fees</w:t>
      </w:r>
      <w:r>
        <w:rPr>
          <w:rFonts w:ascii="Arial" w:cs="Arial" w:eastAsia="Arial" w:hAnsi="Arial"/>
          <w:sz w:val="15"/>
          <w:szCs w:val="15"/>
          <w:color w:val="auto"/>
        </w:rPr>
        <w:t>. For such time as any employees of the Service Provider or any of its Affiliates are providing the Services to the Service Recipient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 such employees will remain employees of the Service Provider or such Affiliate, as applicable, and shall not be deemed to be employees of the Service Recipient for any purpose, and shall remain subject to the sole control, direction and supervision of the Service Provider or Affiliate, as applicable, and (b) the Service Provider or such Affiliate, as applicable, shall be solely responsible for the payment and provision of all wages, bonuses and commissions, employee benefits, including severance and worker’s compensation, and the withholding and payment of applicable Taxes relating to such employment.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9" w:name="page40"/>
    <w:bookmarkEnd w:id="39"/>
    <w:p>
      <w:pPr>
        <w:ind w:left="540"/>
        <w:spacing w:after="0"/>
        <w:tabs>
          <w:tab w:leader="none" w:pos="940" w:val="left"/>
        </w:tabs>
        <w:rPr>
          <w:sz w:val="20"/>
          <w:szCs w:val="20"/>
          <w:color w:val="auto"/>
        </w:rPr>
      </w:pPr>
      <w:r>
        <w:rPr>
          <w:rFonts w:ascii="Arial" w:cs="Arial" w:eastAsia="Arial" w:hAnsi="Arial"/>
          <w:sz w:val="15"/>
          <w:szCs w:val="15"/>
          <w:b w:val="1"/>
          <w:bCs w:val="1"/>
          <w:color w:val="auto"/>
        </w:rPr>
        <w:t>2.02</w:t>
      </w:r>
      <w:r>
        <w:rPr>
          <w:sz w:val="20"/>
          <w:szCs w:val="20"/>
          <w:color w:val="auto"/>
        </w:rPr>
        <w:tab/>
      </w:r>
      <w:r>
        <w:rPr>
          <w:rFonts w:ascii="Arial" w:cs="Arial" w:eastAsia="Arial" w:hAnsi="Arial"/>
          <w:sz w:val="12"/>
          <w:szCs w:val="12"/>
          <w:b w:val="1"/>
          <w:bCs w:val="1"/>
          <w:color w:val="auto"/>
        </w:rPr>
        <w:t>Terms of Payment and Related Matters.</w:t>
      </w:r>
    </w:p>
    <w:p>
      <w:pPr>
        <w:spacing w:after="0" w:line="181" w:lineRule="exact"/>
        <w:rPr>
          <w:sz w:val="20"/>
          <w:szCs w:val="20"/>
          <w:color w:val="auto"/>
        </w:rPr>
      </w:pPr>
    </w:p>
    <w:p>
      <w:pPr>
        <w:jc w:val="both"/>
        <w:ind w:firstLine="532"/>
        <w:spacing w:after="0" w:line="330" w:lineRule="auto"/>
        <w:tabs>
          <w:tab w:leader="none" w:pos="89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As consideration for the provision of the Services, the Service Recipient shall pay the Service Provider the amount specified for each Service on such Service’s respective Service Exhibit. In addition to such amount, in the event that the Service Provider or any of its Affiliates incurs reasonable and documented out-of-pocket expenses in the provision of any Service, but excluding payments made to employees of the Service Provider or any of its Affiliates pursuant to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(such included expenses, “</w:t>
      </w:r>
      <w:r>
        <w:rPr>
          <w:rFonts w:ascii="Arial" w:cs="Arial" w:eastAsia="Arial" w:hAnsi="Arial"/>
          <w:sz w:val="12"/>
          <w:szCs w:val="12"/>
          <w:b w:val="1"/>
          <w:bCs w:val="1"/>
          <w:i w:val="1"/>
          <w:iCs w:val="1"/>
          <w:color w:val="auto"/>
        </w:rPr>
        <w:t>Out-of-Pocket Costs</w:t>
      </w:r>
      <w:r>
        <w:rPr>
          <w:rFonts w:ascii="Arial" w:cs="Arial" w:eastAsia="Arial" w:hAnsi="Arial"/>
          <w:sz w:val="12"/>
          <w:szCs w:val="12"/>
          <w:color w:val="auto"/>
        </w:rPr>
        <w:t xml:space="preserve">”), the Service Recipient shall reimburse the Service Provider for all such Out-of-Pocket Costs to the extent required by the relevant Service Exhibit in accordance with the invoicing procedures set forth in </w:t>
      </w:r>
      <w:r>
        <w:rPr>
          <w:rFonts w:ascii="Arial" w:cs="Arial" w:eastAsia="Arial" w:hAnsi="Arial"/>
          <w:sz w:val="12"/>
          <w:szCs w:val="12"/>
          <w:u w:val="single" w:color="auto"/>
          <w:color w:val="auto"/>
        </w:rPr>
        <w:t>Section 2.02(b)</w:t>
      </w:r>
      <w:r>
        <w:rPr>
          <w:rFonts w:ascii="Arial" w:cs="Arial" w:eastAsia="Arial" w:hAnsi="Arial"/>
          <w:sz w:val="12"/>
          <w:szCs w:val="12"/>
          <w:color w:val="auto"/>
        </w:rPr>
        <w:t>.</w:t>
      </w:r>
    </w:p>
    <w:p>
      <w:pPr>
        <w:spacing w:after="0" w:line="115" w:lineRule="exact"/>
        <w:rPr>
          <w:rFonts w:ascii="Arial" w:cs="Arial" w:eastAsia="Arial" w:hAnsi="Arial"/>
          <w:sz w:val="12"/>
          <w:szCs w:val="12"/>
          <w:color w:val="auto"/>
        </w:rPr>
      </w:pPr>
    </w:p>
    <w:p>
      <w:pPr>
        <w:ind w:left="880" w:hanging="348"/>
        <w:spacing w:after="0"/>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 more fully provided in the Service Exhibits and subject to the terms and conditions therein:</w:t>
      </w:r>
    </w:p>
    <w:p>
      <w:pPr>
        <w:spacing w:after="0" w:line="177" w:lineRule="exact"/>
        <w:rPr>
          <w:rFonts w:ascii="Arial" w:cs="Arial" w:eastAsia="Arial" w:hAnsi="Arial"/>
          <w:sz w:val="15"/>
          <w:szCs w:val="15"/>
          <w:color w:val="auto"/>
        </w:rPr>
      </w:pPr>
    </w:p>
    <w:p>
      <w:pPr>
        <w:ind w:firstLine="1057"/>
        <w:spacing w:after="0" w:line="383" w:lineRule="auto"/>
        <w:tabs>
          <w:tab w:leader="none" w:pos="1401" w:val="left"/>
        </w:tabs>
        <w:numPr>
          <w:ilvl w:val="1"/>
          <w:numId w:val="17"/>
        </w:numPr>
        <w:rPr>
          <w:rFonts w:ascii="Arial" w:cs="Arial" w:eastAsia="Arial" w:hAnsi="Arial"/>
          <w:sz w:val="12"/>
          <w:szCs w:val="12"/>
          <w:color w:val="auto"/>
        </w:rPr>
      </w:pPr>
      <w:r>
        <w:rPr>
          <w:rFonts w:ascii="Arial" w:cs="Arial" w:eastAsia="Arial" w:hAnsi="Arial"/>
          <w:sz w:val="12"/>
          <w:szCs w:val="12"/>
          <w:color w:val="auto"/>
        </w:rPr>
        <w:t xml:space="preserve">The Service Provider shall provide the Service Recipient, in accordance with </w:t>
      </w:r>
      <w:r>
        <w:rPr>
          <w:rFonts w:ascii="Arial" w:cs="Arial" w:eastAsia="Arial" w:hAnsi="Arial"/>
          <w:sz w:val="12"/>
          <w:szCs w:val="12"/>
          <w:u w:val="single" w:color="auto"/>
          <w:color w:val="auto"/>
        </w:rPr>
        <w:t>Section 5.01</w:t>
      </w:r>
      <w:r>
        <w:rPr>
          <w:rFonts w:ascii="Arial" w:cs="Arial" w:eastAsia="Arial" w:hAnsi="Arial"/>
          <w:sz w:val="12"/>
          <w:szCs w:val="12"/>
          <w:color w:val="auto"/>
        </w:rPr>
        <w:t xml:space="preserve"> of this Agreement, with monthly invoices (“</w:t>
      </w:r>
      <w:r>
        <w:rPr>
          <w:rFonts w:ascii="Arial" w:cs="Arial" w:eastAsia="Arial" w:hAnsi="Arial"/>
          <w:sz w:val="12"/>
          <w:szCs w:val="12"/>
          <w:b w:val="1"/>
          <w:bCs w:val="1"/>
          <w:i w:val="1"/>
          <w:iCs w:val="1"/>
          <w:color w:val="auto"/>
        </w:rPr>
        <w:t>Invoices</w:t>
      </w:r>
      <w:r>
        <w:rPr>
          <w:rFonts w:ascii="Arial" w:cs="Arial" w:eastAsia="Arial" w:hAnsi="Arial"/>
          <w:sz w:val="12"/>
          <w:szCs w:val="12"/>
          <w:color w:val="auto"/>
        </w:rPr>
        <w:t>”), which shall set forth in reasonable detail, with such supporting documentation as the Service Recipient may reasonably request with respect to Out-of-Pocket Costs, amounts payable under this Agreement; and</w:t>
      </w:r>
    </w:p>
    <w:p>
      <w:pPr>
        <w:spacing w:after="0" w:line="84" w:lineRule="exact"/>
        <w:rPr>
          <w:rFonts w:ascii="Arial" w:cs="Arial" w:eastAsia="Arial" w:hAnsi="Arial"/>
          <w:sz w:val="12"/>
          <w:szCs w:val="12"/>
          <w:color w:val="auto"/>
        </w:rPr>
      </w:pPr>
    </w:p>
    <w:p>
      <w:pPr>
        <w:ind w:left="1420" w:hanging="363"/>
        <w:spacing w:after="0"/>
        <w:tabs>
          <w:tab w:leader="none" w:pos="14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Payments pursuant to this Agreement shall be made within 30 days after the date of receipt of an Invoice by the Service Recipient from the Service Provider.</w:t>
      </w:r>
    </w:p>
    <w:p>
      <w:pPr>
        <w:spacing w:after="0" w:line="185" w:lineRule="exact"/>
        <w:rPr>
          <w:sz w:val="20"/>
          <w:szCs w:val="20"/>
          <w:color w:val="auto"/>
        </w:rPr>
      </w:pPr>
    </w:p>
    <w:p>
      <w:pPr>
        <w:jc w:val="both"/>
        <w:ind w:firstLine="525"/>
        <w:spacing w:after="0" w:line="318" w:lineRule="auto"/>
        <w:rPr>
          <w:sz w:val="20"/>
          <w:szCs w:val="20"/>
          <w:color w:val="auto"/>
        </w:rPr>
      </w:pPr>
      <w:r>
        <w:rPr>
          <w:rFonts w:ascii="Arial" w:cs="Arial" w:eastAsia="Arial" w:hAnsi="Arial"/>
          <w:sz w:val="12"/>
          <w:szCs w:val="12"/>
          <w:b w:val="1"/>
          <w:bCs w:val="1"/>
          <w:color w:val="auto"/>
        </w:rPr>
        <w:t>2.03 Extension of Services</w:t>
      </w:r>
      <w:r>
        <w:rPr>
          <w:rFonts w:ascii="Arial" w:cs="Arial" w:eastAsia="Arial" w:hAnsi="Arial"/>
          <w:sz w:val="12"/>
          <w:szCs w:val="12"/>
          <w:color w:val="auto"/>
        </w:rPr>
        <w:t>. If the Service Recipient requests in a notice to the Service Provider that any of the Services be performed following the applicable End Date, then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Service Provider shall be obligated to perform such Services for a period of one month (or such shorter period as is requested by the Service Recipient) following the End Date, and the applicable fee for such Services provided after the End Date shall be an amount equal to the fee for such Services set out in the relevant Service Exhibits. Except as required by the immediately preceding sentence, the Parties agree that the Service Provider shall not be obligated to perform any of the Service after the applicable End Date;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Service Recipient desires and the Service Provider agrees to continue to perform any of the Services after the applicable End Date, the Parties shall negotiate in good faith to agree to the terms of such extension, including the amount the Service Recipient shall pay the Service Provider for such continued Services, </w:t>
      </w:r>
      <w:r>
        <w:rPr>
          <w:rFonts w:ascii="Arial" w:cs="Arial" w:eastAsia="Arial" w:hAnsi="Arial"/>
          <w:sz w:val="12"/>
          <w:szCs w:val="12"/>
          <w:i w:val="1"/>
          <w:iCs w:val="1"/>
          <w:color w:val="auto"/>
        </w:rPr>
        <w:t>provided further, however</w:t>
      </w:r>
      <w:r>
        <w:rPr>
          <w:rFonts w:ascii="Arial" w:cs="Arial" w:eastAsia="Arial" w:hAnsi="Arial"/>
          <w:sz w:val="12"/>
          <w:szCs w:val="12"/>
          <w:color w:val="auto"/>
        </w:rPr>
        <w:t xml:space="preserve">, that the Service Provider shall be under no obligation whatsoever to perform any of the Services after the End Date. Services performed by the Service Provider after the applicable End Date in accordance with this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shall continue to constitute Services under this Agreement and be subject in all respects to the provisions of this Agreement for the duration of the agreed-upon extension period.</w:t>
      </w:r>
    </w:p>
    <w:p>
      <w:pPr>
        <w:spacing w:after="0" w:line="294"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2.04 Terminated Services</w:t>
      </w:r>
      <w:r>
        <w:rPr>
          <w:rFonts w:ascii="Arial" w:cs="Arial" w:eastAsia="Arial" w:hAnsi="Arial"/>
          <w:sz w:val="15"/>
          <w:szCs w:val="15"/>
          <w:color w:val="auto"/>
        </w:rPr>
        <w:t>. Upon termination or expiration of any or all Services pursuant to this Agreement, or upon the termination of this Agreement in its entirety, the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Provider and its Affiliates shall have no further obligation to provide the applicable terminated Services.</w:t>
      </w:r>
    </w:p>
    <w:p>
      <w:pPr>
        <w:spacing w:after="0" w:line="145"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2.05 Invoice Disputes</w:t>
      </w:r>
      <w:r>
        <w:rPr>
          <w:rFonts w:ascii="Arial" w:cs="Arial" w:eastAsia="Arial" w:hAnsi="Arial"/>
          <w:sz w:val="15"/>
          <w:szCs w:val="15"/>
          <w:color w:val="auto"/>
        </w:rPr>
        <w:t>. In the event of an Invoice dispute, the Service Recipient shall deliver a written statement to the Service Provider no later than 10 days prior to the date payment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is due on the disputed Invoice listing all disputed items and providing a reasonably detailed description of each disputed item. Amounts not so disputed shall be deemed accepted and shall be paid, notwithstanding disputes on other items, within the time set forth in </w:t>
      </w:r>
      <w:r>
        <w:rPr>
          <w:rFonts w:ascii="Arial" w:cs="Arial" w:eastAsia="Arial" w:hAnsi="Arial"/>
          <w:sz w:val="15"/>
          <w:szCs w:val="15"/>
          <w:u w:val="single" w:color="auto"/>
          <w:color w:val="auto"/>
        </w:rPr>
        <w:t>Section 2.02(b)</w:t>
      </w:r>
      <w:r>
        <w:rPr>
          <w:rFonts w:ascii="Arial" w:cs="Arial" w:eastAsia="Arial" w:hAnsi="Arial"/>
          <w:sz w:val="15"/>
          <w:szCs w:val="15"/>
          <w:color w:val="auto"/>
        </w:rPr>
        <w:t>. The Parties shall seek to resolve all such disputes expeditiously and in good faith. The Service Provider shall continue performing the Services in accordance with this Agreement pending resolution of any dispute.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40" w:name="page41"/>
    <w:bookmarkEnd w:id="40"/>
    <w:p>
      <w:pPr>
        <w:jc w:val="both"/>
        <w:ind w:firstLine="525"/>
        <w:spacing w:after="0" w:line="300" w:lineRule="auto"/>
        <w:rPr>
          <w:sz w:val="20"/>
          <w:szCs w:val="20"/>
          <w:color w:val="auto"/>
        </w:rPr>
      </w:pPr>
      <w:r>
        <w:rPr>
          <w:rFonts w:ascii="Arial" w:cs="Arial" w:eastAsia="Arial" w:hAnsi="Arial"/>
          <w:sz w:val="14"/>
          <w:szCs w:val="14"/>
          <w:b w:val="1"/>
          <w:bCs w:val="1"/>
          <w:color w:val="auto"/>
        </w:rPr>
        <w:t>2.06 No Right of Setoff</w:t>
      </w:r>
      <w:r>
        <w:rPr>
          <w:rFonts w:ascii="Arial" w:cs="Arial" w:eastAsia="Arial" w:hAnsi="Arial"/>
          <w:sz w:val="14"/>
          <w:szCs w:val="14"/>
          <w:color w:val="auto"/>
        </w:rPr>
        <w:t>. Each of the Parties hereby acknowledges that it shall have no right under this Agreement to offset any amounts owed (or to become due and owing) to the</w:t>
      </w:r>
      <w:r>
        <w:rPr>
          <w:rFonts w:ascii="Arial" w:cs="Arial" w:eastAsia="Arial" w:hAnsi="Arial"/>
          <w:sz w:val="14"/>
          <w:szCs w:val="14"/>
          <w:b w:val="1"/>
          <w:bCs w:val="1"/>
          <w:color w:val="auto"/>
        </w:rPr>
        <w:t xml:space="preserve"> </w:t>
      </w:r>
      <w:r>
        <w:rPr>
          <w:rFonts w:ascii="Arial" w:cs="Arial" w:eastAsia="Arial" w:hAnsi="Arial"/>
          <w:sz w:val="14"/>
          <w:szCs w:val="14"/>
          <w:color w:val="auto"/>
        </w:rPr>
        <w:t>other Party, whether under this Agreement or any Ancillary Agreement or otherwise, against any other amount owed (or to become due and owing) to it by the other Party.</w:t>
      </w:r>
    </w:p>
    <w:p>
      <w:pPr>
        <w:spacing w:after="0" w:line="122"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2.07</w:t>
      </w:r>
      <w:r>
        <w:rPr>
          <w:sz w:val="20"/>
          <w:szCs w:val="20"/>
          <w:color w:val="auto"/>
        </w:rPr>
        <w:tab/>
      </w:r>
      <w:r>
        <w:rPr>
          <w:rFonts w:ascii="Arial" w:cs="Arial" w:eastAsia="Arial" w:hAnsi="Arial"/>
          <w:sz w:val="12"/>
          <w:szCs w:val="12"/>
          <w:b w:val="1"/>
          <w:bCs w:val="1"/>
          <w:color w:val="auto"/>
        </w:rPr>
        <w:t>Taxes</w:t>
      </w:r>
      <w:r>
        <w:rPr>
          <w:rFonts w:ascii="Arial" w:cs="Arial" w:eastAsia="Arial" w:hAnsi="Arial"/>
          <w:sz w:val="12"/>
          <w:szCs w:val="12"/>
          <w:color w:val="auto"/>
        </w:rPr>
        <w:t>. The Service Recipient shall be responsible for all sales or use Taxes imposed or assessed as a result of the provision of Services by the Service Provider.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w:t>
      </w:r>
    </w:p>
    <w:p>
      <w:pPr>
        <w:spacing w:after="0" w:line="164"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3.01 Termination of Agreement</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3.04</w:t>
      </w:r>
      <w:r>
        <w:rPr>
          <w:rFonts w:ascii="Arial" w:cs="Arial" w:eastAsia="Arial" w:hAnsi="Arial"/>
          <w:sz w:val="15"/>
          <w:szCs w:val="15"/>
          <w:color w:val="auto"/>
        </w:rPr>
        <w:t>, this Agreement shall terminate in its entirety (i) on the date upon which Oil States and Civeo or any of their Affiliates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have no continuing obligation to perform any Services as a result of each of their expiration or termination in accordance with </w:t>
      </w:r>
      <w:r>
        <w:rPr>
          <w:rFonts w:ascii="Arial" w:cs="Arial" w:eastAsia="Arial" w:hAnsi="Arial"/>
          <w:sz w:val="15"/>
          <w:szCs w:val="15"/>
          <w:u w:val="single" w:color="auto"/>
          <w:color w:val="auto"/>
        </w:rPr>
        <w:t>Section 1.01(c)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or (ii) in accordance with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3.03</w:t>
      </w:r>
      <w:r>
        <w:rPr>
          <w:rFonts w:ascii="Arial" w:cs="Arial" w:eastAsia="Arial" w:hAnsi="Arial"/>
          <w:sz w:val="15"/>
          <w:szCs w:val="15"/>
          <w:color w:val="auto"/>
        </w:rPr>
        <w:t>.</w:t>
      </w:r>
    </w:p>
    <w:p>
      <w:pPr>
        <w:spacing w:after="0" w:line="154"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3.02 Breach</w:t>
      </w:r>
      <w:r>
        <w:rPr>
          <w:rFonts w:ascii="Arial" w:cs="Arial" w:eastAsia="Arial" w:hAnsi="Arial"/>
          <w:sz w:val="15"/>
          <w:szCs w:val="15"/>
          <w:color w:val="auto"/>
        </w:rPr>
        <w:t>. Any Party (the “</w:t>
      </w:r>
      <w:r>
        <w:rPr>
          <w:rFonts w:ascii="Arial" w:cs="Arial" w:eastAsia="Arial" w:hAnsi="Arial"/>
          <w:sz w:val="15"/>
          <w:szCs w:val="15"/>
          <w:b w:val="1"/>
          <w:bCs w:val="1"/>
          <w:i w:val="1"/>
          <w:iCs w:val="1"/>
          <w:color w:val="auto"/>
        </w:rPr>
        <w:t>Non-Breaching Party</w:t>
      </w:r>
      <w:r>
        <w:rPr>
          <w:rFonts w:ascii="Arial" w:cs="Arial" w:eastAsia="Arial" w:hAnsi="Arial"/>
          <w:sz w:val="15"/>
          <w:szCs w:val="15"/>
          <w:color w:val="auto"/>
        </w:rPr>
        <w:t>”) may terminate this Agreement, with respect to any Service, at any time upon prior written notice to the other Party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Breaching Party</w:t>
      </w:r>
      <w:r>
        <w:rPr>
          <w:rFonts w:ascii="Arial" w:cs="Arial" w:eastAsia="Arial" w:hAnsi="Arial"/>
          <w:sz w:val="15"/>
          <w:szCs w:val="15"/>
          <w:color w:val="auto"/>
        </w:rPr>
        <w:t xml:space="preserve">”) if the Breaching Party has failed (other than pursuant to </w:t>
      </w:r>
      <w:r>
        <w:rPr>
          <w:rFonts w:ascii="Arial" w:cs="Arial" w:eastAsia="Arial" w:hAnsi="Arial"/>
          <w:sz w:val="15"/>
          <w:szCs w:val="15"/>
          <w:u w:val="single" w:color="auto"/>
          <w:color w:val="auto"/>
        </w:rPr>
        <w:t>Section 5.07</w:t>
      </w:r>
      <w:r>
        <w:rPr>
          <w:rFonts w:ascii="Arial" w:cs="Arial" w:eastAsia="Arial" w:hAnsi="Arial"/>
          <w:sz w:val="15"/>
          <w:szCs w:val="15"/>
          <w:color w:val="auto"/>
        </w:rPr>
        <w:t xml:space="preserve">) to perform any of its material obligations under this Agreement relating to such Service, and such failure shall have continued without cure for a period of 15 days after receipt by the Breaching Party of a written notice of such failure from the Non-Breaching Party seeking to terminate such service. For the avoidance of doubt, non-payment by the Service Recipient for a Service provided by the Service Provider in accordance with this Agreement and not the subject of a good faith dispute shall be deemed a breach for purposes of this </w:t>
      </w:r>
      <w:r>
        <w:rPr>
          <w:rFonts w:ascii="Arial" w:cs="Arial" w:eastAsia="Arial" w:hAnsi="Arial"/>
          <w:sz w:val="15"/>
          <w:szCs w:val="15"/>
          <w:u w:val="single" w:color="auto"/>
          <w:color w:val="auto"/>
        </w:rPr>
        <w:t>Section 3.02</w:t>
      </w:r>
      <w:r>
        <w:rPr>
          <w:rFonts w:ascii="Arial" w:cs="Arial" w:eastAsia="Arial" w:hAnsi="Arial"/>
          <w:sz w:val="15"/>
          <w:szCs w:val="15"/>
          <w:color w:val="auto"/>
        </w:rPr>
        <w:t>.</w:t>
      </w:r>
    </w:p>
    <w:p>
      <w:pPr>
        <w:spacing w:after="0" w:line="158"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3.03 Insolvency</w:t>
      </w:r>
      <w:r>
        <w:rPr>
          <w:rFonts w:ascii="Arial" w:cs="Arial" w:eastAsia="Arial" w:hAnsi="Arial"/>
          <w:sz w:val="14"/>
          <w:szCs w:val="14"/>
          <w:color w:val="auto"/>
        </w:rPr>
        <w:t>. In the event that either Party hereto shall (i) file a petition in bankruptcy, (ii) become or be declared insolvent, or become the subject of any proceedings (not dismissed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within 60 days) related to its liquidation, insolvency or the appointment of a receiver, (iii) make an assignment on behalf of all or substantially all of its creditors, or (iv) take any corporate action for its winding up or dissolution, then the other Party shall have the right to terminate this Agreement by providing written notice in accordance with </w:t>
      </w:r>
      <w:r>
        <w:rPr>
          <w:rFonts w:ascii="Arial" w:cs="Arial" w:eastAsia="Arial" w:hAnsi="Arial"/>
          <w:sz w:val="14"/>
          <w:szCs w:val="14"/>
          <w:u w:val="single" w:color="auto"/>
          <w:color w:val="auto"/>
        </w:rPr>
        <w:t>Section 5.01</w:t>
      </w:r>
      <w:r>
        <w:rPr>
          <w:rFonts w:ascii="Arial" w:cs="Arial" w:eastAsia="Arial" w:hAnsi="Arial"/>
          <w:sz w:val="14"/>
          <w:szCs w:val="14"/>
          <w:color w:val="auto"/>
        </w:rPr>
        <w:t>.</w:t>
      </w:r>
    </w:p>
    <w:p>
      <w:pPr>
        <w:spacing w:after="0" w:line="136"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3.04 Effect of Termination</w:t>
      </w:r>
      <w:r>
        <w:rPr>
          <w:rFonts w:ascii="Arial" w:cs="Arial" w:eastAsia="Arial" w:hAnsi="Arial"/>
          <w:sz w:val="15"/>
          <w:szCs w:val="15"/>
          <w:color w:val="auto"/>
        </w:rPr>
        <w:t>. Upon termination of this Agreement in its entirety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3.01</w:t>
      </w:r>
      <w:r>
        <w:rPr>
          <w:rFonts w:ascii="Arial" w:cs="Arial" w:eastAsia="Arial" w:hAnsi="Arial"/>
          <w:sz w:val="15"/>
          <w:szCs w:val="15"/>
          <w:color w:val="auto"/>
        </w:rPr>
        <w:t>, all obligations of the Parties hereto shall terminate, except for the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2.06</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which shall survive any termination or expiration of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5"/>
          <w:szCs w:val="15"/>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CONFIDENTIALITY</w:t>
      </w:r>
    </w:p>
    <w:p>
      <w:pPr>
        <w:spacing w:after="0" w:line="164"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4.01</w:t>
      </w:r>
      <w:r>
        <w:rPr>
          <w:sz w:val="20"/>
          <w:szCs w:val="20"/>
          <w:color w:val="auto"/>
        </w:rPr>
        <w:tab/>
      </w:r>
      <w:r>
        <w:rPr>
          <w:rFonts w:ascii="Arial" w:cs="Arial" w:eastAsia="Arial" w:hAnsi="Arial"/>
          <w:sz w:val="12"/>
          <w:szCs w:val="12"/>
          <w:b w:val="1"/>
          <w:bCs w:val="1"/>
          <w:color w:val="auto"/>
        </w:rPr>
        <w:t>Confidentiality.</w:t>
      </w:r>
    </w:p>
    <w:p>
      <w:pPr>
        <w:spacing w:after="0" w:line="181" w:lineRule="exact"/>
        <w:rPr>
          <w:sz w:val="20"/>
          <w:szCs w:val="20"/>
          <w:color w:val="auto"/>
        </w:rPr>
      </w:pPr>
    </w:p>
    <w:p>
      <w:pPr>
        <w:jc w:val="both"/>
        <w:ind w:firstLine="532"/>
        <w:spacing w:after="0" w:line="312" w:lineRule="auto"/>
        <w:tabs>
          <w:tab w:leader="none" w:pos="912" w:val="left"/>
        </w:tabs>
        <w:numPr>
          <w:ilvl w:val="0"/>
          <w:numId w:val="18"/>
        </w:numPr>
        <w:rPr>
          <w:rFonts w:ascii="Arial" w:cs="Arial" w:eastAsia="Arial" w:hAnsi="Arial"/>
          <w:sz w:val="12"/>
          <w:szCs w:val="12"/>
          <w:color w:val="auto"/>
        </w:rPr>
      </w:pPr>
      <w:r>
        <w:rPr>
          <w:rFonts w:ascii="Arial" w:cs="Arial" w:eastAsia="Arial" w:hAnsi="Arial"/>
          <w:sz w:val="12"/>
          <w:szCs w:val="12"/>
          <w:color w:val="auto"/>
        </w:rPr>
        <w:t>During the term of this Agreement and thereafter, the Parties hereto shall, and shall instruct their respective Representatives to, maintain in confidence and not disclose the other Party’s financial, technical, sales, marketing, development, personnel, and other information, records, or data, including, without limitation, customer lists, supplier lists, trade secrets, designs, product formulations, product specifications or any other proprietary or confidential information, however recorded or preserved, whether written or oral (any such information, “</w:t>
      </w:r>
      <w:r>
        <w:rPr>
          <w:rFonts w:ascii="Arial" w:cs="Arial" w:eastAsia="Arial" w:hAnsi="Arial"/>
          <w:sz w:val="12"/>
          <w:szCs w:val="12"/>
          <w:b w:val="1"/>
          <w:bCs w:val="1"/>
          <w:i w:val="1"/>
          <w:iCs w:val="1"/>
          <w:color w:val="auto"/>
        </w:rPr>
        <w:t>Confidential</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Information</w:t>
      </w:r>
      <w:r>
        <w:rPr>
          <w:rFonts w:ascii="Arial" w:cs="Arial" w:eastAsia="Arial" w:hAnsi="Arial"/>
          <w:sz w:val="12"/>
          <w:szCs w:val="12"/>
          <w:color w:val="auto"/>
        </w:rPr>
        <w:t>”). Each Party shall use the same degree of care, but no less than reasonable care, to protect the other Party’s Confidential Information as it uses to protect its own Confidential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Information of like nature. Unless otherwise authorized in any other agreement between the Parties, any Party receiving any Confidential Information of the other Party (the “</w:t>
      </w:r>
      <w:r>
        <w:rPr>
          <w:rFonts w:ascii="Arial" w:cs="Arial" w:eastAsia="Arial" w:hAnsi="Arial"/>
          <w:sz w:val="12"/>
          <w:szCs w:val="12"/>
          <w:b w:val="1"/>
          <w:bCs w:val="1"/>
          <w:i w:val="1"/>
          <w:iCs w:val="1"/>
          <w:color w:val="auto"/>
        </w:rPr>
        <w:t>Receiving Party</w:t>
      </w:r>
      <w:r>
        <w:rPr>
          <w:rFonts w:ascii="Arial" w:cs="Arial" w:eastAsia="Arial" w:hAnsi="Arial"/>
          <w:sz w:val="12"/>
          <w:szCs w:val="12"/>
          <w:color w:val="auto"/>
        </w:rPr>
        <w:t>”) may use Confidential Information only for the purposes of fulfilling its obligations under this Agreement (the “</w:t>
      </w:r>
      <w:r>
        <w:rPr>
          <w:rFonts w:ascii="Arial" w:cs="Arial" w:eastAsia="Arial" w:hAnsi="Arial"/>
          <w:sz w:val="12"/>
          <w:szCs w:val="12"/>
          <w:b w:val="1"/>
          <w:bCs w:val="1"/>
          <w:i w:val="1"/>
          <w:iCs w:val="1"/>
          <w:color w:val="auto"/>
        </w:rPr>
        <w:t>Permitted Purpose</w:t>
      </w:r>
      <w:r>
        <w:rPr>
          <w:rFonts w:ascii="Arial" w:cs="Arial" w:eastAsia="Arial" w:hAnsi="Arial"/>
          <w:sz w:val="12"/>
          <w:szCs w:val="12"/>
          <w:color w:val="auto"/>
        </w:rPr>
        <w:t xml:space="preserve">”). Any Receiving Party may disclose such Confidential Information only to its Representatives who have a need to know such information for the Permitted Purpose and who have been advised of the terms of this </w:t>
      </w:r>
      <w:r>
        <w:rPr>
          <w:rFonts w:ascii="Arial" w:cs="Arial" w:eastAsia="Arial" w:hAnsi="Arial"/>
          <w:sz w:val="12"/>
          <w:szCs w:val="12"/>
          <w:u w:val="single" w:color="auto"/>
          <w:color w:val="auto"/>
        </w:rPr>
        <w:t>Section 4.01</w:t>
      </w:r>
      <w:r>
        <w:rPr>
          <w:rFonts w:ascii="Arial" w:cs="Arial" w:eastAsia="Arial" w:hAnsi="Arial"/>
          <w:sz w:val="12"/>
          <w:szCs w:val="12"/>
          <w:color w:val="auto"/>
        </w:rPr>
        <w:t xml:space="preserve"> and the Receiving Party shall be liable for any breach of these confidentiality provisions by such Persons; </w:t>
      </w:r>
      <w:r>
        <w:rPr>
          <w:rFonts w:ascii="Arial" w:cs="Arial" w:eastAsia="Arial" w:hAnsi="Arial"/>
          <w:sz w:val="12"/>
          <w:szCs w:val="12"/>
          <w:i w:val="1"/>
          <w:iCs w:val="1"/>
          <w:color w:val="auto"/>
        </w:rPr>
        <w:t>provided</w:t>
      </w:r>
      <w:r>
        <w:rPr>
          <w:rFonts w:ascii="Arial" w:cs="Arial" w:eastAsia="Arial" w:hAnsi="Arial"/>
          <w:sz w:val="12"/>
          <w:szCs w:val="12"/>
          <w:color w:val="auto"/>
        </w:rPr>
        <w:t>, that any Receiving Party may disclose such Confidential Information to the extent such Confidential Information is required to be disclosed by applicable Law, in which case the Receiving Party shall promptly notify, to the extent possible, the disclosing Party (the “</w:t>
      </w:r>
      <w:r>
        <w:rPr>
          <w:rFonts w:ascii="Arial" w:cs="Arial" w:eastAsia="Arial" w:hAnsi="Arial"/>
          <w:sz w:val="12"/>
          <w:szCs w:val="12"/>
          <w:b w:val="1"/>
          <w:bCs w:val="1"/>
          <w:i w:val="1"/>
          <w:iCs w:val="1"/>
          <w:color w:val="auto"/>
        </w:rPr>
        <w:t>Disclosing Party</w:t>
      </w:r>
      <w:r>
        <w:rPr>
          <w:rFonts w:ascii="Arial" w:cs="Arial" w:eastAsia="Arial" w:hAnsi="Arial"/>
          <w:sz w:val="12"/>
          <w:szCs w:val="12"/>
          <w:color w:val="auto"/>
        </w:rPr>
        <w:t>”), so that the Disclosing Party may seek an appropriate protective order. In the event the Disclosing Party cannot obtain a protective order for all or part of the Confidential Information required to be disclosed by applicable Law, the Receiving Party shall only disclose such Confidential Information that it is advised by its counsel in writing that it is legally bound to disclose under such applicable Law.</w:t>
      </w:r>
    </w:p>
    <w:p>
      <w:pPr>
        <w:spacing w:after="0" w:line="304" w:lineRule="exact"/>
        <w:rPr>
          <w:rFonts w:ascii="Arial" w:cs="Arial" w:eastAsia="Arial" w:hAnsi="Arial"/>
          <w:sz w:val="12"/>
          <w:szCs w:val="12"/>
          <w:color w:val="auto"/>
        </w:rPr>
      </w:pPr>
    </w:p>
    <w:p>
      <w:pPr>
        <w:jc w:val="both"/>
        <w:ind w:firstLine="532"/>
        <w:spacing w:after="0" w:line="251" w:lineRule="auto"/>
        <w:tabs>
          <w:tab w:leader="none" w:pos="964"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Notwithstanding the foregoing, “Confidential Information” shall not include any information that the Receiving Party can demonstrate: (i) was publicly known at the time of disclosure to it, or has become publicly known through no act of the Receiving Party or its Representatives in breach of this </w:t>
      </w:r>
      <w:r>
        <w:rPr>
          <w:rFonts w:ascii="Arial" w:cs="Arial" w:eastAsia="Arial" w:hAnsi="Arial"/>
          <w:sz w:val="15"/>
          <w:szCs w:val="15"/>
          <w:u w:val="single" w:color="auto"/>
          <w:color w:val="auto"/>
        </w:rPr>
        <w:t>Section 4.01</w:t>
      </w:r>
      <w:r>
        <w:rPr>
          <w:rFonts w:ascii="Arial" w:cs="Arial" w:eastAsia="Arial" w:hAnsi="Arial"/>
          <w:sz w:val="15"/>
          <w:szCs w:val="15"/>
          <w:color w:val="auto"/>
        </w:rPr>
        <w:t>; (ii) was rightfully received from a third party without a duty of confidentiality; or (iii) was developed by it independently without any reliance on the Confidential Information.</w:t>
      </w:r>
    </w:p>
    <w:p>
      <w:pPr>
        <w:spacing w:after="0" w:line="158" w:lineRule="exact"/>
        <w:rPr>
          <w:rFonts w:ascii="Arial" w:cs="Arial" w:eastAsia="Arial" w:hAnsi="Arial"/>
          <w:sz w:val="15"/>
          <w:szCs w:val="15"/>
          <w:color w:val="auto"/>
        </w:rPr>
      </w:pPr>
    </w:p>
    <w:p>
      <w:pPr>
        <w:jc w:val="both"/>
        <w:ind w:firstLine="532"/>
        <w:spacing w:after="0" w:line="247" w:lineRule="auto"/>
        <w:tabs>
          <w:tab w:leader="none" w:pos="868" w:val="left"/>
        </w:tabs>
        <w:numPr>
          <w:ilvl w:val="0"/>
          <w:numId w:val="18"/>
        </w:numPr>
        <w:rPr>
          <w:rFonts w:ascii="Arial" w:cs="Arial" w:eastAsia="Arial" w:hAnsi="Arial"/>
          <w:sz w:val="15"/>
          <w:szCs w:val="15"/>
          <w:color w:val="auto"/>
        </w:rPr>
      </w:pPr>
      <w:r>
        <w:rPr>
          <w:rFonts w:ascii="Arial" w:cs="Arial" w:eastAsia="Arial" w:hAnsi="Arial"/>
          <w:sz w:val="15"/>
          <w:szCs w:val="15"/>
          <w:color w:val="auto"/>
        </w:rPr>
        <w:t>Upon demand by the Disclosing Party at any time, or upon expiration or termination of this Agreement with respect to any Service, the Receiving Party agrees promptly to return or destroy, at the Disclosing Party’s option, all of the Disclosing Party’s Confidential Information in the Receiving Party’s possession or control. If such Confidential Information is destroyed, an authorized officer of the Receiving Party shall certify to such destruction in writing. Notwithstanding the foregoing, the Receiving Party shall not be required to destroy copies of the Confidential Information which may be electronically archived in connection with its automatic backup storage and/or document retention policies; provided, however, that all such material shall remain subject to the confidentiality obligations in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MISCELLANEOUS</w:t>
      </w:r>
    </w:p>
    <w:p>
      <w:pPr>
        <w:spacing w:after="0" w:line="164"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b w:val="1"/>
          <w:bCs w:val="1"/>
          <w:color w:val="auto"/>
        </w:rPr>
        <w:t>5.01</w:t>
      </w:r>
      <w:r>
        <w:rPr>
          <w:sz w:val="20"/>
          <w:szCs w:val="20"/>
          <w:color w:val="auto"/>
        </w:rPr>
        <w:tab/>
      </w:r>
      <w:r>
        <w:rPr>
          <w:rFonts w:ascii="Arial" w:cs="Arial" w:eastAsia="Arial" w:hAnsi="Arial"/>
          <w:sz w:val="12"/>
          <w:szCs w:val="12"/>
          <w:b w:val="1"/>
          <w:bCs w:val="1"/>
          <w:color w:val="auto"/>
        </w:rPr>
        <w:t>Counterparts; Entire Agreement</w:t>
      </w:r>
      <w:r>
        <w:rPr>
          <w:rFonts w:ascii="Arial" w:cs="Arial" w:eastAsia="Arial" w:hAnsi="Arial"/>
          <w:sz w:val="12"/>
          <w:szCs w:val="12"/>
          <w:color w:val="auto"/>
        </w:rPr>
        <w:t>.</w:t>
      </w:r>
    </w:p>
    <w:p>
      <w:pPr>
        <w:spacing w:after="0" w:line="181" w:lineRule="exact"/>
        <w:rPr>
          <w:sz w:val="20"/>
          <w:szCs w:val="20"/>
          <w:color w:val="auto"/>
        </w:rPr>
      </w:pPr>
    </w:p>
    <w:p>
      <w:pPr>
        <w:ind w:firstLine="532"/>
        <w:spacing w:after="0" w:line="259" w:lineRule="auto"/>
        <w:tabs>
          <w:tab w:leader="none" w:pos="9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52" w:lineRule="exact"/>
        <w:rPr>
          <w:rFonts w:ascii="Arial" w:cs="Arial" w:eastAsia="Arial" w:hAnsi="Arial"/>
          <w:sz w:val="15"/>
          <w:szCs w:val="15"/>
          <w:color w:val="auto"/>
        </w:rPr>
      </w:pPr>
    </w:p>
    <w:p>
      <w:pPr>
        <w:jc w:val="both"/>
        <w:ind w:firstLine="532"/>
        <w:spacing w:after="0" w:line="251" w:lineRule="auto"/>
        <w:tabs>
          <w:tab w:leader="none" w:pos="89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Agreement contains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54"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5.02 Governing Law</w:t>
      </w:r>
      <w:r>
        <w:rPr>
          <w:rFonts w:ascii="Arial" w:cs="Arial" w:eastAsia="Arial" w:hAnsi="Arial"/>
          <w:sz w:val="15"/>
          <w:szCs w:val="15"/>
          <w:color w:val="auto"/>
        </w:rPr>
        <w:t>. This Agreement (and any claims or disputes arising out of or related hereto or to the transactions contemplated hereby or to the inducement of any Party to enter</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as of the date of this Agreement, including all matters of validity, construction, effect, enforceability, performance and remedies.</w:t>
      </w:r>
    </w:p>
    <w:p>
      <w:pPr>
        <w:spacing w:after="0" w:line="156" w:lineRule="exact"/>
        <w:rPr>
          <w:sz w:val="20"/>
          <w:szCs w:val="20"/>
          <w:color w:val="auto"/>
        </w:rPr>
      </w:pPr>
    </w:p>
    <w:p>
      <w:pPr>
        <w:jc w:val="both"/>
        <w:ind w:firstLine="525"/>
        <w:spacing w:after="0" w:line="390" w:lineRule="auto"/>
        <w:rPr>
          <w:sz w:val="20"/>
          <w:szCs w:val="20"/>
          <w:color w:val="auto"/>
        </w:rPr>
      </w:pPr>
      <w:r>
        <w:rPr>
          <w:rFonts w:ascii="Arial" w:cs="Arial" w:eastAsia="Arial" w:hAnsi="Arial"/>
          <w:sz w:val="12"/>
          <w:szCs w:val="12"/>
          <w:b w:val="1"/>
          <w:bCs w:val="1"/>
          <w:color w:val="auto"/>
        </w:rPr>
        <w:t>5.03 Assignability</w:t>
      </w:r>
      <w:r>
        <w:rPr>
          <w:rFonts w:ascii="Arial" w:cs="Arial" w:eastAsia="Arial" w:hAnsi="Arial"/>
          <w:sz w:val="12"/>
          <w:szCs w:val="12"/>
          <w:color w:val="auto"/>
        </w:rPr>
        <w:t>. This Agreement shall be binding upon and inure to the benefit of the Parties hereto and their respective successors and permitted assigns; provided, however, that no</w:t>
      </w:r>
      <w:r>
        <w:rPr>
          <w:rFonts w:ascii="Arial" w:cs="Arial" w:eastAsia="Arial" w:hAnsi="Arial"/>
          <w:sz w:val="12"/>
          <w:szCs w:val="12"/>
          <w:b w:val="1"/>
          <w:bCs w:val="1"/>
          <w:color w:val="auto"/>
        </w:rPr>
        <w:t xml:space="preserve"> </w:t>
      </w:r>
      <w:r>
        <w:rPr>
          <w:rFonts w:ascii="Arial" w:cs="Arial" w:eastAsia="Arial" w:hAnsi="Arial"/>
          <w:sz w:val="12"/>
          <w:szCs w:val="12"/>
          <w:color w:val="auto"/>
        </w:rPr>
        <w:t>Party hereto may assign its respective rights or delegate its respective obligations under this Agreement without the express prior written consent of the other Parties hereto.</w:t>
      </w:r>
    </w:p>
    <w:p>
      <w:pPr>
        <w:spacing w:after="0" w:line="76"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5.04 Third-Party Beneficiaries</w:t>
      </w:r>
      <w:r>
        <w:rPr>
          <w:rFonts w:ascii="Arial" w:cs="Arial" w:eastAsia="Arial" w:hAnsi="Arial"/>
          <w:sz w:val="15"/>
          <w:szCs w:val="15"/>
          <w:color w:val="auto"/>
        </w:rPr>
        <w:t>. The provisions of this Agreement are solely for the benefit of the Parties and are not intended to confer upon any Person except the Parties any rights</w:t>
      </w:r>
      <w:r>
        <w:rPr>
          <w:rFonts w:ascii="Arial" w:cs="Arial" w:eastAsia="Arial" w:hAnsi="Arial"/>
          <w:sz w:val="15"/>
          <w:szCs w:val="15"/>
          <w:b w:val="1"/>
          <w:bCs w:val="1"/>
          <w:color w:val="auto"/>
        </w:rPr>
        <w:t xml:space="preserve"> </w:t>
      </w:r>
      <w:r>
        <w:rPr>
          <w:rFonts w:ascii="Arial" w:cs="Arial" w:eastAsia="Arial" w:hAnsi="Arial"/>
          <w:sz w:val="15"/>
          <w:szCs w:val="15"/>
          <w:color w:val="auto"/>
        </w:rPr>
        <w:t>or remedies, and there are no third-party beneficiaries of this Agreement. This Agreement shall not provide any third person with any remedy, claim, liability, reimbursement, claim of action or other right in excess of those existing without reference to this Agreement.</w:t>
      </w:r>
    </w:p>
    <w:p>
      <w:pPr>
        <w:spacing w:after="0" w:line="154"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5.05 Notices</w:t>
      </w:r>
      <w:r>
        <w:rPr>
          <w:rFonts w:ascii="Arial" w:cs="Arial" w:eastAsia="Arial" w:hAnsi="Arial"/>
          <w:sz w:val="15"/>
          <w:szCs w:val="15"/>
          <w:color w:val="auto"/>
        </w:rPr>
        <w:t>. All notices, requests, claims, demands or other communications under this Agreement shall be in writing and shall be given or made (and shall be deemed to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5"/>
          <w:szCs w:val="15"/>
          <w:u w:val="single" w:color="auto"/>
          <w:color w:val="auto"/>
        </w:rPr>
        <w:t>Section 5.05</w:t>
      </w:r>
      <w:r>
        <w:rPr>
          <w:rFonts w:ascii="Arial" w:cs="Arial" w:eastAsia="Arial" w:hAnsi="Arial"/>
          <w:sz w:val="15"/>
          <w:szCs w:val="15"/>
          <w:color w:val="auto"/>
        </w:rPr>
        <w:t>):</w:t>
      </w:r>
    </w:p>
    <w:p>
      <w:pPr>
        <w:spacing w:after="0" w:line="160" w:lineRule="exact"/>
        <w:rPr>
          <w:sz w:val="20"/>
          <w:szCs w:val="20"/>
          <w:color w:val="auto"/>
        </w:rPr>
      </w:pPr>
    </w:p>
    <w:p>
      <w:pPr>
        <w:ind w:left="880" w:hanging="348"/>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to Oil States, to:</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Oil States International, Inc.</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Three Allen Center</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333 Clay Street, Suite 4620</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Houston, Texas 77002</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Attention: Cindy Taylor and Jeff Steen</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Facsimile: 713-652-0499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43" w:name="page44"/>
    <w:bookmarkEnd w:id="43"/>
    <w:p>
      <w:pPr>
        <w:ind w:left="880" w:hanging="348"/>
        <w:spacing w:after="0"/>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to Civeo, to:</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Civeo Corporation</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Three Allen Center</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333 Clay Street, Suite 4980</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Houston, Texas 77002</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Attention: Bradley Dodson and Frank Steininger</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Facsimile: 713-651-0369</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Party may, by notice to the other Party, change the address and contact person to which any such notices are to be given.</w:t>
      </w:r>
    </w:p>
    <w:p>
      <w:pPr>
        <w:spacing w:after="0" w:line="173"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5.06 Severability</w:t>
      </w:r>
      <w:r>
        <w:rPr>
          <w:rFonts w:ascii="Arial" w:cs="Arial" w:eastAsia="Arial" w:hAnsi="Arial"/>
          <w:sz w:val="15"/>
          <w:szCs w:val="15"/>
          <w:color w:val="auto"/>
        </w:rPr>
        <w:t>. If any provision of this Agreement or the application thereof to any Person or circumstance is determined by a court of competent jurisdiction to be invalid, void or</w:t>
      </w:r>
      <w:r>
        <w:rPr>
          <w:rFonts w:ascii="Arial" w:cs="Arial" w:eastAsia="Arial" w:hAnsi="Arial"/>
          <w:sz w:val="15"/>
          <w:szCs w:val="15"/>
          <w:b w:val="1"/>
          <w:bCs w:val="1"/>
          <w:color w:val="auto"/>
        </w:rPr>
        <w:t xml:space="preserve"> </w:t>
      </w:r>
      <w:r>
        <w:rPr>
          <w:rFonts w:ascii="Arial" w:cs="Arial" w:eastAsia="Arial" w:hAnsi="Arial"/>
          <w:sz w:val="15"/>
          <w:szCs w:val="15"/>
          <w:color w:val="auto"/>
        </w:rPr>
        <w:t>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56" w:lineRule="exact"/>
        <w:rPr>
          <w:sz w:val="20"/>
          <w:szCs w:val="20"/>
          <w:color w:val="auto"/>
        </w:rPr>
      </w:pPr>
    </w:p>
    <w:p>
      <w:pPr>
        <w:jc w:val="both"/>
        <w:ind w:firstLine="525"/>
        <w:spacing w:after="0" w:line="332" w:lineRule="auto"/>
        <w:rPr>
          <w:sz w:val="20"/>
          <w:szCs w:val="20"/>
          <w:color w:val="auto"/>
        </w:rPr>
      </w:pPr>
      <w:r>
        <w:rPr>
          <w:rFonts w:ascii="Arial" w:cs="Arial" w:eastAsia="Arial" w:hAnsi="Arial"/>
          <w:sz w:val="12"/>
          <w:szCs w:val="12"/>
          <w:b w:val="1"/>
          <w:bCs w:val="1"/>
          <w:color w:val="auto"/>
        </w:rPr>
        <w:t>5.07 Force Majeure</w:t>
      </w:r>
      <w:r>
        <w:rPr>
          <w:rFonts w:ascii="Arial" w:cs="Arial" w:eastAsia="Arial" w:hAnsi="Arial"/>
          <w:sz w:val="12"/>
          <w:szCs w:val="12"/>
          <w:color w:val="auto"/>
        </w:rPr>
        <w:t>. No Party shall be deemed in default of this Agreement to the extent that any delay or failure in the performance of its obligations under this Agreement, other than</w:t>
      </w:r>
      <w:r>
        <w:rPr>
          <w:rFonts w:ascii="Arial" w:cs="Arial" w:eastAsia="Arial" w:hAnsi="Arial"/>
          <w:sz w:val="12"/>
          <w:szCs w:val="12"/>
          <w:b w:val="1"/>
          <w:bCs w:val="1"/>
          <w:color w:val="auto"/>
        </w:rPr>
        <w:t xml:space="preserve"> </w:t>
      </w:r>
      <w:r>
        <w:rPr>
          <w:rFonts w:ascii="Arial" w:cs="Arial" w:eastAsia="Arial" w:hAnsi="Arial"/>
          <w:sz w:val="12"/>
          <w:szCs w:val="12"/>
          <w:color w:val="auto"/>
        </w:rPr>
        <w:t>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11"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5.08 Headings</w:t>
      </w:r>
      <w:r>
        <w:rPr>
          <w:rFonts w:ascii="Arial" w:cs="Arial" w:eastAsia="Arial" w:hAnsi="Arial"/>
          <w:sz w:val="15"/>
          <w:szCs w:val="15"/>
          <w:color w:val="auto"/>
        </w:rPr>
        <w:t>. The article, section and paragraph headings contained in this Agreement are for reference purposes only and shall not affect in any way the meaning or interpretation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w:t>
      </w:r>
    </w:p>
    <w:p>
      <w:pPr>
        <w:spacing w:after="0" w:line="145"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5.09 Waivers of Default</w:t>
      </w:r>
      <w:r>
        <w:rPr>
          <w:rFonts w:ascii="Arial" w:cs="Arial" w:eastAsia="Arial" w:hAnsi="Arial"/>
          <w:sz w:val="14"/>
          <w:szCs w:val="14"/>
          <w:color w:val="auto"/>
        </w:rPr>
        <w:t>. Waiver by any Party of any default by the other Party of any provision of this Agreement shall not be deemed a waiver by the waiving Party of any</w:t>
      </w:r>
      <w:r>
        <w:rPr>
          <w:rFonts w:ascii="Arial" w:cs="Arial" w:eastAsia="Arial" w:hAnsi="Arial"/>
          <w:sz w:val="14"/>
          <w:szCs w:val="14"/>
          <w:b w:val="1"/>
          <w:bCs w:val="1"/>
          <w:color w:val="auto"/>
        </w:rPr>
        <w:t xml:space="preserve"> </w:t>
      </w:r>
      <w:r>
        <w:rPr>
          <w:rFonts w:ascii="Arial" w:cs="Arial" w:eastAsia="Arial" w:hAnsi="Arial"/>
          <w:sz w:val="14"/>
          <w:szCs w:val="14"/>
          <w:color w:val="auto"/>
        </w:rPr>
        <w:t>subsequent or other default, nor shall it prejudice the rights of such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36" w:lineRule="exact"/>
        <w:rPr>
          <w:sz w:val="20"/>
          <w:szCs w:val="20"/>
          <w:color w:val="auto"/>
        </w:rPr>
      </w:pPr>
    </w:p>
    <w:p>
      <w:pPr>
        <w:jc w:val="both"/>
        <w:ind w:firstLine="525"/>
        <w:spacing w:after="0" w:line="270" w:lineRule="auto"/>
        <w:rPr>
          <w:sz w:val="20"/>
          <w:szCs w:val="20"/>
          <w:color w:val="auto"/>
        </w:rPr>
      </w:pPr>
      <w:r>
        <w:rPr>
          <w:rFonts w:ascii="Arial" w:cs="Arial" w:eastAsia="Arial" w:hAnsi="Arial"/>
          <w:sz w:val="14"/>
          <w:szCs w:val="14"/>
          <w:b w:val="1"/>
          <w:bCs w:val="1"/>
          <w:color w:val="auto"/>
        </w:rPr>
        <w:t>5.10 Specific Performance</w:t>
      </w:r>
      <w:r>
        <w:rPr>
          <w:rFonts w:ascii="Arial" w:cs="Arial" w:eastAsia="Arial" w:hAnsi="Arial"/>
          <w:sz w:val="14"/>
          <w:szCs w:val="14"/>
          <w:color w:val="auto"/>
        </w:rPr>
        <w:t>. In the event of any actual or threatened default in, or breach of, any of the terms, conditions and provisions of this Agreement, the Party or Parties who are,</w:t>
      </w:r>
      <w:r>
        <w:rPr>
          <w:rFonts w:ascii="Arial" w:cs="Arial" w:eastAsia="Arial" w:hAnsi="Arial"/>
          <w:sz w:val="14"/>
          <w:szCs w:val="14"/>
          <w:b w:val="1"/>
          <w:bCs w:val="1"/>
          <w:color w:val="auto"/>
        </w:rPr>
        <w:t xml:space="preserve"> </w:t>
      </w:r>
      <w:r>
        <w:rPr>
          <w:rFonts w:ascii="Arial" w:cs="Arial" w:eastAsia="Arial" w:hAnsi="Arial"/>
          <w:sz w:val="14"/>
          <w:szCs w:val="14"/>
          <w:color w:val="auto"/>
        </w:rPr>
        <w:t>or are to be, thereby aggrieved shall have the right to specific performance and injunctive or other equitable relief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44" w:name="page45"/>
    <w:bookmarkEnd w:id="44"/>
    <w:p>
      <w:pPr>
        <w:jc w:val="both"/>
        <w:ind w:firstLine="525"/>
        <w:spacing w:after="0" w:line="300" w:lineRule="auto"/>
        <w:rPr>
          <w:sz w:val="20"/>
          <w:szCs w:val="20"/>
          <w:color w:val="auto"/>
        </w:rPr>
      </w:pPr>
      <w:r>
        <w:rPr>
          <w:rFonts w:ascii="Arial" w:cs="Arial" w:eastAsia="Arial" w:hAnsi="Arial"/>
          <w:sz w:val="14"/>
          <w:szCs w:val="14"/>
          <w:b w:val="1"/>
          <w:bCs w:val="1"/>
          <w:color w:val="auto"/>
        </w:rPr>
        <w:t>5.11 Amendments</w:t>
      </w:r>
      <w:r>
        <w:rPr>
          <w:rFonts w:ascii="Arial" w:cs="Arial" w:eastAsia="Arial" w:hAnsi="Arial"/>
          <w:sz w:val="14"/>
          <w:szCs w:val="14"/>
          <w:color w:val="auto"/>
        </w:rPr>
        <w:t>. No provisions of this Agreement shall be deemed waived, amended, supplemented or modified by any Party, unless such waiver, amendment, supplement or</w:t>
      </w:r>
      <w:r>
        <w:rPr>
          <w:rFonts w:ascii="Arial" w:cs="Arial" w:eastAsia="Arial" w:hAnsi="Arial"/>
          <w:sz w:val="14"/>
          <w:szCs w:val="14"/>
          <w:b w:val="1"/>
          <w:bCs w:val="1"/>
          <w:color w:val="auto"/>
        </w:rPr>
        <w:t xml:space="preserve"> </w:t>
      </w:r>
      <w:r>
        <w:rPr>
          <w:rFonts w:ascii="Arial" w:cs="Arial" w:eastAsia="Arial" w:hAnsi="Arial"/>
          <w:sz w:val="14"/>
          <w:szCs w:val="14"/>
          <w:color w:val="auto"/>
        </w:rPr>
        <w:t>modification is in writing and signed by the authorized representative of the Party against whom it is sought to enforce such waiver, amendment, supplement or modification.</w:t>
      </w:r>
    </w:p>
    <w:p>
      <w:pPr>
        <w:spacing w:after="0" w:line="122"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b w:val="1"/>
          <w:bCs w:val="1"/>
          <w:color w:val="auto"/>
        </w:rPr>
        <w:t>5.12 Interpretation</w:t>
      </w:r>
      <w:r>
        <w:rPr>
          <w:rFonts w:ascii="Arial" w:cs="Arial" w:eastAsia="Arial" w:hAnsi="Arial"/>
          <w:sz w:val="15"/>
          <w:szCs w:val="15"/>
          <w:color w:val="auto"/>
        </w:rPr>
        <w:t>. In this Agreement, (a) words in the singular shall be held to include the plural and vice versa and words of one gender shall be held to include the other genders 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context requires; (b) the terms “hereof,” “herein,” “herewith” and words of similar import, and the term “Agreement” shall, unless otherwise stated, be construed to refer to this Agreement as a whole (including all of the Schedules, Exhibits and Appendices hereto) and not to any particular provision of this Agreement; (c) Article, Section, Exhibit, Schedule and Appendix references are to the Articles, Sections, Exhibits, Schedules and Appendices to this Agreement unless otherwise specified; (d) the word “including” and words of similar import when used in this Agreement means “including, without limitation”; (e) the word “or” shall not be exclusive; and (f) unless expressly stated to the contrary in this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caused this Agreement to be executed by their duly authorized representatives.</w:t>
      </w:r>
    </w:p>
    <w:p>
      <w:pPr>
        <w:spacing w:after="0" w:line="189" w:lineRule="exact"/>
        <w:rPr>
          <w:sz w:val="20"/>
          <w:szCs w:val="20"/>
          <w:color w:val="auto"/>
        </w:rPr>
      </w:pPr>
    </w:p>
    <w:p>
      <w:pPr>
        <w:jc w:val="right"/>
        <w:ind w:right="1999"/>
        <w:spacing w:after="0"/>
        <w:rPr>
          <w:sz w:val="20"/>
          <w:szCs w:val="20"/>
          <w:color w:val="auto"/>
        </w:rPr>
      </w:pPr>
      <w:r>
        <w:rPr>
          <w:rFonts w:ascii="Arial" w:cs="Arial" w:eastAsia="Arial" w:hAnsi="Arial"/>
          <w:sz w:val="15"/>
          <w:szCs w:val="15"/>
          <w:b w:val="1"/>
          <w:bCs w:val="1"/>
          <w:color w:val="auto"/>
        </w:rPr>
        <w:t>OIL STATES INTERNATIONAL, INC.</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CIVEO CORPORATION</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8255</wp:posOffset>
            </wp:positionV>
            <wp:extent cx="32683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68345" cy="69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740"/>
        <w:spacing w:after="0"/>
        <w:rPr>
          <w:sz w:val="20"/>
          <w:szCs w:val="20"/>
          <w:color w:val="auto"/>
        </w:rPr>
      </w:pPr>
      <w:r>
        <w:rPr>
          <w:rFonts w:ascii="Arial" w:cs="Arial" w:eastAsia="Arial" w:hAnsi="Arial"/>
          <w:sz w:val="15"/>
          <w:szCs w:val="15"/>
          <w:color w:val="auto"/>
        </w:rPr>
        <w:t>SIGNATURE PAGE</w:t>
      </w:r>
    </w:p>
    <w:p>
      <w:pPr>
        <w:spacing w:after="0" w:line="10"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291465</wp:posOffset>
            </wp:positionV>
            <wp:extent cx="7292340"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699"/>
          </w:cols>
          <w:pgMar w:left="760" w:top="496"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5"/>
          <w:szCs w:val="15"/>
          <w:b w:val="1"/>
          <w:bCs w:val="1"/>
          <w:color w:val="auto"/>
        </w:rPr>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SERVICES PROVIDED BY OIL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417830</wp:posOffset>
            </wp:positionV>
            <wp:extent cx="729234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5"/>
          <w:szCs w:val="15"/>
          <w:b w:val="1"/>
          <w:bCs w:val="1"/>
          <w:color w:val="auto"/>
        </w:rPr>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SERVICES PROVIDED BY CIVEO</w:t>
      </w:r>
    </w:p>
    <w:p>
      <w:pPr>
        <w:sectPr>
          <w:pgSz w:w="11900" w:h="16838" w:orient="portrait"/>
          <w:cols w:equalWidth="0" w:num="1">
            <w:col w:w="9019"/>
          </w:cols>
          <w:pgMar w:left="1440" w:top="496"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b w:val="1"/>
          <w:bCs w:val="1"/>
          <w:color w:val="auto"/>
        </w:rPr>
        <w:t>Exhibit 10.5</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SYNDICATED FACILITY AGREEMENT</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dated as of May 28, 2014</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among</w:t>
      </w:r>
    </w:p>
    <w:p>
      <w:pPr>
        <w:spacing w:after="0" w:line="177"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CIVEO CORPORATION,</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CIVEO CANADA INC.,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CIVEO PREMIUM CAMP SERVICES LTD. and</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CIVEO AUSTRALIA PTY LIMITED,</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as Borrowers</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THE LENDERS NAMED HEREIN,</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ROYAL BANK OF CANADA,</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as Administrative Agent, U.S. Collateral Agent,</w:t>
      </w:r>
    </w:p>
    <w:p>
      <w:pPr>
        <w:spacing w:after="0" w:line="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Canadian Administrative Agent, Canadian Collateral Agent</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 an Issuing Bank,</w:t>
      </w:r>
    </w:p>
    <w:p>
      <w:pPr>
        <w:spacing w:after="0" w:line="16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RBC EUROPE LIMITED,</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Australian Administrative Agent, Australian Collateral Agent</w:t>
      </w:r>
    </w:p>
    <w:p>
      <w:pPr>
        <w:spacing w:after="0" w:line="3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168910</wp:posOffset>
            </wp:positionV>
            <wp:extent cx="181800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1800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RBC CAPITAL MARKETS</w:t>
      </w:r>
      <w:r>
        <w:rPr>
          <w:rFonts w:ascii="Arial" w:cs="Arial" w:eastAsia="Arial" w:hAnsi="Arial"/>
          <w:sz w:val="24"/>
          <w:szCs w:val="24"/>
          <w:color w:val="auto"/>
          <w:vertAlign w:val="superscript"/>
        </w:rPr>
        <w:t>1</w:t>
      </w:r>
    </w:p>
    <w:p>
      <w:pPr>
        <w:spacing w:after="0" w:line="94"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824230</wp:posOffset>
            </wp:positionV>
            <wp:extent cx="7292340"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180" w:type="dxa"/>
            <w:vAlign w:val="bottom"/>
          </w:tcPr>
          <w:p>
            <w:pPr>
              <w:ind w:left="3100"/>
              <w:spacing w:after="0"/>
              <w:rPr>
                <w:sz w:val="20"/>
                <w:szCs w:val="20"/>
                <w:color w:val="auto"/>
              </w:rPr>
            </w:pPr>
            <w:r>
              <w:rPr>
                <w:rFonts w:ascii="Arial" w:cs="Arial" w:eastAsia="Arial" w:hAnsi="Arial"/>
                <w:sz w:val="17"/>
                <w:szCs w:val="17"/>
                <w:b w:val="1"/>
                <w:bCs w:val="1"/>
                <w:color w:val="auto"/>
              </w:rPr>
              <w:t>TABLE OF CONTENTS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0" w:type="dxa"/>
            <w:vAlign w:val="bottom"/>
            <w:gridSpan w:val="2"/>
          </w:tcPr>
          <w:p>
            <w:pPr>
              <w:ind w:left="2220"/>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385"/>
        </w:trPr>
        <w:tc>
          <w:tcPr>
            <w:tcW w:w="20" w:type="dxa"/>
            <w:vAlign w:val="bottom"/>
            <w:vMerge w:val="restart"/>
          </w:tcPr>
          <w:p>
            <w:pPr>
              <w:spacing w:after="0"/>
              <w:rPr>
                <w:sz w:val="24"/>
                <w:szCs w:val="24"/>
                <w:color w:val="auto"/>
              </w:rPr>
            </w:pPr>
          </w:p>
        </w:tc>
        <w:tc>
          <w:tcPr>
            <w:tcW w:w="16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w w:val="99"/>
              </w:rPr>
              <w:t>ARTICLE IDEFINITIONS</w:t>
            </w:r>
          </w:p>
        </w:tc>
        <w:tc>
          <w:tcPr>
            <w:tcW w:w="7180" w:type="dxa"/>
            <w:vAlign w:val="bottom"/>
            <w:shd w:val="clear" w:color="auto" w:fill="CCEEFF"/>
          </w:tcPr>
          <w:p>
            <w:pPr>
              <w:spacing w:after="0"/>
              <w:rPr>
                <w:sz w:val="15"/>
                <w:szCs w:val="15"/>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1.01</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Defined Terms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1.02</w:t>
            </w:r>
          </w:p>
        </w:tc>
        <w:tc>
          <w:tcPr>
            <w:tcW w:w="7180" w:type="dxa"/>
            <w:vAlign w:val="bottom"/>
          </w:tcPr>
          <w:p>
            <w:pPr>
              <w:ind w:left="40"/>
              <w:spacing w:after="0"/>
              <w:rPr>
                <w:sz w:val="20"/>
                <w:szCs w:val="20"/>
                <w:color w:val="auto"/>
              </w:rPr>
            </w:pPr>
            <w:r>
              <w:rPr>
                <w:rFonts w:ascii="Arial" w:cs="Arial" w:eastAsia="Arial" w:hAnsi="Arial"/>
                <w:sz w:val="15"/>
                <w:szCs w:val="15"/>
                <w:color w:val="auto"/>
              </w:rPr>
              <w:t>Terms Generally</w:t>
            </w:r>
          </w:p>
        </w:tc>
        <w:tc>
          <w:tcPr>
            <w:tcW w:w="2580" w:type="dxa"/>
            <w:vAlign w:val="bottom"/>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1.03</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Several Obligations; Power of Attorney</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1.04</w:t>
            </w:r>
          </w:p>
        </w:tc>
        <w:tc>
          <w:tcPr>
            <w:tcW w:w="7180" w:type="dxa"/>
            <w:vAlign w:val="bottom"/>
          </w:tcPr>
          <w:p>
            <w:pPr>
              <w:ind w:left="40"/>
              <w:spacing w:after="0"/>
              <w:rPr>
                <w:sz w:val="20"/>
                <w:szCs w:val="20"/>
                <w:color w:val="auto"/>
              </w:rPr>
            </w:pPr>
            <w:r>
              <w:rPr>
                <w:rFonts w:ascii="Arial" w:cs="Arial" w:eastAsia="Arial" w:hAnsi="Arial"/>
                <w:sz w:val="15"/>
                <w:szCs w:val="15"/>
                <w:color w:val="auto"/>
              </w:rPr>
              <w:t>Classification of Loans and Borrowings</w:t>
            </w:r>
          </w:p>
        </w:tc>
        <w:tc>
          <w:tcPr>
            <w:tcW w:w="258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1.05</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Additional Alternative Currencies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6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ARTICLE IITHE CREDITS</w:t>
            </w:r>
          </w:p>
        </w:tc>
        <w:tc>
          <w:tcPr>
            <w:tcW w:w="7180" w:type="dxa"/>
            <w:vAlign w:val="bottom"/>
            <w:shd w:val="clear" w:color="auto" w:fill="CCEEFF"/>
          </w:tcPr>
          <w:p>
            <w:pPr>
              <w:spacing w:after="0"/>
              <w:rPr>
                <w:sz w:val="15"/>
                <w:szCs w:val="15"/>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2.01</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2.02</w:t>
            </w:r>
          </w:p>
        </w:tc>
        <w:tc>
          <w:tcPr>
            <w:tcW w:w="7180" w:type="dxa"/>
            <w:vAlign w:val="bottom"/>
          </w:tcPr>
          <w:p>
            <w:pPr>
              <w:ind w:left="40"/>
              <w:spacing w:after="0"/>
              <w:rPr>
                <w:sz w:val="20"/>
                <w:szCs w:val="20"/>
                <w:color w:val="auto"/>
              </w:rPr>
            </w:pPr>
            <w:r>
              <w:rPr>
                <w:rFonts w:ascii="Arial" w:cs="Arial" w:eastAsia="Arial" w:hAnsi="Arial"/>
                <w:sz w:val="15"/>
                <w:szCs w:val="15"/>
                <w:color w:val="auto"/>
              </w:rPr>
              <w:t>Loans</w:t>
            </w:r>
          </w:p>
        </w:tc>
        <w:tc>
          <w:tcPr>
            <w:tcW w:w="2580" w:type="dxa"/>
            <w:vAlign w:val="bottom"/>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2.03</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Borrowing Procedure</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2.04</w:t>
            </w:r>
          </w:p>
        </w:tc>
        <w:tc>
          <w:tcPr>
            <w:tcW w:w="7180" w:type="dxa"/>
            <w:vAlign w:val="bottom"/>
          </w:tcPr>
          <w:p>
            <w:pPr>
              <w:ind w:left="40"/>
              <w:spacing w:after="0"/>
              <w:rPr>
                <w:sz w:val="20"/>
                <w:szCs w:val="20"/>
                <w:color w:val="auto"/>
              </w:rPr>
            </w:pPr>
            <w:r>
              <w:rPr>
                <w:rFonts w:ascii="Arial" w:cs="Arial" w:eastAsia="Arial" w:hAnsi="Arial"/>
                <w:sz w:val="15"/>
                <w:szCs w:val="15"/>
                <w:color w:val="auto"/>
              </w:rPr>
              <w:t>Evidence of Debt; Repayment of Loans</w:t>
            </w:r>
          </w:p>
        </w:tc>
        <w:tc>
          <w:tcPr>
            <w:tcW w:w="258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2.05</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Fees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2.06</w:t>
            </w:r>
          </w:p>
        </w:tc>
        <w:tc>
          <w:tcPr>
            <w:tcW w:w="7180" w:type="dxa"/>
            <w:vAlign w:val="bottom"/>
          </w:tcPr>
          <w:p>
            <w:pPr>
              <w:ind w:left="40"/>
              <w:spacing w:after="0"/>
              <w:rPr>
                <w:sz w:val="20"/>
                <w:szCs w:val="20"/>
                <w:color w:val="auto"/>
              </w:rPr>
            </w:pPr>
            <w:r>
              <w:rPr>
                <w:rFonts w:ascii="Arial" w:cs="Arial" w:eastAsia="Arial" w:hAnsi="Arial"/>
                <w:sz w:val="15"/>
                <w:szCs w:val="15"/>
                <w:color w:val="auto"/>
              </w:rPr>
              <w:t>Interest on Loans</w:t>
            </w:r>
          </w:p>
        </w:tc>
        <w:tc>
          <w:tcPr>
            <w:tcW w:w="258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2.07</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Default Interest</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2.08</w:t>
            </w:r>
          </w:p>
        </w:tc>
        <w:tc>
          <w:tcPr>
            <w:tcW w:w="7180" w:type="dxa"/>
            <w:vAlign w:val="bottom"/>
          </w:tcPr>
          <w:p>
            <w:pPr>
              <w:ind w:left="40"/>
              <w:spacing w:after="0"/>
              <w:rPr>
                <w:sz w:val="20"/>
                <w:szCs w:val="20"/>
                <w:color w:val="auto"/>
              </w:rPr>
            </w:pPr>
            <w:r>
              <w:rPr>
                <w:rFonts w:ascii="Arial" w:cs="Arial" w:eastAsia="Arial" w:hAnsi="Arial"/>
                <w:sz w:val="15"/>
                <w:szCs w:val="15"/>
                <w:color w:val="auto"/>
              </w:rPr>
              <w:t>Alternate Rate of Interest</w:t>
            </w:r>
          </w:p>
        </w:tc>
        <w:tc>
          <w:tcPr>
            <w:tcW w:w="2580" w:type="dxa"/>
            <w:vAlign w:val="bottom"/>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2.09</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Termination and Reduction of Commitments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2.10</w:t>
            </w:r>
          </w:p>
        </w:tc>
        <w:tc>
          <w:tcPr>
            <w:tcW w:w="7180" w:type="dxa"/>
            <w:vAlign w:val="bottom"/>
          </w:tcPr>
          <w:p>
            <w:pPr>
              <w:ind w:left="40"/>
              <w:spacing w:after="0"/>
              <w:rPr>
                <w:sz w:val="20"/>
                <w:szCs w:val="20"/>
                <w:color w:val="auto"/>
              </w:rPr>
            </w:pPr>
            <w:r>
              <w:rPr>
                <w:rFonts w:ascii="Arial" w:cs="Arial" w:eastAsia="Arial" w:hAnsi="Arial"/>
                <w:sz w:val="15"/>
                <w:szCs w:val="15"/>
                <w:color w:val="auto"/>
              </w:rPr>
              <w:t>Conversion and Continuation of Borrowings</w:t>
            </w:r>
          </w:p>
        </w:tc>
        <w:tc>
          <w:tcPr>
            <w:tcW w:w="258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2.11</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Optional Prepayment</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2.12</w:t>
            </w:r>
          </w:p>
        </w:tc>
        <w:tc>
          <w:tcPr>
            <w:tcW w:w="7180" w:type="dxa"/>
            <w:vAlign w:val="bottom"/>
          </w:tcPr>
          <w:p>
            <w:pPr>
              <w:ind w:left="40"/>
              <w:spacing w:after="0"/>
              <w:rPr>
                <w:sz w:val="20"/>
                <w:szCs w:val="20"/>
                <w:color w:val="auto"/>
              </w:rPr>
            </w:pPr>
            <w:r>
              <w:rPr>
                <w:rFonts w:ascii="Arial" w:cs="Arial" w:eastAsia="Arial" w:hAnsi="Arial"/>
                <w:sz w:val="15"/>
                <w:szCs w:val="15"/>
                <w:color w:val="auto"/>
              </w:rPr>
              <w:t>Mandatory Prepayments</w:t>
            </w:r>
          </w:p>
        </w:tc>
        <w:tc>
          <w:tcPr>
            <w:tcW w:w="2580" w:type="dxa"/>
            <w:vAlign w:val="bottom"/>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2.13</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Increased Costs; Capital Requirements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2.14</w:t>
            </w:r>
          </w:p>
        </w:tc>
        <w:tc>
          <w:tcPr>
            <w:tcW w:w="7180" w:type="dxa"/>
            <w:vAlign w:val="bottom"/>
          </w:tcPr>
          <w:p>
            <w:pPr>
              <w:ind w:left="40"/>
              <w:spacing w:after="0"/>
              <w:rPr>
                <w:sz w:val="20"/>
                <w:szCs w:val="20"/>
                <w:color w:val="auto"/>
              </w:rPr>
            </w:pPr>
            <w:r>
              <w:rPr>
                <w:rFonts w:ascii="Arial" w:cs="Arial" w:eastAsia="Arial" w:hAnsi="Arial"/>
                <w:sz w:val="15"/>
                <w:szCs w:val="15"/>
                <w:color w:val="auto"/>
              </w:rPr>
              <w:t>Change in Legality</w:t>
            </w:r>
          </w:p>
        </w:tc>
        <w:tc>
          <w:tcPr>
            <w:tcW w:w="258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2.15</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Breakage Costs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2.16</w:t>
            </w:r>
          </w:p>
        </w:tc>
        <w:tc>
          <w:tcPr>
            <w:tcW w:w="7180" w:type="dxa"/>
            <w:vAlign w:val="bottom"/>
          </w:tcPr>
          <w:p>
            <w:pPr>
              <w:ind w:left="40"/>
              <w:spacing w:after="0"/>
              <w:rPr>
                <w:sz w:val="20"/>
                <w:szCs w:val="20"/>
                <w:color w:val="auto"/>
              </w:rPr>
            </w:pPr>
            <w:r>
              <w:rPr>
                <w:rFonts w:ascii="Arial" w:cs="Arial" w:eastAsia="Arial" w:hAnsi="Arial"/>
                <w:sz w:val="15"/>
                <w:szCs w:val="15"/>
                <w:color w:val="auto"/>
              </w:rPr>
              <w:t>Pro Rata Treatment</w:t>
            </w:r>
          </w:p>
        </w:tc>
        <w:tc>
          <w:tcPr>
            <w:tcW w:w="2580" w:type="dxa"/>
            <w:vAlign w:val="bottom"/>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2.17</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Sharing of Setoffs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2.18</w:t>
            </w:r>
          </w:p>
        </w:tc>
        <w:tc>
          <w:tcPr>
            <w:tcW w:w="7180" w:type="dxa"/>
            <w:vAlign w:val="bottom"/>
          </w:tcPr>
          <w:p>
            <w:pPr>
              <w:ind w:left="40"/>
              <w:spacing w:after="0"/>
              <w:rPr>
                <w:sz w:val="20"/>
                <w:szCs w:val="20"/>
                <w:color w:val="auto"/>
              </w:rPr>
            </w:pPr>
            <w:r>
              <w:rPr>
                <w:rFonts w:ascii="Arial" w:cs="Arial" w:eastAsia="Arial" w:hAnsi="Arial"/>
                <w:sz w:val="15"/>
                <w:szCs w:val="15"/>
                <w:color w:val="auto"/>
              </w:rPr>
              <w:t>Payments</w:t>
            </w:r>
          </w:p>
        </w:tc>
        <w:tc>
          <w:tcPr>
            <w:tcW w:w="2580" w:type="dxa"/>
            <w:vAlign w:val="bottom"/>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2.19</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Taxes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2.20</w:t>
            </w:r>
          </w:p>
        </w:tc>
        <w:tc>
          <w:tcPr>
            <w:tcW w:w="7180" w:type="dxa"/>
            <w:vAlign w:val="bottom"/>
          </w:tcPr>
          <w:p>
            <w:pPr>
              <w:ind w:left="40"/>
              <w:spacing w:after="0"/>
              <w:rPr>
                <w:sz w:val="20"/>
                <w:szCs w:val="20"/>
                <w:color w:val="auto"/>
              </w:rPr>
            </w:pPr>
            <w:r>
              <w:rPr>
                <w:rFonts w:ascii="Arial" w:cs="Arial" w:eastAsia="Arial" w:hAnsi="Arial"/>
                <w:sz w:val="15"/>
                <w:szCs w:val="15"/>
                <w:color w:val="auto"/>
              </w:rPr>
              <w:t>Assignment of Commitments Under Certain Circumstances; Duty to Mitigate</w:t>
            </w:r>
          </w:p>
        </w:tc>
        <w:tc>
          <w:tcPr>
            <w:tcW w:w="2580" w:type="dxa"/>
            <w:vAlign w:val="bottom"/>
          </w:tcPr>
          <w:p>
            <w:pPr>
              <w:jc w:val="right"/>
              <w:spacing w:after="0"/>
              <w:rPr>
                <w:sz w:val="20"/>
                <w:szCs w:val="20"/>
                <w:color w:val="auto"/>
              </w:rPr>
            </w:pPr>
            <w:r>
              <w:rPr>
                <w:rFonts w:ascii="Arial" w:cs="Arial" w:eastAsia="Arial" w:hAnsi="Arial"/>
                <w:sz w:val="15"/>
                <w:szCs w:val="15"/>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2.21</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Letters of Credit</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2.22</w:t>
            </w:r>
          </w:p>
        </w:tc>
        <w:tc>
          <w:tcPr>
            <w:tcW w:w="7180" w:type="dxa"/>
            <w:vAlign w:val="bottom"/>
          </w:tcPr>
          <w:p>
            <w:pPr>
              <w:ind w:left="40"/>
              <w:spacing w:after="0"/>
              <w:rPr>
                <w:sz w:val="20"/>
                <w:szCs w:val="20"/>
                <w:color w:val="auto"/>
              </w:rPr>
            </w:pPr>
            <w:r>
              <w:rPr>
                <w:rFonts w:ascii="Arial" w:cs="Arial" w:eastAsia="Arial" w:hAnsi="Arial"/>
                <w:sz w:val="15"/>
                <w:szCs w:val="15"/>
                <w:color w:val="auto"/>
              </w:rPr>
              <w:t>Bankers’ Acceptances</w:t>
            </w:r>
          </w:p>
        </w:tc>
        <w:tc>
          <w:tcPr>
            <w:tcW w:w="2580" w:type="dxa"/>
            <w:vAlign w:val="bottom"/>
          </w:tcPr>
          <w:p>
            <w:pPr>
              <w:jc w:val="right"/>
              <w:spacing w:after="0"/>
              <w:rPr>
                <w:sz w:val="20"/>
                <w:szCs w:val="20"/>
                <w:color w:val="auto"/>
              </w:rPr>
            </w:pPr>
            <w:r>
              <w:rPr>
                <w:rFonts w:ascii="Arial" w:cs="Arial" w:eastAsia="Arial" w:hAnsi="Arial"/>
                <w:sz w:val="15"/>
                <w:szCs w:val="15"/>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2.23</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Swing Line Loans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2.24</w:t>
            </w:r>
          </w:p>
        </w:tc>
        <w:tc>
          <w:tcPr>
            <w:tcW w:w="7180" w:type="dxa"/>
            <w:vAlign w:val="bottom"/>
          </w:tcPr>
          <w:p>
            <w:pPr>
              <w:ind w:left="40"/>
              <w:spacing w:after="0"/>
              <w:rPr>
                <w:sz w:val="20"/>
                <w:szCs w:val="20"/>
                <w:color w:val="auto"/>
              </w:rPr>
            </w:pPr>
            <w:r>
              <w:rPr>
                <w:rFonts w:ascii="Arial" w:cs="Arial" w:eastAsia="Arial" w:hAnsi="Arial"/>
                <w:sz w:val="15"/>
                <w:szCs w:val="15"/>
                <w:color w:val="auto"/>
              </w:rPr>
              <w:t>Defaulting Lenders</w:t>
            </w:r>
          </w:p>
        </w:tc>
        <w:tc>
          <w:tcPr>
            <w:tcW w:w="258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2.25</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Incremental Revolving Credit Increase</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860" w:type="dxa"/>
            <w:vAlign w:val="bottom"/>
            <w:gridSpan w:val="2"/>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IIIREPRESENTATIONS AND WARRANTIES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3.01</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Organization; Powers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3.02</w:t>
            </w:r>
          </w:p>
        </w:tc>
        <w:tc>
          <w:tcPr>
            <w:tcW w:w="7180" w:type="dxa"/>
            <w:vAlign w:val="bottom"/>
          </w:tcPr>
          <w:p>
            <w:pPr>
              <w:ind w:left="40"/>
              <w:spacing w:after="0"/>
              <w:rPr>
                <w:sz w:val="20"/>
                <w:szCs w:val="20"/>
                <w:color w:val="auto"/>
              </w:rPr>
            </w:pPr>
            <w:r>
              <w:rPr>
                <w:rFonts w:ascii="Arial" w:cs="Arial" w:eastAsia="Arial" w:hAnsi="Arial"/>
                <w:sz w:val="15"/>
                <w:szCs w:val="15"/>
                <w:color w:val="auto"/>
              </w:rPr>
              <w:t>Authorization</w:t>
            </w:r>
          </w:p>
        </w:tc>
        <w:tc>
          <w:tcPr>
            <w:tcW w:w="258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SECTION 3.03</w:t>
            </w:r>
          </w:p>
        </w:tc>
        <w:tc>
          <w:tcPr>
            <w:tcW w:w="7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Enforceability</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SECTION 3.04</w:t>
            </w:r>
          </w:p>
        </w:tc>
        <w:tc>
          <w:tcPr>
            <w:tcW w:w="7180" w:type="dxa"/>
            <w:vAlign w:val="bottom"/>
          </w:tcPr>
          <w:p>
            <w:pPr>
              <w:ind w:left="40"/>
              <w:spacing w:after="0"/>
              <w:rPr>
                <w:sz w:val="20"/>
                <w:szCs w:val="20"/>
                <w:color w:val="auto"/>
              </w:rPr>
            </w:pPr>
            <w:r>
              <w:rPr>
                <w:rFonts w:ascii="Arial" w:cs="Arial" w:eastAsia="Arial" w:hAnsi="Arial"/>
                <w:sz w:val="15"/>
                <w:szCs w:val="15"/>
                <w:color w:val="auto"/>
              </w:rPr>
              <w:t>Governmental Approvals</w:t>
            </w:r>
          </w:p>
        </w:tc>
        <w:tc>
          <w:tcPr>
            <w:tcW w:w="258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88" w:right="21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340" w:type="dxa"/>
            <w:vAlign w:val="bottom"/>
            <w:gridSpan w:val="2"/>
          </w:tcPr>
          <w:p>
            <w:pPr>
              <w:ind w:left="2960"/>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3.05</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Financial Statements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3.06</w:t>
            </w:r>
          </w:p>
        </w:tc>
        <w:tc>
          <w:tcPr>
            <w:tcW w:w="6620" w:type="dxa"/>
            <w:vAlign w:val="bottom"/>
          </w:tcPr>
          <w:p>
            <w:pPr>
              <w:ind w:left="220"/>
              <w:spacing w:after="0"/>
              <w:rPr>
                <w:sz w:val="20"/>
                <w:szCs w:val="20"/>
                <w:color w:val="auto"/>
              </w:rPr>
            </w:pPr>
            <w:r>
              <w:rPr>
                <w:rFonts w:ascii="Arial" w:cs="Arial" w:eastAsia="Arial" w:hAnsi="Arial"/>
                <w:sz w:val="15"/>
                <w:szCs w:val="15"/>
                <w:color w:val="auto"/>
              </w:rPr>
              <w:t>No Material Adverse Change</w:t>
            </w:r>
          </w:p>
        </w:tc>
        <w:tc>
          <w:tcPr>
            <w:tcW w:w="3320" w:type="dxa"/>
            <w:vAlign w:val="bottom"/>
          </w:tcPr>
          <w:p>
            <w:pPr>
              <w:jc w:val="right"/>
              <w:spacing w:after="0"/>
              <w:rPr>
                <w:sz w:val="20"/>
                <w:szCs w:val="20"/>
                <w:color w:val="auto"/>
              </w:rPr>
            </w:pPr>
            <w:r>
              <w:rPr>
                <w:rFonts w:ascii="Arial" w:cs="Arial" w:eastAsia="Arial" w:hAnsi="Arial"/>
                <w:sz w:val="15"/>
                <w:szCs w:val="15"/>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3.07</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Title to Properties; Possession Under Leases and Licenses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3.08</w:t>
            </w:r>
          </w:p>
        </w:tc>
        <w:tc>
          <w:tcPr>
            <w:tcW w:w="6620" w:type="dxa"/>
            <w:vAlign w:val="bottom"/>
          </w:tcPr>
          <w:p>
            <w:pPr>
              <w:ind w:left="220"/>
              <w:spacing w:after="0"/>
              <w:rPr>
                <w:sz w:val="20"/>
                <w:szCs w:val="20"/>
                <w:color w:val="auto"/>
              </w:rPr>
            </w:pPr>
            <w:r>
              <w:rPr>
                <w:rFonts w:ascii="Arial" w:cs="Arial" w:eastAsia="Arial" w:hAnsi="Arial"/>
                <w:sz w:val="15"/>
                <w:szCs w:val="15"/>
                <w:color w:val="auto"/>
              </w:rPr>
              <w:t>Subsidiaries</w:t>
            </w:r>
          </w:p>
        </w:tc>
        <w:tc>
          <w:tcPr>
            <w:tcW w:w="3320" w:type="dxa"/>
            <w:vAlign w:val="bottom"/>
          </w:tcPr>
          <w:p>
            <w:pPr>
              <w:jc w:val="right"/>
              <w:spacing w:after="0"/>
              <w:rPr>
                <w:sz w:val="20"/>
                <w:szCs w:val="20"/>
                <w:color w:val="auto"/>
              </w:rPr>
            </w:pPr>
            <w:r>
              <w:rPr>
                <w:rFonts w:ascii="Arial" w:cs="Arial" w:eastAsia="Arial" w:hAnsi="Arial"/>
                <w:sz w:val="15"/>
                <w:szCs w:val="15"/>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3.09</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Litigation; Compliance with Laws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3.10</w:t>
            </w:r>
          </w:p>
        </w:tc>
        <w:tc>
          <w:tcPr>
            <w:tcW w:w="6620" w:type="dxa"/>
            <w:vAlign w:val="bottom"/>
          </w:tcPr>
          <w:p>
            <w:pPr>
              <w:ind w:left="220"/>
              <w:spacing w:after="0"/>
              <w:rPr>
                <w:sz w:val="20"/>
                <w:szCs w:val="20"/>
                <w:color w:val="auto"/>
              </w:rPr>
            </w:pPr>
            <w:r>
              <w:rPr>
                <w:rFonts w:ascii="Arial" w:cs="Arial" w:eastAsia="Arial" w:hAnsi="Arial"/>
                <w:sz w:val="15"/>
                <w:szCs w:val="15"/>
                <w:color w:val="auto"/>
              </w:rPr>
              <w:t>Agreements</w:t>
            </w:r>
          </w:p>
        </w:tc>
        <w:tc>
          <w:tcPr>
            <w:tcW w:w="3320" w:type="dxa"/>
            <w:vAlign w:val="bottom"/>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3.11</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Federal Reserve Regulations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3.12</w:t>
            </w:r>
          </w:p>
        </w:tc>
        <w:tc>
          <w:tcPr>
            <w:tcW w:w="6620" w:type="dxa"/>
            <w:vAlign w:val="bottom"/>
          </w:tcPr>
          <w:p>
            <w:pPr>
              <w:ind w:left="220"/>
              <w:spacing w:after="0"/>
              <w:rPr>
                <w:sz w:val="20"/>
                <w:szCs w:val="20"/>
                <w:color w:val="auto"/>
              </w:rPr>
            </w:pPr>
            <w:r>
              <w:rPr>
                <w:rFonts w:ascii="Arial" w:cs="Arial" w:eastAsia="Arial" w:hAnsi="Arial"/>
                <w:sz w:val="15"/>
                <w:szCs w:val="15"/>
                <w:color w:val="auto"/>
              </w:rPr>
              <w:t>Investment Company Act</w:t>
            </w:r>
          </w:p>
        </w:tc>
        <w:tc>
          <w:tcPr>
            <w:tcW w:w="3320" w:type="dxa"/>
            <w:vAlign w:val="bottom"/>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3.13</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Use of Proceeds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3.14</w:t>
            </w:r>
          </w:p>
        </w:tc>
        <w:tc>
          <w:tcPr>
            <w:tcW w:w="6620" w:type="dxa"/>
            <w:vAlign w:val="bottom"/>
          </w:tcPr>
          <w:p>
            <w:pPr>
              <w:ind w:left="220"/>
              <w:spacing w:after="0"/>
              <w:rPr>
                <w:sz w:val="20"/>
                <w:szCs w:val="20"/>
                <w:color w:val="auto"/>
              </w:rPr>
            </w:pPr>
            <w:r>
              <w:rPr>
                <w:rFonts w:ascii="Arial" w:cs="Arial" w:eastAsia="Arial" w:hAnsi="Arial"/>
                <w:sz w:val="15"/>
                <w:szCs w:val="15"/>
                <w:color w:val="auto"/>
              </w:rPr>
              <w:t>Tax Returns</w:t>
            </w:r>
          </w:p>
        </w:tc>
        <w:tc>
          <w:tcPr>
            <w:tcW w:w="3320" w:type="dxa"/>
            <w:vAlign w:val="bottom"/>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3.15</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 Material Misstatements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3.16</w:t>
            </w:r>
          </w:p>
        </w:tc>
        <w:tc>
          <w:tcPr>
            <w:tcW w:w="6620" w:type="dxa"/>
            <w:vAlign w:val="bottom"/>
          </w:tcPr>
          <w:p>
            <w:pPr>
              <w:ind w:left="220"/>
              <w:spacing w:after="0"/>
              <w:rPr>
                <w:sz w:val="20"/>
                <w:szCs w:val="20"/>
                <w:color w:val="auto"/>
              </w:rPr>
            </w:pPr>
            <w:r>
              <w:rPr>
                <w:rFonts w:ascii="Arial" w:cs="Arial" w:eastAsia="Arial" w:hAnsi="Arial"/>
                <w:sz w:val="15"/>
                <w:szCs w:val="15"/>
                <w:color w:val="auto"/>
              </w:rPr>
              <w:t>Employee Benefit Plans</w:t>
            </w:r>
          </w:p>
        </w:tc>
        <w:tc>
          <w:tcPr>
            <w:tcW w:w="3320" w:type="dxa"/>
            <w:vAlign w:val="bottom"/>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3.17</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Environmental Matters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3.18</w:t>
            </w:r>
          </w:p>
        </w:tc>
        <w:tc>
          <w:tcPr>
            <w:tcW w:w="6620" w:type="dxa"/>
            <w:vAlign w:val="bottom"/>
          </w:tcPr>
          <w:p>
            <w:pPr>
              <w:ind w:left="220"/>
              <w:spacing w:after="0"/>
              <w:rPr>
                <w:sz w:val="20"/>
                <w:szCs w:val="20"/>
                <w:color w:val="auto"/>
              </w:rPr>
            </w:pPr>
            <w:r>
              <w:rPr>
                <w:rFonts w:ascii="Arial" w:cs="Arial" w:eastAsia="Arial" w:hAnsi="Arial"/>
                <w:sz w:val="15"/>
                <w:szCs w:val="15"/>
                <w:color w:val="auto"/>
              </w:rPr>
              <w:t>Insurance</w:t>
            </w:r>
          </w:p>
        </w:tc>
        <w:tc>
          <w:tcPr>
            <w:tcW w:w="332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3.19</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Security Documents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3.20</w:t>
            </w:r>
          </w:p>
        </w:tc>
        <w:tc>
          <w:tcPr>
            <w:tcW w:w="6620" w:type="dxa"/>
            <w:vAlign w:val="bottom"/>
          </w:tcPr>
          <w:p>
            <w:pPr>
              <w:ind w:left="220"/>
              <w:spacing w:after="0"/>
              <w:rPr>
                <w:sz w:val="20"/>
                <w:szCs w:val="20"/>
                <w:color w:val="auto"/>
              </w:rPr>
            </w:pPr>
            <w:r>
              <w:rPr>
                <w:rFonts w:ascii="Arial" w:cs="Arial" w:eastAsia="Arial" w:hAnsi="Arial"/>
                <w:sz w:val="15"/>
                <w:szCs w:val="15"/>
                <w:color w:val="auto"/>
              </w:rPr>
              <w:t>Intellectual Property</w:t>
            </w:r>
          </w:p>
        </w:tc>
        <w:tc>
          <w:tcPr>
            <w:tcW w:w="332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3.21</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Labor Matters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3.22</w:t>
            </w:r>
          </w:p>
        </w:tc>
        <w:tc>
          <w:tcPr>
            <w:tcW w:w="6620" w:type="dxa"/>
            <w:vAlign w:val="bottom"/>
          </w:tcPr>
          <w:p>
            <w:pPr>
              <w:ind w:left="220"/>
              <w:spacing w:after="0"/>
              <w:rPr>
                <w:sz w:val="20"/>
                <w:szCs w:val="20"/>
                <w:color w:val="auto"/>
              </w:rPr>
            </w:pPr>
            <w:r>
              <w:rPr>
                <w:rFonts w:ascii="Arial" w:cs="Arial" w:eastAsia="Arial" w:hAnsi="Arial"/>
                <w:sz w:val="15"/>
                <w:szCs w:val="15"/>
                <w:color w:val="auto"/>
              </w:rPr>
              <w:t>Solvency</w:t>
            </w:r>
          </w:p>
        </w:tc>
        <w:tc>
          <w:tcPr>
            <w:tcW w:w="3320" w:type="dxa"/>
            <w:vAlign w:val="bottom"/>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3.23</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Anti-Corruption Laws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3.24</w:t>
            </w:r>
          </w:p>
        </w:tc>
        <w:tc>
          <w:tcPr>
            <w:tcW w:w="6620" w:type="dxa"/>
            <w:vAlign w:val="bottom"/>
          </w:tcPr>
          <w:p>
            <w:pPr>
              <w:ind w:left="220"/>
              <w:spacing w:after="0"/>
              <w:rPr>
                <w:sz w:val="20"/>
                <w:szCs w:val="20"/>
                <w:color w:val="auto"/>
              </w:rPr>
            </w:pPr>
            <w:r>
              <w:rPr>
                <w:rFonts w:ascii="Arial" w:cs="Arial" w:eastAsia="Arial" w:hAnsi="Arial"/>
                <w:sz w:val="15"/>
                <w:szCs w:val="15"/>
                <w:color w:val="auto"/>
              </w:rPr>
              <w:t>Anti-Money Laundering Laws</w:t>
            </w:r>
          </w:p>
        </w:tc>
        <w:tc>
          <w:tcPr>
            <w:tcW w:w="3320" w:type="dxa"/>
            <w:vAlign w:val="bottom"/>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3.25</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Assets Control Regulations, etc</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IVCONDITIONS TO CLOSING AND FUNDING</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4.01</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Conditions to All Credit Events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4.02</w:t>
            </w:r>
          </w:p>
        </w:tc>
        <w:tc>
          <w:tcPr>
            <w:tcW w:w="6620" w:type="dxa"/>
            <w:vAlign w:val="bottom"/>
          </w:tcPr>
          <w:p>
            <w:pPr>
              <w:ind w:left="220"/>
              <w:spacing w:after="0"/>
              <w:rPr>
                <w:sz w:val="20"/>
                <w:szCs w:val="20"/>
                <w:color w:val="auto"/>
              </w:rPr>
            </w:pPr>
            <w:r>
              <w:rPr>
                <w:rFonts w:ascii="Arial" w:cs="Arial" w:eastAsia="Arial" w:hAnsi="Arial"/>
                <w:sz w:val="15"/>
                <w:szCs w:val="15"/>
                <w:color w:val="auto"/>
              </w:rPr>
              <w:t>Conditions to Closing</w:t>
            </w:r>
          </w:p>
        </w:tc>
        <w:tc>
          <w:tcPr>
            <w:tcW w:w="3320" w:type="dxa"/>
            <w:vAlign w:val="bottom"/>
          </w:tcPr>
          <w:p>
            <w:pPr>
              <w:jc w:val="right"/>
              <w:spacing w:after="0"/>
              <w:rPr>
                <w:sz w:val="20"/>
                <w:szCs w:val="20"/>
                <w:color w:val="auto"/>
              </w:rPr>
            </w:pPr>
            <w:r>
              <w:rPr>
                <w:rFonts w:ascii="Arial" w:cs="Arial" w:eastAsia="Arial" w:hAnsi="Arial"/>
                <w:sz w:val="15"/>
                <w:szCs w:val="15"/>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4.03</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Conditions to Funding</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VAFFIRMATIVE COVENANTS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5.01</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Existence; Businesses and Properties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5.02</w:t>
            </w:r>
          </w:p>
        </w:tc>
        <w:tc>
          <w:tcPr>
            <w:tcW w:w="6620" w:type="dxa"/>
            <w:vAlign w:val="bottom"/>
          </w:tcPr>
          <w:p>
            <w:pPr>
              <w:ind w:left="220"/>
              <w:spacing w:after="0"/>
              <w:rPr>
                <w:sz w:val="20"/>
                <w:szCs w:val="20"/>
                <w:color w:val="auto"/>
              </w:rPr>
            </w:pPr>
            <w:r>
              <w:rPr>
                <w:rFonts w:ascii="Arial" w:cs="Arial" w:eastAsia="Arial" w:hAnsi="Arial"/>
                <w:sz w:val="15"/>
                <w:szCs w:val="15"/>
                <w:color w:val="auto"/>
              </w:rPr>
              <w:t>Insurance</w:t>
            </w:r>
          </w:p>
        </w:tc>
        <w:tc>
          <w:tcPr>
            <w:tcW w:w="3320" w:type="dxa"/>
            <w:vAlign w:val="bottom"/>
          </w:tcPr>
          <w:p>
            <w:pPr>
              <w:jc w:val="right"/>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5.03</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Obligations and Taxes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5.04</w:t>
            </w:r>
          </w:p>
        </w:tc>
        <w:tc>
          <w:tcPr>
            <w:tcW w:w="6620" w:type="dxa"/>
            <w:vAlign w:val="bottom"/>
          </w:tcPr>
          <w:p>
            <w:pPr>
              <w:ind w:left="220"/>
              <w:spacing w:after="0"/>
              <w:rPr>
                <w:sz w:val="20"/>
                <w:szCs w:val="20"/>
                <w:color w:val="auto"/>
              </w:rPr>
            </w:pPr>
            <w:r>
              <w:rPr>
                <w:rFonts w:ascii="Arial" w:cs="Arial" w:eastAsia="Arial" w:hAnsi="Arial"/>
                <w:sz w:val="15"/>
                <w:szCs w:val="15"/>
                <w:color w:val="auto"/>
              </w:rPr>
              <w:t>Financial Statements, Reports, etc</w:t>
            </w:r>
          </w:p>
        </w:tc>
        <w:tc>
          <w:tcPr>
            <w:tcW w:w="3320" w:type="dxa"/>
            <w:vAlign w:val="bottom"/>
          </w:tcPr>
          <w:p>
            <w:pPr>
              <w:jc w:val="right"/>
              <w:spacing w:after="0"/>
              <w:rPr>
                <w:sz w:val="20"/>
                <w:szCs w:val="20"/>
                <w:color w:val="auto"/>
              </w:rPr>
            </w:pPr>
            <w:r>
              <w:rPr>
                <w:rFonts w:ascii="Arial" w:cs="Arial" w:eastAsia="Arial" w:hAnsi="Arial"/>
                <w:sz w:val="15"/>
                <w:szCs w:val="15"/>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5.05</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Litigation and Other Notices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5.06</w:t>
            </w:r>
          </w:p>
        </w:tc>
        <w:tc>
          <w:tcPr>
            <w:tcW w:w="6620" w:type="dxa"/>
            <w:vAlign w:val="bottom"/>
          </w:tcPr>
          <w:p>
            <w:pPr>
              <w:ind w:left="220"/>
              <w:spacing w:after="0"/>
              <w:rPr>
                <w:sz w:val="20"/>
                <w:szCs w:val="20"/>
                <w:color w:val="auto"/>
              </w:rPr>
            </w:pPr>
            <w:r>
              <w:rPr>
                <w:rFonts w:ascii="Arial" w:cs="Arial" w:eastAsia="Arial" w:hAnsi="Arial"/>
                <w:sz w:val="15"/>
                <w:szCs w:val="15"/>
                <w:color w:val="auto"/>
              </w:rPr>
              <w:t>Information Regarding Collateral</w:t>
            </w:r>
          </w:p>
        </w:tc>
        <w:tc>
          <w:tcPr>
            <w:tcW w:w="3320" w:type="dxa"/>
            <w:vAlign w:val="bottom"/>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5.07</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Maintaining Records; Access to Properties and Inspections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5.08</w:t>
            </w:r>
          </w:p>
        </w:tc>
        <w:tc>
          <w:tcPr>
            <w:tcW w:w="6620" w:type="dxa"/>
            <w:vAlign w:val="bottom"/>
          </w:tcPr>
          <w:p>
            <w:pPr>
              <w:ind w:left="220"/>
              <w:spacing w:after="0"/>
              <w:rPr>
                <w:sz w:val="20"/>
                <w:szCs w:val="20"/>
                <w:color w:val="auto"/>
              </w:rPr>
            </w:pPr>
            <w:r>
              <w:rPr>
                <w:rFonts w:ascii="Arial" w:cs="Arial" w:eastAsia="Arial" w:hAnsi="Arial"/>
                <w:sz w:val="15"/>
                <w:szCs w:val="15"/>
                <w:color w:val="auto"/>
              </w:rPr>
              <w:t>Use of Proceeds</w:t>
            </w:r>
          </w:p>
        </w:tc>
        <w:tc>
          <w:tcPr>
            <w:tcW w:w="3320" w:type="dxa"/>
            <w:vAlign w:val="bottom"/>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5.09</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Further Assurances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VINEGATIVE COVENANTS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6.01</w:t>
            </w:r>
          </w:p>
        </w:tc>
        <w:tc>
          <w:tcPr>
            <w:tcW w:w="66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Indebtedness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6.02</w:t>
            </w:r>
          </w:p>
        </w:tc>
        <w:tc>
          <w:tcPr>
            <w:tcW w:w="6620" w:type="dxa"/>
            <w:vAlign w:val="bottom"/>
          </w:tcPr>
          <w:p>
            <w:pPr>
              <w:ind w:left="220"/>
              <w:spacing w:after="0"/>
              <w:rPr>
                <w:sz w:val="20"/>
                <w:szCs w:val="20"/>
                <w:color w:val="auto"/>
              </w:rPr>
            </w:pPr>
            <w:r>
              <w:rPr>
                <w:rFonts w:ascii="Arial" w:cs="Arial" w:eastAsia="Arial" w:hAnsi="Arial"/>
                <w:sz w:val="15"/>
                <w:szCs w:val="15"/>
                <w:color w:val="auto"/>
              </w:rPr>
              <w:t>Liens</w:t>
            </w:r>
          </w:p>
        </w:tc>
        <w:tc>
          <w:tcPr>
            <w:tcW w:w="3320" w:type="dxa"/>
            <w:vAlign w:val="bottom"/>
          </w:tcPr>
          <w:p>
            <w:pPr>
              <w:jc w:val="right"/>
              <w:spacing w:after="0"/>
              <w:rPr>
                <w:sz w:val="20"/>
                <w:szCs w:val="20"/>
                <w:color w:val="auto"/>
              </w:rPr>
            </w:pPr>
            <w:r>
              <w:rPr>
                <w:rFonts w:ascii="Arial" w:cs="Arial" w:eastAsia="Arial" w:hAnsi="Arial"/>
                <w:sz w:val="15"/>
                <w:szCs w:val="15"/>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88" w:right="21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6.03</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Sale and Lease-Back Transactions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6.04</w:t>
            </w:r>
          </w:p>
        </w:tc>
        <w:tc>
          <w:tcPr>
            <w:tcW w:w="8440" w:type="dxa"/>
            <w:vAlign w:val="bottom"/>
          </w:tcPr>
          <w:p>
            <w:pPr>
              <w:ind w:left="220"/>
              <w:spacing w:after="0"/>
              <w:rPr>
                <w:sz w:val="20"/>
                <w:szCs w:val="20"/>
                <w:color w:val="auto"/>
              </w:rPr>
            </w:pPr>
            <w:r>
              <w:rPr>
                <w:rFonts w:ascii="Arial" w:cs="Arial" w:eastAsia="Arial" w:hAnsi="Arial"/>
                <w:sz w:val="15"/>
                <w:szCs w:val="15"/>
                <w:color w:val="auto"/>
              </w:rPr>
              <w:t>Investments, Loans and Advances</w:t>
            </w:r>
          </w:p>
        </w:tc>
        <w:tc>
          <w:tcPr>
            <w:tcW w:w="1500" w:type="dxa"/>
            <w:vAlign w:val="bottom"/>
          </w:tcPr>
          <w:p>
            <w:pPr>
              <w:jc w:val="right"/>
              <w:spacing w:after="0"/>
              <w:rPr>
                <w:sz w:val="20"/>
                <w:szCs w:val="20"/>
                <w:color w:val="auto"/>
              </w:rPr>
            </w:pPr>
            <w:r>
              <w:rPr>
                <w:rFonts w:ascii="Arial" w:cs="Arial" w:eastAsia="Arial" w:hAnsi="Arial"/>
                <w:sz w:val="15"/>
                <w:szCs w:val="15"/>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6.05</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Mergers, Consolidations, Sales of Assets and Acquisitions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6.06</w:t>
            </w:r>
          </w:p>
        </w:tc>
        <w:tc>
          <w:tcPr>
            <w:tcW w:w="8440" w:type="dxa"/>
            <w:vAlign w:val="bottom"/>
          </w:tcPr>
          <w:p>
            <w:pPr>
              <w:ind w:left="220"/>
              <w:spacing w:after="0"/>
              <w:rPr>
                <w:sz w:val="20"/>
                <w:szCs w:val="20"/>
                <w:color w:val="auto"/>
              </w:rPr>
            </w:pPr>
            <w:r>
              <w:rPr>
                <w:rFonts w:ascii="Arial" w:cs="Arial" w:eastAsia="Arial" w:hAnsi="Arial"/>
                <w:sz w:val="15"/>
                <w:szCs w:val="15"/>
                <w:color w:val="auto"/>
              </w:rPr>
              <w:t>Restricted Payments; Restrictive Agreements</w:t>
            </w:r>
          </w:p>
        </w:tc>
        <w:tc>
          <w:tcPr>
            <w:tcW w:w="1500" w:type="dxa"/>
            <w:vAlign w:val="bottom"/>
          </w:tcPr>
          <w:p>
            <w:pPr>
              <w:jc w:val="right"/>
              <w:spacing w:after="0"/>
              <w:rPr>
                <w:sz w:val="20"/>
                <w:szCs w:val="20"/>
                <w:color w:val="auto"/>
              </w:rPr>
            </w:pPr>
            <w:r>
              <w:rPr>
                <w:rFonts w:ascii="Arial" w:cs="Arial" w:eastAsia="Arial" w:hAnsi="Arial"/>
                <w:sz w:val="15"/>
                <w:szCs w:val="15"/>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6.07</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Transactions with Affiliates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6.08</w:t>
            </w:r>
          </w:p>
        </w:tc>
        <w:tc>
          <w:tcPr>
            <w:tcW w:w="8440" w:type="dxa"/>
            <w:vAlign w:val="bottom"/>
          </w:tcPr>
          <w:p>
            <w:pPr>
              <w:ind w:left="220"/>
              <w:spacing w:after="0"/>
              <w:rPr>
                <w:sz w:val="20"/>
                <w:szCs w:val="20"/>
                <w:color w:val="auto"/>
              </w:rPr>
            </w:pPr>
            <w:r>
              <w:rPr>
                <w:rFonts w:ascii="Arial" w:cs="Arial" w:eastAsia="Arial" w:hAnsi="Arial"/>
                <w:sz w:val="15"/>
                <w:szCs w:val="15"/>
                <w:color w:val="auto"/>
              </w:rPr>
              <w:t>Business of Borrowers and Subsidiaries</w:t>
            </w:r>
          </w:p>
        </w:tc>
        <w:tc>
          <w:tcPr>
            <w:tcW w:w="1500" w:type="dxa"/>
            <w:vAlign w:val="bottom"/>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6.09</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Indebtedness and Agreements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6.10</w:t>
            </w:r>
          </w:p>
        </w:tc>
        <w:tc>
          <w:tcPr>
            <w:tcW w:w="8440" w:type="dxa"/>
            <w:vAlign w:val="bottom"/>
          </w:tcPr>
          <w:p>
            <w:pPr>
              <w:ind w:left="220"/>
              <w:spacing w:after="0"/>
              <w:rPr>
                <w:sz w:val="20"/>
                <w:szCs w:val="20"/>
                <w:color w:val="auto"/>
              </w:rPr>
            </w:pPr>
            <w:r>
              <w:rPr>
                <w:rFonts w:ascii="Arial" w:cs="Arial" w:eastAsia="Arial" w:hAnsi="Arial"/>
                <w:sz w:val="15"/>
                <w:szCs w:val="15"/>
                <w:color w:val="auto"/>
              </w:rPr>
              <w:t>Interest Coverage Ratio</w:t>
            </w:r>
          </w:p>
        </w:tc>
        <w:tc>
          <w:tcPr>
            <w:tcW w:w="1500" w:type="dxa"/>
            <w:vAlign w:val="bottom"/>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6.11</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Maximum Leverage Ratio</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6.12</w:t>
            </w:r>
          </w:p>
        </w:tc>
        <w:tc>
          <w:tcPr>
            <w:tcW w:w="8440" w:type="dxa"/>
            <w:vAlign w:val="bottom"/>
          </w:tcPr>
          <w:p>
            <w:pPr>
              <w:ind w:left="220"/>
              <w:spacing w:after="0"/>
              <w:rPr>
                <w:sz w:val="20"/>
                <w:szCs w:val="20"/>
                <w:color w:val="auto"/>
              </w:rPr>
            </w:pPr>
            <w:r>
              <w:rPr>
                <w:rFonts w:ascii="Arial" w:cs="Arial" w:eastAsia="Arial" w:hAnsi="Arial"/>
                <w:sz w:val="15"/>
                <w:szCs w:val="15"/>
                <w:color w:val="auto"/>
              </w:rPr>
              <w:t>Hedging Agreements</w:t>
            </w:r>
          </w:p>
        </w:tc>
        <w:tc>
          <w:tcPr>
            <w:tcW w:w="1500" w:type="dxa"/>
            <w:vAlign w:val="bottom"/>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6.13</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Pension Plans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6.14</w:t>
            </w:r>
          </w:p>
        </w:tc>
        <w:tc>
          <w:tcPr>
            <w:tcW w:w="8440" w:type="dxa"/>
            <w:vAlign w:val="bottom"/>
          </w:tcPr>
          <w:p>
            <w:pPr>
              <w:ind w:left="220"/>
              <w:spacing w:after="0"/>
              <w:rPr>
                <w:sz w:val="20"/>
                <w:szCs w:val="20"/>
                <w:color w:val="auto"/>
              </w:rPr>
            </w:pPr>
            <w:r>
              <w:rPr>
                <w:rFonts w:ascii="Arial" w:cs="Arial" w:eastAsia="Arial" w:hAnsi="Arial"/>
                <w:sz w:val="15"/>
                <w:szCs w:val="15"/>
                <w:color w:val="auto"/>
              </w:rPr>
              <w:t>Amendment of the Spin Documents</w:t>
            </w:r>
          </w:p>
        </w:tc>
        <w:tc>
          <w:tcPr>
            <w:tcW w:w="1500" w:type="dxa"/>
            <w:vAlign w:val="bottom"/>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6.15</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Sanction Laws and Regulations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6.16</w:t>
            </w:r>
          </w:p>
        </w:tc>
        <w:tc>
          <w:tcPr>
            <w:tcW w:w="8440" w:type="dxa"/>
            <w:vAlign w:val="bottom"/>
          </w:tcPr>
          <w:p>
            <w:pPr>
              <w:ind w:left="220"/>
              <w:spacing w:after="0"/>
              <w:rPr>
                <w:sz w:val="20"/>
                <w:szCs w:val="20"/>
                <w:color w:val="auto"/>
              </w:rPr>
            </w:pPr>
            <w:r>
              <w:rPr>
                <w:rFonts w:ascii="Arial" w:cs="Arial" w:eastAsia="Arial" w:hAnsi="Arial"/>
                <w:sz w:val="15"/>
                <w:szCs w:val="15"/>
                <w:color w:val="auto"/>
              </w:rPr>
              <w:t>Anti-Corruption Laws</w:t>
            </w:r>
          </w:p>
        </w:tc>
        <w:tc>
          <w:tcPr>
            <w:tcW w:w="1500" w:type="dxa"/>
            <w:vAlign w:val="bottom"/>
          </w:tcPr>
          <w:p>
            <w:pPr>
              <w:jc w:val="right"/>
              <w:spacing w:after="0"/>
              <w:rPr>
                <w:sz w:val="20"/>
                <w:szCs w:val="20"/>
                <w:color w:val="auto"/>
              </w:rPr>
            </w:pPr>
            <w:r>
              <w:rPr>
                <w:rFonts w:ascii="Arial" w:cs="Arial" w:eastAsia="Arial" w:hAnsi="Arial"/>
                <w:sz w:val="15"/>
                <w:szCs w:val="15"/>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6.17</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Cross-Guarantee</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9940" w:type="dxa"/>
            <w:vAlign w:val="bottom"/>
            <w:gridSpan w:val="2"/>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VIIEVENTS OF DEFAULT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7.01</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Events of Default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7.02</w:t>
            </w:r>
          </w:p>
        </w:tc>
        <w:tc>
          <w:tcPr>
            <w:tcW w:w="8440" w:type="dxa"/>
            <w:vAlign w:val="bottom"/>
          </w:tcPr>
          <w:p>
            <w:pPr>
              <w:ind w:left="220"/>
              <w:spacing w:after="0"/>
              <w:rPr>
                <w:sz w:val="20"/>
                <w:szCs w:val="20"/>
                <w:color w:val="auto"/>
              </w:rPr>
            </w:pPr>
            <w:r>
              <w:rPr>
                <w:rFonts w:ascii="Arial" w:cs="Arial" w:eastAsia="Arial" w:hAnsi="Arial"/>
                <w:sz w:val="15"/>
                <w:szCs w:val="15"/>
                <w:color w:val="auto"/>
              </w:rPr>
              <w:t>Optional Acceleration of Maturity</w:t>
            </w:r>
          </w:p>
        </w:tc>
        <w:tc>
          <w:tcPr>
            <w:tcW w:w="1500" w:type="dxa"/>
            <w:vAlign w:val="bottom"/>
          </w:tcPr>
          <w:p>
            <w:pPr>
              <w:jc w:val="right"/>
              <w:spacing w:after="0"/>
              <w:rPr>
                <w:sz w:val="20"/>
                <w:szCs w:val="20"/>
                <w:color w:val="auto"/>
              </w:rPr>
            </w:pPr>
            <w:r>
              <w:rPr>
                <w:rFonts w:ascii="Arial" w:cs="Arial" w:eastAsia="Arial" w:hAnsi="Arial"/>
                <w:sz w:val="15"/>
                <w:szCs w:val="15"/>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7.03</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Automatic Acceleration of Maturity</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7.04</w:t>
            </w:r>
          </w:p>
        </w:tc>
        <w:tc>
          <w:tcPr>
            <w:tcW w:w="8440" w:type="dxa"/>
            <w:vAlign w:val="bottom"/>
          </w:tcPr>
          <w:p>
            <w:pPr>
              <w:ind w:left="220"/>
              <w:spacing w:after="0"/>
              <w:rPr>
                <w:sz w:val="20"/>
                <w:szCs w:val="20"/>
                <w:color w:val="auto"/>
              </w:rPr>
            </w:pPr>
            <w:r>
              <w:rPr>
                <w:rFonts w:ascii="Arial" w:cs="Arial" w:eastAsia="Arial" w:hAnsi="Arial"/>
                <w:sz w:val="15"/>
                <w:szCs w:val="15"/>
                <w:color w:val="auto"/>
              </w:rPr>
              <w:t>Non-exclusivity of Remedies</w:t>
            </w:r>
          </w:p>
        </w:tc>
        <w:tc>
          <w:tcPr>
            <w:tcW w:w="1500" w:type="dxa"/>
            <w:vAlign w:val="bottom"/>
          </w:tcPr>
          <w:p>
            <w:pPr>
              <w:jc w:val="right"/>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7.05</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Application of Proceeds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9940" w:type="dxa"/>
            <w:vAlign w:val="bottom"/>
            <w:gridSpan w:val="2"/>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VIIITHE ADMINISTRATIVE AGENTS, THE COLLATERAL AGENTS, THE ISSUING BANKS AND THE SWING LINE LENDERS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8.01</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Appointment and Authority</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8.02</w:t>
            </w:r>
          </w:p>
        </w:tc>
        <w:tc>
          <w:tcPr>
            <w:tcW w:w="8440" w:type="dxa"/>
            <w:vAlign w:val="bottom"/>
          </w:tcPr>
          <w:p>
            <w:pPr>
              <w:ind w:left="220"/>
              <w:spacing w:after="0"/>
              <w:rPr>
                <w:sz w:val="20"/>
                <w:szCs w:val="20"/>
                <w:color w:val="auto"/>
              </w:rPr>
            </w:pPr>
            <w:r>
              <w:rPr>
                <w:rFonts w:ascii="Arial" w:cs="Arial" w:eastAsia="Arial" w:hAnsi="Arial"/>
                <w:sz w:val="15"/>
                <w:szCs w:val="15"/>
                <w:color w:val="auto"/>
              </w:rPr>
              <w:t>Rights as a Lender</w:t>
            </w:r>
          </w:p>
        </w:tc>
        <w:tc>
          <w:tcPr>
            <w:tcW w:w="1500" w:type="dxa"/>
            <w:vAlign w:val="bottom"/>
          </w:tcPr>
          <w:p>
            <w:pPr>
              <w:jc w:val="right"/>
              <w:spacing w:after="0"/>
              <w:rPr>
                <w:sz w:val="20"/>
                <w:szCs w:val="20"/>
                <w:color w:val="auto"/>
              </w:rPr>
            </w:pPr>
            <w:r>
              <w:rPr>
                <w:rFonts w:ascii="Arial" w:cs="Arial" w:eastAsia="Arial" w:hAnsi="Arial"/>
                <w:sz w:val="15"/>
                <w:szCs w:val="15"/>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8.03</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Exculpatory Provisions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8.04</w:t>
            </w:r>
          </w:p>
        </w:tc>
        <w:tc>
          <w:tcPr>
            <w:tcW w:w="8440" w:type="dxa"/>
            <w:vAlign w:val="bottom"/>
          </w:tcPr>
          <w:p>
            <w:pPr>
              <w:ind w:left="220"/>
              <w:spacing w:after="0"/>
              <w:rPr>
                <w:sz w:val="20"/>
                <w:szCs w:val="20"/>
                <w:color w:val="auto"/>
              </w:rPr>
            </w:pPr>
            <w:r>
              <w:rPr>
                <w:rFonts w:ascii="Arial" w:cs="Arial" w:eastAsia="Arial" w:hAnsi="Arial"/>
                <w:sz w:val="15"/>
                <w:szCs w:val="15"/>
                <w:color w:val="auto"/>
              </w:rPr>
              <w:t>Reliance by the Agents, the Issuing Banks and the Swing Line Lenders</w:t>
            </w:r>
          </w:p>
        </w:tc>
        <w:tc>
          <w:tcPr>
            <w:tcW w:w="1500" w:type="dxa"/>
            <w:vAlign w:val="bottom"/>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8.05</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Delegation of Duties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8.06</w:t>
            </w:r>
          </w:p>
        </w:tc>
        <w:tc>
          <w:tcPr>
            <w:tcW w:w="8440" w:type="dxa"/>
            <w:vAlign w:val="bottom"/>
          </w:tcPr>
          <w:p>
            <w:pPr>
              <w:ind w:left="220"/>
              <w:spacing w:after="0"/>
              <w:rPr>
                <w:sz w:val="20"/>
                <w:szCs w:val="20"/>
                <w:color w:val="auto"/>
              </w:rPr>
            </w:pPr>
            <w:r>
              <w:rPr>
                <w:rFonts w:ascii="Arial" w:cs="Arial" w:eastAsia="Arial" w:hAnsi="Arial"/>
                <w:sz w:val="15"/>
                <w:szCs w:val="15"/>
                <w:color w:val="auto"/>
              </w:rPr>
              <w:t>Resignation of an Agent or a Swing Line Lender</w:t>
            </w:r>
          </w:p>
        </w:tc>
        <w:tc>
          <w:tcPr>
            <w:tcW w:w="1500" w:type="dxa"/>
            <w:vAlign w:val="bottom"/>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8.07</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Non-Reliance on Agents and Other Lenders; Certain Acknowledgments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8.08</w:t>
            </w:r>
          </w:p>
        </w:tc>
        <w:tc>
          <w:tcPr>
            <w:tcW w:w="8440" w:type="dxa"/>
            <w:vAlign w:val="bottom"/>
          </w:tcPr>
          <w:p>
            <w:pPr>
              <w:ind w:left="220"/>
              <w:spacing w:after="0"/>
              <w:rPr>
                <w:sz w:val="20"/>
                <w:szCs w:val="20"/>
                <w:color w:val="auto"/>
              </w:rPr>
            </w:pPr>
            <w:r>
              <w:rPr>
                <w:rFonts w:ascii="Arial" w:cs="Arial" w:eastAsia="Arial" w:hAnsi="Arial"/>
                <w:sz w:val="15"/>
                <w:szCs w:val="15"/>
                <w:color w:val="auto"/>
              </w:rPr>
              <w:t>Indemnification</w:t>
            </w:r>
          </w:p>
        </w:tc>
        <w:tc>
          <w:tcPr>
            <w:tcW w:w="1500" w:type="dxa"/>
            <w:vAlign w:val="bottom"/>
          </w:tcPr>
          <w:p>
            <w:pPr>
              <w:jc w:val="right"/>
              <w:spacing w:after="0"/>
              <w:rPr>
                <w:sz w:val="20"/>
                <w:szCs w:val="20"/>
                <w:color w:val="auto"/>
              </w:rPr>
            </w:pPr>
            <w:r>
              <w:rPr>
                <w:rFonts w:ascii="Arial" w:cs="Arial" w:eastAsia="Arial" w:hAnsi="Arial"/>
                <w:sz w:val="15"/>
                <w:szCs w:val="15"/>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8.09</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Collateral and Guaranty Matters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ind w:left="380"/>
              <w:spacing w:after="0"/>
              <w:rPr>
                <w:sz w:val="20"/>
                <w:szCs w:val="20"/>
                <w:color w:val="auto"/>
              </w:rPr>
            </w:pPr>
            <w:r>
              <w:rPr>
                <w:rFonts w:ascii="Arial" w:cs="Arial" w:eastAsia="Arial" w:hAnsi="Arial"/>
                <w:sz w:val="15"/>
                <w:szCs w:val="15"/>
                <w:color w:val="auto"/>
              </w:rPr>
              <w:t>SECTION 8.10</w:t>
            </w:r>
          </w:p>
        </w:tc>
        <w:tc>
          <w:tcPr>
            <w:tcW w:w="8440" w:type="dxa"/>
            <w:vAlign w:val="bottom"/>
          </w:tcPr>
          <w:p>
            <w:pPr>
              <w:ind w:left="220"/>
              <w:spacing w:after="0"/>
              <w:rPr>
                <w:sz w:val="20"/>
                <w:szCs w:val="20"/>
                <w:color w:val="auto"/>
              </w:rPr>
            </w:pPr>
            <w:r>
              <w:rPr>
                <w:rFonts w:ascii="Arial" w:cs="Arial" w:eastAsia="Arial" w:hAnsi="Arial"/>
                <w:sz w:val="15"/>
                <w:szCs w:val="15"/>
                <w:color w:val="auto"/>
              </w:rPr>
              <w:t>No Other Duties, etc</w:t>
            </w:r>
          </w:p>
        </w:tc>
        <w:tc>
          <w:tcPr>
            <w:tcW w:w="1500" w:type="dxa"/>
            <w:vAlign w:val="bottom"/>
          </w:tcPr>
          <w:p>
            <w:pPr>
              <w:jc w:val="right"/>
              <w:spacing w:after="0"/>
              <w:rPr>
                <w:sz w:val="20"/>
                <w:szCs w:val="20"/>
                <w:color w:val="auto"/>
              </w:rPr>
            </w:pPr>
            <w:r>
              <w:rPr>
                <w:rFonts w:ascii="Arial" w:cs="Arial" w:eastAsia="Arial" w:hAnsi="Arial"/>
                <w:sz w:val="15"/>
                <w:szCs w:val="15"/>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8.11</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Agents May File Proofs of Claim</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9940" w:type="dxa"/>
            <w:vAlign w:val="bottom"/>
            <w:gridSpan w:val="2"/>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IXMISCELLANEOUS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SECTION 9.01</w:t>
            </w:r>
          </w:p>
        </w:tc>
        <w:tc>
          <w:tcPr>
            <w:tcW w:w="8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Notices</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9"/>
        </w:trPr>
        <w:tc>
          <w:tcPr>
            <w:tcW w:w="15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900" w:type="dxa"/>
            <w:vAlign w:val="bottom"/>
            <w:gridSpan w:val="2"/>
          </w:tcPr>
          <w:p>
            <w:pPr>
              <w:jc w:val="right"/>
              <w:ind w:right="4980"/>
              <w:spacing w:after="0"/>
              <w:rPr>
                <w:sz w:val="20"/>
                <w:szCs w:val="20"/>
                <w:color w:val="auto"/>
              </w:rPr>
            </w:pPr>
            <w:r>
              <w:rPr>
                <w:rFonts w:ascii="Arial" w:cs="Arial" w:eastAsia="Arial" w:hAnsi="Arial"/>
                <w:sz w:val="15"/>
                <w:szCs w:val="15"/>
                <w:b w:val="1"/>
                <w:bCs w:val="1"/>
                <w:color w:val="auto"/>
              </w:rPr>
              <w:t>TABLE OF CONTENTS</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900" w:type="dxa"/>
            <w:vAlign w:val="bottom"/>
            <w:gridSpan w:val="2"/>
          </w:tcPr>
          <w:p>
            <w:pPr>
              <w:jc w:val="right"/>
              <w:ind w:right="5420"/>
              <w:spacing w:after="0" w:line="171" w:lineRule="exact"/>
              <w:rPr>
                <w:sz w:val="20"/>
                <w:szCs w:val="20"/>
                <w:color w:val="auto"/>
              </w:rPr>
            </w:pPr>
            <w:r>
              <w:rPr>
                <w:rFonts w:ascii="Arial" w:cs="Arial" w:eastAsia="Arial" w:hAnsi="Arial"/>
                <w:sz w:val="15"/>
                <w:szCs w:val="15"/>
                <w:color w:val="auto"/>
              </w:rPr>
              <w:t>(continued)</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9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439"/>
        </w:trPr>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9.02</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Survival of Agreement</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9.03</w:t>
            </w:r>
          </w:p>
        </w:tc>
        <w:tc>
          <w:tcPr>
            <w:tcW w:w="3060" w:type="dxa"/>
            <w:vAlign w:val="bottom"/>
          </w:tcPr>
          <w:p>
            <w:pPr>
              <w:ind w:left="220"/>
              <w:spacing w:after="0"/>
              <w:rPr>
                <w:sz w:val="20"/>
                <w:szCs w:val="20"/>
                <w:color w:val="auto"/>
              </w:rPr>
            </w:pPr>
            <w:r>
              <w:rPr>
                <w:rFonts w:ascii="Arial" w:cs="Arial" w:eastAsia="Arial" w:hAnsi="Arial"/>
                <w:sz w:val="15"/>
                <w:szCs w:val="15"/>
                <w:color w:val="auto"/>
              </w:rPr>
              <w:t>Binding Effect</w:t>
            </w:r>
          </w:p>
        </w:tc>
        <w:tc>
          <w:tcPr>
            <w:tcW w:w="6880" w:type="dxa"/>
            <w:vAlign w:val="bottom"/>
          </w:tcPr>
          <w:p>
            <w:pPr>
              <w:jc w:val="right"/>
              <w:spacing w:after="0"/>
              <w:rPr>
                <w:sz w:val="20"/>
                <w:szCs w:val="20"/>
                <w:color w:val="auto"/>
              </w:rPr>
            </w:pPr>
            <w:r>
              <w:rPr>
                <w:rFonts w:ascii="Arial" w:cs="Arial" w:eastAsia="Arial" w:hAnsi="Arial"/>
                <w:sz w:val="15"/>
                <w:szCs w:val="15"/>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9.04</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Successors and Assigns</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9.05</w:t>
            </w:r>
          </w:p>
        </w:tc>
        <w:tc>
          <w:tcPr>
            <w:tcW w:w="3060" w:type="dxa"/>
            <w:vAlign w:val="bottom"/>
          </w:tcPr>
          <w:p>
            <w:pPr>
              <w:ind w:left="220"/>
              <w:spacing w:after="0"/>
              <w:rPr>
                <w:sz w:val="20"/>
                <w:szCs w:val="20"/>
                <w:color w:val="auto"/>
              </w:rPr>
            </w:pPr>
            <w:r>
              <w:rPr>
                <w:rFonts w:ascii="Arial" w:cs="Arial" w:eastAsia="Arial" w:hAnsi="Arial"/>
                <w:sz w:val="15"/>
                <w:szCs w:val="15"/>
                <w:color w:val="auto"/>
              </w:rPr>
              <w:t>Expenses; Indemnity</w:t>
            </w:r>
          </w:p>
        </w:tc>
        <w:tc>
          <w:tcPr>
            <w:tcW w:w="6880" w:type="dxa"/>
            <w:vAlign w:val="bottom"/>
          </w:tcPr>
          <w:p>
            <w:pPr>
              <w:jc w:val="right"/>
              <w:spacing w:after="0"/>
              <w:rPr>
                <w:sz w:val="20"/>
                <w:szCs w:val="20"/>
                <w:color w:val="auto"/>
              </w:rPr>
            </w:pPr>
            <w:r>
              <w:rPr>
                <w:rFonts w:ascii="Arial" w:cs="Arial" w:eastAsia="Arial" w:hAnsi="Arial"/>
                <w:sz w:val="15"/>
                <w:szCs w:val="15"/>
                <w:color w:val="auto"/>
              </w:rPr>
              <w:t>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9.06</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Right of Setoff</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9.07</w:t>
            </w:r>
          </w:p>
        </w:tc>
        <w:tc>
          <w:tcPr>
            <w:tcW w:w="3060" w:type="dxa"/>
            <w:vAlign w:val="bottom"/>
          </w:tcPr>
          <w:p>
            <w:pPr>
              <w:ind w:left="220"/>
              <w:spacing w:after="0"/>
              <w:rPr>
                <w:sz w:val="20"/>
                <w:szCs w:val="20"/>
                <w:color w:val="auto"/>
              </w:rPr>
            </w:pPr>
            <w:r>
              <w:rPr>
                <w:rFonts w:ascii="Arial" w:cs="Arial" w:eastAsia="Arial" w:hAnsi="Arial"/>
                <w:sz w:val="15"/>
                <w:szCs w:val="15"/>
                <w:color w:val="auto"/>
              </w:rPr>
              <w:t>Applicable Law</w:t>
            </w:r>
          </w:p>
        </w:tc>
        <w:tc>
          <w:tcPr>
            <w:tcW w:w="6880" w:type="dxa"/>
            <w:vAlign w:val="bottom"/>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9.08</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Waivers; Amendment</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9.09</w:t>
            </w:r>
          </w:p>
        </w:tc>
        <w:tc>
          <w:tcPr>
            <w:tcW w:w="3060" w:type="dxa"/>
            <w:vAlign w:val="bottom"/>
          </w:tcPr>
          <w:p>
            <w:pPr>
              <w:ind w:left="220"/>
              <w:spacing w:after="0"/>
              <w:rPr>
                <w:sz w:val="20"/>
                <w:szCs w:val="20"/>
                <w:color w:val="auto"/>
              </w:rPr>
            </w:pPr>
            <w:r>
              <w:rPr>
                <w:rFonts w:ascii="Arial" w:cs="Arial" w:eastAsia="Arial" w:hAnsi="Arial"/>
                <w:sz w:val="15"/>
                <w:szCs w:val="15"/>
                <w:color w:val="auto"/>
              </w:rPr>
              <w:t>Interest Rate Limitation</w:t>
            </w:r>
          </w:p>
        </w:tc>
        <w:tc>
          <w:tcPr>
            <w:tcW w:w="6880" w:type="dxa"/>
            <w:vAlign w:val="bottom"/>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9.10</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Entire Agreement</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9.11</w:t>
            </w:r>
          </w:p>
        </w:tc>
        <w:tc>
          <w:tcPr>
            <w:tcW w:w="3060" w:type="dxa"/>
            <w:vAlign w:val="bottom"/>
          </w:tcPr>
          <w:p>
            <w:pPr>
              <w:ind w:left="220"/>
              <w:spacing w:after="0"/>
              <w:rPr>
                <w:sz w:val="20"/>
                <w:szCs w:val="20"/>
                <w:color w:val="auto"/>
              </w:rPr>
            </w:pPr>
            <w:r>
              <w:rPr>
                <w:rFonts w:ascii="Arial" w:cs="Arial" w:eastAsia="Arial" w:hAnsi="Arial"/>
                <w:sz w:val="15"/>
                <w:szCs w:val="15"/>
                <w:color w:val="auto"/>
              </w:rPr>
              <w:t>WAIVER OF JURY TRIAL</w:t>
            </w:r>
          </w:p>
        </w:tc>
        <w:tc>
          <w:tcPr>
            <w:tcW w:w="6880" w:type="dxa"/>
            <w:vAlign w:val="bottom"/>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9.12</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Severability</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9.13</w:t>
            </w:r>
          </w:p>
        </w:tc>
        <w:tc>
          <w:tcPr>
            <w:tcW w:w="3060" w:type="dxa"/>
            <w:vAlign w:val="bottom"/>
          </w:tcPr>
          <w:p>
            <w:pPr>
              <w:ind w:left="220"/>
              <w:spacing w:after="0"/>
              <w:rPr>
                <w:sz w:val="20"/>
                <w:szCs w:val="20"/>
                <w:color w:val="auto"/>
              </w:rPr>
            </w:pPr>
            <w:r>
              <w:rPr>
                <w:rFonts w:ascii="Arial" w:cs="Arial" w:eastAsia="Arial" w:hAnsi="Arial"/>
                <w:sz w:val="15"/>
                <w:szCs w:val="15"/>
                <w:color w:val="auto"/>
              </w:rPr>
              <w:t>Counterparts</w:t>
            </w:r>
          </w:p>
        </w:tc>
        <w:tc>
          <w:tcPr>
            <w:tcW w:w="6880" w:type="dxa"/>
            <w:vAlign w:val="bottom"/>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9.14</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Headings</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9.15</w:t>
            </w:r>
          </w:p>
        </w:tc>
        <w:tc>
          <w:tcPr>
            <w:tcW w:w="3060" w:type="dxa"/>
            <w:vAlign w:val="bottom"/>
          </w:tcPr>
          <w:p>
            <w:pPr>
              <w:ind w:left="220"/>
              <w:spacing w:after="0"/>
              <w:rPr>
                <w:sz w:val="20"/>
                <w:szCs w:val="20"/>
                <w:color w:val="auto"/>
              </w:rPr>
            </w:pPr>
            <w:r>
              <w:rPr>
                <w:rFonts w:ascii="Arial" w:cs="Arial" w:eastAsia="Arial" w:hAnsi="Arial"/>
                <w:sz w:val="15"/>
                <w:szCs w:val="15"/>
                <w:color w:val="auto"/>
                <w:w w:val="98"/>
              </w:rPr>
              <w:t>Jurisdiction; Consent to Service of Process</w:t>
            </w:r>
          </w:p>
        </w:tc>
        <w:tc>
          <w:tcPr>
            <w:tcW w:w="6880" w:type="dxa"/>
            <w:vAlign w:val="bottom"/>
          </w:tcPr>
          <w:p>
            <w:pPr>
              <w:jc w:val="right"/>
              <w:spacing w:after="0"/>
              <w:rPr>
                <w:sz w:val="20"/>
                <w:szCs w:val="20"/>
                <w:color w:val="auto"/>
              </w:rPr>
            </w:pPr>
            <w:r>
              <w:rPr>
                <w:rFonts w:ascii="Arial" w:cs="Arial" w:eastAsia="Arial" w:hAnsi="Arial"/>
                <w:sz w:val="15"/>
                <w:szCs w:val="15"/>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9.16</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Confidentiality</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9.17</w:t>
            </w:r>
          </w:p>
        </w:tc>
        <w:tc>
          <w:tcPr>
            <w:tcW w:w="3060" w:type="dxa"/>
            <w:vAlign w:val="bottom"/>
          </w:tcPr>
          <w:p>
            <w:pPr>
              <w:ind w:left="220"/>
              <w:spacing w:after="0"/>
              <w:rPr>
                <w:sz w:val="20"/>
                <w:szCs w:val="20"/>
                <w:color w:val="auto"/>
              </w:rPr>
            </w:pPr>
            <w:r>
              <w:rPr>
                <w:rFonts w:ascii="Arial" w:cs="Arial" w:eastAsia="Arial" w:hAnsi="Arial"/>
                <w:sz w:val="15"/>
                <w:szCs w:val="15"/>
                <w:color w:val="auto"/>
              </w:rPr>
              <w:t>Judgment Currency</w:t>
            </w:r>
          </w:p>
        </w:tc>
        <w:tc>
          <w:tcPr>
            <w:tcW w:w="6880" w:type="dxa"/>
            <w:vAlign w:val="bottom"/>
          </w:tcPr>
          <w:p>
            <w:pPr>
              <w:jc w:val="right"/>
              <w:spacing w:after="0"/>
              <w:rPr>
                <w:sz w:val="20"/>
                <w:szCs w:val="20"/>
                <w:color w:val="auto"/>
              </w:rPr>
            </w:pPr>
            <w:r>
              <w:rPr>
                <w:rFonts w:ascii="Arial" w:cs="Arial" w:eastAsia="Arial" w:hAnsi="Arial"/>
                <w:sz w:val="15"/>
                <w:szCs w:val="15"/>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9.18</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Exculpation Provisions</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9.19</w:t>
            </w:r>
          </w:p>
        </w:tc>
        <w:tc>
          <w:tcPr>
            <w:tcW w:w="3060" w:type="dxa"/>
            <w:vAlign w:val="bottom"/>
          </w:tcPr>
          <w:p>
            <w:pPr>
              <w:ind w:left="220"/>
              <w:spacing w:after="0"/>
              <w:rPr>
                <w:sz w:val="20"/>
                <w:szCs w:val="20"/>
                <w:color w:val="auto"/>
              </w:rPr>
            </w:pPr>
            <w:r>
              <w:rPr>
                <w:rFonts w:ascii="Arial" w:cs="Arial" w:eastAsia="Arial" w:hAnsi="Arial"/>
                <w:sz w:val="15"/>
                <w:szCs w:val="15"/>
                <w:color w:val="auto"/>
              </w:rPr>
              <w:t>Payments Set Aside</w:t>
            </w:r>
          </w:p>
        </w:tc>
        <w:tc>
          <w:tcPr>
            <w:tcW w:w="6880" w:type="dxa"/>
            <w:vAlign w:val="bottom"/>
          </w:tcPr>
          <w:p>
            <w:pPr>
              <w:jc w:val="right"/>
              <w:spacing w:after="0"/>
              <w:rPr>
                <w:sz w:val="20"/>
                <w:szCs w:val="20"/>
                <w:color w:val="auto"/>
              </w:rPr>
            </w:pPr>
            <w:r>
              <w:rPr>
                <w:rFonts w:ascii="Arial" w:cs="Arial" w:eastAsia="Arial" w:hAnsi="Arial"/>
                <w:sz w:val="15"/>
                <w:szCs w:val="15"/>
                <w:color w:val="auto"/>
              </w:rPr>
              <w:t>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9.20</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Termination</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400"/>
              <w:spacing w:after="0"/>
              <w:rPr>
                <w:sz w:val="20"/>
                <w:szCs w:val="20"/>
                <w:color w:val="auto"/>
              </w:rPr>
            </w:pPr>
            <w:r>
              <w:rPr>
                <w:rFonts w:ascii="Arial" w:cs="Arial" w:eastAsia="Arial" w:hAnsi="Arial"/>
                <w:sz w:val="15"/>
                <w:szCs w:val="15"/>
                <w:color w:val="auto"/>
              </w:rPr>
              <w:t>SECTION 9.21</w:t>
            </w:r>
          </w:p>
        </w:tc>
        <w:tc>
          <w:tcPr>
            <w:tcW w:w="3060" w:type="dxa"/>
            <w:vAlign w:val="bottom"/>
          </w:tcPr>
          <w:p>
            <w:pPr>
              <w:ind w:left="220"/>
              <w:spacing w:after="0"/>
              <w:rPr>
                <w:sz w:val="20"/>
                <w:szCs w:val="20"/>
                <w:color w:val="auto"/>
              </w:rPr>
            </w:pPr>
            <w:r>
              <w:rPr>
                <w:rFonts w:ascii="Arial" w:cs="Arial" w:eastAsia="Arial" w:hAnsi="Arial"/>
                <w:sz w:val="15"/>
                <w:szCs w:val="15"/>
                <w:color w:val="auto"/>
              </w:rPr>
              <w:t>Patriot Act Notice</w:t>
            </w:r>
          </w:p>
        </w:tc>
        <w:tc>
          <w:tcPr>
            <w:tcW w:w="6880" w:type="dxa"/>
            <w:vAlign w:val="bottom"/>
          </w:tcPr>
          <w:p>
            <w:pPr>
              <w:jc w:val="right"/>
              <w:spacing w:after="0"/>
              <w:rPr>
                <w:sz w:val="20"/>
                <w:szCs w:val="20"/>
                <w:color w:val="auto"/>
              </w:rPr>
            </w:pPr>
            <w:r>
              <w:rPr>
                <w:rFonts w:ascii="Arial" w:cs="Arial" w:eastAsia="Arial" w:hAnsi="Arial"/>
                <w:sz w:val="15"/>
                <w:szCs w:val="15"/>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SECTION 9.22</w:t>
            </w:r>
          </w:p>
        </w:tc>
        <w:tc>
          <w:tcPr>
            <w:tcW w:w="3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Public Offer</w:t>
            </w:r>
          </w:p>
        </w:tc>
        <w:tc>
          <w:tcPr>
            <w:tcW w:w="6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53" w:name="page54"/>
    <w:bookmarkEnd w:id="53"/>
    <w:p>
      <w:pPr>
        <w:spacing w:after="0" w:line="310" w:lineRule="auto"/>
        <w:rPr>
          <w:sz w:val="20"/>
          <w:szCs w:val="20"/>
          <w:color w:val="auto"/>
        </w:rPr>
      </w:pPr>
      <w:r>
        <w:rPr>
          <w:rFonts w:ascii="Arial" w:cs="Arial" w:eastAsia="Arial" w:hAnsi="Arial"/>
          <w:sz w:val="12"/>
          <w:szCs w:val="12"/>
          <w:color w:val="auto"/>
        </w:rPr>
        <w:t>Schedule 1.01(a) Schedule 1.01(a) Schedule 1.01(b) Schedule 1.01(c) Schedule 2.01 Schedule 2.04 Schedule 3.08 Schedule 3.09 Schedule 3.16(a) Schedule 3.16(b) Schedule 3.17 Schedule 6.01 Schedule 6.02 Schedule 6.04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Rolled Letters of Credit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U.S. Subsidiary Guarantors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Australian Subsidiary Guarantors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Canadian Subsidiary Guarantors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Lenders and Commitments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Amortization</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Subsidiaries and Special Purpose Business Entities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Litigation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Unfunded Plans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Canadian Benefit Plans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Environmental Matters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Outstanding Indebtedness on Closing Date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Liens Existing on Closing Date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Existing Investments</w:t>
      </w:r>
    </w:p>
    <w:p>
      <w:pPr>
        <w:spacing w:after="0" w:line="168" w:lineRule="exact"/>
        <w:rPr>
          <w:sz w:val="20"/>
          <w:szCs w:val="20"/>
          <w:color w:val="auto"/>
        </w:rPr>
      </w:pPr>
    </w:p>
    <w:p>
      <w:pPr>
        <w:sectPr>
          <w:pgSz w:w="11900" w:h="16838" w:orient="portrait"/>
          <w:cols w:equalWidth="0" w:num="2">
            <w:col w:w="1000" w:space="580"/>
            <w:col w:w="8659"/>
          </w:cols>
          <w:pgMar w:left="220" w:top="500" w:right="1440" w:bottom="1440" w:gutter="0" w:footer="0" w:header="0"/>
        </w:sectPr>
      </w:pPr>
    </w:p>
    <w:p>
      <w:pPr>
        <w:spacing w:after="0" w:line="262" w:lineRule="auto"/>
        <w:rPr>
          <w:sz w:val="20"/>
          <w:szCs w:val="20"/>
          <w:color w:val="auto"/>
        </w:rPr>
      </w:pPr>
      <w:r>
        <w:rPr>
          <w:rFonts w:ascii="Arial" w:cs="Arial" w:eastAsia="Arial" w:hAnsi="Arial"/>
          <w:sz w:val="14"/>
          <w:szCs w:val="14"/>
          <w:color w:val="auto"/>
        </w:rPr>
        <w:t>Exhibit A Exhibit B-1 Exhibit B-2 Exhibit B-3 Exhibit B-4 Exhibit C-1 Exhibit C-2 Exhibit C-3 Exhibit D-1 Exhibit D-2 Exhibit D-3 Exhibit E-1 Exhibit E-2 Exhibit E-3 Exhibit F-1 Exhibit F-2 Exhibit F-3 Exhibit G Exhibit H Exhibit I-1 – I-4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Form of Assignment and Acceptance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Form of U.S. Borrowing Request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Canadian Borrowing Request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Australian Borrowing Request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Swing Line Borrowing Request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Australian Guarantee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Canadian Guarantee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U.S. Subsidiary Guarantee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Australian Share Security Deed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Canadian Pledge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U.S. Pledge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Australian Security Deed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Canadian Security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U.S. Security Agreement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Form of Opinion of Simpson Thacher &amp; Bartlett LLP</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Form of Opinion of Dentons Canada LLP</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Opinion of Arnold Bloch Leibler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Compliance Certificate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 of Discount Note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Forms of Exemption Certificate</w:t>
      </w:r>
    </w:p>
    <w:p>
      <w:pPr>
        <w:spacing w:after="0" w:line="211" w:lineRule="exact"/>
        <w:rPr>
          <w:sz w:val="20"/>
          <w:szCs w:val="20"/>
          <w:color w:val="auto"/>
        </w:rPr>
      </w:pPr>
    </w:p>
    <w:p>
      <w:pPr>
        <w:sectPr>
          <w:pgSz w:w="11900" w:h="16838" w:orient="portrait"/>
          <w:cols w:equalWidth="0" w:num="2">
            <w:col w:w="960" w:space="620"/>
            <w:col w:w="8659"/>
          </w:cols>
          <w:pgMar w:left="220" w:top="500" w:right="1440" w:bottom="1440" w:gutter="0" w:footer="0" w:header="0"/>
          <w:type w:val="continuous"/>
        </w:sectPr>
      </w:pPr>
    </w:p>
    <w:p>
      <w:pPr>
        <w:spacing w:after="0" w:line="154" w:lineRule="exact"/>
        <w:rPr>
          <w:sz w:val="20"/>
          <w:szCs w:val="20"/>
          <w:color w:val="auto"/>
        </w:rPr>
      </w:pPr>
    </w:p>
    <w:p>
      <w:pPr>
        <w:jc w:val="right"/>
        <w:ind w:right="441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239"/>
          </w:cols>
          <w:pgMar w:left="220" w:top="500" w:right="1440" w:bottom="1440" w:gutter="0" w:footer="0" w:header="0"/>
          <w:type w:val="continuous"/>
        </w:sectPr>
      </w:pPr>
    </w:p>
    <w:bookmarkStart w:id="54" w:name="page55"/>
    <w:bookmarkEnd w:id="54"/>
    <w:p>
      <w:pPr>
        <w:jc w:val="both"/>
        <w:ind w:firstLine="525"/>
        <w:spacing w:after="0" w:line="264" w:lineRule="auto"/>
        <w:rPr>
          <w:sz w:val="20"/>
          <w:szCs w:val="20"/>
          <w:color w:val="auto"/>
        </w:rPr>
      </w:pPr>
      <w:r>
        <w:rPr>
          <w:rFonts w:ascii="Arial" w:cs="Arial" w:eastAsia="Arial" w:hAnsi="Arial"/>
          <w:sz w:val="14"/>
          <w:szCs w:val="14"/>
          <w:color w:val="auto"/>
        </w:rPr>
        <w:t>THIS SYNDICATED FACILITY AGREEMENT dated as of May 28, 2014 (as amended, supplemented or modified from time to time, this “</w:t>
      </w:r>
      <w:r>
        <w:rPr>
          <w:rFonts w:ascii="Arial" w:cs="Arial" w:eastAsia="Arial" w:hAnsi="Arial"/>
          <w:sz w:val="14"/>
          <w:szCs w:val="14"/>
          <w:i w:val="1"/>
          <w:iCs w:val="1"/>
          <w:color w:val="auto"/>
        </w:rPr>
        <w:t>Agreement</w:t>
      </w:r>
      <w:r>
        <w:rPr>
          <w:rFonts w:ascii="Arial" w:cs="Arial" w:eastAsia="Arial" w:hAnsi="Arial"/>
          <w:sz w:val="14"/>
          <w:szCs w:val="14"/>
          <w:color w:val="auto"/>
        </w:rPr>
        <w:t>”), is among CIVEO CORPORATION, a Delaware corporation (the “</w:t>
      </w:r>
      <w:r>
        <w:rPr>
          <w:rFonts w:ascii="Arial" w:cs="Arial" w:eastAsia="Arial" w:hAnsi="Arial"/>
          <w:sz w:val="14"/>
          <w:szCs w:val="14"/>
          <w:i w:val="1"/>
          <w:iCs w:val="1"/>
          <w:color w:val="auto"/>
        </w:rPr>
        <w:t>U.S. Borrower</w:t>
      </w:r>
      <w:r>
        <w:rPr>
          <w:rFonts w:ascii="Arial" w:cs="Arial" w:eastAsia="Arial" w:hAnsi="Arial"/>
          <w:sz w:val="14"/>
          <w:szCs w:val="14"/>
          <w:color w:val="auto"/>
        </w:rPr>
        <w:t>”), CIVEO CANADA INC., a corporation amalgamated under the laws of the Province of Alberta (the “</w:t>
      </w:r>
      <w:r>
        <w:rPr>
          <w:rFonts w:ascii="Arial" w:cs="Arial" w:eastAsia="Arial" w:hAnsi="Arial"/>
          <w:sz w:val="14"/>
          <w:szCs w:val="14"/>
          <w:i w:val="1"/>
          <w:iCs w:val="1"/>
          <w:color w:val="auto"/>
        </w:rPr>
        <w:t>Canadian Parent</w:t>
      </w:r>
      <w:r>
        <w:rPr>
          <w:rFonts w:ascii="Arial" w:cs="Arial" w:eastAsia="Arial" w:hAnsi="Arial"/>
          <w:sz w:val="14"/>
          <w:szCs w:val="14"/>
          <w:color w:val="auto"/>
        </w:rPr>
        <w:t>”), CIVEO PREMIUM CAMP SERVICES LTD., a corporation amalgamated under the laws of the Province of Alberta (“</w:t>
      </w:r>
      <w:r>
        <w:rPr>
          <w:rFonts w:ascii="Arial" w:cs="Arial" w:eastAsia="Arial" w:hAnsi="Arial"/>
          <w:sz w:val="14"/>
          <w:szCs w:val="14"/>
          <w:i w:val="1"/>
          <w:iCs w:val="1"/>
          <w:color w:val="auto"/>
        </w:rPr>
        <w:t>Civeo Premium</w:t>
      </w:r>
      <w:r>
        <w:rPr>
          <w:rFonts w:ascii="Arial" w:cs="Arial" w:eastAsia="Arial" w:hAnsi="Arial"/>
          <w:sz w:val="14"/>
          <w:szCs w:val="14"/>
          <w:color w:val="auto"/>
        </w:rPr>
        <w:t>” and, together with the Canadian Parent, the “</w:t>
      </w:r>
      <w:r>
        <w:rPr>
          <w:rFonts w:ascii="Arial" w:cs="Arial" w:eastAsia="Arial" w:hAnsi="Arial"/>
          <w:sz w:val="14"/>
          <w:szCs w:val="14"/>
          <w:i w:val="1"/>
          <w:iCs w:val="1"/>
          <w:color w:val="auto"/>
        </w:rPr>
        <w:t>Canadian Borrowers</w:t>
      </w:r>
      <w:r>
        <w:rPr>
          <w:rFonts w:ascii="Arial" w:cs="Arial" w:eastAsia="Arial" w:hAnsi="Arial"/>
          <w:sz w:val="14"/>
          <w:szCs w:val="14"/>
          <w:color w:val="auto"/>
        </w:rPr>
        <w:t>”), CIVEO AUSTRALIA PTY LIMITED ACN 003 657 510, an Australian proprietary limited company (the “</w:t>
      </w:r>
      <w:r>
        <w:rPr>
          <w:rFonts w:ascii="Arial" w:cs="Arial" w:eastAsia="Arial" w:hAnsi="Arial"/>
          <w:sz w:val="14"/>
          <w:szCs w:val="14"/>
          <w:i w:val="1"/>
          <w:iCs w:val="1"/>
          <w:color w:val="auto"/>
        </w:rPr>
        <w:t>Australian Borrower</w:t>
      </w:r>
      <w:r>
        <w:rPr>
          <w:rFonts w:ascii="Arial" w:cs="Arial" w:eastAsia="Arial" w:hAnsi="Arial"/>
          <w:sz w:val="14"/>
          <w:szCs w:val="14"/>
          <w:color w:val="auto"/>
        </w:rPr>
        <w:t>” and, together with the U.S. Borrower and the Canadian Borrowers, the “</w:t>
      </w:r>
      <w:r>
        <w:rPr>
          <w:rFonts w:ascii="Arial" w:cs="Arial" w:eastAsia="Arial" w:hAnsi="Arial"/>
          <w:sz w:val="14"/>
          <w:szCs w:val="14"/>
          <w:i w:val="1"/>
          <w:iCs w:val="1"/>
          <w:color w:val="auto"/>
        </w:rPr>
        <w:t>Borrowers</w:t>
      </w:r>
      <w:r>
        <w:rPr>
          <w:rFonts w:ascii="Arial" w:cs="Arial" w:eastAsia="Arial" w:hAnsi="Arial"/>
          <w:sz w:val="14"/>
          <w:szCs w:val="14"/>
          <w:color w:val="auto"/>
        </w:rPr>
        <w:t>”), the Lenders (as defined in Article I), ROYAL BANK OF CANADA (“</w:t>
      </w:r>
      <w:r>
        <w:rPr>
          <w:rFonts w:ascii="Arial" w:cs="Arial" w:eastAsia="Arial" w:hAnsi="Arial"/>
          <w:sz w:val="14"/>
          <w:szCs w:val="14"/>
          <w:i w:val="1"/>
          <w:iCs w:val="1"/>
          <w:color w:val="auto"/>
        </w:rPr>
        <w:t>RBC</w:t>
      </w:r>
      <w:r>
        <w:rPr>
          <w:rFonts w:ascii="Arial" w:cs="Arial" w:eastAsia="Arial" w:hAnsi="Arial"/>
          <w:sz w:val="14"/>
          <w:szCs w:val="14"/>
          <w:color w:val="auto"/>
        </w:rPr>
        <w:t>”), as administrative agent (in such capacity,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for the U.S. Lenders, as U.S. collateral agent (in such capacity, the “</w:t>
      </w:r>
      <w:r>
        <w:rPr>
          <w:rFonts w:ascii="Arial" w:cs="Arial" w:eastAsia="Arial" w:hAnsi="Arial"/>
          <w:sz w:val="14"/>
          <w:szCs w:val="14"/>
          <w:i w:val="1"/>
          <w:iCs w:val="1"/>
          <w:color w:val="auto"/>
        </w:rPr>
        <w:t>U.S. Collateral Agent</w:t>
      </w:r>
      <w:r>
        <w:rPr>
          <w:rFonts w:ascii="Arial" w:cs="Arial" w:eastAsia="Arial" w:hAnsi="Arial"/>
          <w:sz w:val="14"/>
          <w:szCs w:val="14"/>
          <w:color w:val="auto"/>
        </w:rPr>
        <w:t>”) for the Lenders, as administrative agent (in such capacity, the “</w:t>
      </w:r>
      <w:r>
        <w:rPr>
          <w:rFonts w:ascii="Arial" w:cs="Arial" w:eastAsia="Arial" w:hAnsi="Arial"/>
          <w:sz w:val="14"/>
          <w:szCs w:val="14"/>
          <w:i w:val="1"/>
          <w:iCs w:val="1"/>
          <w:color w:val="auto"/>
        </w:rPr>
        <w:t>Canadian Administrative Agent</w:t>
      </w:r>
      <w:r>
        <w:rPr>
          <w:rFonts w:ascii="Arial" w:cs="Arial" w:eastAsia="Arial" w:hAnsi="Arial"/>
          <w:sz w:val="14"/>
          <w:szCs w:val="14"/>
          <w:color w:val="auto"/>
        </w:rPr>
        <w:t>”) for the Canadian Lenders (as defined in Article I) and as Canadian collateral agent (in such capacity, the “</w:t>
      </w:r>
      <w:r>
        <w:rPr>
          <w:rFonts w:ascii="Arial" w:cs="Arial" w:eastAsia="Arial" w:hAnsi="Arial"/>
          <w:sz w:val="14"/>
          <w:szCs w:val="14"/>
          <w:i w:val="1"/>
          <w:iCs w:val="1"/>
          <w:color w:val="auto"/>
        </w:rPr>
        <w:t>Canadian Collateral Agent</w:t>
      </w:r>
      <w:r>
        <w:rPr>
          <w:rFonts w:ascii="Arial" w:cs="Arial" w:eastAsia="Arial" w:hAnsi="Arial"/>
          <w:sz w:val="14"/>
          <w:szCs w:val="14"/>
          <w:color w:val="auto"/>
        </w:rPr>
        <w:t>”) for the Lenders, and RBC EUROPE LIMITED (“</w:t>
      </w:r>
      <w:r>
        <w:rPr>
          <w:rFonts w:ascii="Arial" w:cs="Arial" w:eastAsia="Arial" w:hAnsi="Arial"/>
          <w:sz w:val="14"/>
          <w:szCs w:val="14"/>
          <w:i w:val="1"/>
          <w:iCs w:val="1"/>
          <w:color w:val="auto"/>
        </w:rPr>
        <w:t>RBC Europe</w:t>
      </w:r>
      <w:r>
        <w:rPr>
          <w:rFonts w:ascii="Arial" w:cs="Arial" w:eastAsia="Arial" w:hAnsi="Arial"/>
          <w:sz w:val="14"/>
          <w:szCs w:val="14"/>
          <w:color w:val="auto"/>
        </w:rPr>
        <w:t>”) as administrative agent (in such capacity, the “</w:t>
      </w:r>
      <w:r>
        <w:rPr>
          <w:rFonts w:ascii="Arial" w:cs="Arial" w:eastAsia="Arial" w:hAnsi="Arial"/>
          <w:sz w:val="14"/>
          <w:szCs w:val="14"/>
          <w:i w:val="1"/>
          <w:iCs w:val="1"/>
          <w:color w:val="auto"/>
        </w:rPr>
        <w:t>Australian Administrative Agent</w:t>
      </w:r>
      <w:r>
        <w:rPr>
          <w:rFonts w:ascii="Arial" w:cs="Arial" w:eastAsia="Arial" w:hAnsi="Arial"/>
          <w:sz w:val="14"/>
          <w:szCs w:val="14"/>
          <w:color w:val="auto"/>
        </w:rPr>
        <w:t>”) for the Australian Lenders (as defined in Article I) and as Australian collateral agent (in such capacity, the “</w:t>
      </w:r>
      <w:r>
        <w:rPr>
          <w:rFonts w:ascii="Arial" w:cs="Arial" w:eastAsia="Arial" w:hAnsi="Arial"/>
          <w:sz w:val="14"/>
          <w:szCs w:val="14"/>
          <w:i w:val="1"/>
          <w:iCs w:val="1"/>
          <w:color w:val="auto"/>
        </w:rPr>
        <w:t>Australian Collateral Agent</w:t>
      </w:r>
      <w:r>
        <w:rPr>
          <w:rFonts w:ascii="Arial" w:cs="Arial" w:eastAsia="Arial" w:hAnsi="Arial"/>
          <w:sz w:val="14"/>
          <w:szCs w:val="14"/>
          <w:color w:val="auto"/>
        </w:rPr>
        <w:t>”) for the Lenders.</w:t>
      </w:r>
    </w:p>
    <w:p>
      <w:pPr>
        <w:spacing w:after="0" w:line="155" w:lineRule="exact"/>
        <w:rPr>
          <w:sz w:val="20"/>
          <w:szCs w:val="20"/>
          <w:color w:val="auto"/>
        </w:rPr>
      </w:pPr>
    </w:p>
    <w:p>
      <w:pPr>
        <w:ind w:firstLine="525"/>
        <w:spacing w:after="0" w:line="266" w:lineRule="auto"/>
        <w:rPr>
          <w:sz w:val="20"/>
          <w:szCs w:val="20"/>
          <w:color w:val="auto"/>
        </w:rPr>
      </w:pPr>
      <w:r>
        <w:rPr>
          <w:rFonts w:ascii="Arial" w:cs="Arial" w:eastAsia="Arial" w:hAnsi="Arial"/>
          <w:sz w:val="14"/>
          <w:szCs w:val="14"/>
          <w:color w:val="auto"/>
        </w:rPr>
        <w:t>The U.S. Borrower has requested the U.S. Lenders to extend credit in the form of U.S. Loans to the U.S. Borrower in an aggregate principal amount at any time outstanding not in excess of U.S.$1,225,000,000; the Canadian Borrowers have requested the Canadian Lenders to extend credit in the form of Canadian Revolving Credit Loans to the Canadian Borrowers in an aggregate principal amount at any time outstanding not in excess of U.S.$100,000,000 (or the Canadian Dollar Equivalent thereof); and the Australian Borrower has requested the Australian Lenders to extend credit in the form of Australian Revolving Credit Loans to the Australian Borrower in an aggregate principal amount at any time outstanding not in excess of U.S.$100,000,000 (or the Australian Dollar Equivalent thereof), in each case, as such principal amounts may be modified in accordance with the terms hereof. The Borrowers have requested the Issuing Banks to issue Letters of Credit to support payment obligations of the Borrowers and the Subsidiaries incurred in the ordinary course of business. In consideration of the mutual covenants and agreements herein contained, the parties hereto hereby agree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Definitions</w:t>
      </w:r>
    </w:p>
    <w:p>
      <w:pPr>
        <w:spacing w:after="0" w:line="17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1.01</w:t>
      </w:r>
      <w:r>
        <w:rPr>
          <w:sz w:val="20"/>
          <w:szCs w:val="20"/>
          <w:color w:val="auto"/>
        </w:rPr>
        <w:tab/>
      </w:r>
      <w:r>
        <w:rPr>
          <w:rFonts w:ascii="Arial" w:cs="Arial" w:eastAsia="Arial" w:hAnsi="Arial"/>
          <w:sz w:val="12"/>
          <w:szCs w:val="12"/>
          <w:b w:val="1"/>
          <w:bCs w:val="1"/>
          <w:i w:val="1"/>
          <w:iCs w:val="1"/>
          <w:color w:val="auto"/>
        </w:rPr>
        <w:t>Defined Terms</w:t>
      </w:r>
      <w:r>
        <w:rPr>
          <w:rFonts w:ascii="Arial" w:cs="Arial" w:eastAsia="Arial" w:hAnsi="Arial"/>
          <w:sz w:val="12"/>
          <w:szCs w:val="12"/>
          <w:color w:val="auto"/>
        </w:rPr>
        <w:t>. As used in this Agreement, the following terms shall have the meanings specified below:</w:t>
      </w:r>
    </w:p>
    <w:p>
      <w:pPr>
        <w:spacing w:after="0" w:line="225"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ABR</w:t>
      </w:r>
      <w:r>
        <w:rPr>
          <w:rFonts w:ascii="Arial" w:cs="Arial" w:eastAsia="Arial" w:hAnsi="Arial"/>
          <w:sz w:val="15"/>
          <w:szCs w:val="15"/>
          <w:color w:val="auto"/>
        </w:rPr>
        <w:t>”, when used in reference to any Loan or Borrowing, refers to whether such Loan, or the Loans comprising such Borrowing, are bearing interest at a rate determined by reference to the Alternate Base Rate.</w:t>
      </w:r>
    </w:p>
    <w:p>
      <w:pPr>
        <w:spacing w:after="0" w:line="152"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Acceptance Fee</w:t>
      </w:r>
      <w:r>
        <w:rPr>
          <w:rFonts w:ascii="Arial" w:cs="Arial" w:eastAsia="Arial" w:hAnsi="Arial"/>
          <w:sz w:val="12"/>
          <w:szCs w:val="12"/>
          <w:color w:val="auto"/>
        </w:rPr>
        <w:t>” shall mean a fee payable in Canadian dollars by a Canadian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370205</wp:posOffset>
            </wp:positionV>
            <wp:extent cx="729234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5" w:name="page56"/>
    <w:bookmarkEnd w:id="55"/>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Adjusted LIBO Rate</w:t>
      </w:r>
      <w:r>
        <w:rPr>
          <w:rFonts w:ascii="Arial" w:cs="Arial" w:eastAsia="Arial" w:hAnsi="Arial"/>
          <w:sz w:val="15"/>
          <w:szCs w:val="15"/>
          <w:color w:val="auto"/>
        </w:rPr>
        <w:t>” shall mean, with respect to any Eurocurrency Borrowing for any Interest Period, an interest rate per annum (rounded upwards, if necessary, to the nearest whole 1/100 of 1%) equal to the product of (a) the LIBO Rate in effect for such Interest Period and (b) Statutory Reserves.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Administrative Agents</w:t>
      </w:r>
      <w:r>
        <w:rPr>
          <w:rFonts w:ascii="Arial" w:cs="Arial" w:eastAsia="Arial" w:hAnsi="Arial"/>
          <w:sz w:val="15"/>
          <w:szCs w:val="15"/>
          <w:color w:val="auto"/>
        </w:rPr>
        <w:t>” shall mean the Administrative Agent, the Canadian Administrative Agent and the Australian Administrative Agent.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Administrative Questionnaire</w:t>
      </w:r>
      <w:r>
        <w:rPr>
          <w:rFonts w:ascii="Arial" w:cs="Arial" w:eastAsia="Arial" w:hAnsi="Arial"/>
          <w:sz w:val="15"/>
          <w:szCs w:val="15"/>
          <w:color w:val="auto"/>
        </w:rPr>
        <w:t>” shall mean an administrative questionnaire in a form supplied from time to time by the Applicable Administrative Agent.</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 Australian Land Company”</w:t>
      </w:r>
      <w:r>
        <w:rPr>
          <w:rFonts w:ascii="Arial" w:cs="Arial" w:eastAsia="Arial" w:hAnsi="Arial"/>
          <w:sz w:val="15"/>
          <w:szCs w:val="15"/>
          <w:color w:val="auto"/>
        </w:rPr>
        <w:t xml:space="preserve"> means The MAC Property Services Pty Ltd (ACN 160 463 463), a company incorporated in Australia.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Agents</w:t>
      </w:r>
      <w:r>
        <w:rPr>
          <w:rFonts w:ascii="Arial" w:cs="Arial" w:eastAsia="Arial" w:hAnsi="Arial"/>
          <w:sz w:val="15"/>
          <w:szCs w:val="15"/>
          <w:color w:val="auto"/>
        </w:rPr>
        <w:t>” shall mean, collectively, the Administrative Agents and the Collateral Agents.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Aggregate L/C Exposure</w:t>
      </w:r>
      <w:r>
        <w:rPr>
          <w:rFonts w:ascii="Arial" w:cs="Arial" w:eastAsia="Arial" w:hAnsi="Arial"/>
          <w:sz w:val="15"/>
          <w:szCs w:val="15"/>
          <w:color w:val="auto"/>
        </w:rPr>
        <w:t>” shall mean, at any time, the sum of the U.S. L/C Exposure, the U.S. Dollar Equivalent of the Canadian L/C Exposure and the U.S. Dollar Equivalent of the Australian L/C Exposure at such time.</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Aggregate Pro Rata Percentage</w:t>
      </w:r>
      <w:r>
        <w:rPr>
          <w:rFonts w:ascii="Arial" w:cs="Arial" w:eastAsia="Arial" w:hAnsi="Arial"/>
          <w:sz w:val="15"/>
          <w:szCs w:val="15"/>
          <w:color w:val="auto"/>
        </w:rPr>
        <w:t xml:space="preserve">” of any Lender, subject to any adjustment as provided in Section 2.24(c) or 2.25(a), shall mean the percentage of the aggregate Commitments represented by such Lender’s Commitment;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Commitments have terminated, the Aggregate Pro Rata Percentages of the Lenders shall be determined based upon the Commitments most recently in effect, giving effect to any assignments.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Agreement</w:t>
      </w:r>
      <w:r>
        <w:rPr>
          <w:rFonts w:ascii="Arial" w:cs="Arial" w:eastAsia="Arial" w:hAnsi="Arial"/>
          <w:sz w:val="15"/>
          <w:szCs w:val="15"/>
          <w:color w:val="auto"/>
        </w:rPr>
        <w:t>” shall have the meaning assigned to such term in the preamble hereto.</w:t>
      </w:r>
    </w:p>
    <w:p>
      <w:pPr>
        <w:spacing w:after="0" w:line="177"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Alternate Base Rate</w:t>
      </w:r>
      <w:r>
        <w:rPr>
          <w:rFonts w:ascii="Arial" w:cs="Arial" w:eastAsia="Arial" w:hAnsi="Arial"/>
          <w:sz w:val="14"/>
          <w:szCs w:val="14"/>
          <w:color w:val="auto"/>
        </w:rPr>
        <w:t>” shall mean, for any day, a rate per annum equal to the greatest of (a) the Prime Rate in effect on such day, (b) the Federal Funds Effective Rate in effect on such day plus ½ of 1.0% and (c) the Adjusted LIBO Rate for such day (or if such day is not a Business Day, the immediately preceding Business Day) for a deposit in U.S. dollars with a maturity of one month plus 1.0%. Any change in the Alternate Base Rate due to a change in the Prime Rate, the Federal Funds Effective Rate or the Adjusted LIBO Rate shall be effective on the effective date of such change in the Prime Rate, the Federal Funds Effective Rate or the Adjusted LIBO Rate,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6" w:name="page57"/>
    <w:bookmarkEnd w:id="56"/>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Alternative Currency</w:t>
      </w:r>
      <w:r>
        <w:rPr>
          <w:rFonts w:ascii="Arial" w:cs="Arial" w:eastAsia="Arial" w:hAnsi="Arial"/>
          <w:sz w:val="15"/>
          <w:szCs w:val="15"/>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Anti-Corruption Laws</w:t>
      </w:r>
      <w:r>
        <w:rPr>
          <w:rFonts w:ascii="Arial" w:cs="Arial" w:eastAsia="Arial" w:hAnsi="Arial"/>
          <w:sz w:val="15"/>
          <w:szCs w:val="15"/>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Anti-Money Laundering Laws</w:t>
      </w:r>
      <w:r>
        <w:rPr>
          <w:rFonts w:ascii="Arial" w:cs="Arial" w:eastAsia="Arial" w:hAnsi="Arial"/>
          <w:sz w:val="15"/>
          <w:szCs w:val="15"/>
          <w:color w:val="auto"/>
        </w:rPr>
        <w:t>” shall mean all applicable financial recordkeeping and reporting requirements and the money laundering statutes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w:t>
      </w:r>
    </w:p>
    <w:p>
      <w:pPr>
        <w:spacing w:after="0" w:line="158"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Applicable Administrative Agent</w:t>
      </w:r>
      <w:r>
        <w:rPr>
          <w:rFonts w:ascii="Arial" w:cs="Arial" w:eastAsia="Arial" w:hAnsi="Arial"/>
          <w:sz w:val="12"/>
          <w:szCs w:val="12"/>
          <w:color w:val="auto"/>
        </w:rPr>
        <w:t>” shall mean (a) the Administrative Agent, with respect to any U.S. Loan or U.S. Letter of Credit, (b) the Canadian Administrative Agent, with respect to any Canadian Revolving Credit Loan or Canadian Letter of Credit and (c) the Australian Administrative Agent, with respect to any Australian Revolving Credit Loan or Australian Letter of Credit.</w:t>
      </w:r>
    </w:p>
    <w:p>
      <w:pPr>
        <w:spacing w:after="0" w:line="8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Borrower</w:t>
      </w:r>
      <w:r>
        <w:rPr>
          <w:rFonts w:ascii="Arial" w:cs="Arial" w:eastAsia="Arial" w:hAnsi="Arial"/>
          <w:sz w:val="15"/>
          <w:szCs w:val="15"/>
          <w:color w:val="auto"/>
        </w:rPr>
        <w:t>” shall mean (a) the U.S. Borrower, with respect to the U.S. Revolving Credit Facility or the U.S. Term Loan Facility, (b) either the Canadian Parent or Civeo Premium, with respect to the Canadian Revolving Credit Facility and (c) the Australian Borrower, with respect to the Australian Revolving Credit Facility.</w:t>
      </w:r>
    </w:p>
    <w:p>
      <w:pPr>
        <w:spacing w:after="0" w:line="152"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Applicable Collateral Agent</w:t>
      </w:r>
      <w:r>
        <w:rPr>
          <w:rFonts w:ascii="Arial" w:cs="Arial" w:eastAsia="Arial" w:hAnsi="Arial"/>
          <w:sz w:val="12"/>
          <w:szCs w:val="12"/>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84"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Issuing Bank</w:t>
      </w:r>
      <w:r>
        <w:rPr>
          <w:rFonts w:ascii="Arial" w:cs="Arial" w:eastAsia="Arial" w:hAnsi="Arial"/>
          <w:sz w:val="15"/>
          <w:szCs w:val="15"/>
          <w:color w:val="auto"/>
        </w:rPr>
        <w:t>” shall mean (a) RBC, Wells Fargo Bank, N.A., Capital One, N.A., or any other Issuing Bank that has issued, or has a commitment to issue, U.S. Letters of Credit, (b) RBC, The Toronto-Dominion Bank, The Bank of Nova Scotia or any other Issuing Bank that has issued, or has a commitment to issue, Canadian Letters of Credit, or (c) RBC Europe, National Australia Bank or any other Issuing Bank that has issued, or has a commitment to issue, Australian Letters of Credit.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7" w:name="page58"/>
    <w:bookmarkEnd w:id="57"/>
    <w:p>
      <w:pPr>
        <w:jc w:val="both"/>
        <w:ind w:firstLine="525"/>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Applicable Lender</w:t>
      </w:r>
      <w:r>
        <w:rPr>
          <w:rFonts w:ascii="Arial" w:cs="Arial" w:eastAsia="Arial" w:hAnsi="Arial"/>
          <w:sz w:val="14"/>
          <w:szCs w:val="14"/>
          <w:color w:val="auto"/>
        </w:rPr>
        <w:t>” shall mean (a) when used with respect to the U.S. Revolving Credit Facility, the U.S. Term Loan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Lenders, the U.S. Revolving Lenders or the Australian Lenders, as the case may be, and (c) with respect to the U.S. Swing Line Sublimit or the Canadian Swing Line Sublimit, the Applicable Swing Line Lender.</w:t>
      </w:r>
    </w:p>
    <w:p>
      <w:pPr>
        <w:spacing w:after="0" w:line="147"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Applicable Percentage</w:t>
      </w:r>
      <w:r>
        <w:rPr>
          <w:rFonts w:ascii="Arial" w:cs="Arial" w:eastAsia="Arial" w:hAnsi="Arial"/>
          <w:sz w:val="14"/>
          <w:szCs w:val="14"/>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2120" w:type="dxa"/>
            <w:vAlign w:val="bottom"/>
          </w:tcPr>
          <w:p>
            <w:pPr>
              <w:ind w:left="240"/>
              <w:spacing w:after="0"/>
              <w:rPr>
                <w:sz w:val="20"/>
                <w:szCs w:val="20"/>
                <w:color w:val="auto"/>
              </w:rPr>
            </w:pPr>
            <w:r>
              <w:rPr>
                <w:rFonts w:ascii="Arial" w:cs="Arial" w:eastAsia="Arial" w:hAnsi="Arial"/>
                <w:sz w:val="15"/>
                <w:szCs w:val="15"/>
                <w:color w:val="auto"/>
              </w:rPr>
              <w:t>Leverage Ratio</w:t>
            </w:r>
          </w:p>
        </w:tc>
        <w:tc>
          <w:tcPr>
            <w:tcW w:w="2520" w:type="dxa"/>
            <w:vAlign w:val="bottom"/>
          </w:tcPr>
          <w:p>
            <w:pPr>
              <w:jc w:val="center"/>
              <w:spacing w:after="0"/>
              <w:rPr>
                <w:sz w:val="20"/>
                <w:szCs w:val="20"/>
                <w:color w:val="auto"/>
              </w:rPr>
            </w:pPr>
            <w:r>
              <w:rPr>
                <w:rFonts w:ascii="Arial" w:cs="Arial" w:eastAsia="Arial" w:hAnsi="Arial"/>
                <w:sz w:val="15"/>
                <w:szCs w:val="15"/>
                <w:color w:val="auto"/>
                <w:w w:val="89"/>
              </w:rPr>
              <w:t>Eurocurrency/BBSY Rate/B/A Spread</w:t>
            </w:r>
          </w:p>
        </w:tc>
        <w:tc>
          <w:tcPr>
            <w:tcW w:w="2920" w:type="dxa"/>
            <w:vAlign w:val="bottom"/>
          </w:tcPr>
          <w:p>
            <w:pPr>
              <w:jc w:val="center"/>
              <w:ind w:right="87"/>
              <w:spacing w:after="0"/>
              <w:rPr>
                <w:sz w:val="20"/>
                <w:szCs w:val="20"/>
                <w:color w:val="auto"/>
              </w:rPr>
            </w:pPr>
            <w:r>
              <w:rPr>
                <w:rFonts w:ascii="Arial" w:cs="Arial" w:eastAsia="Arial" w:hAnsi="Arial"/>
                <w:sz w:val="15"/>
                <w:szCs w:val="15"/>
                <w:color w:val="auto"/>
                <w:w w:val="87"/>
              </w:rPr>
              <w:t>ABR, Canadian Prime Rate and U.S. Base</w:t>
            </w:r>
          </w:p>
        </w:tc>
        <w:tc>
          <w:tcPr>
            <w:tcW w:w="2460" w:type="dxa"/>
            <w:vAlign w:val="bottom"/>
          </w:tcPr>
          <w:p>
            <w:pPr>
              <w:ind w:left="280"/>
              <w:spacing w:after="0"/>
              <w:rPr>
                <w:sz w:val="20"/>
                <w:szCs w:val="20"/>
                <w:color w:val="auto"/>
              </w:rPr>
            </w:pPr>
            <w:r>
              <w:rPr>
                <w:rFonts w:ascii="Arial" w:cs="Arial" w:eastAsia="Arial" w:hAnsi="Arial"/>
                <w:sz w:val="15"/>
                <w:szCs w:val="15"/>
                <w:color w:val="auto"/>
              </w:rPr>
              <w:t>Commitment Fee Percentage</w:t>
            </w:r>
          </w:p>
        </w:tc>
      </w:tr>
      <w:tr>
        <w:trPr>
          <w:trHeight w:val="184"/>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jc w:val="center"/>
              <w:ind w:right="67"/>
              <w:spacing w:after="0"/>
              <w:rPr>
                <w:sz w:val="20"/>
                <w:szCs w:val="20"/>
                <w:color w:val="auto"/>
              </w:rPr>
            </w:pPr>
            <w:r>
              <w:rPr>
                <w:rFonts w:ascii="Arial" w:cs="Arial" w:eastAsia="Arial" w:hAnsi="Arial"/>
                <w:sz w:val="15"/>
                <w:szCs w:val="15"/>
                <w:color w:val="auto"/>
                <w:w w:val="83"/>
              </w:rPr>
              <w:t>Rate Spread</w:t>
            </w:r>
          </w:p>
        </w:tc>
        <w:tc>
          <w:tcPr>
            <w:tcW w:w="246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55"/>
        </w:trPr>
        <w:tc>
          <w:tcPr>
            <w:tcW w:w="27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Category 1</w:t>
            </w:r>
          </w:p>
        </w:tc>
        <w:tc>
          <w:tcPr>
            <w:tcW w:w="252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75"/>
        </w:trPr>
        <w:tc>
          <w:tcPr>
            <w:tcW w:w="640" w:type="dxa"/>
            <w:vAlign w:val="bottom"/>
            <w:tcBorders>
              <w:top w:val="single" w:sz="8" w:color="auto"/>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520" w:type="dxa"/>
            <w:vAlign w:val="bottom"/>
            <w:tcBorders>
              <w:top w:val="single" w:sz="8" w:color="CCEEFF"/>
            </w:tcBorders>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r>
      <w:tr>
        <w:trPr>
          <w:trHeight w:val="175"/>
        </w:trPr>
        <w:tc>
          <w:tcPr>
            <w:tcW w:w="27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Less than 1.50 to 1.00</w:t>
            </w:r>
          </w:p>
        </w:tc>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1.75%</w:t>
            </w:r>
          </w:p>
        </w:tc>
        <w:tc>
          <w:tcPr>
            <w:tcW w:w="2920" w:type="dxa"/>
            <w:vAlign w:val="bottom"/>
            <w:shd w:val="clear" w:color="auto" w:fill="CCEEFF"/>
          </w:tcPr>
          <w:p>
            <w:pPr>
              <w:jc w:val="center"/>
              <w:ind w:right="67"/>
              <w:spacing w:after="0"/>
              <w:rPr>
                <w:sz w:val="20"/>
                <w:szCs w:val="20"/>
                <w:color w:val="auto"/>
              </w:rPr>
            </w:pPr>
            <w:r>
              <w:rPr>
                <w:rFonts w:ascii="Arial" w:cs="Arial" w:eastAsia="Arial" w:hAnsi="Arial"/>
                <w:sz w:val="15"/>
                <w:szCs w:val="15"/>
                <w:color w:val="auto"/>
                <w:w w:val="89"/>
              </w:rPr>
              <w:t>0.75%</w:t>
            </w:r>
          </w:p>
        </w:tc>
        <w:tc>
          <w:tcPr>
            <w:tcW w:w="246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90"/>
              </w:rPr>
              <w:t>0.375%</w:t>
            </w:r>
          </w:p>
        </w:tc>
      </w:tr>
      <w:tr>
        <w:trPr>
          <w:trHeight w:val="175"/>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55"/>
        </w:trPr>
        <w:tc>
          <w:tcPr>
            <w:tcW w:w="27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Category 2</w:t>
            </w:r>
          </w:p>
        </w:tc>
        <w:tc>
          <w:tcPr>
            <w:tcW w:w="252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75"/>
        </w:trPr>
        <w:tc>
          <w:tcPr>
            <w:tcW w:w="640" w:type="dxa"/>
            <w:vAlign w:val="bottom"/>
            <w:tcBorders>
              <w:top w:val="single" w:sz="8" w:color="auto"/>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520" w:type="dxa"/>
            <w:vAlign w:val="bottom"/>
            <w:tcBorders>
              <w:top w:val="single" w:sz="8" w:color="CCEEFF"/>
            </w:tcBorders>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r>
      <w:tr>
        <w:trPr>
          <w:trHeight w:val="164"/>
        </w:trPr>
        <w:tc>
          <w:tcPr>
            <w:tcW w:w="2760" w:type="dxa"/>
            <w:vAlign w:val="bottom"/>
            <w:gridSpan w:val="2"/>
            <w:shd w:val="clear" w:color="auto" w:fill="CCEEFF"/>
          </w:tcPr>
          <w:p>
            <w:pPr>
              <w:ind w:left="320"/>
              <w:spacing w:after="0" w:line="164" w:lineRule="exact"/>
              <w:rPr>
                <w:sz w:val="20"/>
                <w:szCs w:val="20"/>
                <w:color w:val="auto"/>
              </w:rPr>
            </w:pPr>
            <w:r>
              <w:rPr>
                <w:rFonts w:ascii="Arial" w:cs="Arial" w:eastAsia="Arial" w:hAnsi="Arial"/>
                <w:sz w:val="15"/>
                <w:szCs w:val="15"/>
                <w:color w:val="auto"/>
                <w:w w:val="90"/>
              </w:rPr>
              <w:t>Greater than or equal to 1.50 to 1.00 but</w:t>
            </w:r>
          </w:p>
        </w:tc>
        <w:tc>
          <w:tcPr>
            <w:tcW w:w="25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86"/>
        </w:trPr>
        <w:tc>
          <w:tcPr>
            <w:tcW w:w="27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less than 2.00 to 1.00</w:t>
            </w:r>
          </w:p>
        </w:tc>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2.00%</w:t>
            </w:r>
          </w:p>
        </w:tc>
        <w:tc>
          <w:tcPr>
            <w:tcW w:w="2920" w:type="dxa"/>
            <w:vAlign w:val="bottom"/>
            <w:shd w:val="clear" w:color="auto" w:fill="CCEEFF"/>
          </w:tcPr>
          <w:p>
            <w:pPr>
              <w:jc w:val="center"/>
              <w:ind w:right="67"/>
              <w:spacing w:after="0"/>
              <w:rPr>
                <w:sz w:val="20"/>
                <w:szCs w:val="20"/>
                <w:color w:val="auto"/>
              </w:rPr>
            </w:pPr>
            <w:r>
              <w:rPr>
                <w:rFonts w:ascii="Arial" w:cs="Arial" w:eastAsia="Arial" w:hAnsi="Arial"/>
                <w:sz w:val="15"/>
                <w:szCs w:val="15"/>
                <w:color w:val="auto"/>
                <w:w w:val="89"/>
              </w:rPr>
              <w:t>1.00%</w:t>
            </w:r>
          </w:p>
        </w:tc>
        <w:tc>
          <w:tcPr>
            <w:tcW w:w="246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90"/>
              </w:rPr>
              <w:t>0.375%</w:t>
            </w:r>
          </w:p>
        </w:tc>
      </w:tr>
      <w:tr>
        <w:trPr>
          <w:trHeight w:val="175"/>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55"/>
        </w:trPr>
        <w:tc>
          <w:tcPr>
            <w:tcW w:w="27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Category 3</w:t>
            </w:r>
          </w:p>
        </w:tc>
        <w:tc>
          <w:tcPr>
            <w:tcW w:w="252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75"/>
        </w:trPr>
        <w:tc>
          <w:tcPr>
            <w:tcW w:w="640" w:type="dxa"/>
            <w:vAlign w:val="bottom"/>
            <w:tcBorders>
              <w:top w:val="single" w:sz="8" w:color="auto"/>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520" w:type="dxa"/>
            <w:vAlign w:val="bottom"/>
            <w:tcBorders>
              <w:top w:val="single" w:sz="8" w:color="CCEEFF"/>
            </w:tcBorders>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r>
      <w:tr>
        <w:trPr>
          <w:trHeight w:val="164"/>
        </w:trPr>
        <w:tc>
          <w:tcPr>
            <w:tcW w:w="2760" w:type="dxa"/>
            <w:vAlign w:val="bottom"/>
            <w:gridSpan w:val="2"/>
            <w:shd w:val="clear" w:color="auto" w:fill="CCEEFF"/>
          </w:tcPr>
          <w:p>
            <w:pPr>
              <w:ind w:left="320"/>
              <w:spacing w:after="0" w:line="164" w:lineRule="exact"/>
              <w:rPr>
                <w:sz w:val="20"/>
                <w:szCs w:val="20"/>
                <w:color w:val="auto"/>
              </w:rPr>
            </w:pPr>
            <w:r>
              <w:rPr>
                <w:rFonts w:ascii="Arial" w:cs="Arial" w:eastAsia="Arial" w:hAnsi="Arial"/>
                <w:sz w:val="15"/>
                <w:szCs w:val="15"/>
                <w:color w:val="auto"/>
                <w:w w:val="90"/>
              </w:rPr>
              <w:t>Greater than or equal to 2.00 to 1.00 but</w:t>
            </w:r>
          </w:p>
        </w:tc>
        <w:tc>
          <w:tcPr>
            <w:tcW w:w="25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86"/>
        </w:trPr>
        <w:tc>
          <w:tcPr>
            <w:tcW w:w="27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less than 2.50 to 1.00</w:t>
            </w:r>
          </w:p>
        </w:tc>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2.25%</w:t>
            </w:r>
          </w:p>
        </w:tc>
        <w:tc>
          <w:tcPr>
            <w:tcW w:w="2920" w:type="dxa"/>
            <w:vAlign w:val="bottom"/>
            <w:shd w:val="clear" w:color="auto" w:fill="CCEEFF"/>
          </w:tcPr>
          <w:p>
            <w:pPr>
              <w:jc w:val="center"/>
              <w:ind w:right="67"/>
              <w:spacing w:after="0"/>
              <w:rPr>
                <w:sz w:val="20"/>
                <w:szCs w:val="20"/>
                <w:color w:val="auto"/>
              </w:rPr>
            </w:pPr>
            <w:r>
              <w:rPr>
                <w:rFonts w:ascii="Arial" w:cs="Arial" w:eastAsia="Arial" w:hAnsi="Arial"/>
                <w:sz w:val="15"/>
                <w:szCs w:val="15"/>
                <w:color w:val="auto"/>
                <w:w w:val="89"/>
              </w:rPr>
              <w:t>1.25%</w:t>
            </w:r>
          </w:p>
        </w:tc>
        <w:tc>
          <w:tcPr>
            <w:tcW w:w="246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90"/>
              </w:rPr>
              <w:t>0.375%</w:t>
            </w:r>
          </w:p>
        </w:tc>
      </w:tr>
      <w:tr>
        <w:trPr>
          <w:trHeight w:val="175"/>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55"/>
        </w:trPr>
        <w:tc>
          <w:tcPr>
            <w:tcW w:w="27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Category 4</w:t>
            </w:r>
          </w:p>
        </w:tc>
        <w:tc>
          <w:tcPr>
            <w:tcW w:w="252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75"/>
        </w:trPr>
        <w:tc>
          <w:tcPr>
            <w:tcW w:w="640" w:type="dxa"/>
            <w:vAlign w:val="bottom"/>
            <w:tcBorders>
              <w:top w:val="single" w:sz="8" w:color="auto"/>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520" w:type="dxa"/>
            <w:vAlign w:val="bottom"/>
            <w:tcBorders>
              <w:top w:val="single" w:sz="8" w:color="CCEEFF"/>
            </w:tcBorders>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r>
      <w:tr>
        <w:trPr>
          <w:trHeight w:val="164"/>
        </w:trPr>
        <w:tc>
          <w:tcPr>
            <w:tcW w:w="2760" w:type="dxa"/>
            <w:vAlign w:val="bottom"/>
            <w:gridSpan w:val="2"/>
            <w:shd w:val="clear" w:color="auto" w:fill="CCEEFF"/>
          </w:tcPr>
          <w:p>
            <w:pPr>
              <w:ind w:left="320"/>
              <w:spacing w:after="0" w:line="164" w:lineRule="exact"/>
              <w:rPr>
                <w:sz w:val="20"/>
                <w:szCs w:val="20"/>
                <w:color w:val="auto"/>
              </w:rPr>
            </w:pPr>
            <w:r>
              <w:rPr>
                <w:rFonts w:ascii="Arial" w:cs="Arial" w:eastAsia="Arial" w:hAnsi="Arial"/>
                <w:sz w:val="15"/>
                <w:szCs w:val="15"/>
                <w:color w:val="auto"/>
                <w:w w:val="90"/>
              </w:rPr>
              <w:t>Greater than or equal to 2.50 to 1.00 but</w:t>
            </w:r>
          </w:p>
        </w:tc>
        <w:tc>
          <w:tcPr>
            <w:tcW w:w="25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86"/>
        </w:trPr>
        <w:tc>
          <w:tcPr>
            <w:tcW w:w="27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less than 3.00 to 1.00</w:t>
            </w:r>
          </w:p>
        </w:tc>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2.50%</w:t>
            </w:r>
          </w:p>
        </w:tc>
        <w:tc>
          <w:tcPr>
            <w:tcW w:w="2920" w:type="dxa"/>
            <w:vAlign w:val="bottom"/>
            <w:shd w:val="clear" w:color="auto" w:fill="CCEEFF"/>
          </w:tcPr>
          <w:p>
            <w:pPr>
              <w:jc w:val="center"/>
              <w:ind w:right="67"/>
              <w:spacing w:after="0"/>
              <w:rPr>
                <w:sz w:val="20"/>
                <w:szCs w:val="20"/>
                <w:color w:val="auto"/>
              </w:rPr>
            </w:pPr>
            <w:r>
              <w:rPr>
                <w:rFonts w:ascii="Arial" w:cs="Arial" w:eastAsia="Arial" w:hAnsi="Arial"/>
                <w:sz w:val="15"/>
                <w:szCs w:val="15"/>
                <w:color w:val="auto"/>
                <w:w w:val="89"/>
              </w:rPr>
              <w:t>1.50%</w:t>
            </w:r>
          </w:p>
        </w:tc>
        <w:tc>
          <w:tcPr>
            <w:tcW w:w="246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89"/>
              </w:rPr>
              <w:t>0.50%</w:t>
            </w:r>
          </w:p>
        </w:tc>
      </w:tr>
      <w:tr>
        <w:trPr>
          <w:trHeight w:val="175"/>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55"/>
        </w:trPr>
        <w:tc>
          <w:tcPr>
            <w:tcW w:w="276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color w:val="auto"/>
              </w:rPr>
              <w:t>Category 5</w:t>
            </w:r>
          </w:p>
        </w:tc>
        <w:tc>
          <w:tcPr>
            <w:tcW w:w="252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75"/>
        </w:trPr>
        <w:tc>
          <w:tcPr>
            <w:tcW w:w="640" w:type="dxa"/>
            <w:vAlign w:val="bottom"/>
            <w:tcBorders>
              <w:top w:val="single" w:sz="8" w:color="auto"/>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520" w:type="dxa"/>
            <w:vAlign w:val="bottom"/>
            <w:tcBorders>
              <w:top w:val="single" w:sz="8" w:color="CCEEFF"/>
            </w:tcBorders>
          </w:tcPr>
          <w:p>
            <w:pPr>
              <w:spacing w:after="0"/>
              <w:rPr>
                <w:sz w:val="15"/>
                <w:szCs w:val="15"/>
                <w:color w:val="auto"/>
              </w:rPr>
            </w:pPr>
          </w:p>
        </w:tc>
        <w:tc>
          <w:tcPr>
            <w:tcW w:w="292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r>
      <w:tr>
        <w:trPr>
          <w:trHeight w:val="175"/>
        </w:trPr>
        <w:tc>
          <w:tcPr>
            <w:tcW w:w="27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99"/>
              </w:rPr>
              <w:t>Greater than or equal to 3.00 to 1.00</w:t>
            </w:r>
          </w:p>
        </w:tc>
        <w:tc>
          <w:tcPr>
            <w:tcW w:w="2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2.75%</w:t>
            </w:r>
          </w:p>
        </w:tc>
        <w:tc>
          <w:tcPr>
            <w:tcW w:w="2920" w:type="dxa"/>
            <w:vAlign w:val="bottom"/>
            <w:shd w:val="clear" w:color="auto" w:fill="CCEEFF"/>
          </w:tcPr>
          <w:p>
            <w:pPr>
              <w:jc w:val="center"/>
              <w:ind w:right="67"/>
              <w:spacing w:after="0"/>
              <w:rPr>
                <w:sz w:val="20"/>
                <w:szCs w:val="20"/>
                <w:color w:val="auto"/>
              </w:rPr>
            </w:pPr>
            <w:r>
              <w:rPr>
                <w:rFonts w:ascii="Arial" w:cs="Arial" w:eastAsia="Arial" w:hAnsi="Arial"/>
                <w:sz w:val="15"/>
                <w:szCs w:val="15"/>
                <w:color w:val="auto"/>
                <w:w w:val="89"/>
              </w:rPr>
              <w:t>1.75%</w:t>
            </w:r>
          </w:p>
        </w:tc>
        <w:tc>
          <w:tcPr>
            <w:tcW w:w="2460" w:type="dxa"/>
            <w:vAlign w:val="bottom"/>
            <w:shd w:val="clear" w:color="auto" w:fill="CCEEFF"/>
          </w:tcPr>
          <w:p>
            <w:pPr>
              <w:jc w:val="center"/>
              <w:ind w:right="127"/>
              <w:spacing w:after="0"/>
              <w:rPr>
                <w:sz w:val="20"/>
                <w:szCs w:val="20"/>
                <w:color w:val="auto"/>
              </w:rPr>
            </w:pPr>
            <w:r>
              <w:rPr>
                <w:rFonts w:ascii="Arial" w:cs="Arial" w:eastAsia="Arial" w:hAnsi="Arial"/>
                <w:sz w:val="15"/>
                <w:szCs w:val="15"/>
                <w:color w:val="auto"/>
                <w:w w:val="89"/>
              </w:rPr>
              <w:t>0.50%</w:t>
            </w:r>
          </w:p>
        </w:tc>
      </w:tr>
    </w:tbl>
    <w:p>
      <w:pPr>
        <w:spacing w:after="0" w:line="164" w:lineRule="exact"/>
        <w:rPr>
          <w:sz w:val="20"/>
          <w:szCs w:val="20"/>
          <w:color w:val="auto"/>
        </w:rPr>
      </w:pPr>
    </w:p>
    <w:p>
      <w:pPr>
        <w:jc w:val="both"/>
        <w:ind w:firstLine="525"/>
        <w:spacing w:after="0" w:line="315" w:lineRule="auto"/>
        <w:rPr>
          <w:sz w:val="20"/>
          <w:szCs w:val="20"/>
          <w:color w:val="auto"/>
        </w:rPr>
      </w:pPr>
      <w:r>
        <w:rPr>
          <w:rFonts w:ascii="Arial" w:cs="Arial" w:eastAsia="Arial" w:hAnsi="Arial"/>
          <w:sz w:val="12"/>
          <w:szCs w:val="12"/>
          <w:color w:val="auto"/>
        </w:rPr>
        <w:t xml:space="preserve">Each change in the Applicable Percentage resulting from a change in the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at any time during which the U.S. Borrower has failed to deliver when due the financial statements required by Section 5.04(a) or (b) and the Compliance Certificate required by Section 5.04(c), respectively, the Leverage Ratio shall be deemed to be in Category 5 for purposes of determining the Applicable Percentage. Notwithstanding the foregoing, (x) from the Funding Date through but excluding the date of delivery to the Administrative Agent of financial statements required by Section 5.04(a) or (b) and the Compliance Certificate required by Section 5.04(c), respectively, the Leverage Ratio shall be deemed to be in Category 3 for purposes of determining the Applicable Percentage and (y) thereafter, the Applicable Percentage shall be based on the Leverage Ratio reflected in the most recently delivered financial statements required by Section 5.04(a) or (b) and the Compliance Certificate required by Section 5.04(c),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8" w:name="page59"/>
    <w:bookmarkEnd w:id="58"/>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Pro Rata Percentage</w:t>
      </w:r>
      <w:r>
        <w:rPr>
          <w:rFonts w:ascii="Arial" w:cs="Arial" w:eastAsia="Arial" w:hAnsi="Arial"/>
          <w:sz w:val="15"/>
          <w:szCs w:val="15"/>
          <w:color w:val="auto"/>
        </w:rPr>
        <w:t>” shall mean the Canadian Revolving Pro Rata Percentage, the Australian Revolving Pro Rate Percentage or the U.S. Applicable Pro Rata Percentage, as the context may require.</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Required Lenders</w:t>
      </w:r>
      <w:r>
        <w:rPr>
          <w:rFonts w:ascii="Arial" w:cs="Arial" w:eastAsia="Arial" w:hAnsi="Arial"/>
          <w:sz w:val="15"/>
          <w:szCs w:val="15"/>
          <w:color w:val="auto"/>
        </w:rPr>
        <w:t>” shall mean (a) the Required U.S. Revolving Lenders with respect to the U.S. Revolving Credit Facility, (b) the Required U.S. Term Lenders with respect to the U.S. Term Loan Facility, (c) the Required Canadian Lenders with respect to the Canadian Revolving Credit Facility or (d) the Required Australian Lenders with respect to the Australian Revolving Credit Facility.</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Applicable Swing Line Lender</w:t>
      </w:r>
      <w:r>
        <w:rPr>
          <w:rFonts w:ascii="Arial" w:cs="Arial" w:eastAsia="Arial" w:hAnsi="Arial"/>
          <w:sz w:val="15"/>
          <w:szCs w:val="15"/>
          <w:color w:val="auto"/>
        </w:rPr>
        <w:t>” shall mean (a) with respect to the U.S. Swing Line Sublimit, (i) the U.S. Swing Line Lender and (ii) if any U.S. Swing Line Loans are outstanding pursuant to Section 2.23(c), the U.S. Revolving Lenders and (b) with respect to the Canadian Swing Line Sublimit, (i) the Canadian Swing Line Lender and (ii) if any Canadian Swing Line Loans are outstanding pursuant to Section 2.23(c), the Canadian Lenders.</w:t>
      </w:r>
    </w:p>
    <w:p>
      <w:pPr>
        <w:spacing w:after="0" w:line="15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Approved Fund</w:t>
      </w:r>
      <w:r>
        <w:rPr>
          <w:rFonts w:ascii="Arial" w:cs="Arial" w:eastAsia="Arial" w:hAnsi="Arial"/>
          <w:sz w:val="15"/>
          <w:szCs w:val="15"/>
          <w:color w:val="auto"/>
        </w:rPr>
        <w:t>” shall mean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Asset Sale</w:t>
      </w:r>
      <w:r>
        <w:rPr>
          <w:rFonts w:ascii="Arial" w:cs="Arial" w:eastAsia="Arial" w:hAnsi="Arial"/>
          <w:sz w:val="15"/>
          <w:szCs w:val="15"/>
          <w:color w:val="auto"/>
        </w:rPr>
        <w:t xml:space="preserve">” shall mean the sale, transfer or other disposition (by way of merger, casualty, condemnation or otherwise) of any or all of the property of the U.S. Borrower or any of its Subsidiaries to any person other than the U.S. Borrower or any of its Subsidiaries (other than (a) Equity Interests in the U.S. Borrower or directors’ qualifying shares in any Subsidiary, (b) inventory, damaged, obsolete or worn out assets, scrap and Permitted Investments, in each case disposed of in the ordinary course of business, or (c) dispositions between or among Subsidiaries that are not Loan Parties)),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asset sale or series of related asset sales described above having a value not in excess of U.S.$1,000,000 shall be deemed not to be an “Asset Sale” for purposes of this Agreement.</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Assignee Group</w:t>
      </w:r>
      <w:r>
        <w:rPr>
          <w:rFonts w:ascii="Arial" w:cs="Arial" w:eastAsia="Arial" w:hAnsi="Arial"/>
          <w:sz w:val="14"/>
          <w:szCs w:val="14"/>
          <w:color w:val="auto"/>
        </w:rPr>
        <w:t>” shall mean two or more Eligible Assignees that are Affiliates of one another or two or more Approved Funds managed by the same investment advisor.</w:t>
      </w:r>
    </w:p>
    <w:p>
      <w:pPr>
        <w:spacing w:after="0" w:line="189"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Assignment and Acceptance</w:t>
      </w:r>
      <w:r>
        <w:rPr>
          <w:rFonts w:ascii="Arial" w:cs="Arial" w:eastAsia="Arial" w:hAnsi="Arial"/>
          <w:sz w:val="14"/>
          <w:szCs w:val="14"/>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Associate</w:t>
      </w:r>
      <w:r>
        <w:rPr>
          <w:rFonts w:ascii="Arial" w:cs="Arial" w:eastAsia="Arial" w:hAnsi="Arial"/>
          <w:sz w:val="15"/>
          <w:szCs w:val="15"/>
          <w:color w:val="auto"/>
        </w:rPr>
        <w:t>” shall mean an “associate” as defined in section 128F(9) of the Australian Tax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59" w:name="page60"/>
    <w:bookmarkEnd w:id="59"/>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Attorneys</w:t>
      </w:r>
      <w:r>
        <w:rPr>
          <w:rFonts w:ascii="Arial" w:cs="Arial" w:eastAsia="Arial" w:hAnsi="Arial"/>
          <w:sz w:val="15"/>
          <w:szCs w:val="15"/>
          <w:color w:val="auto"/>
        </w:rPr>
        <w:t>” shall have the meaning assigned to such term in Section 1.03(b).</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Collateral</w:t>
      </w:r>
      <w:r>
        <w:rPr>
          <w:rFonts w:ascii="Arial" w:cs="Arial" w:eastAsia="Arial" w:hAnsi="Arial"/>
          <w:sz w:val="15"/>
          <w:szCs w:val="15"/>
          <w:color w:val="auto"/>
        </w:rPr>
        <w:t>” shall mean all “Collateral” or “Secured Property” as defined in any Australian Security Document.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Commitment Fee</w:t>
      </w:r>
      <w:r>
        <w:rPr>
          <w:rFonts w:ascii="Arial" w:cs="Arial" w:eastAsia="Arial" w:hAnsi="Arial"/>
          <w:sz w:val="15"/>
          <w:szCs w:val="15"/>
          <w:color w:val="auto"/>
        </w:rPr>
        <w:t>” shall have the meaning assigned to such term in Section 2.05(a).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Corporations Act</w:t>
      </w:r>
      <w:r>
        <w:rPr>
          <w:rFonts w:ascii="Arial" w:cs="Arial" w:eastAsia="Arial" w:hAnsi="Arial"/>
          <w:sz w:val="15"/>
          <w:szCs w:val="15"/>
          <w:color w:val="auto"/>
        </w:rPr>
        <w:t xml:space="preserve">” shall mean the </w:t>
      </w:r>
      <w:r>
        <w:rPr>
          <w:rFonts w:ascii="Arial" w:cs="Arial" w:eastAsia="Arial" w:hAnsi="Arial"/>
          <w:sz w:val="15"/>
          <w:szCs w:val="15"/>
          <w:i w:val="1"/>
          <w:iCs w:val="1"/>
          <w:color w:val="auto"/>
        </w:rPr>
        <w:t>Corporations Act 2001</w:t>
      </w:r>
      <w:r>
        <w:rPr>
          <w:rFonts w:ascii="Arial" w:cs="Arial" w:eastAsia="Arial" w:hAnsi="Arial"/>
          <w:sz w:val="15"/>
          <w:szCs w:val="15"/>
          <w:color w:val="auto"/>
        </w:rPr>
        <w:t xml:space="preserve"> (Cth).</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Dollar Equivalent</w:t>
      </w:r>
      <w:r>
        <w:rPr>
          <w:rFonts w:ascii="Arial" w:cs="Arial" w:eastAsia="Arial" w:hAnsi="Arial"/>
          <w:sz w:val="15"/>
          <w:szCs w:val="15"/>
          <w:color w:val="auto"/>
        </w:rPr>
        <w:t>” shall mean, on any date of determination, with respect to any amount in U.S. dollars, the equivalent in Australian dollars of such amount, determined by the Administrative Agent using the Exchange Rate then in effect.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dollars</w:t>
      </w:r>
      <w:r>
        <w:rPr>
          <w:rFonts w:ascii="Arial" w:cs="Arial" w:eastAsia="Arial" w:hAnsi="Arial"/>
          <w:sz w:val="15"/>
          <w:szCs w:val="15"/>
          <w:color w:val="auto"/>
        </w:rPr>
        <w:t>”, “</w:t>
      </w:r>
      <w:r>
        <w:rPr>
          <w:rFonts w:ascii="Arial" w:cs="Arial" w:eastAsia="Arial" w:hAnsi="Arial"/>
          <w:sz w:val="15"/>
          <w:szCs w:val="15"/>
          <w:i w:val="1"/>
          <w:iCs w:val="1"/>
          <w:color w:val="auto"/>
        </w:rPr>
        <w:t>AUD</w:t>
      </w:r>
      <w:r>
        <w:rPr>
          <w:rFonts w:ascii="Arial" w:cs="Arial" w:eastAsia="Arial" w:hAnsi="Arial"/>
          <w:sz w:val="15"/>
          <w:szCs w:val="15"/>
          <w:color w:val="auto"/>
        </w:rPr>
        <w:t>” and “</w:t>
      </w:r>
      <w:r>
        <w:rPr>
          <w:rFonts w:ascii="Arial" w:cs="Arial" w:eastAsia="Arial" w:hAnsi="Arial"/>
          <w:sz w:val="15"/>
          <w:szCs w:val="15"/>
          <w:i w:val="1"/>
          <w:iCs w:val="1"/>
          <w:color w:val="auto"/>
        </w:rPr>
        <w:t>AUD$</w:t>
      </w:r>
      <w:r>
        <w:rPr>
          <w:rFonts w:ascii="Arial" w:cs="Arial" w:eastAsia="Arial" w:hAnsi="Arial"/>
          <w:sz w:val="15"/>
          <w:szCs w:val="15"/>
          <w:color w:val="auto"/>
        </w:rPr>
        <w:t>” shall mean the lawful money of the Commonwealth of Australia.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GAAP</w:t>
      </w:r>
      <w:r>
        <w:rPr>
          <w:rFonts w:ascii="Arial" w:cs="Arial" w:eastAsia="Arial" w:hAnsi="Arial"/>
          <w:sz w:val="15"/>
          <w:szCs w:val="15"/>
          <w:color w:val="auto"/>
        </w:rPr>
        <w:t>” shall mean generally accepted accounting principles, standards and practices in Australia.</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Guarantee Agreement</w:t>
      </w:r>
      <w:r>
        <w:rPr>
          <w:rFonts w:ascii="Arial" w:cs="Arial" w:eastAsia="Arial" w:hAnsi="Arial"/>
          <w:sz w:val="15"/>
          <w:szCs w:val="15"/>
          <w:color w:val="auto"/>
        </w:rPr>
        <w:t>” shall mean the Australian Guarantee Agreement, substantially in the form of Exhibit C-1, in favor of the Australian Collateral Agent, for the benefit of the Australian Secured Parties and the Canadian Secured Parties.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GST</w:t>
      </w:r>
      <w:r>
        <w:rPr>
          <w:rFonts w:ascii="Arial" w:cs="Arial" w:eastAsia="Arial" w:hAnsi="Arial"/>
          <w:sz w:val="15"/>
          <w:szCs w:val="15"/>
          <w:color w:val="auto"/>
        </w:rPr>
        <w:t xml:space="preserve">” has the meaning given in </w:t>
      </w:r>
      <w:r>
        <w:rPr>
          <w:rFonts w:ascii="Arial" w:cs="Arial" w:eastAsia="Arial" w:hAnsi="Arial"/>
          <w:sz w:val="15"/>
          <w:szCs w:val="15"/>
          <w:i w:val="1"/>
          <w:iCs w:val="1"/>
          <w:color w:val="auto"/>
        </w:rPr>
        <w:t>A New Tax System (Goods and Services Tax) Act 1999 (Cth)</w:t>
      </w:r>
      <w:r>
        <w:rPr>
          <w:rFonts w:ascii="Arial" w:cs="Arial" w:eastAsia="Arial" w:hAnsi="Arial"/>
          <w:sz w:val="15"/>
          <w:szCs w:val="15"/>
          <w:color w:val="auto"/>
        </w:rPr>
        <w:t>.</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Holdco</w:t>
      </w:r>
      <w:r>
        <w:rPr>
          <w:rFonts w:ascii="Arial" w:cs="Arial" w:eastAsia="Arial" w:hAnsi="Arial"/>
          <w:sz w:val="15"/>
          <w:szCs w:val="15"/>
          <w:color w:val="auto"/>
        </w:rPr>
        <w:t>” shall mean PTI Holding Company 2 Pty Limited, a proprietary limited company organized and existing under the laws of Australia, and the direct owner of 100% of the Equity Interests of the Australian Borrower.</w:t>
      </w:r>
    </w:p>
    <w:p>
      <w:pPr>
        <w:spacing w:after="0" w:line="152"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Land Access Agreement</w:t>
      </w:r>
      <w:r>
        <w:rPr>
          <w:rFonts w:ascii="Arial" w:cs="Arial" w:eastAsia="Arial" w:hAnsi="Arial"/>
          <w:sz w:val="15"/>
          <w:szCs w:val="15"/>
          <w:color w:val="auto"/>
        </w:rPr>
        <w:t>” means a land access and use agreement between (a) an Affiliate Australian Land Company, the Australian Collateral Agent and, where the land the subject of such agreement is not owned by an Affiliate Australian Land Company, the registered proprietor of that land or (b) for an Australian Third Party Lease, the relevant Australian Loan Party, relevant Affiliate Australian Land Company, if applicable, and the registered proprietor of the land the subject of that Australian Third Party Lease, in each case, in form reasonably satisfactory to the Australian Collateral Agent, that includes (among other matters) provisions consenting to the creation of the Liens under the Security Documents and enforcement of rights under the Security Documents.</w:t>
      </w:r>
    </w:p>
    <w:p>
      <w:pPr>
        <w:spacing w:after="0" w:line="16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L/C Exposure</w:t>
      </w:r>
      <w:r>
        <w:rPr>
          <w:rFonts w:ascii="Arial" w:cs="Arial" w:eastAsia="Arial" w:hAnsi="Arial"/>
          <w:sz w:val="15"/>
          <w:szCs w:val="15"/>
          <w:color w:val="auto"/>
        </w:rPr>
        <w:t xml:space="preserve">” shall mean at any time the sum of (a) the aggregate undrawn amount of all outstanding Australian Letters of Credit at such time </w:t>
      </w:r>
      <w:r>
        <w:rPr>
          <w:rFonts w:ascii="Arial" w:cs="Arial" w:eastAsia="Arial" w:hAnsi="Arial"/>
          <w:sz w:val="15"/>
          <w:szCs w:val="15"/>
          <w:i w:val="1"/>
          <w:iCs w:val="1"/>
          <w:color w:val="auto"/>
        </w:rPr>
        <w:t>plus</w:t>
      </w:r>
      <w:r>
        <w:rPr>
          <w:rFonts w:ascii="Arial" w:cs="Arial" w:eastAsia="Arial" w:hAnsi="Arial"/>
          <w:sz w:val="15"/>
          <w:szCs w:val="15"/>
          <w:color w:val="auto"/>
        </w:rPr>
        <w:t xml:space="preserve">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0" w:name="page61"/>
    <w:bookmarkEnd w:id="60"/>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L/C Participation Fee</w:t>
      </w:r>
      <w:r>
        <w:rPr>
          <w:rFonts w:ascii="Arial" w:cs="Arial" w:eastAsia="Arial" w:hAnsi="Arial"/>
          <w:sz w:val="15"/>
          <w:szCs w:val="15"/>
          <w:color w:val="auto"/>
        </w:rPr>
        <w:t>” shall have the meaning assigned to such term in Section 2.05(c).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Australian Lenders</w:t>
      </w:r>
      <w:r>
        <w:rPr>
          <w:rFonts w:ascii="Arial" w:cs="Arial" w:eastAsia="Arial" w:hAnsi="Arial"/>
          <w:sz w:val="12"/>
          <w:szCs w:val="12"/>
          <w:color w:val="auto"/>
        </w:rPr>
        <w:t>” shall mean Lenders having Australian Revolving Commitments, outstanding Australian Revolving Credit Loans or participations in Australian Letters of Credit.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Loan Parties</w:t>
      </w:r>
      <w:r>
        <w:rPr>
          <w:rFonts w:ascii="Arial" w:cs="Arial" w:eastAsia="Arial" w:hAnsi="Arial"/>
          <w:sz w:val="15"/>
          <w:szCs w:val="15"/>
          <w:color w:val="auto"/>
        </w:rPr>
        <w:t>” shall mean the Australian Borrower and the Australian Subsidiary Guarantors.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Revolving Borrowing</w:t>
      </w:r>
      <w:r>
        <w:rPr>
          <w:rFonts w:ascii="Arial" w:cs="Arial" w:eastAsia="Arial" w:hAnsi="Arial"/>
          <w:sz w:val="15"/>
          <w:szCs w:val="15"/>
          <w:color w:val="auto"/>
        </w:rPr>
        <w:t>” shall mean a group of Australian Revolving Credit Loans of a single Type made, converted or continued by the Australian Lenders on a single date and as to which a single Interest Period is in effect.</w:t>
      </w:r>
    </w:p>
    <w:p>
      <w:pPr>
        <w:spacing w:after="0" w:line="152"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Australian Revolving Commitment</w:t>
      </w:r>
      <w:r>
        <w:rPr>
          <w:rFonts w:ascii="Arial" w:cs="Arial" w:eastAsia="Arial" w:hAnsi="Arial"/>
          <w:sz w:val="12"/>
          <w:szCs w:val="12"/>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reduced from time to time pursuant to Section 2.09 and (ii) reduced or increased from time to time pursuant to assignments by or to such Australian Lender pursuant to Section 9.04. The aggregate amount of the Australian Revolving Commitments as of the Closing Date is U.S.$100,000,000.</w:t>
      </w:r>
    </w:p>
    <w:p>
      <w:pPr>
        <w:spacing w:after="0" w:line="118"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Revolving Credit Exposure</w:t>
      </w:r>
      <w:r>
        <w:rPr>
          <w:rFonts w:ascii="Arial" w:cs="Arial" w:eastAsia="Arial" w:hAnsi="Arial"/>
          <w:sz w:val="15"/>
          <w:szCs w:val="15"/>
          <w:color w:val="auto"/>
        </w:rPr>
        <w:t xml:space="preserve">” shall mean, with respect to any Australian Lender at any time, the aggregate principal amount at such time of all outstanding Australian Revolving Credit Loans of such Lender denominated in U.S. dollars,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U.S. Dollar Equivalent of the aggregate principal amount at such time of all outstanding Australian Revolving Credit Loans of such Australian Lender denominated in Australian dollars,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U.S. Dollar Equivalent of the aggregate amount at such time of such Australian Lender’s Australian Revolving Pro Rata Percentage of the Australian L/C Exposure.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Revolving Credit Facility</w:t>
      </w:r>
      <w:r>
        <w:rPr>
          <w:rFonts w:ascii="Arial" w:cs="Arial" w:eastAsia="Arial" w:hAnsi="Arial"/>
          <w:sz w:val="15"/>
          <w:szCs w:val="15"/>
          <w:color w:val="auto"/>
        </w:rPr>
        <w:t>” shall mean at any time the aggregate amount of the Australian Revolving Commitments of the Australian Lenders at such time.</w:t>
      </w:r>
    </w:p>
    <w:p>
      <w:pPr>
        <w:spacing w:after="0" w:line="177" w:lineRule="exact"/>
        <w:rPr>
          <w:sz w:val="20"/>
          <w:szCs w:val="20"/>
          <w:color w:val="auto"/>
        </w:rPr>
      </w:pPr>
    </w:p>
    <w:p>
      <w:pPr>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Australian Revolving Credit Loans”</w:t>
      </w:r>
      <w:r>
        <w:rPr>
          <w:rFonts w:ascii="Arial" w:cs="Arial" w:eastAsia="Arial" w:hAnsi="Arial"/>
          <w:sz w:val="12"/>
          <w:szCs w:val="12"/>
          <w:color w:val="auto"/>
        </w:rPr>
        <w:t xml:space="preserve">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shall be a BBSY Rate Loan.</w:t>
      </w:r>
    </w:p>
    <w:p>
      <w:pPr>
        <w:spacing w:after="0" w:line="84"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Australian Revolving Pro Rata Percentage</w:t>
      </w:r>
      <w:r>
        <w:rPr>
          <w:rFonts w:ascii="Arial" w:cs="Arial" w:eastAsia="Arial" w:hAnsi="Arial"/>
          <w:sz w:val="12"/>
          <w:szCs w:val="12"/>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Australian Revolving Commitments have terminated, the Australian Pro Rata Percentages of the Australian Lenders shall be determined based upon the Australian Revolving Commitments most recently in effect, giving effect to any assignments.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1" w:name="page62"/>
    <w:bookmarkEnd w:id="61"/>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Secured Parties</w:t>
      </w:r>
      <w:r>
        <w:rPr>
          <w:rFonts w:ascii="Arial" w:cs="Arial" w:eastAsia="Arial" w:hAnsi="Arial"/>
          <w:sz w:val="15"/>
          <w:szCs w:val="15"/>
          <w:color w:val="auto"/>
        </w:rPr>
        <w:t>” shall have the meaning assigned to such term in the Australian Security Deed.</w:t>
      </w:r>
    </w:p>
    <w:p>
      <w:pPr>
        <w:spacing w:after="0" w:line="177"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Australian Security Deed</w:t>
      </w:r>
      <w:r>
        <w:rPr>
          <w:rFonts w:ascii="Arial" w:cs="Arial" w:eastAsia="Arial" w:hAnsi="Arial"/>
          <w:sz w:val="12"/>
          <w:szCs w:val="12"/>
          <w:color w:val="auto"/>
        </w:rPr>
        <w:t>” shall mean the Australian General Security Deed governed by the laws of New South Wales, Australia, substantially in the form of Exhibit E-1, among the Australian Borrower and the Australian Subsidiary Guarantors, as grantors, and the Australian Collateral Agent for the benefit of the Australian Secured Parties and the Canadian Secured Parties.</w:t>
      </w:r>
    </w:p>
    <w:p>
      <w:pPr>
        <w:spacing w:after="0" w:line="84"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Security Documents</w:t>
      </w:r>
      <w:r>
        <w:rPr>
          <w:rFonts w:ascii="Arial" w:cs="Arial" w:eastAsia="Arial" w:hAnsi="Arial"/>
          <w:sz w:val="15"/>
          <w:szCs w:val="15"/>
          <w:color w:val="auto"/>
        </w:rPr>
        <w:t>” shall mean Australian Security Deed, the Australian Security Trust Deed and each other Security Document to which the Australian Borrower, any Australian Subsidiary Guarantor or any subsidiary of the Australian Borrower is a party and that purports to grant a Lien in the assets of any such person in favor of the Australian Collateral Agent for the benefit of the Australian Secured Parties.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Security Trust Deed</w:t>
      </w:r>
      <w:r>
        <w:rPr>
          <w:rFonts w:ascii="Arial" w:cs="Arial" w:eastAsia="Arial" w:hAnsi="Arial"/>
          <w:sz w:val="15"/>
          <w:szCs w:val="15"/>
          <w:color w:val="auto"/>
        </w:rPr>
        <w:t>” shall mean the security trust deed granted by the Australian Collateral Agent, as security trustee.</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Share Security Deed</w:t>
      </w:r>
      <w:r>
        <w:rPr>
          <w:rFonts w:ascii="Arial" w:cs="Arial" w:eastAsia="Arial" w:hAnsi="Arial"/>
          <w:sz w:val="15"/>
          <w:szCs w:val="15"/>
          <w:color w:val="auto"/>
        </w:rPr>
        <w:t>” shall mean the Australian Specific Security Deed governed by the laws of New South Wales, Australia, substantially in the form of Exhibit D-1, among the Australian Holdco as grantor and the Australian Collateral Agent for the benefit of the Australian Secured Parties and the Canadian Secured Parties.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Subsidiaries</w:t>
      </w:r>
      <w:r>
        <w:rPr>
          <w:rFonts w:ascii="Arial" w:cs="Arial" w:eastAsia="Arial" w:hAnsi="Arial"/>
          <w:sz w:val="15"/>
          <w:szCs w:val="15"/>
          <w:color w:val="auto"/>
        </w:rPr>
        <w:t>” shall mean the Subsidiaries (other than the Australian Borrower) organized under the laws of the Commonwealth of Australia or any state, territory or other political subdivision thereof.</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Subsidiary Guarantor</w:t>
      </w:r>
      <w:r>
        <w:rPr>
          <w:rFonts w:ascii="Arial" w:cs="Arial" w:eastAsia="Arial" w:hAnsi="Arial"/>
          <w:sz w:val="15"/>
          <w:szCs w:val="15"/>
          <w:color w:val="auto"/>
        </w:rPr>
        <w:t>” shall mean each Australia Subsidiary listed on Schedule 1.01(b), and each other Australian Subsidiary that is or becomes a party to the Australian Guarantee Agreement.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Tax Act</w:t>
      </w:r>
      <w:r>
        <w:rPr>
          <w:rFonts w:ascii="Arial" w:cs="Arial" w:eastAsia="Arial" w:hAnsi="Arial"/>
          <w:sz w:val="15"/>
          <w:szCs w:val="15"/>
          <w:color w:val="auto"/>
        </w:rPr>
        <w:t>” shall mean the Income Tax Assessment Act 1936 (Cth) (Australia) or the Income Tax Assessment Act 1997 (Cth) (Australia) as applicable.</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Third Party Leases</w:t>
      </w:r>
      <w:r>
        <w:rPr>
          <w:rFonts w:ascii="Arial" w:cs="Arial" w:eastAsia="Arial" w:hAnsi="Arial"/>
          <w:sz w:val="15"/>
          <w:szCs w:val="15"/>
          <w:color w:val="auto"/>
        </w:rPr>
        <w:t>” shall mean (a) leasehold property or interest of an Australian Loan Party of land as to which an Affiliate Australian Land Company is not the registered proprietor of such land and (b) leasehold property or interest of an Affiliate Australian Land Company of land as to which an Australian Loan Party also has rights through a sublease, license or other agreement with such Affiliate Australian Land Company.</w:t>
      </w:r>
    </w:p>
    <w:p>
      <w:pPr>
        <w:spacing w:after="0" w:line="15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Australian Withholding Tax</w:t>
      </w:r>
      <w:r>
        <w:rPr>
          <w:rFonts w:ascii="Arial" w:cs="Arial" w:eastAsia="Arial" w:hAnsi="Arial"/>
          <w:sz w:val="15"/>
          <w:szCs w:val="15"/>
          <w:color w:val="auto"/>
        </w:rPr>
        <w:t xml:space="preserve">” shall mean any Australian Tax required to be withheld or deducted from any interest or other payment under Division 11A of Part III of the Tax Act or Subdivision 12-F of Schedule 1 to the </w:t>
      </w:r>
      <w:r>
        <w:rPr>
          <w:rFonts w:ascii="Arial" w:cs="Arial" w:eastAsia="Arial" w:hAnsi="Arial"/>
          <w:sz w:val="15"/>
          <w:szCs w:val="15"/>
          <w:i w:val="1"/>
          <w:iCs w:val="1"/>
          <w:color w:val="auto"/>
        </w:rPr>
        <w:t>Taxation Administration Act 1953</w:t>
      </w:r>
      <w:r>
        <w:rPr>
          <w:rFonts w:ascii="Arial" w:cs="Arial" w:eastAsia="Arial" w:hAnsi="Arial"/>
          <w:sz w:val="15"/>
          <w:szCs w:val="15"/>
          <w:color w:val="auto"/>
        </w:rPr>
        <w:t xml:space="preserve"> (Commonwealth of Australia).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2" w:name="page63"/>
    <w:bookmarkEnd w:id="62"/>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AutoBorrow Agreement</w:t>
      </w:r>
      <w:r>
        <w:rPr>
          <w:rFonts w:ascii="Arial" w:cs="Arial" w:eastAsia="Arial" w:hAnsi="Arial"/>
          <w:sz w:val="15"/>
          <w:szCs w:val="15"/>
          <w:color w:val="auto"/>
        </w:rPr>
        <w:t>” shall mean any agreement providing for automatic borrowing services between a Loan Party and a Swing Line Lender.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 Discount Rate</w:t>
      </w:r>
      <w:r>
        <w:rPr>
          <w:rFonts w:ascii="Arial" w:cs="Arial" w:eastAsia="Arial" w:hAnsi="Arial"/>
          <w:sz w:val="15"/>
          <w:szCs w:val="15"/>
          <w:color w:val="auto"/>
        </w:rPr>
        <w:t>” shall mean:</w:t>
      </w:r>
    </w:p>
    <w:p>
      <w:pPr>
        <w:spacing w:after="0" w:line="177" w:lineRule="exact"/>
        <w:rPr>
          <w:sz w:val="20"/>
          <w:szCs w:val="20"/>
          <w:color w:val="auto"/>
        </w:rPr>
      </w:pPr>
    </w:p>
    <w:p>
      <w:pPr>
        <w:ind w:firstLine="532"/>
        <w:spacing w:after="0" w:line="259" w:lineRule="auto"/>
        <w:tabs>
          <w:tab w:leader="none" w:pos="928"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with respect to an issue of Bankers’ Acceptances having the same Contract Period accepted by a Lender that is a Canadian chartered bank listed on Schedule I of the </w:t>
      </w:r>
      <w:r>
        <w:rPr>
          <w:rFonts w:ascii="Arial" w:cs="Arial" w:eastAsia="Arial" w:hAnsi="Arial"/>
          <w:sz w:val="15"/>
          <w:szCs w:val="15"/>
          <w:i w:val="1"/>
          <w:iCs w:val="1"/>
          <w:color w:val="auto"/>
        </w:rPr>
        <w:t>Bank Act</w:t>
      </w:r>
      <w:r>
        <w:rPr>
          <w:rFonts w:ascii="Arial" w:cs="Arial" w:eastAsia="Arial" w:hAnsi="Arial"/>
          <w:sz w:val="15"/>
          <w:szCs w:val="15"/>
          <w:color w:val="auto"/>
        </w:rPr>
        <w:t xml:space="preserve"> (Canada), the CDOR Rate; and</w:t>
      </w:r>
    </w:p>
    <w:p>
      <w:pPr>
        <w:spacing w:after="0" w:line="152" w:lineRule="exact"/>
        <w:rPr>
          <w:rFonts w:ascii="Arial" w:cs="Arial" w:eastAsia="Arial" w:hAnsi="Arial"/>
          <w:sz w:val="15"/>
          <w:szCs w:val="15"/>
          <w:color w:val="auto"/>
        </w:rPr>
      </w:pPr>
    </w:p>
    <w:p>
      <w:pPr>
        <w:ind w:firstLine="532"/>
        <w:spacing w:after="0" w:line="259" w:lineRule="auto"/>
        <w:tabs>
          <w:tab w:leader="none" w:pos="912"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with respect to an issue of Bankers’ Acceptances having the same Contract Period accepted by a Lender that is not a bank under Schedule I to the </w:t>
      </w:r>
      <w:r>
        <w:rPr>
          <w:rFonts w:ascii="Arial" w:cs="Arial" w:eastAsia="Arial" w:hAnsi="Arial"/>
          <w:sz w:val="15"/>
          <w:szCs w:val="15"/>
          <w:i w:val="1"/>
          <w:iCs w:val="1"/>
          <w:color w:val="auto"/>
        </w:rPr>
        <w:t>Bank Act</w:t>
      </w:r>
      <w:r>
        <w:rPr>
          <w:rFonts w:ascii="Arial" w:cs="Arial" w:eastAsia="Arial" w:hAnsi="Arial"/>
          <w:sz w:val="15"/>
          <w:szCs w:val="15"/>
          <w:color w:val="auto"/>
        </w:rPr>
        <w:t xml:space="preserve"> (Canada), the CDOR Rate plus 0.10%;</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the B/A Discount Rate for purposes of this Agreement shall at no time be less than 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 Equivalent Loan</w:t>
      </w:r>
      <w:r>
        <w:rPr>
          <w:rFonts w:ascii="Arial" w:cs="Arial" w:eastAsia="Arial" w:hAnsi="Arial"/>
          <w:sz w:val="15"/>
          <w:szCs w:val="15"/>
          <w:color w:val="auto"/>
        </w:rPr>
        <w:t>” shall have the meaning assigned to such term in Section 2.22(h).</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 Loan</w:t>
      </w:r>
      <w:r>
        <w:rPr>
          <w:rFonts w:ascii="Arial" w:cs="Arial" w:eastAsia="Arial" w:hAnsi="Arial"/>
          <w:sz w:val="15"/>
          <w:szCs w:val="15"/>
          <w:color w:val="auto"/>
        </w:rPr>
        <w:t xml:space="preserve">” shall mean a Borrowing comprised of one or more Bankers’ Acceptances or, as applicable, B/A Equivalent Loans. For greater certainty, all provisions of this Agreement that are applicable to Bankers’ Acceptances are also applicable, </w:t>
      </w:r>
      <w:r>
        <w:rPr>
          <w:rFonts w:ascii="Arial" w:cs="Arial" w:eastAsia="Arial" w:hAnsi="Arial"/>
          <w:sz w:val="15"/>
          <w:szCs w:val="15"/>
          <w:i w:val="1"/>
          <w:iCs w:val="1"/>
          <w:color w:val="auto"/>
        </w:rPr>
        <w:t>mutatis mutandis</w:t>
      </w:r>
      <w:r>
        <w:rPr>
          <w:rFonts w:ascii="Arial" w:cs="Arial" w:eastAsia="Arial" w:hAnsi="Arial"/>
          <w:sz w:val="15"/>
          <w:szCs w:val="15"/>
          <w:color w:val="auto"/>
        </w:rPr>
        <w:t>, to B/A Equivalent Loans.</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Bankers</w:t>
      </w:r>
      <w:r>
        <w:rPr>
          <w:rFonts w:ascii="Arial" w:cs="Arial" w:eastAsia="Arial" w:hAnsi="Arial"/>
          <w:sz w:val="15"/>
          <w:szCs w:val="15"/>
          <w:color w:val="auto"/>
        </w:rPr>
        <w:t xml:space="preserve">’ </w:t>
      </w:r>
      <w:r>
        <w:rPr>
          <w:rFonts w:ascii="Arial" w:cs="Arial" w:eastAsia="Arial" w:hAnsi="Arial"/>
          <w:sz w:val="15"/>
          <w:szCs w:val="15"/>
          <w:i w:val="1"/>
          <w:iCs w:val="1"/>
          <w:color w:val="auto"/>
        </w:rPr>
        <w:t>Acceptance</w:t>
      </w:r>
      <w:r>
        <w:rPr>
          <w:rFonts w:ascii="Arial" w:cs="Arial" w:eastAsia="Arial" w:hAnsi="Arial"/>
          <w:sz w:val="15"/>
          <w:szCs w:val="15"/>
          <w:color w:val="auto"/>
        </w:rPr>
        <w:t>” and “</w:t>
      </w:r>
      <w:r>
        <w:rPr>
          <w:rFonts w:ascii="Arial" w:cs="Arial" w:eastAsia="Arial" w:hAnsi="Arial"/>
          <w:sz w:val="15"/>
          <w:szCs w:val="15"/>
          <w:i w:val="1"/>
          <w:iCs w:val="1"/>
          <w:color w:val="auto"/>
        </w:rPr>
        <w:t>B/A</w:t>
      </w:r>
      <w:r>
        <w:rPr>
          <w:rFonts w:ascii="Arial" w:cs="Arial" w:eastAsia="Arial" w:hAnsi="Arial"/>
          <w:sz w:val="15"/>
          <w:szCs w:val="15"/>
          <w:color w:val="auto"/>
        </w:rPr>
        <w:t xml:space="preserve">” shall mean a non-interest bearing draft denominated in Canadian dollars, drawn by a Canadian Borrower, and accepted by a Canadian Lender in accordance with this Agreement, and may include a depository note within the meaning of the </w:t>
      </w:r>
      <w:r>
        <w:rPr>
          <w:rFonts w:ascii="Arial" w:cs="Arial" w:eastAsia="Arial" w:hAnsi="Arial"/>
          <w:sz w:val="15"/>
          <w:szCs w:val="15"/>
          <w:i w:val="1"/>
          <w:iCs w:val="1"/>
          <w:color w:val="auto"/>
        </w:rPr>
        <w:t>Depository Bills and Notes Act</w:t>
      </w:r>
      <w:r>
        <w:rPr>
          <w:rFonts w:ascii="Arial" w:cs="Arial" w:eastAsia="Arial" w:hAnsi="Arial"/>
          <w:sz w:val="15"/>
          <w:szCs w:val="15"/>
          <w:color w:val="auto"/>
        </w:rPr>
        <w:t xml:space="preserve"> (Canada) and a bill of exchange within the meaning of the </w:t>
      </w:r>
      <w:r>
        <w:rPr>
          <w:rFonts w:ascii="Arial" w:cs="Arial" w:eastAsia="Arial" w:hAnsi="Arial"/>
          <w:sz w:val="15"/>
          <w:szCs w:val="15"/>
          <w:i w:val="1"/>
          <w:iCs w:val="1"/>
          <w:color w:val="auto"/>
        </w:rPr>
        <w:t>Bills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(Canada).</w:t>
      </w:r>
    </w:p>
    <w:p>
      <w:pPr>
        <w:spacing w:after="0" w:line="15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Banking Services</w:t>
      </w:r>
      <w:r>
        <w:rPr>
          <w:rFonts w:ascii="Arial" w:cs="Arial" w:eastAsia="Arial" w:hAnsi="Arial"/>
          <w:sz w:val="15"/>
          <w:szCs w:val="15"/>
          <w:color w:val="auto"/>
        </w:rPr>
        <w:t>” shall mean each and any of the following bank services provided to the U.S.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58"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Banking Services Obligations</w:t>
      </w:r>
      <w:r>
        <w:rPr>
          <w:rFonts w:ascii="Arial" w:cs="Arial" w:eastAsia="Arial" w:hAnsi="Arial"/>
          <w:sz w:val="14"/>
          <w:szCs w:val="14"/>
          <w:color w:val="auto"/>
        </w:rPr>
        <w:t>” shall mean any and all obligations of the U.S.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30"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BBSY Rate</w:t>
      </w:r>
      <w:r>
        <w:rPr>
          <w:rFonts w:ascii="Arial" w:cs="Arial" w:eastAsia="Arial" w:hAnsi="Arial"/>
          <w:sz w:val="12"/>
          <w:szCs w:val="12"/>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w:t>
      </w:r>
    </w:p>
    <w:p>
      <w:pPr>
        <w:spacing w:after="0" w:line="1" w:lineRule="exact"/>
        <w:rPr>
          <w:sz w:val="20"/>
          <w:szCs w:val="20"/>
          <w:color w:val="auto"/>
        </w:rPr>
      </w:pPr>
    </w:p>
    <w:p>
      <w:pPr>
        <w:jc w:val="both"/>
        <w:ind w:firstLine="7"/>
        <w:spacing w:after="0" w:line="265" w:lineRule="auto"/>
        <w:tabs>
          <w:tab w:leader="none" w:pos="20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3" w:name="page64"/>
    <w:bookmarkEnd w:id="63"/>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Board</w:t>
      </w:r>
      <w:r>
        <w:rPr>
          <w:rFonts w:ascii="Arial" w:cs="Arial" w:eastAsia="Arial" w:hAnsi="Arial"/>
          <w:sz w:val="15"/>
          <w:szCs w:val="15"/>
          <w:color w:val="auto"/>
        </w:rPr>
        <w:t>” shall mean the Board of Governors of the Federal Reserve System of the United States of America.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Borrower Materials</w:t>
      </w:r>
      <w:r>
        <w:rPr>
          <w:rFonts w:ascii="Arial" w:cs="Arial" w:eastAsia="Arial" w:hAnsi="Arial"/>
          <w:sz w:val="15"/>
          <w:szCs w:val="15"/>
          <w:color w:val="auto"/>
        </w:rPr>
        <w:t>” shall have the meaning assigned to such term in Section 5.04.</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Borrowing</w:t>
      </w:r>
      <w:r>
        <w:rPr>
          <w:rFonts w:ascii="Arial" w:cs="Arial" w:eastAsia="Arial" w:hAnsi="Arial"/>
          <w:sz w:val="14"/>
          <w:szCs w:val="14"/>
          <w:color w:val="auto"/>
        </w:rPr>
        <w:t>” shall mean a Canadian Revolving Borrowing, an Australian Revolving Borrowing, a U.S. Revolving Borrowing, a U.S. Term Borrowing or a Swing Line Borrowing.</w:t>
      </w:r>
    </w:p>
    <w:p>
      <w:pPr>
        <w:spacing w:after="0" w:line="189"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Borrowing Request</w:t>
      </w:r>
      <w:r>
        <w:rPr>
          <w:rFonts w:ascii="Arial" w:cs="Arial" w:eastAsia="Arial" w:hAnsi="Arial"/>
          <w:sz w:val="15"/>
          <w:szCs w:val="15"/>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Breakage Event</w:t>
      </w:r>
      <w:r>
        <w:rPr>
          <w:rFonts w:ascii="Arial" w:cs="Arial" w:eastAsia="Arial" w:hAnsi="Arial"/>
          <w:sz w:val="15"/>
          <w:szCs w:val="15"/>
          <w:color w:val="auto"/>
        </w:rPr>
        <w:t>” shall have the meaning assigned to such term in Section 2.15.</w:t>
      </w:r>
    </w:p>
    <w:p>
      <w:pPr>
        <w:spacing w:after="0" w:line="177"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 Day</w:t>
      </w:r>
      <w:r>
        <w:rPr>
          <w:rFonts w:ascii="Arial" w:cs="Arial" w:eastAsia="Arial" w:hAnsi="Arial"/>
          <w:sz w:val="14"/>
          <w:szCs w:val="14"/>
          <w:color w:val="auto"/>
        </w:rPr>
        <w:t xml:space="preserve">” shall mean (a) when used in connection with a Loan, Letter of Credit or payment denominated in U.S. dollars, any day other than a Saturday, Sunday or any day on which banks in Houston and New York City are authorized or required by law to close;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when used in connection with a Eurocurrency Loan, the term “Business Day” shall also exclude any day on which banks are not open for dealings in deposits in U.S. dollars in the London interbank market, (b) when used in connection with a Canadian Revolving Credit Loan, Canadian Letter of Credit or payment denominated in Canadian dollars or U.S. dollars under the Canadian Revolving Credit Facility, any day other than a Saturday, Sunday or any day on which banks in Toronto, Ontario and Calgary, Alberta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Alternate Currency and on which the relevant office of the Applicable Issuing Bank is not authorized or required by law to close.</w:t>
      </w:r>
    </w:p>
    <w:p>
      <w:pPr>
        <w:spacing w:after="0" w:line="155"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Benefit Plans</w:t>
      </w:r>
      <w:r>
        <w:rPr>
          <w:rFonts w:ascii="Arial" w:cs="Arial" w:eastAsia="Arial" w:hAnsi="Arial"/>
          <w:sz w:val="15"/>
          <w:szCs w:val="15"/>
          <w:color w:val="auto"/>
        </w:rPr>
        <w:t>” shall mean all employee benefit plans of any nature or kind whatsoever that are not Canadian Pension Plans and are maintained or contributed to by the Canadian Parent or any of the Canadian Subsidiaries, in each case covering employees in Canada.</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Collateral</w:t>
      </w:r>
      <w:r>
        <w:rPr>
          <w:rFonts w:ascii="Arial" w:cs="Arial" w:eastAsia="Arial" w:hAnsi="Arial"/>
          <w:sz w:val="15"/>
          <w:szCs w:val="15"/>
          <w:color w:val="auto"/>
        </w:rPr>
        <w:t>” shall mean all “Collateral” as defined in any Canadian Security Document.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4" w:name="page65"/>
    <w:bookmarkEnd w:id="64"/>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Commitment Fee</w:t>
      </w:r>
      <w:r>
        <w:rPr>
          <w:rFonts w:ascii="Arial" w:cs="Arial" w:eastAsia="Arial" w:hAnsi="Arial"/>
          <w:sz w:val="15"/>
          <w:szCs w:val="15"/>
          <w:color w:val="auto"/>
        </w:rPr>
        <w:t>” shall have the meaning assigned to such term in Section 2.05(a).</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Dollar Equivalent</w:t>
      </w:r>
      <w:r>
        <w:rPr>
          <w:rFonts w:ascii="Arial" w:cs="Arial" w:eastAsia="Arial" w:hAnsi="Arial"/>
          <w:sz w:val="15"/>
          <w:szCs w:val="15"/>
          <w:color w:val="auto"/>
        </w:rPr>
        <w:t>” shall mean, on any date of determination, with respect to any amount in U.S. dollars, the equivalent in Canadian dollars of such amount, determined by the Administrative Agent using the Exchange Rate then in effect.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dollars</w:t>
      </w:r>
      <w:r>
        <w:rPr>
          <w:rFonts w:ascii="Arial" w:cs="Arial" w:eastAsia="Arial" w:hAnsi="Arial"/>
          <w:sz w:val="15"/>
          <w:szCs w:val="15"/>
          <w:color w:val="auto"/>
        </w:rPr>
        <w:t>” and “</w:t>
      </w:r>
      <w:r>
        <w:rPr>
          <w:rFonts w:ascii="Arial" w:cs="Arial" w:eastAsia="Arial" w:hAnsi="Arial"/>
          <w:sz w:val="15"/>
          <w:szCs w:val="15"/>
          <w:i w:val="1"/>
          <w:iCs w:val="1"/>
          <w:color w:val="auto"/>
        </w:rPr>
        <w:t>C$</w:t>
      </w:r>
      <w:r>
        <w:rPr>
          <w:rFonts w:ascii="Arial" w:cs="Arial" w:eastAsia="Arial" w:hAnsi="Arial"/>
          <w:sz w:val="15"/>
          <w:szCs w:val="15"/>
          <w:color w:val="auto"/>
        </w:rPr>
        <w:t>” shall mean lawful currency of Canada.</w:t>
      </w:r>
    </w:p>
    <w:p>
      <w:pPr>
        <w:spacing w:after="0" w:line="177"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GAAP</w:t>
      </w:r>
      <w:r>
        <w:rPr>
          <w:rFonts w:ascii="Arial" w:cs="Arial" w:eastAsia="Arial" w:hAnsi="Arial"/>
          <w:sz w:val="12"/>
          <w:szCs w:val="12"/>
          <w:color w:val="auto"/>
        </w:rPr>
        <w:t>” shall mean generally accepted accounting principles in Canada, as recommended from time to time by the Canadian Institute of Chartered Accountants, applied on a consistent basis, and which shall include the implementation of International Financial Reporting Standards to the extent required by the Canadian Accounting Standards Board.</w:t>
      </w:r>
    </w:p>
    <w:p>
      <w:pPr>
        <w:spacing w:after="0" w:line="8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Guarantee Agreement</w:t>
      </w:r>
      <w:r>
        <w:rPr>
          <w:rFonts w:ascii="Arial" w:cs="Arial" w:eastAsia="Arial" w:hAnsi="Arial"/>
          <w:sz w:val="15"/>
          <w:szCs w:val="15"/>
          <w:color w:val="auto"/>
        </w:rPr>
        <w:t>” shall mean the Canadian Guarantee Agreement, substantially in the form of Exhibit C-2, in favor of the Canadian Collateral Agent, for the benefit of the Canadian Secured Parties and the Australian Secured Parties.</w:t>
      </w:r>
    </w:p>
    <w:p>
      <w:pPr>
        <w:spacing w:after="0" w:line="152"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L/C Exposure</w:t>
      </w:r>
      <w:r>
        <w:rPr>
          <w:rFonts w:ascii="Arial" w:cs="Arial" w:eastAsia="Arial" w:hAnsi="Arial"/>
          <w:sz w:val="12"/>
          <w:szCs w:val="12"/>
          <w:color w:val="auto"/>
        </w:rPr>
        <w:t xml:space="preserve">” shall mean at any time the sum of (a) the U.S. Dollar Equivalent of the aggregate undrawn amount of all outstanding Canadian Letters of Credit at such time </w:t>
      </w:r>
      <w:r>
        <w:rPr>
          <w:rFonts w:ascii="Arial" w:cs="Arial" w:eastAsia="Arial" w:hAnsi="Arial"/>
          <w:sz w:val="12"/>
          <w:szCs w:val="12"/>
          <w:i w:val="1"/>
          <w:iCs w:val="1"/>
          <w:color w:val="auto"/>
        </w:rPr>
        <w:t xml:space="preserve">plus </w:t>
      </w:r>
      <w:r>
        <w:rPr>
          <w:rFonts w:ascii="Arial" w:cs="Arial" w:eastAsia="Arial" w:hAnsi="Arial"/>
          <w:sz w:val="12"/>
          <w:szCs w:val="12"/>
          <w:color w:val="auto"/>
        </w:rPr>
        <w:t>(b) the U.S. Dollar Equivalent of the aggregate principal amount of all L/C Disbursements in respect of Canadian Letters of Credit that have not yet been reimbursed at such time. The</w:t>
      </w:r>
      <w:r>
        <w:rPr>
          <w:rFonts w:ascii="Arial" w:cs="Arial" w:eastAsia="Arial" w:hAnsi="Arial"/>
          <w:sz w:val="12"/>
          <w:szCs w:val="12"/>
          <w:i w:val="1"/>
          <w:iCs w:val="1"/>
          <w:color w:val="auto"/>
        </w:rPr>
        <w:t xml:space="preserve"> </w:t>
      </w:r>
      <w:r>
        <w:rPr>
          <w:rFonts w:ascii="Arial" w:cs="Arial" w:eastAsia="Arial" w:hAnsi="Arial"/>
          <w:sz w:val="12"/>
          <w:szCs w:val="12"/>
          <w:color w:val="auto"/>
        </w:rPr>
        <w:t>Canadian L/C Exposure of any Canadian Lender at any time shall mean its Canadian Revolving Pro Rata Percentage of the aggregate Canadian L/C Exposure at such time.</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L/C Participation Fee</w:t>
      </w:r>
      <w:r>
        <w:rPr>
          <w:rFonts w:ascii="Arial" w:cs="Arial" w:eastAsia="Arial" w:hAnsi="Arial"/>
          <w:sz w:val="15"/>
          <w:szCs w:val="15"/>
          <w:color w:val="auto"/>
        </w:rPr>
        <w:t>” shall have the meaning assigned to such term in Section 2.05(c).</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Lenders</w:t>
      </w:r>
      <w:r>
        <w:rPr>
          <w:rFonts w:ascii="Arial" w:cs="Arial" w:eastAsia="Arial" w:hAnsi="Arial"/>
          <w:sz w:val="15"/>
          <w:szCs w:val="15"/>
          <w:color w:val="auto"/>
        </w:rPr>
        <w:t>” shall mean Lenders having Canadian Revolving Commitments, outstanding Canadian Revolving Credit Loans or participations in Canadian Letters of Credit or Canadian Swing Line Loans.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Pension Plans</w:t>
      </w:r>
      <w:r>
        <w:rPr>
          <w:rFonts w:ascii="Arial" w:cs="Arial" w:eastAsia="Arial" w:hAnsi="Arial"/>
          <w:sz w:val="15"/>
          <w:szCs w:val="15"/>
          <w:color w:val="auto"/>
        </w:rPr>
        <w:t>” shall mean each plan that is considered to be a pension plan for the purposes of any applicable pension benefits standards statute and/or regulation in Canada established, maintained or contributed to by a Canadian Borrower or any of the Canadian Subsidiaries for its employees or former employees.</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Pledge Agreement</w:t>
      </w:r>
      <w:r>
        <w:rPr>
          <w:rFonts w:ascii="Arial" w:cs="Arial" w:eastAsia="Arial" w:hAnsi="Arial"/>
          <w:sz w:val="15"/>
          <w:szCs w:val="15"/>
          <w:color w:val="auto"/>
        </w:rPr>
        <w:t>” shall mean the Canadian Pledge Agreement, substantially in the form of Exhibit D-2, among U.S. Borrower, the U.S. Subsidiary Guarantors, the Canadian Borrowers, PTI Holdco Sub and the Canadian Subsidiary Guarantors, as pledgors, and the Canadian Collateral Agent, for the benefit of the Canadian Secured Parties and the Australian Secured Parties.</w:t>
      </w:r>
    </w:p>
    <w:p>
      <w:pPr>
        <w:spacing w:after="0" w:line="158"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Canadian Prime Rate</w:t>
      </w:r>
      <w:r>
        <w:rPr>
          <w:rFonts w:ascii="Arial" w:cs="Arial" w:eastAsia="Arial" w:hAnsi="Arial"/>
          <w:sz w:val="14"/>
          <w:szCs w:val="14"/>
          <w:color w:val="auto"/>
        </w:rPr>
        <w:t>”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Canada; and (b) the annual rate of interest equal to the sum of (i) the CDOR Rate in effect on such day and (ii) 1%. When used in reference to any Loan or Borrowing, “Canadian Prime Rate” refers to whether such Loan, or the Loans comprising such Borrowing, are bearing interest at a rate determined by reference to the Canadian Prime Rate.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5" w:name="page66"/>
    <w:bookmarkEnd w:id="65"/>
    <w:p>
      <w:pPr>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Canadian Revolving Borrowing</w:t>
      </w:r>
      <w:r>
        <w:rPr>
          <w:rFonts w:ascii="Arial" w:cs="Arial" w:eastAsia="Arial" w:hAnsi="Arial"/>
          <w:sz w:val="14"/>
          <w:szCs w:val="14"/>
          <w:color w:val="auto"/>
        </w:rPr>
        <w:t>” shall mean a group of Canadian Revolving Credit Loans of a single Type made, converted or continued by the Canadian Lenders on a single date and, in the case of a Eurocurrency Borrowing, as to which a single Interest Period is in effect and, in the case of a B/A Borrowing, as to which a single Contract Period is in effect.</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Revolving Commitment</w:t>
      </w:r>
      <w:r>
        <w:rPr>
          <w:rFonts w:ascii="Arial" w:cs="Arial" w:eastAsia="Arial" w:hAnsi="Arial"/>
          <w:sz w:val="12"/>
          <w:szCs w:val="12"/>
          <w:color w:val="auto"/>
        </w:rPr>
        <w:t>” shall mean, with respect to each Canadian Lender, the commitment of such Canadian Lender to (a) make Canadian Revolving Credit Loans hereunder,</w:t>
      </w:r>
    </w:p>
    <w:p>
      <w:pPr>
        <w:spacing w:after="0" w:line="46" w:lineRule="exact"/>
        <w:rPr>
          <w:sz w:val="20"/>
          <w:szCs w:val="20"/>
          <w:color w:val="auto"/>
        </w:rPr>
      </w:pPr>
    </w:p>
    <w:p>
      <w:pPr>
        <w:jc w:val="both"/>
        <w:ind w:firstLine="7"/>
        <w:spacing w:after="0" w:line="325" w:lineRule="auto"/>
        <w:tabs>
          <w:tab w:leader="none" w:pos="221" w:val="left"/>
        </w:tabs>
        <w:numPr>
          <w:ilvl w:val="0"/>
          <w:numId w:val="24"/>
        </w:numPr>
        <w:rPr>
          <w:rFonts w:ascii="Arial" w:cs="Arial" w:eastAsia="Arial" w:hAnsi="Arial"/>
          <w:sz w:val="12"/>
          <w:szCs w:val="12"/>
          <w:color w:val="auto"/>
        </w:rPr>
      </w:pPr>
      <w:r>
        <w:rPr>
          <w:rFonts w:ascii="Arial" w:cs="Arial" w:eastAsia="Arial" w:hAnsi="Arial"/>
          <w:sz w:val="12"/>
          <w:szCs w:val="12"/>
          <w:color w:val="auto"/>
        </w:rPr>
        <w:t>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Lender assumed its Canadian Revolving Commitment, as applicable, as the same may be (i) reduced from time to time pursuant to Section 2.09 and (ii) reduced or increased from time to time pursuant to assignments by or to such Canadian Lender pursuant to Section 9.04. The aggregate amount of the Canadian Revolving Commitments as of the Closing Date is U.S.$100,000,000.</w:t>
      </w:r>
    </w:p>
    <w:p>
      <w:pPr>
        <w:spacing w:after="0" w:line="118"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Revolving Credit Exposure</w:t>
      </w:r>
      <w:r>
        <w:rPr>
          <w:rFonts w:ascii="Arial" w:cs="Arial" w:eastAsia="Arial" w:hAnsi="Arial"/>
          <w:sz w:val="12"/>
          <w:szCs w:val="12"/>
          <w:color w:val="auto"/>
        </w:rPr>
        <w:t xml:space="preserve">” shall mean, with respect to any Canadian Lender at any time, the aggregate principal amount at such time of all outstanding Canadian Revolving Credit Loans of such Lender denominated in U.S. dollars, </w:t>
      </w:r>
      <w:r>
        <w:rPr>
          <w:rFonts w:ascii="Arial" w:cs="Arial" w:eastAsia="Arial" w:hAnsi="Arial"/>
          <w:sz w:val="12"/>
          <w:szCs w:val="12"/>
          <w:i w:val="1"/>
          <w:iCs w:val="1"/>
          <w:color w:val="auto"/>
        </w:rPr>
        <w:t>plus</w:t>
      </w:r>
      <w:r>
        <w:rPr>
          <w:rFonts w:ascii="Arial" w:cs="Arial" w:eastAsia="Arial" w:hAnsi="Arial"/>
          <w:sz w:val="12"/>
          <w:szCs w:val="12"/>
          <w:color w:val="auto"/>
        </w:rPr>
        <w:t xml:space="preserve"> the U.S. Dollar Equivalent of the aggregate principal amount at such time of all outstanding Canadian Revolving Credit Loans of such Canadian Lender denominated in Canadian dollars, </w:t>
      </w:r>
      <w:r>
        <w:rPr>
          <w:rFonts w:ascii="Arial" w:cs="Arial" w:eastAsia="Arial" w:hAnsi="Arial"/>
          <w:sz w:val="12"/>
          <w:szCs w:val="12"/>
          <w:i w:val="1"/>
          <w:iCs w:val="1"/>
          <w:color w:val="auto"/>
        </w:rPr>
        <w:t>plus</w:t>
      </w:r>
      <w:r>
        <w:rPr>
          <w:rFonts w:ascii="Arial" w:cs="Arial" w:eastAsia="Arial" w:hAnsi="Arial"/>
          <w:sz w:val="12"/>
          <w:szCs w:val="12"/>
          <w:color w:val="auto"/>
        </w:rPr>
        <w:t xml:space="preserve"> the U.S. Dollar Equivalent of the aggregate amount at such time of such Canadian Lender’s Canadian Revolving Pro Rata Percentage of the Canadian L/C Exposure </w:t>
      </w:r>
      <w:r>
        <w:rPr>
          <w:rFonts w:ascii="Arial" w:cs="Arial" w:eastAsia="Arial" w:hAnsi="Arial"/>
          <w:sz w:val="12"/>
          <w:szCs w:val="12"/>
          <w:i w:val="1"/>
          <w:iCs w:val="1"/>
          <w:color w:val="auto"/>
        </w:rPr>
        <w:t>plus</w:t>
      </w:r>
      <w:r>
        <w:rPr>
          <w:rFonts w:ascii="Arial" w:cs="Arial" w:eastAsia="Arial" w:hAnsi="Arial"/>
          <w:sz w:val="12"/>
          <w:szCs w:val="12"/>
          <w:color w:val="auto"/>
        </w:rPr>
        <w:t xml:space="preserve"> such Canadian Lender’s Canadian Revolving Pro Rata Percentage of the outstanding amount of all Canadian Swing Line Loans.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Revolving Credit Facility</w:t>
      </w:r>
      <w:r>
        <w:rPr>
          <w:rFonts w:ascii="Arial" w:cs="Arial" w:eastAsia="Arial" w:hAnsi="Arial"/>
          <w:sz w:val="15"/>
          <w:szCs w:val="15"/>
          <w:color w:val="auto"/>
        </w:rPr>
        <w:t>” shall mean at any time the aggregate amount of the Canadian Revolving Commitments of the Canadian Lenders at such time.</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Revolving Credit Loans”</w:t>
      </w:r>
      <w:r>
        <w:rPr>
          <w:rFonts w:ascii="Arial" w:cs="Arial" w:eastAsia="Arial" w:hAnsi="Arial"/>
          <w:sz w:val="15"/>
          <w:szCs w:val="15"/>
          <w:color w:val="auto"/>
        </w:rPr>
        <w:t xml:space="preserve"> shall mean (a) the Canadian dollar-denominated Revolving Credit Loans (including the aggregate face amount of outstanding B/As) made by the Canadian Lenders to the Canadian Borrowers hereunder and (b) the U.S. dollar-denominated Revolving Credit Loans made by the Canadian Lenders to the Canadian Borrowers. Each Canadian Revolving Credit Loan denominated in Canadian dollars shall be a Canadian Prime Rate Loan or a B/A Loan. Each Canadian Revolving Credit Loan denominated in U.S. dollars and made to a Canadian Borrower shall be a Eurocurrency Loan or a U.S. Base Rate Loan.</w:t>
      </w:r>
    </w:p>
    <w:p>
      <w:pPr>
        <w:spacing w:after="0" w:line="161"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Revolving Pro Rata Percentage</w:t>
      </w:r>
      <w:r>
        <w:rPr>
          <w:rFonts w:ascii="Arial" w:cs="Arial" w:eastAsia="Arial" w:hAnsi="Arial"/>
          <w:sz w:val="12"/>
          <w:szCs w:val="12"/>
          <w:color w:val="auto"/>
        </w:rPr>
        <w:t xml:space="preserve">” of any Canadian Lender, subject to any adjustment as provided in Section 2.24(c) or 2.25(a), shall mean the percentage of the aggregate Canadian Revolving Commitments represented by such Canadian Lender’s Canadian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Canadian Revolving Commitments have terminated, the Canadian Revolving Pro Rata Percentages of the Canadian Lenders shall be determined based upon the Canadian Revolving Commitments most recently in effect, giving effect to any assignments.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6" w:name="page67"/>
    <w:bookmarkEnd w:id="6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Secured Parties</w:t>
      </w:r>
      <w:r>
        <w:rPr>
          <w:rFonts w:ascii="Arial" w:cs="Arial" w:eastAsia="Arial" w:hAnsi="Arial"/>
          <w:sz w:val="15"/>
          <w:szCs w:val="15"/>
          <w:color w:val="auto"/>
        </w:rPr>
        <w:t>” shall have the meaning assigned to such term in the Canadian Security Agreement.</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Security Agreement</w:t>
      </w:r>
      <w:r>
        <w:rPr>
          <w:rFonts w:ascii="Arial" w:cs="Arial" w:eastAsia="Arial" w:hAnsi="Arial"/>
          <w:sz w:val="15"/>
          <w:szCs w:val="15"/>
          <w:color w:val="auto"/>
        </w:rPr>
        <w:t>” shall mean the Canadian Security Agreement, substantially in the form of Exhibit E-2, among the Canadian Borrowers and the Canadian Subsidiary Guarantors, as grantors, and the Canadian Collateral Agent, for the benefit of the Canadian Secured Parties and the Australian Secured Parties.</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Security Documents</w:t>
      </w:r>
      <w:r>
        <w:rPr>
          <w:rFonts w:ascii="Arial" w:cs="Arial" w:eastAsia="Arial" w:hAnsi="Arial"/>
          <w:sz w:val="15"/>
          <w:szCs w:val="15"/>
          <w:color w:val="auto"/>
        </w:rPr>
        <w:t>” shall mean the Canadian Security Agreement, the Canadian Pledge Agreement, and each other Security Document to which any Canadian Borrower, any Canadian Subsidiary Guarantor or any Subsidiary of a Canadian Borrower is a party and that purports to grant a Lien in the assets of any such person in favor of the Canadian Collateral Agent for the benefit of the Canadian Secured Parties.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Canadian Subsidiaries</w:t>
      </w:r>
      <w:r>
        <w:rPr>
          <w:rFonts w:ascii="Arial" w:cs="Arial" w:eastAsia="Arial" w:hAnsi="Arial"/>
          <w:sz w:val="12"/>
          <w:szCs w:val="12"/>
          <w:color w:val="auto"/>
        </w:rPr>
        <w:t>” shall mean the Subsidiaries (other than the Canadian Parent) organized under the laws of Canada or any province, territory or other political subdivision thereof.</w:t>
      </w:r>
    </w:p>
    <w:p>
      <w:pPr>
        <w:spacing w:after="0" w:line="21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Subsidiary Guarantor</w:t>
      </w:r>
      <w:r>
        <w:rPr>
          <w:rFonts w:ascii="Arial" w:cs="Arial" w:eastAsia="Arial" w:hAnsi="Arial"/>
          <w:sz w:val="15"/>
          <w:szCs w:val="15"/>
          <w:color w:val="auto"/>
        </w:rPr>
        <w:t>” shall mean each Canadian Subsidiary (other than a Canadian Borrower) listed on Schedule 1.01(c), and each other Canadian Subsidiary that is or becomes a party to the Canadian Guarantee Agreement.</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Swing Line Borrowing</w:t>
      </w:r>
      <w:r>
        <w:rPr>
          <w:rFonts w:ascii="Arial" w:cs="Arial" w:eastAsia="Arial" w:hAnsi="Arial"/>
          <w:sz w:val="15"/>
          <w:szCs w:val="15"/>
          <w:color w:val="auto"/>
        </w:rPr>
        <w:t>” shall mean a borrowing of a Canadian Swing Line Loan pursuant to Section 2.23(a)(ii) or, if an AutoBorrow Agreement is in effect, any transfer of funds pursuant to such AutoBorrow Agreement.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Canadian Swing Line Lender</w:t>
      </w:r>
      <w:r>
        <w:rPr>
          <w:rFonts w:ascii="Arial" w:cs="Arial" w:eastAsia="Arial" w:hAnsi="Arial"/>
          <w:sz w:val="14"/>
          <w:szCs w:val="14"/>
          <w:color w:val="auto"/>
        </w:rPr>
        <w:t>” shall mean The Toronto-Dominion Bank in its capacity as provider of Canadian Swing Line Loans, or any successor swing line lender hereunder.</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Canadian Swing Line Loan</w:t>
      </w:r>
      <w:r>
        <w:rPr>
          <w:rFonts w:ascii="Arial" w:cs="Arial" w:eastAsia="Arial" w:hAnsi="Arial"/>
          <w:sz w:val="15"/>
          <w:szCs w:val="15"/>
          <w:color w:val="auto"/>
        </w:rPr>
        <w:t>” has the meaning assigned to such term in Section 2.23(a)(ii).</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Canadian Swing Line Sublimit</w:t>
      </w:r>
      <w:r>
        <w:rPr>
          <w:rFonts w:ascii="Arial" w:cs="Arial" w:eastAsia="Arial" w:hAnsi="Arial"/>
          <w:sz w:val="14"/>
          <w:szCs w:val="14"/>
          <w:color w:val="auto"/>
        </w:rPr>
        <w:t>” shall mean U.S.$10,000,000. The Canadian Swing Line Sublimit is part of, and not in addition to, the Canadian Revolving Commitments.</w:t>
      </w:r>
    </w:p>
    <w:p>
      <w:pPr>
        <w:spacing w:after="0" w:line="189"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Lease Obligations</w:t>
      </w:r>
      <w:r>
        <w:rPr>
          <w:rFonts w:ascii="Arial" w:cs="Arial" w:eastAsia="Arial" w:hAnsi="Arial"/>
          <w:sz w:val="15"/>
          <w:szCs w:val="15"/>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any lease that was treated as an operating lease under GAAP at the time it was entered into that later becomes a capital lease as a result of a change in GAAP during the life of such lease, including any renewals, shall be treated as an operating lease for all purposes under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7" w:name="page68"/>
    <w:bookmarkEnd w:id="67"/>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Collateralize</w:t>
      </w:r>
      <w:r>
        <w:rPr>
          <w:rFonts w:ascii="Arial" w:cs="Arial" w:eastAsia="Arial" w:hAnsi="Arial"/>
          <w:sz w:val="15"/>
          <w:szCs w:val="15"/>
          <w:color w:val="auto"/>
        </w:rPr>
        <w:t>” shall mean to pledge and deposit with or deliver to the Applicable Collateral Agent, for the benefit of the U.S. Secured Parties, the Canadian Secured Parties or the Australian Secured Parties, as applicable,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61"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CDOR Rate</w:t>
      </w:r>
      <w:r>
        <w:rPr>
          <w:rFonts w:ascii="Arial" w:cs="Arial" w:eastAsia="Arial" w:hAnsi="Arial"/>
          <w:sz w:val="14"/>
          <w:szCs w:val="14"/>
          <w:color w:val="auto"/>
        </w:rPr>
        <w:t xml:space="preserv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rate does not appear on the Reuters Screen CDOR Page on such date as contemplated, then the CDOR Rate on such date shall be the Discount Rate quoted by the Canadian Administrative Agent (determined as of 10:00 a.m. (Standard Time) on such date) that would be applicable to Canadian dollar bankers’ acceptances in a comparable amount and with comparable maturity dates to the Bankers’ Acceptances requested by the applicable Canadian Borrower on such date or, if such date is not a Business Day, on the immediately preceding Business Day.</w:t>
      </w:r>
    </w:p>
    <w:p>
      <w:pPr>
        <w:spacing w:after="0" w:line="149"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Change in Control</w:t>
      </w:r>
      <w:r>
        <w:rPr>
          <w:rFonts w:ascii="Arial" w:cs="Arial" w:eastAsia="Arial" w:hAnsi="Arial"/>
          <w:sz w:val="12"/>
          <w:szCs w:val="12"/>
          <w:color w:val="auto"/>
        </w:rPr>
        <w:t>” shall mean, at any time after the Spin-Off: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U.S. Borrower; (b) occupation of a majority of the seats (other than vacant seats) on the board of directors of the U.S. Borrower by persons who were neither (i) nominated by the board of directors of the U.S. Borrower nor (ii) appointed by the directors so nominated or (c) the failure, without giving effect to the Exchangeable Shares, by the U.S. Borrower to own, directly or indirectly, beneficially and of record, 100% of the issued and outstanding Equity Interests of the Canadian Parent.</w:t>
      </w:r>
    </w:p>
    <w:p>
      <w:pPr>
        <w:spacing w:after="0" w:line="118"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in Law</w:t>
      </w:r>
      <w:r>
        <w:rPr>
          <w:rFonts w:ascii="Arial" w:cs="Arial" w:eastAsia="Arial" w:hAnsi="Arial"/>
          <w:sz w:val="14"/>
          <w:szCs w:val="14"/>
          <w:color w:val="auto"/>
        </w:rPr>
        <w:t xml:space="preserve">” shall mean (a) the adoption of any law, rule, regulation or treaty after the Closing Date, (b) any change in any law, rule or regulation or in the administration, interpretation, implementation or application thereof by any Governmental Authority after the Closing Date or (c) 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4"/>
          <w:szCs w:val="14"/>
          <w:i w:val="1"/>
          <w:iCs w:val="1"/>
          <w:color w:val="auto"/>
        </w:rPr>
        <w:t>provided however</w:t>
      </w:r>
      <w:r>
        <w:rPr>
          <w:rFonts w:ascii="Arial" w:cs="Arial" w:eastAsia="Arial" w:hAnsi="Arial"/>
          <w:sz w:val="14"/>
          <w:szCs w:val="14"/>
          <w:color w:val="auto"/>
        </w:rPr>
        <w:t>,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8" w:name="page69"/>
    <w:bookmarkEnd w:id="68"/>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Class</w:t>
      </w:r>
      <w:r>
        <w:rPr>
          <w:rFonts w:ascii="Arial" w:cs="Arial" w:eastAsia="Arial" w:hAnsi="Arial"/>
          <w:sz w:val="15"/>
          <w:szCs w:val="15"/>
          <w:color w:val="auto"/>
        </w:rPr>
        <w:t>”, when used in reference to (a) any Loan or Borrowing, refers to whether such Loan, or the Loans comprising such Borrowing, are Canadian Revolving Credit Loans, Australian Revolving Credit Loans, U.S. Revolving Credit Loans or U.S. Term Loans, and (b) any Commitment, refers to whether such Commitment is a Canadian Revolving Commitment, Australian Revolving Commitment, a U.S. Revolving Commitment or U.S. Term Commitment.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Closing Date</w:t>
      </w:r>
      <w:r>
        <w:rPr>
          <w:rFonts w:ascii="Arial" w:cs="Arial" w:eastAsia="Arial" w:hAnsi="Arial"/>
          <w:sz w:val="15"/>
          <w:szCs w:val="15"/>
          <w:color w:val="auto"/>
        </w:rPr>
        <w:t>” shall mean the date upon which all of the conditions set forth in Sections 4.01 and 4.02 are satisfied or waived in accordance with Section 9.08(b).</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Code</w:t>
      </w:r>
      <w:r>
        <w:rPr>
          <w:rFonts w:ascii="Arial" w:cs="Arial" w:eastAsia="Arial" w:hAnsi="Arial"/>
          <w:sz w:val="15"/>
          <w:szCs w:val="15"/>
          <w:color w:val="auto"/>
        </w:rPr>
        <w:t>” shall mean the Internal Revenue Code of 1986, as amended from time to time.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Collateral</w:t>
      </w:r>
      <w:r>
        <w:rPr>
          <w:rFonts w:ascii="Arial" w:cs="Arial" w:eastAsia="Arial" w:hAnsi="Arial"/>
          <w:sz w:val="15"/>
          <w:szCs w:val="15"/>
          <w:color w:val="auto"/>
        </w:rPr>
        <w:t>” shall mean, collectively, all of the U.S. Collateral, the Canadian Collateral and the Australian Collateral.</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Collateral Agents</w:t>
      </w:r>
      <w:r>
        <w:rPr>
          <w:rFonts w:ascii="Arial" w:cs="Arial" w:eastAsia="Arial" w:hAnsi="Arial"/>
          <w:sz w:val="15"/>
          <w:szCs w:val="15"/>
          <w:color w:val="auto"/>
        </w:rPr>
        <w:t>” shall mean, collectively, the U.S. Collateral Agent, the Canadian Collateral Agent and the Australian Collateral Agent.</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Commitment</w:t>
      </w:r>
      <w:r>
        <w:rPr>
          <w:rFonts w:ascii="Arial" w:cs="Arial" w:eastAsia="Arial" w:hAnsi="Arial"/>
          <w:sz w:val="15"/>
          <w:szCs w:val="15"/>
          <w:color w:val="auto"/>
        </w:rPr>
        <w:t>” shall mean, with respect to any Lender, such Lender’s U.S. Revolving Commitment, U.S. Term Commitment, Canadian Revolving Commitment, Australian Revolving Commitment or any Incremental Revolving Commitment, and “</w:t>
      </w:r>
      <w:r>
        <w:rPr>
          <w:rFonts w:ascii="Arial" w:cs="Arial" w:eastAsia="Arial" w:hAnsi="Arial"/>
          <w:sz w:val="15"/>
          <w:szCs w:val="15"/>
          <w:i w:val="1"/>
          <w:iCs w:val="1"/>
          <w:color w:val="auto"/>
        </w:rPr>
        <w:t>Commitments</w:t>
      </w:r>
      <w:r>
        <w:rPr>
          <w:rFonts w:ascii="Arial" w:cs="Arial" w:eastAsia="Arial" w:hAnsi="Arial"/>
          <w:sz w:val="15"/>
          <w:szCs w:val="15"/>
          <w:color w:val="auto"/>
        </w:rPr>
        <w:t>” shall mean the U.S. Commitments, the Canadian Revolving Commitments, the Australian Revolving Commitments and any Incremental Revolving Commitments.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Commitment Fees</w:t>
      </w:r>
      <w:r>
        <w:rPr>
          <w:rFonts w:ascii="Arial" w:cs="Arial" w:eastAsia="Arial" w:hAnsi="Arial"/>
          <w:sz w:val="15"/>
          <w:szCs w:val="15"/>
          <w:color w:val="auto"/>
        </w:rPr>
        <w:t>” shall have the meaning assigned to such term in Section 2.05(a).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Compliance Certificate</w:t>
      </w:r>
      <w:r>
        <w:rPr>
          <w:rFonts w:ascii="Arial" w:cs="Arial" w:eastAsia="Arial" w:hAnsi="Arial"/>
          <w:sz w:val="15"/>
          <w:szCs w:val="15"/>
          <w:color w:val="auto"/>
        </w:rPr>
        <w:t>” shall have the meaning assigned to such term in Section 5.04(c).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Confidential Information Memorandum</w:t>
      </w:r>
      <w:r>
        <w:rPr>
          <w:rFonts w:ascii="Arial" w:cs="Arial" w:eastAsia="Arial" w:hAnsi="Arial"/>
          <w:sz w:val="15"/>
          <w:szCs w:val="15"/>
          <w:color w:val="auto"/>
        </w:rPr>
        <w:t>” shall mean the Confidential Information Memorandum of the U.S. Borrower dated ___________, 2014.</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EBITDA</w:t>
      </w:r>
      <w:r>
        <w:rPr>
          <w:rFonts w:ascii="Arial" w:cs="Arial" w:eastAsia="Arial" w:hAnsi="Arial"/>
          <w:sz w:val="15"/>
          <w:szCs w:val="15"/>
          <w:color w:val="auto"/>
        </w:rPr>
        <w:t>” shall mean, for any period, EBITDA of the U.S. Borrower and the subsidiaries for such period, all determined on a consolidated basis.</w:t>
      </w:r>
    </w:p>
    <w:p>
      <w:pPr>
        <w:spacing w:after="0" w:line="177"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Interest Expense</w:t>
      </w:r>
      <w:r>
        <w:rPr>
          <w:rFonts w:ascii="Arial" w:cs="Arial" w:eastAsia="Arial" w:hAnsi="Arial"/>
          <w:sz w:val="12"/>
          <w:szCs w:val="12"/>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15"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Net Income</w:t>
      </w:r>
      <w:r>
        <w:rPr>
          <w:rFonts w:ascii="Arial" w:cs="Arial" w:eastAsia="Arial" w:hAnsi="Arial"/>
          <w:sz w:val="14"/>
          <w:szCs w:val="14"/>
          <w:color w:val="auto"/>
        </w:rPr>
        <w:t xml:space="preserve">” shall mean, for any person for any period, the net income or loss of such person for such period determined on a consolidated basis in accordance with GAAP;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there shall be excluded (a) the income of any subsidiary of such person to the extent that the declaration or payment of dividends or similar distributions by such subsidiary of that</w:t>
      </w:r>
      <w:r>
        <w:rPr>
          <w:rFonts w:ascii="Arial" w:cs="Arial" w:eastAsia="Arial" w:hAnsi="Arial"/>
          <w:sz w:val="14"/>
          <w:szCs w:val="14"/>
          <w:i w:val="1"/>
          <w:iCs w:val="1"/>
          <w:color w:val="auto"/>
        </w:rPr>
        <w:t xml:space="preserve"> </w:t>
      </w:r>
      <w:r>
        <w:rPr>
          <w:rFonts w:ascii="Arial" w:cs="Arial" w:eastAsia="Arial" w:hAnsi="Arial"/>
          <w:sz w:val="14"/>
          <w:szCs w:val="14"/>
          <w:color w:val="auto"/>
        </w:rPr>
        <w:t>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69" w:name="page70"/>
    <w:bookmarkEnd w:id="69"/>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Worth</w:t>
      </w:r>
      <w:r>
        <w:rPr>
          <w:rFonts w:ascii="Arial" w:cs="Arial" w:eastAsia="Arial" w:hAnsi="Arial"/>
          <w:sz w:val="15"/>
          <w:szCs w:val="15"/>
          <w:color w:val="auto"/>
        </w:rPr>
        <w:t>” shall mean, at any time, the net worth or total shareholders’ equity of the U.S. Borrower and its subsidiaries on a consolidated basis determined in accordance with GAAP.</w:t>
      </w:r>
    </w:p>
    <w:p>
      <w:pPr>
        <w:spacing w:after="0" w:line="15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Contract Period</w:t>
      </w:r>
      <w:r>
        <w:rPr>
          <w:rFonts w:ascii="Arial" w:cs="Arial" w:eastAsia="Arial" w:hAnsi="Arial"/>
          <w:sz w:val="15"/>
          <w:szCs w:val="15"/>
          <w:color w:val="auto"/>
        </w:rPr>
        <w:t xml:space="preserve">” shall mean the term of a B/A Loan selected by a Canadian Borrower in accordance with Section 2.22, commencing on the date of such B/A Loan and expiring on a Business Day which shall be either 30 days, 60 days, 90 days or 180 days thereafter,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subject to clause (b) below, each such period shall be subject to such extensions or reductions as may be reasonably determined by the Canadian Administrative Agent to ensure that each Contract Period shall expire on a Business Day, and (b) no Contract Period shall extend beyond the Maturity Date.</w:t>
      </w:r>
    </w:p>
    <w:p>
      <w:pPr>
        <w:spacing w:after="0" w:line="16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Control</w:t>
      </w:r>
      <w:r>
        <w:rPr>
          <w:rFonts w:ascii="Arial" w:cs="Arial" w:eastAsia="Arial" w:hAnsi="Arial"/>
          <w:sz w:val="15"/>
          <w:szCs w:val="15"/>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5"/>
          <w:szCs w:val="15"/>
          <w:i w:val="1"/>
          <w:iCs w:val="1"/>
          <w:color w:val="auto"/>
        </w:rPr>
        <w:t>Controlling</w:t>
      </w:r>
      <w:r>
        <w:rPr>
          <w:rFonts w:ascii="Arial" w:cs="Arial" w:eastAsia="Arial" w:hAnsi="Arial"/>
          <w:sz w:val="15"/>
          <w:szCs w:val="15"/>
          <w:color w:val="auto"/>
        </w:rPr>
        <w:t>” and “</w:t>
      </w:r>
      <w:r>
        <w:rPr>
          <w:rFonts w:ascii="Arial" w:cs="Arial" w:eastAsia="Arial" w:hAnsi="Arial"/>
          <w:sz w:val="15"/>
          <w:szCs w:val="15"/>
          <w:i w:val="1"/>
          <w:iCs w:val="1"/>
          <w:color w:val="auto"/>
        </w:rPr>
        <w:t>Controlled</w:t>
      </w:r>
      <w:r>
        <w:rPr>
          <w:rFonts w:ascii="Arial" w:cs="Arial" w:eastAsia="Arial" w:hAnsi="Arial"/>
          <w:sz w:val="15"/>
          <w:szCs w:val="15"/>
          <w:color w:val="auto"/>
        </w:rPr>
        <w:t>” shall have meanings correlative thereto.</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Event</w:t>
      </w:r>
      <w:r>
        <w:rPr>
          <w:rFonts w:ascii="Arial" w:cs="Arial" w:eastAsia="Arial" w:hAnsi="Arial"/>
          <w:sz w:val="15"/>
          <w:szCs w:val="15"/>
          <w:color w:val="auto"/>
        </w:rPr>
        <w:t>” shall have the meaning assigned to such term in Section 4.01.</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Default</w:t>
      </w:r>
      <w:r>
        <w:rPr>
          <w:rFonts w:ascii="Arial" w:cs="Arial" w:eastAsia="Arial" w:hAnsi="Arial"/>
          <w:sz w:val="15"/>
          <w:szCs w:val="15"/>
          <w:color w:val="auto"/>
        </w:rPr>
        <w:t>” shall mean any event or condition which upon notice, lapse of time or both would constitute an Event of Default.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Defaulting Lender</w:t>
      </w:r>
      <w:r>
        <w:rPr>
          <w:rFonts w:ascii="Arial" w:cs="Arial" w:eastAsia="Arial" w:hAnsi="Arial"/>
          <w:sz w:val="15"/>
          <w:szCs w:val="15"/>
          <w:color w:val="auto"/>
        </w:rPr>
        <w:t>” shall mean, subject to Section 2.24(d), any Lender that:</w:t>
      </w:r>
    </w:p>
    <w:p>
      <w:pPr>
        <w:spacing w:after="0" w:line="177" w:lineRule="exact"/>
        <w:rPr>
          <w:sz w:val="20"/>
          <w:szCs w:val="20"/>
          <w:color w:val="auto"/>
        </w:rPr>
      </w:pPr>
    </w:p>
    <w:p>
      <w:pPr>
        <w:jc w:val="both"/>
        <w:ind w:firstLine="532"/>
        <w:spacing w:after="0" w:line="247" w:lineRule="auto"/>
        <w:tabs>
          <w:tab w:leader="none" w:pos="9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has failed to (i) fund all or any portion of its Loans within two (2) Business Days of the date such Loans were required to be funded hereunder unless such Lender notifies an Administrative Agent and the U.S.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61" w:lineRule="exact"/>
        <w:rPr>
          <w:rFonts w:ascii="Arial" w:cs="Arial" w:eastAsia="Arial" w:hAnsi="Arial"/>
          <w:sz w:val="15"/>
          <w:szCs w:val="15"/>
          <w:color w:val="auto"/>
        </w:rPr>
      </w:pPr>
    </w:p>
    <w:p>
      <w:pPr>
        <w:jc w:val="both"/>
        <w:ind w:firstLine="532"/>
        <w:spacing w:after="0" w:line="248" w:lineRule="auto"/>
        <w:tabs>
          <w:tab w:leader="none" w:pos="881" w:val="left"/>
        </w:tabs>
        <w:numPr>
          <w:ilvl w:val="0"/>
          <w:numId w:val="25"/>
        </w:numPr>
        <w:rPr>
          <w:rFonts w:ascii="Arial" w:cs="Arial" w:eastAsia="Arial" w:hAnsi="Arial"/>
          <w:sz w:val="15"/>
          <w:szCs w:val="15"/>
          <w:color w:val="auto"/>
        </w:rPr>
      </w:pPr>
      <w:r>
        <w:rPr>
          <w:rFonts w:ascii="Arial" w:cs="Arial" w:eastAsia="Arial" w:hAnsi="Arial"/>
          <w:sz w:val="15"/>
          <w:szCs w:val="15"/>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0" w:name="page71"/>
    <w:bookmarkEnd w:id="70"/>
    <w:p>
      <w:pPr>
        <w:jc w:val="both"/>
        <w:ind w:firstLine="532"/>
        <w:spacing w:after="0" w:line="251" w:lineRule="auto"/>
        <w:tabs>
          <w:tab w:leader="none" w:pos="895" w:val="left"/>
        </w:tabs>
        <w:numPr>
          <w:ilvl w:val="0"/>
          <w:numId w:val="26"/>
        </w:numPr>
        <w:rPr>
          <w:rFonts w:ascii="Arial" w:cs="Arial" w:eastAsia="Arial" w:hAnsi="Arial"/>
          <w:sz w:val="15"/>
          <w:szCs w:val="15"/>
          <w:color w:val="auto"/>
        </w:rPr>
      </w:pPr>
      <w:r>
        <w:rPr>
          <w:rFonts w:ascii="Arial" w:cs="Arial" w:eastAsia="Arial" w:hAnsi="Arial"/>
          <w:sz w:val="15"/>
          <w:szCs w:val="15"/>
          <w:color w:val="auto"/>
        </w:rPr>
        <w:t>has failed, within three (3) Business Days after request by an Administrative Agent or any Borrower, to confirm in writing to such Administrative Agent and such Borrower that it will comply with its funding obligations hereunder (provided that such Lender shall cease to be a Defaulting Lender pursuant to this clause (c) upon receipt of such written confirmation by such Administrative Agent and such Borrower); or</w:t>
      </w:r>
    </w:p>
    <w:p>
      <w:pPr>
        <w:spacing w:after="0" w:line="158" w:lineRule="exact"/>
        <w:rPr>
          <w:rFonts w:ascii="Arial" w:cs="Arial" w:eastAsia="Arial" w:hAnsi="Arial"/>
          <w:sz w:val="15"/>
          <w:szCs w:val="15"/>
          <w:color w:val="auto"/>
        </w:rPr>
      </w:pPr>
    </w:p>
    <w:p>
      <w:pPr>
        <w:jc w:val="both"/>
        <w:ind w:firstLine="532"/>
        <w:spacing w:after="0" w:line="251" w:lineRule="auto"/>
        <w:tabs>
          <w:tab w:leader="none" w:pos="969" w:val="left"/>
        </w:tabs>
        <w:numPr>
          <w:ilvl w:val="0"/>
          <w:numId w:val="26"/>
        </w:numPr>
        <w:rPr>
          <w:rFonts w:ascii="Arial" w:cs="Arial" w:eastAsia="Arial" w:hAnsi="Arial"/>
          <w:sz w:val="15"/>
          <w:szCs w:val="15"/>
          <w:color w:val="auto"/>
        </w:rPr>
      </w:pPr>
      <w:r>
        <w:rPr>
          <w:rFonts w:ascii="Arial" w:cs="Arial" w:eastAsia="Arial" w:hAnsi="Arial"/>
          <w:sz w:val="15"/>
          <w:szCs w:val="15"/>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63"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Designated Person</w:t>
      </w:r>
      <w:r>
        <w:rPr>
          <w:rFonts w:ascii="Arial" w:cs="Arial" w:eastAsia="Arial" w:hAnsi="Arial"/>
          <w:sz w:val="15"/>
          <w:szCs w:val="15"/>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Arial" w:cs="Arial" w:eastAsia="Arial" w:hAnsi="Arial"/>
          <w:sz w:val="15"/>
          <w:szCs w:val="15"/>
          <w:i w:val="1"/>
          <w:iCs w:val="1"/>
          <w:color w:val="auto"/>
        </w:rPr>
        <w:t>SDN</w:t>
      </w:r>
      <w:r>
        <w:rPr>
          <w:rFonts w:ascii="Arial" w:cs="Arial" w:eastAsia="Arial" w:hAnsi="Arial"/>
          <w:sz w:val="15"/>
          <w:szCs w:val="15"/>
          <w:color w:val="auto"/>
        </w:rPr>
        <w:t>”) on the most current list published by OFAC at its official website or any replacement website or other replacement official publication of such list (“</w:t>
      </w:r>
      <w:r>
        <w:rPr>
          <w:rFonts w:ascii="Arial" w:cs="Arial" w:eastAsia="Arial" w:hAnsi="Arial"/>
          <w:sz w:val="15"/>
          <w:szCs w:val="15"/>
          <w:i w:val="1"/>
          <w:iCs w:val="1"/>
          <w:color w:val="auto"/>
        </w:rPr>
        <w:t>SDN List</w:t>
      </w:r>
      <w:r>
        <w:rPr>
          <w:rFonts w:ascii="Arial" w:cs="Arial" w:eastAsia="Arial" w:hAnsi="Arial"/>
          <w:sz w:val="15"/>
          <w:szCs w:val="15"/>
          <w:color w:val="auto"/>
        </w:rPr>
        <w:t>”); or (c) listed in any sanctions-related list of designated persons maintained by the United Nations Security Council, the European Union or any European Union member state.</w:t>
      </w:r>
    </w:p>
    <w:p>
      <w:pPr>
        <w:spacing w:after="0" w:line="161"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Discount Proceeds</w:t>
      </w:r>
      <w:r>
        <w:rPr>
          <w:rFonts w:ascii="Arial" w:cs="Arial" w:eastAsia="Arial" w:hAnsi="Arial"/>
          <w:sz w:val="15"/>
          <w:szCs w:val="15"/>
          <w:color w:val="auto"/>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Arial" w:cs="Arial" w:eastAsia="Arial" w:hAnsi="Arial"/>
          <w:sz w:val="15"/>
          <w:szCs w:val="15"/>
          <w:i w:val="1"/>
          <w:iCs w:val="1"/>
          <w:color w:val="auto"/>
        </w:rPr>
        <w:t>Face Amount</w:t>
      </w:r>
      <w:r>
        <w:rPr>
          <w:rFonts w:ascii="Arial" w:cs="Arial" w:eastAsia="Arial" w:hAnsi="Arial"/>
          <w:sz w:val="15"/>
          <w:szCs w:val="15"/>
          <w:color w:val="auto"/>
        </w:rPr>
        <w:t>” is the face amount of such Bankers’ Acceptance and “</w:t>
      </w:r>
      <w:r>
        <w:rPr>
          <w:rFonts w:ascii="Arial" w:cs="Arial" w:eastAsia="Arial" w:hAnsi="Arial"/>
          <w:sz w:val="15"/>
          <w:szCs w:val="15"/>
          <w:i w:val="1"/>
          <w:iCs w:val="1"/>
          <w:color w:val="auto"/>
        </w:rPr>
        <w:t>Price</w:t>
      </w:r>
      <w:r>
        <w:rPr>
          <w:rFonts w:ascii="Arial" w:cs="Arial" w:eastAsia="Arial" w:hAnsi="Arial"/>
          <w:sz w:val="15"/>
          <w:szCs w:val="15"/>
          <w:color w:val="auto"/>
        </w:rPr>
        <w:t>” is equal to:</w:t>
      </w:r>
    </w:p>
    <w:p>
      <w:pPr>
        <w:spacing w:after="0" w:line="158"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-12065</wp:posOffset>
            </wp:positionV>
            <wp:extent cx="50863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8635" cy="6985"/>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5"/>
          <w:szCs w:val="15"/>
          <w:color w:val="auto"/>
        </w:rPr>
        <w:t>(1 + (Rate x Term)) x 365</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where the “</w:t>
      </w:r>
      <w:r>
        <w:rPr>
          <w:rFonts w:ascii="Arial" w:cs="Arial" w:eastAsia="Arial" w:hAnsi="Arial"/>
          <w:sz w:val="15"/>
          <w:szCs w:val="15"/>
          <w:i w:val="1"/>
          <w:iCs w:val="1"/>
          <w:color w:val="auto"/>
        </w:rPr>
        <w:t>Rate</w:t>
      </w:r>
      <w:r>
        <w:rPr>
          <w:rFonts w:ascii="Arial" w:cs="Arial" w:eastAsia="Arial" w:hAnsi="Arial"/>
          <w:sz w:val="15"/>
          <w:szCs w:val="15"/>
          <w:color w:val="auto"/>
        </w:rPr>
        <w:t>” is the applicable Discount Rate expressed as a decimal on the day of purchase; the “</w:t>
      </w:r>
      <w:r>
        <w:rPr>
          <w:rFonts w:ascii="Arial" w:cs="Arial" w:eastAsia="Arial" w:hAnsi="Arial"/>
          <w:sz w:val="15"/>
          <w:szCs w:val="15"/>
          <w:i w:val="1"/>
          <w:iCs w:val="1"/>
          <w:color w:val="auto"/>
        </w:rPr>
        <w:t>Term</w:t>
      </w:r>
      <w:r>
        <w:rPr>
          <w:rFonts w:ascii="Arial" w:cs="Arial" w:eastAsia="Arial" w:hAnsi="Arial"/>
          <w:sz w:val="15"/>
          <w:szCs w:val="15"/>
          <w:color w:val="auto"/>
        </w:rPr>
        <w:t>” is the term of such Bankers' Acceptance expressed as a number of days; and the Price as so determined is rounded up or down to the fifth decimal place with .000005 being rounded up.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1" w:name="page72"/>
    <w:bookmarkEnd w:id="71"/>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Discount Rate</w:t>
      </w:r>
      <w:r>
        <w:rPr>
          <w:rFonts w:ascii="Arial" w:cs="Arial" w:eastAsia="Arial" w:hAnsi="Arial"/>
          <w:sz w:val="15"/>
          <w:szCs w:val="15"/>
          <w:color w:val="auto"/>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Documents</w:t>
      </w:r>
      <w:r>
        <w:rPr>
          <w:rFonts w:ascii="Arial" w:cs="Arial" w:eastAsia="Arial" w:hAnsi="Arial"/>
          <w:sz w:val="15"/>
          <w:szCs w:val="15"/>
          <w:color w:val="auto"/>
        </w:rPr>
        <w:t>” shall have the meaning assigned to such term in Section 1.03(b).</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dollars</w:t>
      </w:r>
      <w:r>
        <w:rPr>
          <w:rFonts w:ascii="Arial" w:cs="Arial" w:eastAsia="Arial" w:hAnsi="Arial"/>
          <w:sz w:val="15"/>
          <w:szCs w:val="15"/>
          <w:color w:val="auto"/>
        </w:rPr>
        <w:t>”, “</w:t>
      </w:r>
      <w:r>
        <w:rPr>
          <w:rFonts w:ascii="Arial" w:cs="Arial" w:eastAsia="Arial" w:hAnsi="Arial"/>
          <w:sz w:val="15"/>
          <w:szCs w:val="15"/>
          <w:i w:val="1"/>
          <w:iCs w:val="1"/>
          <w:color w:val="auto"/>
        </w:rPr>
        <w:t>U.S. dollars</w:t>
      </w:r>
      <w:r>
        <w:rPr>
          <w:rFonts w:ascii="Arial" w:cs="Arial" w:eastAsia="Arial" w:hAnsi="Arial"/>
          <w:sz w:val="15"/>
          <w:szCs w:val="15"/>
          <w:color w:val="auto"/>
        </w:rPr>
        <w:t>”, “</w:t>
      </w:r>
      <w:r>
        <w:rPr>
          <w:rFonts w:ascii="Arial" w:cs="Arial" w:eastAsia="Arial" w:hAnsi="Arial"/>
          <w:sz w:val="15"/>
          <w:szCs w:val="15"/>
          <w:i w:val="1"/>
          <w:iCs w:val="1"/>
          <w:color w:val="auto"/>
        </w:rPr>
        <w:t>U.S.</w:t>
      </w:r>
      <w:r>
        <w:rPr>
          <w:rFonts w:ascii="Arial" w:cs="Arial" w:eastAsia="Arial" w:hAnsi="Arial"/>
          <w:sz w:val="15"/>
          <w:szCs w:val="15"/>
          <w:color w:val="auto"/>
        </w:rPr>
        <w:t>$” or “</w:t>
      </w:r>
      <w:r>
        <w:rPr>
          <w:rFonts w:ascii="Arial" w:cs="Arial" w:eastAsia="Arial" w:hAnsi="Arial"/>
          <w:sz w:val="15"/>
          <w:szCs w:val="15"/>
          <w:i w:val="1"/>
          <w:iCs w:val="1"/>
          <w:color w:val="auto"/>
        </w:rPr>
        <w:t>$</w:t>
      </w:r>
      <w:r>
        <w:rPr>
          <w:rFonts w:ascii="Arial" w:cs="Arial" w:eastAsia="Arial" w:hAnsi="Arial"/>
          <w:sz w:val="15"/>
          <w:szCs w:val="15"/>
          <w:color w:val="auto"/>
        </w:rPr>
        <w:t>” shall mean lawful money of the United States of America.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Domestic Subsidiaries</w:t>
      </w:r>
      <w:r>
        <w:rPr>
          <w:rFonts w:ascii="Arial" w:cs="Arial" w:eastAsia="Arial" w:hAnsi="Arial"/>
          <w:sz w:val="14"/>
          <w:szCs w:val="14"/>
          <w:color w:val="auto"/>
        </w:rPr>
        <w:t>” shall mean all Subsidiaries incorporated or organized under the laws of the United States of America, any State thereof or the District of Columbia.</w:t>
      </w:r>
    </w:p>
    <w:p>
      <w:pPr>
        <w:spacing w:after="0" w:line="189"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EBITDA</w:t>
      </w:r>
      <w:r>
        <w:rPr>
          <w:rFonts w:ascii="Arial" w:cs="Arial" w:eastAsia="Arial" w:hAnsi="Arial"/>
          <w:sz w:val="14"/>
          <w:szCs w:val="14"/>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and (v) transaction costs associated with the Transactions in an aggregate amount not to exceed $25,000,000 plus such additional amounts as a result of currency exchange fluctuations in an amount reasonably acceptable to the Administrative Agent,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Eligible Assignee</w:t>
      </w:r>
      <w:r>
        <w:rPr>
          <w:rFonts w:ascii="Arial" w:cs="Arial" w:eastAsia="Arial" w:hAnsi="Arial"/>
          <w:sz w:val="15"/>
          <w:szCs w:val="15"/>
          <w:color w:val="auto"/>
        </w:rPr>
        <w:t>” shall mean (a) a Lender, (b) an Affiliate of a Lender, (c) an Approved Fund, and (d) any other person (other than a natural person).</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Environmental Laws</w:t>
      </w:r>
      <w:r>
        <w:rPr>
          <w:rFonts w:ascii="Arial" w:cs="Arial" w:eastAsia="Arial" w:hAnsi="Arial"/>
          <w:sz w:val="15"/>
          <w:szCs w:val="15"/>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61"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Environmental Liability</w:t>
      </w:r>
      <w:r>
        <w:rPr>
          <w:rFonts w:ascii="Arial" w:cs="Arial" w:eastAsia="Arial" w:hAnsi="Arial"/>
          <w:sz w:val="12"/>
          <w:szCs w:val="12"/>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2" w:name="page73"/>
    <w:bookmarkEnd w:id="72"/>
    <w:p>
      <w:pPr>
        <w:jc w:val="both"/>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Equity Interest</w:t>
      </w:r>
      <w:r>
        <w:rPr>
          <w:rFonts w:ascii="Arial" w:cs="Arial" w:eastAsia="Arial" w:hAnsi="Arial"/>
          <w:sz w:val="12"/>
          <w:szCs w:val="12"/>
          <w:color w:val="auto"/>
        </w:rPr>
        <w:t>s”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ERISA</w:t>
      </w:r>
      <w:r>
        <w:rPr>
          <w:rFonts w:ascii="Arial" w:cs="Arial" w:eastAsia="Arial" w:hAnsi="Arial"/>
          <w:sz w:val="15"/>
          <w:szCs w:val="15"/>
          <w:color w:val="auto"/>
        </w:rPr>
        <w:t>” shall mean the Employee Retirement Income Security Act of 1974, as the same may be amended from time to time.</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ERISA Affiliate</w:t>
      </w:r>
      <w:r>
        <w:rPr>
          <w:rFonts w:ascii="Arial" w:cs="Arial" w:eastAsia="Arial" w:hAnsi="Arial"/>
          <w:sz w:val="15"/>
          <w:szCs w:val="15"/>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52"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ERISA Event</w:t>
      </w:r>
      <w:r>
        <w:rPr>
          <w:rFonts w:ascii="Arial" w:cs="Arial" w:eastAsia="Arial" w:hAnsi="Arial"/>
          <w:sz w:val="15"/>
          <w:szCs w:val="15"/>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 (d) 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or in reorganization, within the meaning of Title IV of ERISA; (g) the occurrence of a “prohibited transaction” with respect to which a Borrower or any of the Subsidiaries is a “disqualified person” (within the meaning of Section 4975 of the Code) or with respect to which a Borrower or any such Subsidiary could otherwise be liable; or (h) any other event or condition with respect to a Plan or Multiemployer Plan that could result in liability of a Borrower or any Subsidiary.</w:t>
      </w:r>
    </w:p>
    <w:p>
      <w:pPr>
        <w:spacing w:after="0" w:line="163"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Eurocurrency</w:t>
      </w:r>
      <w:r>
        <w:rPr>
          <w:rFonts w:ascii="Arial" w:cs="Arial" w:eastAsia="Arial" w:hAnsi="Arial"/>
          <w:sz w:val="15"/>
          <w:szCs w:val="15"/>
          <w:color w:val="auto"/>
        </w:rPr>
        <w:t>”, when used in reference to any Loan or Borrowing, refers to whether such Loan, or the Loans comprising such Borrowing, are bearing interest at a rate determined by reference to the Adjusted LIBO Rate.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Event of Default</w:t>
      </w:r>
      <w:r>
        <w:rPr>
          <w:rFonts w:ascii="Arial" w:cs="Arial" w:eastAsia="Arial" w:hAnsi="Arial"/>
          <w:sz w:val="15"/>
          <w:szCs w:val="15"/>
          <w:color w:val="auto"/>
        </w:rPr>
        <w:t>” shall have the meaning assigned to such term in Article VII.</w:t>
      </w:r>
    </w:p>
    <w:p>
      <w:pPr>
        <w:spacing w:after="0" w:line="177"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Exchange Rate</w:t>
      </w:r>
      <w:r>
        <w:rPr>
          <w:rFonts w:ascii="Arial" w:cs="Arial" w:eastAsia="Arial" w:hAnsi="Arial"/>
          <w:sz w:val="12"/>
          <w:szCs w:val="12"/>
          <w:color w:val="auto"/>
        </w:rPr>
        <w:t xml:space="preserve">” shall mean, on any day, (a) with respect to the Canadian Revolving Credit Facility only, for purposes of determining the U.S. Dollar Equivalent of Canadian dollars and the Canadian Dollar Equivalent, the Bank of Canada spot rate of exchange at which Canadian dollars may be exchanged into U.S. Dollars or at which U.S. Dollars may be exchanged into Canadian dollars, respectively at approximately 12:00 p.m. (Standard Time) on such day, and (b)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U.S.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3" w:name="page74"/>
    <w:bookmarkEnd w:id="73"/>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Exchangeable Shares</w:t>
      </w:r>
      <w:r>
        <w:rPr>
          <w:rFonts w:ascii="Arial" w:cs="Arial" w:eastAsia="Arial" w:hAnsi="Arial"/>
          <w:sz w:val="15"/>
          <w:szCs w:val="15"/>
          <w:color w:val="auto"/>
        </w:rPr>
        <w:t>” shall mean the non-voting Exchangeable Shares in the capital of PTI Holdco, issued to certain current or former shareholders of the Canadian Parent outstanding as of the Closing Date.</w:t>
      </w:r>
    </w:p>
    <w:p>
      <w:pPr>
        <w:spacing w:after="0" w:line="152" w:lineRule="exact"/>
        <w:rPr>
          <w:sz w:val="20"/>
          <w:szCs w:val="20"/>
          <w:color w:val="auto"/>
        </w:rPr>
      </w:pPr>
    </w:p>
    <w:p>
      <w:pPr>
        <w:jc w:val="both"/>
        <w:ind w:firstLine="525"/>
        <w:spacing w:after="0" w:line="31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Excluded Taxes</w:t>
      </w:r>
      <w:r>
        <w:rPr>
          <w:rFonts w:ascii="Arial" w:cs="Arial" w:eastAsia="Arial" w:hAnsi="Arial"/>
          <w:sz w:val="12"/>
          <w:szCs w:val="12"/>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or Swing Line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a Borrower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(d) any U.S. federal withholding Taxes imposed under FATCA; (e) any Australian Withholding Taxes which arise in respect of interest paid or payable to a Lender that is an Offshore Associate of the Australian Borrower, or as a result of there being less than two Lenders under this Agreement; (f) Taxes that are a result of any representation or warranty given by the Lead Arranger or a Lender under Section 9.22 being untrue or that are a result of the Lead Arranger or a Lender breaching an undertaking contained in Section 9.22; (g) Taxes which arise from the failure of (1) 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4" w:name="page75"/>
    <w:bookmarkEnd w:id="74"/>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Existing OSI Credit Agreement</w:t>
      </w:r>
      <w:r>
        <w:rPr>
          <w:rFonts w:ascii="Arial" w:cs="Arial" w:eastAsia="Arial" w:hAnsi="Arial"/>
          <w:sz w:val="14"/>
          <w:szCs w:val="14"/>
          <w:color w:val="auto"/>
        </w:rPr>
        <w:t>” shall mean that certain Amended and Restated Credit Agreement, dated December 10, 2010, as amended from time to time, among Oil States, the other borrowers party thereto, the lenders party thereto from time to time, Wells Fargo Bank, N.A., as administrative agent and the other agents party thereto.</w:t>
      </w:r>
    </w:p>
    <w:p>
      <w:pPr>
        <w:spacing w:after="0" w:line="130"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Existing MAC Group Credit Agreement</w:t>
      </w:r>
      <w:r>
        <w:rPr>
          <w:rFonts w:ascii="Arial" w:cs="Arial" w:eastAsia="Arial" w:hAnsi="Arial"/>
          <w:sz w:val="15"/>
          <w:szCs w:val="15"/>
          <w:color w:val="auto"/>
        </w:rPr>
        <w:t>” shall mean that certain Syndicated Facility Agreement, dated as of September 18, 2012, among the Australian Borrower, J.P. Morgan Australia Limited, as Australian agent and security trustee, the other agents and issuing banks party thereto and the lenders from time to time party thereto.</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Facility</w:t>
      </w:r>
      <w:r>
        <w:rPr>
          <w:rFonts w:ascii="Arial" w:cs="Arial" w:eastAsia="Arial" w:hAnsi="Arial"/>
          <w:sz w:val="15"/>
          <w:szCs w:val="15"/>
          <w:color w:val="auto"/>
        </w:rPr>
        <w:t>” shall mean the U.S. Revolving Credit Facility, the U.S. Term Loan Facility, the Canadian Revolving Credit Facility or the Australian Revolving Facility, in each case as the context may require.</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FATCA</w:t>
      </w:r>
      <w:r>
        <w:rPr>
          <w:rFonts w:ascii="Arial" w:cs="Arial" w:eastAsia="Arial" w:hAnsi="Arial"/>
          <w:sz w:val="15"/>
          <w:szCs w:val="15"/>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FCPA</w:t>
      </w:r>
      <w:r>
        <w:rPr>
          <w:rFonts w:ascii="Arial" w:cs="Arial" w:eastAsia="Arial" w:hAnsi="Arial"/>
          <w:sz w:val="15"/>
          <w:szCs w:val="15"/>
          <w:color w:val="auto"/>
        </w:rPr>
        <w:t>” shall mean the United States Foreign Corrupt Practices Act of 1977.</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Federal Funds Effective Rate</w:t>
      </w:r>
      <w:r>
        <w:rPr>
          <w:rFonts w:ascii="Arial" w:cs="Arial" w:eastAsia="Arial" w:hAnsi="Arial"/>
          <w:sz w:val="12"/>
          <w:szCs w:val="12"/>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Fee Letter</w:t>
      </w:r>
      <w:r>
        <w:rPr>
          <w:rFonts w:ascii="Arial" w:cs="Arial" w:eastAsia="Arial" w:hAnsi="Arial"/>
          <w:sz w:val="15"/>
          <w:szCs w:val="15"/>
          <w:color w:val="auto"/>
        </w:rPr>
        <w:t>” shall mean the letter agreement dated as of April 4, 2014 between the U.S. Borrower and RBC.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Fees</w:t>
      </w:r>
      <w:r>
        <w:rPr>
          <w:rFonts w:ascii="Arial" w:cs="Arial" w:eastAsia="Arial" w:hAnsi="Arial"/>
          <w:sz w:val="15"/>
          <w:szCs w:val="15"/>
          <w:color w:val="auto"/>
        </w:rPr>
        <w:t>” shall mean, collectively, the Commitment Fees, the L/C Participation Fees, the Issuing Bank Fees and all fees set forth in the Fee Letter.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5" w:name="page76"/>
    <w:bookmarkEnd w:id="75"/>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Financial Officer</w:t>
      </w:r>
      <w:r>
        <w:rPr>
          <w:rFonts w:ascii="Arial" w:cs="Arial" w:eastAsia="Arial" w:hAnsi="Arial"/>
          <w:sz w:val="15"/>
          <w:szCs w:val="15"/>
          <w:color w:val="auto"/>
        </w:rPr>
        <w:t>” of any person shall mean the chief financial officer, principal accounting officer, treasurer or controller of such person.</w:t>
      </w:r>
    </w:p>
    <w:p>
      <w:pPr>
        <w:spacing w:after="0" w:line="177"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Foreign Lender</w:t>
      </w:r>
      <w:r>
        <w:rPr>
          <w:rFonts w:ascii="Arial" w:cs="Arial" w:eastAsia="Arial" w:hAnsi="Arial"/>
          <w:sz w:val="14"/>
          <w:szCs w:val="14"/>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thereof shall be deemed to constitute a single jurisdiction and Australia and each state and territory thereof shall be deemed to constitute a single jurisdiction.</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Foreign Subsidiary</w:t>
      </w:r>
      <w:r>
        <w:rPr>
          <w:rFonts w:ascii="Arial" w:cs="Arial" w:eastAsia="Arial" w:hAnsi="Arial"/>
          <w:sz w:val="15"/>
          <w:szCs w:val="15"/>
          <w:color w:val="auto"/>
        </w:rPr>
        <w:t>” shall mean any Subsidiary that is not a Domestic Subsidiary.</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Form 10</w:t>
      </w:r>
      <w:r>
        <w:rPr>
          <w:rFonts w:ascii="Arial" w:cs="Arial" w:eastAsia="Arial" w:hAnsi="Arial"/>
          <w:sz w:val="15"/>
          <w:szCs w:val="15"/>
          <w:color w:val="auto"/>
        </w:rPr>
        <w:t>” shall mean the registration statement on Form 10 (No. 001-36246), including all exhibits and schedules thereto, filed by the U.S. Borrower with the SEC on December 12, 2013, as amended or supplemented to (but not including) the Closing Date, or by any amendment or supplement thereto filed on or after the Closing Date so long as such amendment or supplement is not adverse in any material respect to the interests of the Lenders or as otherwise approved by the Lead Arranger.</w:t>
      </w:r>
    </w:p>
    <w:p>
      <w:pPr>
        <w:spacing w:after="0" w:line="158"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Fronting Exposure</w:t>
      </w:r>
      <w:r>
        <w:rPr>
          <w:rFonts w:ascii="Arial" w:cs="Arial" w:eastAsia="Arial" w:hAnsi="Arial"/>
          <w:sz w:val="12"/>
          <w:szCs w:val="12"/>
          <w:color w:val="auto"/>
        </w:rPr>
        <w:t xml:space="preserve">”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w:t>
      </w:r>
      <w:r>
        <w:rPr>
          <w:rFonts w:ascii="Arial" w:cs="Arial" w:eastAsia="Arial" w:hAnsi="Arial"/>
          <w:sz w:val="12"/>
          <w:szCs w:val="12"/>
          <w:i w:val="1"/>
          <w:iCs w:val="1"/>
          <w:color w:val="auto"/>
        </w:rPr>
        <w:t>less</w:t>
      </w:r>
      <w:r>
        <w:rPr>
          <w:rFonts w:ascii="Arial" w:cs="Arial" w:eastAsia="Arial" w:hAnsi="Arial"/>
          <w:sz w:val="12"/>
          <w:szCs w:val="12"/>
          <w:color w:val="auto"/>
        </w:rPr>
        <w:t xml:space="preserve"> (b) any portion of the amount calculated under clause (a) above the risk participation with respect to which has been reallocated to other Applicable Lenders or Cash Collateralized in accordance with the terms hereof.</w:t>
      </w:r>
    </w:p>
    <w:p>
      <w:pPr>
        <w:spacing w:after="0" w:line="115"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FSHCO”</w:t>
      </w:r>
      <w:r>
        <w:rPr>
          <w:rFonts w:ascii="Arial" w:cs="Arial" w:eastAsia="Arial" w:hAnsi="Arial"/>
          <w:sz w:val="15"/>
          <w:szCs w:val="15"/>
          <w:color w:val="auto"/>
        </w:rPr>
        <w:t xml:space="preserve"> shall mean any Subsidiary that is a disregarded entity for U.S. federal income tax purposes substantially all of the assets of which consist of, directly or indirectly, Equity Interests in or Indebtedness of Foreign Subsidiaries.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Fund</w:t>
      </w:r>
      <w:r>
        <w:rPr>
          <w:rFonts w:ascii="Arial" w:cs="Arial" w:eastAsia="Arial" w:hAnsi="Arial"/>
          <w:sz w:val="15"/>
          <w:szCs w:val="15"/>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Funding Date</w:t>
      </w:r>
      <w:r>
        <w:rPr>
          <w:rFonts w:ascii="Arial" w:cs="Arial" w:eastAsia="Arial" w:hAnsi="Arial"/>
          <w:sz w:val="15"/>
          <w:szCs w:val="15"/>
          <w:color w:val="auto"/>
        </w:rPr>
        <w:t>” shall mean the date upon which all of the conditions set forth in Section 4.03 are satisfied or waived in accordance with Section 9.08(b) and the funding of the U.S. Term Loans is made.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shall mean United States generally accepted accounting principles applied on a consistent basis.</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Governmental Authority</w:t>
      </w:r>
      <w:r>
        <w:rPr>
          <w:rFonts w:ascii="Arial" w:cs="Arial" w:eastAsia="Arial" w:hAnsi="Arial"/>
          <w:sz w:val="15"/>
          <w:szCs w:val="15"/>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6" w:name="page77"/>
    <w:bookmarkEnd w:id="7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Granting Lender</w:t>
      </w:r>
      <w:r>
        <w:rPr>
          <w:rFonts w:ascii="Arial" w:cs="Arial" w:eastAsia="Arial" w:hAnsi="Arial"/>
          <w:sz w:val="15"/>
          <w:szCs w:val="15"/>
          <w:color w:val="auto"/>
        </w:rPr>
        <w:t>” shall have the meaning assigned to such term in Section 9.04(g).</w:t>
      </w:r>
    </w:p>
    <w:p>
      <w:pPr>
        <w:spacing w:after="0" w:line="177" w:lineRule="exact"/>
        <w:rPr>
          <w:sz w:val="20"/>
          <w:szCs w:val="20"/>
          <w:color w:val="auto"/>
        </w:rPr>
      </w:pPr>
    </w:p>
    <w:p>
      <w:pPr>
        <w:jc w:val="both"/>
        <w:ind w:firstLine="525"/>
        <w:spacing w:after="0" w:line="31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Guarantee</w:t>
      </w:r>
      <w:r>
        <w:rPr>
          <w:rFonts w:ascii="Arial" w:cs="Arial" w:eastAsia="Arial" w:hAnsi="Arial"/>
          <w:sz w:val="12"/>
          <w:szCs w:val="12"/>
          <w:color w:val="auto"/>
        </w:rPr>
        <w:t>” of or by any person shall mean (a) any obligation, contingent or otherwise, of such person guaranteeing or having the economic effect of guaranteeing any Indebtedness of any other person (the “</w:t>
      </w:r>
      <w:r>
        <w:rPr>
          <w:rFonts w:ascii="Arial" w:cs="Arial" w:eastAsia="Arial" w:hAnsi="Arial"/>
          <w:sz w:val="12"/>
          <w:szCs w:val="12"/>
          <w:i w:val="1"/>
          <w:iCs w:val="1"/>
          <w:color w:val="auto"/>
        </w:rPr>
        <w:t>primary obligor</w:t>
      </w:r>
      <w:r>
        <w:rPr>
          <w:rFonts w:ascii="Arial" w:cs="Arial" w:eastAsia="Arial" w:hAnsi="Arial"/>
          <w:sz w:val="12"/>
          <w:szCs w:val="12"/>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term “Guarantee” shall not include endorsements for collection or deposit in the ordinary course of business.</w:t>
      </w:r>
    </w:p>
    <w:p>
      <w:pPr>
        <w:spacing w:after="0" w:line="125"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Guarantee Agreements</w:t>
      </w:r>
      <w:r>
        <w:rPr>
          <w:rFonts w:ascii="Arial" w:cs="Arial" w:eastAsia="Arial" w:hAnsi="Arial"/>
          <w:sz w:val="15"/>
          <w:szCs w:val="15"/>
          <w:color w:val="auto"/>
        </w:rPr>
        <w:t>” shall mean, collectively, the U.S. Subsidiary Guarantee Agreement, and, following the execution and delivery thereof by the parties thereto, the Australian Guarantee Agreement and the Canadian Guarantee Agreement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Guarantors</w:t>
      </w:r>
      <w:r>
        <w:rPr>
          <w:rFonts w:ascii="Arial" w:cs="Arial" w:eastAsia="Arial" w:hAnsi="Arial"/>
          <w:sz w:val="15"/>
          <w:szCs w:val="15"/>
          <w:color w:val="auto"/>
        </w:rPr>
        <w:t>” shall mean, collectively, the Borrowers and the Subsidiary Guarantors.</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Hazardous Materials</w:t>
      </w:r>
      <w:r>
        <w:rPr>
          <w:rFonts w:ascii="Arial" w:cs="Arial" w:eastAsia="Arial" w:hAnsi="Arial"/>
          <w:sz w:val="15"/>
          <w:szCs w:val="15"/>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5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Hedging Agreement</w:t>
      </w:r>
      <w:r>
        <w:rPr>
          <w:rFonts w:ascii="Arial" w:cs="Arial" w:eastAsia="Arial" w:hAnsi="Arial"/>
          <w:sz w:val="15"/>
          <w:szCs w:val="15"/>
          <w:color w:val="auto"/>
        </w:rPr>
        <w:t>” shall mean any interest rate protection agreement, foreign currency exchange agreement, commodity price protection agreement or other interest or currency exchange rate or commodity price hedging arrangement.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Increased Amount Date</w:t>
      </w:r>
      <w:r>
        <w:rPr>
          <w:rFonts w:ascii="Arial" w:cs="Arial" w:eastAsia="Arial" w:hAnsi="Arial"/>
          <w:sz w:val="15"/>
          <w:szCs w:val="15"/>
          <w:color w:val="auto"/>
        </w:rPr>
        <w:t>” shall have the meaning assigned to such term in Section 2.25.</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Incremental Lender</w:t>
      </w:r>
      <w:r>
        <w:rPr>
          <w:rFonts w:ascii="Arial" w:cs="Arial" w:eastAsia="Arial" w:hAnsi="Arial"/>
          <w:sz w:val="15"/>
          <w:szCs w:val="15"/>
          <w:color w:val="auto"/>
        </w:rPr>
        <w:t>” shall have the meaning assigned to such term in Section 2.25.</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Incremental Revolving Commitment</w:t>
      </w:r>
      <w:r>
        <w:rPr>
          <w:rFonts w:ascii="Arial" w:cs="Arial" w:eastAsia="Arial" w:hAnsi="Arial"/>
          <w:sz w:val="15"/>
          <w:szCs w:val="15"/>
          <w:color w:val="auto"/>
        </w:rPr>
        <w:t>” shall have the meaning assigned to such term in Section 2.25.</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Incremental Revolving Credit Increase</w:t>
      </w:r>
      <w:r>
        <w:rPr>
          <w:rFonts w:ascii="Arial" w:cs="Arial" w:eastAsia="Arial" w:hAnsi="Arial"/>
          <w:sz w:val="15"/>
          <w:szCs w:val="15"/>
          <w:color w:val="auto"/>
        </w:rPr>
        <w:t>” shall have the meaning assigned to such term in Section 2.25.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7" w:name="page78"/>
    <w:bookmarkEnd w:id="77"/>
    <w:p>
      <w:pPr>
        <w:jc w:val="both"/>
        <w:ind w:firstLine="525"/>
        <w:spacing w:after="0" w:line="31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Indebtedness</w:t>
      </w:r>
      <w:r>
        <w:rPr>
          <w:rFonts w:ascii="Arial" w:cs="Arial" w:eastAsia="Arial" w:hAnsi="Arial"/>
          <w:sz w:val="12"/>
          <w:szCs w:val="12"/>
          <w:color w:val="auto"/>
        </w:rPr>
        <w:t>”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300"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Indemnified Taxes</w:t>
      </w:r>
      <w:r>
        <w:rPr>
          <w:rFonts w:ascii="Arial" w:cs="Arial" w:eastAsia="Arial" w:hAnsi="Arial"/>
          <w:sz w:val="15"/>
          <w:szCs w:val="15"/>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52"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Insolvency Law</w:t>
      </w:r>
      <w:r>
        <w:rPr>
          <w:rFonts w:ascii="Arial" w:cs="Arial" w:eastAsia="Arial" w:hAnsi="Arial"/>
          <w:sz w:val="12"/>
          <w:szCs w:val="12"/>
          <w:color w:val="auto"/>
        </w:rPr>
        <w:t xml:space="preserve">” shall mean, to the extent applicable, (a) Title 11 of the United States Code, (b) the </w:t>
      </w:r>
      <w:r>
        <w:rPr>
          <w:rFonts w:ascii="Arial" w:cs="Arial" w:eastAsia="Arial" w:hAnsi="Arial"/>
          <w:sz w:val="12"/>
          <w:szCs w:val="12"/>
          <w:i w:val="1"/>
          <w:iCs w:val="1"/>
          <w:color w:val="auto"/>
        </w:rPr>
        <w:t>Bankruptcy and Insolvency Act</w:t>
      </w:r>
      <w:r>
        <w:rPr>
          <w:rFonts w:ascii="Arial" w:cs="Arial" w:eastAsia="Arial" w:hAnsi="Arial"/>
          <w:sz w:val="12"/>
          <w:szCs w:val="12"/>
          <w:color w:val="auto"/>
        </w:rPr>
        <w:t xml:space="preserve"> (Canada), (c) the </w:t>
      </w:r>
      <w:r>
        <w:rPr>
          <w:rFonts w:ascii="Arial" w:cs="Arial" w:eastAsia="Arial" w:hAnsi="Arial"/>
          <w:sz w:val="12"/>
          <w:szCs w:val="12"/>
          <w:i w:val="1"/>
          <w:iCs w:val="1"/>
          <w:color w:val="auto"/>
        </w:rPr>
        <w:t>Companies’ Creditors Arrangement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Act </w:t>
      </w:r>
      <w:r>
        <w:rPr>
          <w:rFonts w:ascii="Arial" w:cs="Arial" w:eastAsia="Arial" w:hAnsi="Arial"/>
          <w:sz w:val="12"/>
          <w:szCs w:val="12"/>
          <w:color w:val="auto"/>
        </w:rPr>
        <w:t>(Canada), (d) Chapter 5 of the Australian Corporations Act; (e) any similar federal, provincial, state, local or foreign bankruptcy or insolvency law applicable to the U.S. Borrower or any of its</w:t>
      </w:r>
      <w:r>
        <w:rPr>
          <w:rFonts w:ascii="Arial" w:cs="Arial" w:eastAsia="Arial" w:hAnsi="Arial"/>
          <w:sz w:val="12"/>
          <w:szCs w:val="12"/>
          <w:i w:val="1"/>
          <w:iCs w:val="1"/>
          <w:color w:val="auto"/>
        </w:rPr>
        <w:t xml:space="preserve"> </w:t>
      </w:r>
      <w:r>
        <w:rPr>
          <w:rFonts w:ascii="Arial" w:cs="Arial" w:eastAsia="Arial" w:hAnsi="Arial"/>
          <w:sz w:val="12"/>
          <w:szCs w:val="12"/>
          <w:color w:val="auto"/>
        </w:rPr>
        <w:t>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15"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Interest Coverage Ratio</w:t>
      </w:r>
      <w:r>
        <w:rPr>
          <w:rFonts w:ascii="Arial" w:cs="Arial" w:eastAsia="Arial" w:hAnsi="Arial"/>
          <w:sz w:val="15"/>
          <w:szCs w:val="15"/>
          <w:color w:val="auto"/>
        </w:rPr>
        <w:t xml:space="preserve">” for any period shall mean the ratio of (a) Consolidated EBITDA for such period to (b) Consolidated Interest Expense for the U.S. Borrower and the subsidiaries for such period. Solely for purposes of this definition, if, at any time the Interest Coverage Ratio is being determined, the U.S. Borrower or any subsidiary shall have completed a Permitted Acquisition or Asset Sale the consideration of which is greater than $25,000,000 since the beginning of the relevant four fiscal quarter period, the Interest Coverage Ratio shall be determined on a </w:t>
      </w:r>
      <w:r>
        <w:rPr>
          <w:rFonts w:ascii="Arial" w:cs="Arial" w:eastAsia="Arial" w:hAnsi="Arial"/>
          <w:sz w:val="15"/>
          <w:szCs w:val="15"/>
          <w:i w:val="1"/>
          <w:iCs w:val="1"/>
          <w:color w:val="auto"/>
        </w:rPr>
        <w:t xml:space="preserve">pro forma </w:t>
      </w:r>
      <w:r>
        <w:rPr>
          <w:rFonts w:ascii="Arial" w:cs="Arial" w:eastAsia="Arial" w:hAnsi="Arial"/>
          <w:sz w:val="15"/>
          <w:szCs w:val="15"/>
          <w:color w:val="auto"/>
        </w:rPr>
        <w:t>basis (using the criteria therefor described in Section 6.04(i)) as if such Permitted Acquisition or Asset Sale and any related incurrence or repayment of Indebtedness, had occurred at the</w:t>
      </w:r>
      <w:r>
        <w:rPr>
          <w:rFonts w:ascii="Arial" w:cs="Arial" w:eastAsia="Arial" w:hAnsi="Arial"/>
          <w:sz w:val="15"/>
          <w:szCs w:val="15"/>
          <w:i w:val="1"/>
          <w:iCs w:val="1"/>
          <w:color w:val="auto"/>
        </w:rPr>
        <w:t xml:space="preserve"> </w:t>
      </w:r>
      <w:r>
        <w:rPr>
          <w:rFonts w:ascii="Arial" w:cs="Arial" w:eastAsia="Arial" w:hAnsi="Arial"/>
          <w:sz w:val="15"/>
          <w:szCs w:val="15"/>
          <w:color w:val="auto"/>
        </w:rPr>
        <w:t>beginning of such period.</w:t>
      </w:r>
    </w:p>
    <w:p>
      <w:pPr>
        <w:spacing w:after="0" w:line="162"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Interest Payment Date</w:t>
      </w:r>
      <w:r>
        <w:rPr>
          <w:rFonts w:ascii="Arial" w:cs="Arial" w:eastAsia="Arial" w:hAnsi="Arial"/>
          <w:sz w:val="12"/>
          <w:szCs w:val="12"/>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 Borrowing or BBSY Rate Borrowing with an Interest Period of more than three months’ duration, each day that would have been an Interest Payment Date had successive Interest Periods of three months’ duration been applicable to such Borrowing.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8" w:name="page79"/>
    <w:bookmarkEnd w:id="78"/>
    <w:p>
      <w:pPr>
        <w:jc w:val="both"/>
        <w:ind w:firstLine="525"/>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Interest Period</w:t>
      </w:r>
      <w:r>
        <w:rPr>
          <w:rFonts w:ascii="Arial" w:cs="Arial" w:eastAsia="Arial" w:hAnsi="Arial"/>
          <w:sz w:val="14"/>
          <w:szCs w:val="14"/>
          <w:color w:val="auto"/>
        </w:rPr>
        <w:t xml:space="preserve">” shall mean, with respect to any Eurocurrency Borrowing or BBSY Rate Borrowing, the period commencing on the date of such Borrowing and ending on the numerically corresponding day (or, if there is no numerically corresponding day, on the last day) in the calendar month that is 1, 3 or 6 months thereafter (or if available to all Lenders, 12 months or a shorter period), as a Borrower may elect;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IRS</w:t>
      </w:r>
      <w:r>
        <w:rPr>
          <w:rFonts w:ascii="Arial" w:cs="Arial" w:eastAsia="Arial" w:hAnsi="Arial"/>
          <w:sz w:val="15"/>
          <w:szCs w:val="15"/>
          <w:color w:val="auto"/>
        </w:rPr>
        <w:t>” means the United States Internal Revenue Service.</w:t>
      </w:r>
    </w:p>
    <w:p>
      <w:pPr>
        <w:spacing w:after="0" w:line="177"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Issuing Bank</w:t>
      </w:r>
      <w:r>
        <w:rPr>
          <w:rFonts w:ascii="Arial" w:cs="Arial" w:eastAsia="Arial" w:hAnsi="Arial"/>
          <w:sz w:val="15"/>
          <w:szCs w:val="15"/>
          <w:color w:val="auto"/>
        </w:rPr>
        <w:t>” shall mean, as the context may require, (a) RBC, with respect to Letters of Credit issued by it, (b) RBC Europe, with respect to Letters of Credit issued by it, (c) Wells Fargo Bank, N.A., with respect to Letters of Credit issued by it, (d) The Toronto Dominion Bank, with respect to Letters of Credit issued by it, (e) The Bank of Nova Scotia, with respect to Letters of Credit issued by it, (f) National Australia Bank, with respect to Letters of Credit issued by it, (g) with respect to each Rolled Letter of Credit, the Lender that issued such Rolled Letter of Credit and (h) any other Lender that may become an Issuing Bank pursuant to Section 2.21(j) or (l) with respect to Letters of Credit issued by such Lender, or (i)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Issuing Bank Fees</w:t>
      </w:r>
      <w:r>
        <w:rPr>
          <w:rFonts w:ascii="Arial" w:cs="Arial" w:eastAsia="Arial" w:hAnsi="Arial"/>
          <w:sz w:val="15"/>
          <w:szCs w:val="15"/>
          <w:color w:val="auto"/>
        </w:rPr>
        <w:t>” shall have the meaning assigned to such term in Section 2.05(c).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ITA</w:t>
      </w:r>
      <w:r>
        <w:rPr>
          <w:rFonts w:ascii="Arial" w:cs="Arial" w:eastAsia="Arial" w:hAnsi="Arial"/>
          <w:sz w:val="15"/>
          <w:szCs w:val="15"/>
          <w:color w:val="auto"/>
        </w:rPr>
        <w:t xml:space="preserve">” shall mean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as amended, and any successor thereto, and any regulations promulgated thereunder.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L/C Commitment</w:t>
      </w:r>
      <w:r>
        <w:rPr>
          <w:rFonts w:ascii="Arial" w:cs="Arial" w:eastAsia="Arial" w:hAnsi="Arial"/>
          <w:sz w:val="15"/>
          <w:szCs w:val="15"/>
          <w:color w:val="auto"/>
        </w:rPr>
        <w:t>” shall mean the commitment of each Issuing Bank to issue Letters of Credit pursuant to Section 2.21.</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L/C Disbursement</w:t>
      </w:r>
      <w:r>
        <w:rPr>
          <w:rFonts w:ascii="Arial" w:cs="Arial" w:eastAsia="Arial" w:hAnsi="Arial"/>
          <w:sz w:val="15"/>
          <w:szCs w:val="15"/>
          <w:color w:val="auto"/>
        </w:rPr>
        <w:t>” shall mean a payment or disbursement made by an Issuing Bank pursuant to a Letter of Credit.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L/C Participation Fee</w:t>
      </w:r>
      <w:r>
        <w:rPr>
          <w:rFonts w:ascii="Arial" w:cs="Arial" w:eastAsia="Arial" w:hAnsi="Arial"/>
          <w:sz w:val="15"/>
          <w:szCs w:val="15"/>
          <w:color w:val="auto"/>
        </w:rPr>
        <w:t>” shall have the meaning assigned to such term in Section 2.05(c).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Lead Arranger</w:t>
      </w:r>
      <w:r>
        <w:rPr>
          <w:rFonts w:ascii="Arial" w:cs="Arial" w:eastAsia="Arial" w:hAnsi="Arial"/>
          <w:sz w:val="15"/>
          <w:szCs w:val="15"/>
          <w:color w:val="auto"/>
        </w:rPr>
        <w:t>” shall mean RBC Capital Markets.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79" w:name="page80"/>
    <w:bookmarkEnd w:id="79"/>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Lender Joinder Agreement</w:t>
      </w:r>
      <w:r>
        <w:rPr>
          <w:rFonts w:ascii="Arial" w:cs="Arial" w:eastAsia="Arial" w:hAnsi="Arial"/>
          <w:sz w:val="12"/>
          <w:szCs w:val="12"/>
          <w:color w:val="auto"/>
        </w:rPr>
        <w:t>” shall mean a joinder agreement in form and substance reasonably satisfactory to the Applicable Administrative Agent delivered in connection with Section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2.25.</w:t>
      </w:r>
    </w:p>
    <w:p>
      <w:pPr>
        <w:spacing w:after="0" w:line="168"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Lenders</w:t>
      </w:r>
      <w:r>
        <w:rPr>
          <w:rFonts w:ascii="Arial" w:cs="Arial" w:eastAsia="Arial" w:hAnsi="Arial"/>
          <w:sz w:val="14"/>
          <w:szCs w:val="14"/>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30"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Letter of Credit</w:t>
      </w:r>
      <w:r>
        <w:rPr>
          <w:rFonts w:ascii="Arial" w:cs="Arial" w:eastAsia="Arial" w:hAnsi="Arial"/>
          <w:sz w:val="15"/>
          <w:szCs w:val="15"/>
          <w:color w:val="auto"/>
        </w:rPr>
        <w:t xml:space="preserve">” shall mean any standby or commercial letter of credit issued (or, in the case of a Rolled Letter of Credit, deemed issued) pursuant to Section 2.21. A Letter of Credit shall be a “U.S. Letter of Credit” if issued for the account of the U.S. Borrower in U.S. dollars or an Alternative Currency, a “Canadian Letter of Credit” if issued for the account of a Canadian Borrower in Canadian dollars and an “Australian Letter of Credit” issued for the account of an Australian Borrower in Australian dollars;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commercial letter of credit shall be issued under the Australian Revolving Credit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Letter of Credit Application</w:t>
      </w:r>
      <w:r>
        <w:rPr>
          <w:rFonts w:ascii="Arial" w:cs="Arial" w:eastAsia="Arial" w:hAnsi="Arial"/>
          <w:sz w:val="12"/>
          <w:szCs w:val="12"/>
          <w:color w:val="auto"/>
        </w:rPr>
        <w:t>” shall mean an application and agreement for the issuance, amendment or extension of a Letter of Credit in the form from time to time in use by an Issuing</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Bank.</w:t>
      </w:r>
    </w:p>
    <w:p>
      <w:pPr>
        <w:spacing w:after="0" w:line="16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Letter of Credit Documents</w:t>
      </w:r>
      <w:r>
        <w:rPr>
          <w:rFonts w:ascii="Arial" w:cs="Arial" w:eastAsia="Arial" w:hAnsi="Arial"/>
          <w:sz w:val="15"/>
          <w:szCs w:val="15"/>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52"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Leverage Ratio</w:t>
      </w:r>
      <w:r>
        <w:rPr>
          <w:rFonts w:ascii="Arial" w:cs="Arial" w:eastAsia="Arial" w:hAnsi="Arial"/>
          <w:sz w:val="14"/>
          <w:szCs w:val="14"/>
          <w:color w:val="auto"/>
        </w:rPr>
        <w:t xml:space="preserve">” shall mean, on any date, the ratio of Total Debt on such date to Consolidated EBITDA for the period of four consecutive fiscal quarters most recently ended on or prior to such date for which financial statements have been delivered pursuant to Section 5.04(a) or (b). Solely for purposes of this definition, if, at any time the Leverage Ratio is being determined, the U.S. Borrower or any subsidiary shall have completed a Permitted Acquisition or Asset Sale the consideration of which is greater than $25,000,000 since the beginning of the relevant four fiscal quarter period, the Leverage Ratio shall be determined on a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47"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LIBO Rate</w:t>
      </w:r>
      <w:r>
        <w:rPr>
          <w:rFonts w:ascii="Arial" w:cs="Arial" w:eastAsia="Arial" w:hAnsi="Arial"/>
          <w:sz w:val="14"/>
          <w:szCs w:val="14"/>
          <w:color w:val="auto"/>
        </w:rPr>
        <w:t>” shall mean,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provided, however, that,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0" w:name="page81"/>
    <w:bookmarkEnd w:id="80"/>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Lien</w:t>
      </w:r>
      <w:r>
        <w:rPr>
          <w:rFonts w:ascii="Arial" w:cs="Arial" w:eastAsia="Arial" w:hAnsi="Arial"/>
          <w:sz w:val="15"/>
          <w:szCs w:val="15"/>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6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Loan Documents</w:t>
      </w:r>
      <w:r>
        <w:rPr>
          <w:rFonts w:ascii="Arial" w:cs="Arial" w:eastAsia="Arial" w:hAnsi="Arial"/>
          <w:sz w:val="15"/>
          <w:szCs w:val="15"/>
          <w:color w:val="auto"/>
        </w:rPr>
        <w:t xml:space="preserve">” shall mean, collectively, this Agreement, any Notes, if any, issued pursuant to Section 2.04(h), the Guarantee Agreements, the Security Documents, the Australian Land Access Agreements, the Letter of Credit Documents, the Fee Letter and each other certificate, agreement, instrument or other document executed and delivered, in each case, by or on behalf of any Loan Party pursuant to the foregoing;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for purposes of Section 9.08, “Loan Documents” shall mean this Agreement, the Guarantee Agreements and the Security Documents.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Loan Parties</w:t>
      </w:r>
      <w:r>
        <w:rPr>
          <w:rFonts w:ascii="Arial" w:cs="Arial" w:eastAsia="Arial" w:hAnsi="Arial"/>
          <w:sz w:val="15"/>
          <w:szCs w:val="15"/>
          <w:color w:val="auto"/>
        </w:rPr>
        <w:t>” shall mean the Borrowers and the Guarantors.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Loans</w:t>
      </w:r>
      <w:r>
        <w:rPr>
          <w:rFonts w:ascii="Arial" w:cs="Arial" w:eastAsia="Arial" w:hAnsi="Arial"/>
          <w:sz w:val="15"/>
          <w:szCs w:val="15"/>
          <w:color w:val="auto"/>
        </w:rPr>
        <w:t>” shall mean, collectively, the U.S. Loans, the Canadian Revolving Credit Loans, the Australian Revolving Credit Loans and the Swing Line Loans.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Margin Stock</w:t>
      </w:r>
      <w:r>
        <w:rPr>
          <w:rFonts w:ascii="Arial" w:cs="Arial" w:eastAsia="Arial" w:hAnsi="Arial"/>
          <w:sz w:val="15"/>
          <w:szCs w:val="15"/>
          <w:color w:val="auto"/>
        </w:rPr>
        <w:t>” shall have the meaning assigned to such term in Regulation U.</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Adverse Effect</w:t>
      </w:r>
      <w:r>
        <w:rPr>
          <w:rFonts w:ascii="Arial" w:cs="Arial" w:eastAsia="Arial" w:hAnsi="Arial"/>
          <w:sz w:val="15"/>
          <w:szCs w:val="15"/>
          <w:color w:val="auto"/>
        </w:rPr>
        <w:t>” shall mean (a) a materially adverse effect on the business, assets, operations or condition (financial or otherwise) of the U.S.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w:t>
      </w:r>
    </w:p>
    <w:p>
      <w:pPr>
        <w:spacing w:after="0" w:line="158"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Indebtedness</w:t>
      </w:r>
      <w:r>
        <w:rPr>
          <w:rFonts w:ascii="Arial" w:cs="Arial" w:eastAsia="Arial" w:hAnsi="Arial"/>
          <w:sz w:val="15"/>
          <w:szCs w:val="15"/>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61" w:lineRule="exact"/>
        <w:rPr>
          <w:sz w:val="20"/>
          <w:szCs w:val="20"/>
          <w:color w:val="auto"/>
        </w:rPr>
      </w:pPr>
    </w:p>
    <w:p>
      <w:pPr>
        <w:jc w:val="both"/>
        <w:ind w:firstLine="525"/>
        <w:spacing w:after="0" w:line="317"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Material Subsidiary</w:t>
      </w:r>
      <w:r>
        <w:rPr>
          <w:rFonts w:ascii="Arial" w:cs="Arial" w:eastAsia="Arial" w:hAnsi="Arial"/>
          <w:sz w:val="12"/>
          <w:szCs w:val="12"/>
          <w:color w:val="auto"/>
        </w:rPr>
        <w:t xml:space="preserve">” shall mean any Subsidiary of the U.S. Borrower that, as of the most recent date for which financial statements required to be delivered pursuant to Sections 5.04(a) or (b) are available, has either (a) net tangible assets (excluding assets that are eliminated in the calculation of consolidated net tangible assets of the U.S. Borrower and its Subsidiaries) that constitute more than 5% of the consolidated net tangible assets of the U.S. Borrower and its subsidiaries or (b) EBITDA greater than 5% of the total EBITDA of the U.S. Borrower and its subsidiaries on consolidated basis;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(i) the combined net tangible assets of the Subsidiaries that are not considered to be Material Subsidiaries (referred to herein as the “</w:t>
      </w:r>
      <w:r>
        <w:rPr>
          <w:rFonts w:ascii="Arial" w:cs="Arial" w:eastAsia="Arial" w:hAnsi="Arial"/>
          <w:sz w:val="12"/>
          <w:szCs w:val="12"/>
          <w:i w:val="1"/>
          <w:iCs w:val="1"/>
          <w:color w:val="auto"/>
        </w:rPr>
        <w:t>Immaterial</w:t>
      </w:r>
      <w:r>
        <w:rPr>
          <w:rFonts w:ascii="Arial" w:cs="Arial" w:eastAsia="Arial" w:hAnsi="Arial"/>
          <w:sz w:val="12"/>
          <w:szCs w:val="12"/>
          <w:color w:val="auto"/>
        </w:rPr>
        <w:t xml:space="preserve"> </w:t>
      </w:r>
      <w:r>
        <w:rPr>
          <w:rFonts w:ascii="Arial" w:cs="Arial" w:eastAsia="Arial" w:hAnsi="Arial"/>
          <w:sz w:val="12"/>
          <w:szCs w:val="12"/>
          <w:i w:val="1"/>
          <w:iCs w:val="1"/>
          <w:color w:val="auto"/>
        </w:rPr>
        <w:t>Subsidiaries</w:t>
      </w:r>
      <w:r>
        <w:rPr>
          <w:rFonts w:ascii="Arial" w:cs="Arial" w:eastAsia="Arial" w:hAnsi="Arial"/>
          <w:sz w:val="12"/>
          <w:szCs w:val="12"/>
          <w:color w:val="auto"/>
        </w:rPr>
        <w:t>”) exceeds 15% of consolidated net tangible assets of the U.S. Borrower and its Subsidiaries, or (ii) the combined EBITDA of the Immaterial Subsidiaries exceeds 15% of the total</w:t>
      </w:r>
      <w:r>
        <w:rPr>
          <w:rFonts w:ascii="Arial" w:cs="Arial" w:eastAsia="Arial" w:hAnsi="Arial"/>
          <w:sz w:val="12"/>
          <w:szCs w:val="12"/>
          <w:i w:val="1"/>
          <w:iCs w:val="1"/>
          <w:color w:val="auto"/>
        </w:rPr>
        <w:t xml:space="preserve"> </w:t>
      </w:r>
      <w:r>
        <w:rPr>
          <w:rFonts w:ascii="Arial" w:cs="Arial" w:eastAsia="Arial" w:hAnsi="Arial"/>
          <w:sz w:val="12"/>
          <w:szCs w:val="12"/>
          <w:color w:val="auto"/>
        </w:rPr>
        <w:t>EBITDA of the U.S. Borrower and its Subsidiaries on consolidated basis, then one or more of such Immaterial Subsidiaries shall be deemed to be Material Subsidiaries in descending order based on the respective percentage of consolidated net tangible assets or percentage of the total EBITDA of the U.S. Borrower and its Subsidiaries on consolidated basis until such excess shall have been eliminated. Each Material Subsidiary listed on Schedules 1.01(a), 1.01(b) and 1.01(c) is a Guarantor as of the Closing Date.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1" w:name="page82"/>
    <w:bookmarkEnd w:id="81"/>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Maturity Date</w:t>
      </w:r>
      <w:r>
        <w:rPr>
          <w:rFonts w:ascii="Arial" w:cs="Arial" w:eastAsia="Arial" w:hAnsi="Arial"/>
          <w:sz w:val="15"/>
          <w:szCs w:val="15"/>
          <w:color w:val="auto"/>
        </w:rPr>
        <w:t>” shall mean May [ ● ], 2019.</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Moody’s</w:t>
      </w:r>
      <w:r>
        <w:rPr>
          <w:rFonts w:ascii="Arial" w:cs="Arial" w:eastAsia="Arial" w:hAnsi="Arial"/>
          <w:sz w:val="15"/>
          <w:szCs w:val="15"/>
          <w:color w:val="auto"/>
        </w:rPr>
        <w:t>” shall mean Moody’s Investors Service, Inc. and any successor thereto which is a nationally recognized statistical rating organization.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Multiemployer Plan</w:t>
      </w:r>
      <w:r>
        <w:rPr>
          <w:rFonts w:ascii="Arial" w:cs="Arial" w:eastAsia="Arial" w:hAnsi="Arial"/>
          <w:sz w:val="15"/>
          <w:szCs w:val="15"/>
          <w:color w:val="auto"/>
        </w:rPr>
        <w:t>” shall mean a multiemployer plan as defined in Section 4001(a)(3) of ERISA.</w:t>
      </w:r>
    </w:p>
    <w:p>
      <w:pPr>
        <w:spacing w:after="0" w:line="177"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Net Cash Proceeds</w:t>
      </w:r>
      <w:r>
        <w:rPr>
          <w:rFonts w:ascii="Arial" w:cs="Arial" w:eastAsia="Arial" w:hAnsi="Arial"/>
          <w:sz w:val="12"/>
          <w:szCs w:val="12"/>
          <w:color w:val="auto"/>
        </w:rPr>
        <w:t xml:space="preserve">” shall mean, as applicable, with respect to any Asset Sale, the cash (which term, for purposes of this definition, shall include any Permitted Investments, deferred payment pursuant to, or by monetization of, a note receivable or otherwise, but only as and when received) proceeds received by the U.S. Borrower or any of its Subsidiaries therefrom, less the sum of (a) all income taxes and other taxes payable (or reasonably estimated to be payable) to a Governmental Authority as a result of such transaction, (b) all reasonable and customary out-of-pocket fees (including, without limitation, legal, accounting and advisory fees, and sales commissions) and expenses incurred in connection with such transaction or event, (c) the principal amount of, premium or penalty, if any, and interest on any Indebtedness secured by a Lien on the asset (or a portion thereof) disposed of, which Indebtedness is required to be repaid in connection with such transaction or event, (d) any amounts paid in respect of Hedging Agreement terminated as a result of the payment of Indebtedness under clause (c), (e) all distributions and other payments required to be made to minority interest holders in Subsidiaries or joint ventures or to holders of royalty or similar interests as a result of such Asset Sale and (f) the amount of any reserves established by the U.S. Borrower or any of its Subsidiaries in accordance with GAAP, Canadian GAAP or Australian GAAP, as applicable,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any such Net Cash Proceeds received by any Foreign Subsidiary may not be distributed as a cash dividend or a similar cash distribution to a Loan Party without the U.S. Borrower and its subsidiaries incurring adverse tax consequences, as reasonably determined by the U.S. Borrower, such proceeds shall, so long as no Event of Default shall have occurred and be continuing at the time of the receipt thereof, not constitute “Net Cash Proceeds”.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2" w:name="page83"/>
    <w:bookmarkEnd w:id="82"/>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Non-Consenting Lender</w:t>
      </w:r>
      <w:r>
        <w:rPr>
          <w:rFonts w:ascii="Arial" w:cs="Arial" w:eastAsia="Arial" w:hAnsi="Arial"/>
          <w:sz w:val="15"/>
          <w:szCs w:val="15"/>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Non-Defaulting Lender</w:t>
      </w:r>
      <w:r>
        <w:rPr>
          <w:rFonts w:ascii="Arial" w:cs="Arial" w:eastAsia="Arial" w:hAnsi="Arial"/>
          <w:sz w:val="15"/>
          <w:szCs w:val="15"/>
          <w:color w:val="auto"/>
        </w:rPr>
        <w:t>” shall mean, at any time, each Lender that is not a Defaulting Lender at such time.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Obligations</w:t>
      </w:r>
      <w:r>
        <w:rPr>
          <w:rFonts w:ascii="Arial" w:cs="Arial" w:eastAsia="Arial" w:hAnsi="Arial"/>
          <w:sz w:val="15"/>
          <w:szCs w:val="15"/>
          <w:color w:val="auto"/>
        </w:rPr>
        <w:t>” shall mean all obligations defined as “Obligations” in the Guarantee Agreements and the Security Documents.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OFAC</w:t>
      </w:r>
      <w:r>
        <w:rPr>
          <w:rFonts w:ascii="Arial" w:cs="Arial" w:eastAsia="Arial" w:hAnsi="Arial"/>
          <w:sz w:val="15"/>
          <w:szCs w:val="15"/>
          <w:color w:val="auto"/>
        </w:rPr>
        <w:t>” shall mean the Office of Foreign Assets Control of the U.S. Department of the Treasury.</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Offshore Associate</w:t>
      </w:r>
      <w:r>
        <w:rPr>
          <w:rFonts w:ascii="Arial" w:cs="Arial" w:eastAsia="Arial" w:hAnsi="Arial"/>
          <w:sz w:val="15"/>
          <w:szCs w:val="15"/>
          <w:color w:val="auto"/>
        </w:rPr>
        <w:t>” shall mean an Associate:</w:t>
      </w:r>
    </w:p>
    <w:p>
      <w:pPr>
        <w:spacing w:after="0" w:line="177" w:lineRule="exact"/>
        <w:rPr>
          <w:sz w:val="20"/>
          <w:szCs w:val="20"/>
          <w:color w:val="auto"/>
        </w:rPr>
      </w:pPr>
    </w:p>
    <w:p>
      <w:pPr>
        <w:ind w:firstLine="532"/>
        <w:spacing w:after="0" w:line="259" w:lineRule="auto"/>
        <w:tabs>
          <w:tab w:leader="none" w:pos="9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which is a non-resident of Australia and does not become a Lender or receive a payment in carrying on a business in Australia at or through a permanent establishment of the Associate in Australia; or</w:t>
      </w:r>
    </w:p>
    <w:p>
      <w:pPr>
        <w:spacing w:after="0" w:line="152" w:lineRule="exact"/>
        <w:rPr>
          <w:rFonts w:ascii="Arial" w:cs="Arial" w:eastAsia="Arial" w:hAnsi="Arial"/>
          <w:sz w:val="15"/>
          <w:szCs w:val="15"/>
          <w:color w:val="auto"/>
        </w:rPr>
      </w:pPr>
    </w:p>
    <w:p>
      <w:pPr>
        <w:ind w:firstLine="532"/>
        <w:spacing w:after="0" w:line="259" w:lineRule="auto"/>
        <w:tabs>
          <w:tab w:leader="none" w:pos="8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which is a resident of Australia and which becomes a Lender or receives a payment in carrying on a business in a country outside Australia at or through a permanent establishment of the Associate in that country,</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Oil States</w:t>
      </w:r>
      <w:r>
        <w:rPr>
          <w:rFonts w:ascii="Arial" w:cs="Arial" w:eastAsia="Arial" w:hAnsi="Arial"/>
          <w:sz w:val="15"/>
          <w:szCs w:val="15"/>
          <w:color w:val="auto"/>
        </w:rPr>
        <w:t>” shall mean Oil States International, Inc., a Delaware corporation.</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Other Connection Taxes</w:t>
      </w:r>
      <w:r>
        <w:rPr>
          <w:rFonts w:ascii="Arial" w:cs="Arial" w:eastAsia="Arial" w:hAnsi="Arial"/>
          <w:sz w:val="12"/>
          <w:szCs w:val="12"/>
          <w:color w:val="auto"/>
        </w:rPr>
        <w:t>” shall mean, with respect to any Recipient, Taxes imposed as a result of a present or former connection between such Recipient and the jurisdiction imposing such Tax (other than connections arising from such Agent, Lender or Issuing Bank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8"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Other Taxes</w:t>
      </w:r>
      <w:r>
        <w:rPr>
          <w:rFonts w:ascii="Arial" w:cs="Arial" w:eastAsia="Arial" w:hAnsi="Arial"/>
          <w:sz w:val="14"/>
          <w:szCs w:val="14"/>
          <w:color w:val="auto"/>
        </w:rPr>
        <w:t xml:space="preserve">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3" w:name="page84"/>
    <w:bookmarkEnd w:id="83"/>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Outstanding BAs Collateral</w:t>
      </w:r>
      <w:r>
        <w:rPr>
          <w:rFonts w:ascii="Arial" w:cs="Arial" w:eastAsia="Arial" w:hAnsi="Arial"/>
          <w:sz w:val="15"/>
          <w:szCs w:val="15"/>
          <w:color w:val="auto"/>
        </w:rPr>
        <w:t>” shall have the meaning assigned to such term in Section 2.22(k).</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Participant</w:t>
      </w:r>
      <w:r>
        <w:rPr>
          <w:rFonts w:ascii="Arial" w:cs="Arial" w:eastAsia="Arial" w:hAnsi="Arial"/>
          <w:sz w:val="15"/>
          <w:szCs w:val="15"/>
          <w:color w:val="auto"/>
        </w:rPr>
        <w:t>” has the meaning assigned to such term in Section 9.04(d).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Participant Register</w:t>
      </w:r>
      <w:r>
        <w:rPr>
          <w:rFonts w:ascii="Arial" w:cs="Arial" w:eastAsia="Arial" w:hAnsi="Arial"/>
          <w:sz w:val="15"/>
          <w:szCs w:val="15"/>
          <w:color w:val="auto"/>
        </w:rPr>
        <w:t>” shall have the meaning assigned to such term in Section 9.04(d).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PBGC</w:t>
      </w:r>
      <w:r>
        <w:rPr>
          <w:rFonts w:ascii="Arial" w:cs="Arial" w:eastAsia="Arial" w:hAnsi="Arial"/>
          <w:sz w:val="15"/>
          <w:szCs w:val="15"/>
          <w:color w:val="auto"/>
        </w:rPr>
        <w:t>” shall mean the Pension Benefit Guaranty Corporation referred to and defined in ERISA.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Pension Act</w:t>
      </w:r>
      <w:r>
        <w:rPr>
          <w:rFonts w:ascii="Arial" w:cs="Arial" w:eastAsia="Arial" w:hAnsi="Arial"/>
          <w:sz w:val="15"/>
          <w:szCs w:val="15"/>
          <w:color w:val="auto"/>
        </w:rPr>
        <w:t>” shall mean the Pension Protection Act of 2006.</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Pension Funding Rules</w:t>
      </w:r>
      <w:r>
        <w:rPr>
          <w:rFonts w:ascii="Arial" w:cs="Arial" w:eastAsia="Arial" w:hAnsi="Arial"/>
          <w:sz w:val="15"/>
          <w:szCs w:val="15"/>
          <w:color w:val="auto"/>
        </w:rPr>
        <w:t>” shall mean the rules of the Code and ERISA regarding minimum required contributions (including any installment payment thereof) to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Acquisition</w:t>
      </w:r>
      <w:r>
        <w:rPr>
          <w:rFonts w:ascii="Arial" w:cs="Arial" w:eastAsia="Arial" w:hAnsi="Arial"/>
          <w:sz w:val="15"/>
          <w:szCs w:val="15"/>
          <w:color w:val="auto"/>
        </w:rPr>
        <w:t>” shall have the meaning assigned to such term in Section 6.04(i).</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Investments</w:t>
      </w:r>
      <w:r>
        <w:rPr>
          <w:rFonts w:ascii="Arial" w:cs="Arial" w:eastAsia="Arial" w:hAnsi="Arial"/>
          <w:sz w:val="15"/>
          <w:szCs w:val="15"/>
          <w:color w:val="auto"/>
        </w:rPr>
        <w:t>” shall mean:</w:t>
      </w:r>
    </w:p>
    <w:p>
      <w:pPr>
        <w:spacing w:after="0" w:line="177" w:lineRule="exact"/>
        <w:rPr>
          <w:sz w:val="20"/>
          <w:szCs w:val="20"/>
          <w:color w:val="auto"/>
        </w:rPr>
      </w:pPr>
    </w:p>
    <w:p>
      <w:pPr>
        <w:jc w:val="both"/>
        <w:ind w:firstLine="532"/>
        <w:spacing w:after="0" w:line="343" w:lineRule="auto"/>
        <w:tabs>
          <w:tab w:leader="none" w:pos="903"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08" w:lineRule="exact"/>
        <w:rPr>
          <w:sz w:val="20"/>
          <w:szCs w:val="20"/>
          <w:color w:val="auto"/>
        </w:rPr>
      </w:pPr>
    </w:p>
    <w:p>
      <w:pPr>
        <w:ind w:firstLine="532"/>
        <w:spacing w:after="0" w:line="259" w:lineRule="auto"/>
        <w:tabs>
          <w:tab w:leader="none" w:pos="87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52" w:lineRule="exact"/>
        <w:rPr>
          <w:rFonts w:ascii="Arial" w:cs="Arial" w:eastAsia="Arial" w:hAnsi="Arial"/>
          <w:sz w:val="15"/>
          <w:szCs w:val="15"/>
          <w:color w:val="auto"/>
        </w:rPr>
      </w:pPr>
    </w:p>
    <w:p>
      <w:pPr>
        <w:jc w:val="both"/>
        <w:ind w:firstLine="532"/>
        <w:spacing w:after="0" w:line="248" w:lineRule="auto"/>
        <w:tabs>
          <w:tab w:leader="none" w:pos="901"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61" w:lineRule="exact"/>
        <w:rPr>
          <w:rFonts w:ascii="Arial" w:cs="Arial" w:eastAsia="Arial" w:hAnsi="Arial"/>
          <w:sz w:val="15"/>
          <w:szCs w:val="15"/>
          <w:color w:val="auto"/>
        </w:rPr>
      </w:pPr>
    </w:p>
    <w:p>
      <w:pPr>
        <w:ind w:firstLine="532"/>
        <w:spacing w:after="0" w:line="259" w:lineRule="auto"/>
        <w:tabs>
          <w:tab w:leader="none" w:pos="875" w:val="left"/>
        </w:tabs>
        <w:numPr>
          <w:ilvl w:val="0"/>
          <w:numId w:val="29"/>
        </w:numPr>
        <w:rPr>
          <w:rFonts w:ascii="Arial" w:cs="Arial" w:eastAsia="Arial" w:hAnsi="Arial"/>
          <w:sz w:val="15"/>
          <w:szCs w:val="15"/>
          <w:color w:val="auto"/>
        </w:rPr>
      </w:pPr>
      <w:r>
        <w:rPr>
          <w:rFonts w:ascii="Arial" w:cs="Arial" w:eastAsia="Arial" w:hAnsi="Arial"/>
          <w:sz w:val="15"/>
          <w:szCs w:val="15"/>
          <w:color w:val="auto"/>
        </w:rPr>
        <w:t>fully collateralized repurchase agreements with a term of not more than 30 days for securities described in clause (a) above and entered into with a financial institution satisfying the criteria of clause (c) above;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4" w:name="page85"/>
    <w:bookmarkEnd w:id="84"/>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other short-term investments utilized by Foreign Subsidiaries in accordance with normal investment practices for cash management in investments of a type analogous to the</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foregoing.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person</w:t>
      </w:r>
      <w:r>
        <w:rPr>
          <w:rFonts w:ascii="Arial" w:cs="Arial" w:eastAsia="Arial" w:hAnsi="Arial"/>
          <w:sz w:val="12"/>
          <w:szCs w:val="12"/>
          <w:color w:val="auto"/>
        </w:rPr>
        <w:t>” shall mean any natural person, corporation, business trust, joint venture, association, company, limited liability company, partnership, Governmental Authority or other entity.</w:t>
      </w:r>
    </w:p>
    <w:p>
      <w:pPr>
        <w:spacing w:after="0" w:line="212" w:lineRule="exact"/>
        <w:rPr>
          <w:sz w:val="20"/>
          <w:szCs w:val="20"/>
          <w:color w:val="auto"/>
        </w:rPr>
      </w:pPr>
    </w:p>
    <w:p>
      <w:pPr>
        <w:ind w:firstLine="525"/>
        <w:spacing w:after="0" w:line="38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Plan</w:t>
      </w:r>
      <w:r>
        <w:rPr>
          <w:rFonts w:ascii="Arial" w:cs="Arial" w:eastAsia="Arial" w:hAnsi="Arial"/>
          <w:sz w:val="12"/>
          <w:szCs w:val="12"/>
          <w:color w:val="auto"/>
        </w:rPr>
        <w:t>” shall mean any employee pension benefit plan (other than a Multiemployer Plan) subject to the provisions of Title IV of ERISA or Section 412 of the Code, and in respect of which the U.S. Borrower or any ERISA Affiliate is (or, if such plan were terminated, would under Section 4069 of ERISA be deemed to be) an “employer” as defined in Section 3(5) of ERISA.</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Platform</w:t>
      </w:r>
      <w:r>
        <w:rPr>
          <w:rFonts w:ascii="Arial" w:cs="Arial" w:eastAsia="Arial" w:hAnsi="Arial"/>
          <w:sz w:val="15"/>
          <w:szCs w:val="15"/>
          <w:color w:val="auto"/>
        </w:rPr>
        <w:t>” shall have the meaning assigned to such term in Section 5.04.</w:t>
      </w:r>
    </w:p>
    <w:p>
      <w:pPr>
        <w:spacing w:after="0" w:line="177"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Pledge Agreements</w:t>
      </w:r>
      <w:r>
        <w:rPr>
          <w:rFonts w:ascii="Arial" w:cs="Arial" w:eastAsia="Arial" w:hAnsi="Arial"/>
          <w:sz w:val="15"/>
          <w:szCs w:val="15"/>
          <w:color w:val="auto"/>
        </w:rPr>
        <w:t>” shall mean, collectively, the U.S. Pledge Agreement, the Canadian Pledge Agreement and following the execution and delivery thereof by the parties thereto the Australian Share Security Deed.</w:t>
      </w:r>
    </w:p>
    <w:p>
      <w:pPr>
        <w:spacing w:after="0" w:line="152" w:lineRule="exact"/>
        <w:rPr>
          <w:sz w:val="20"/>
          <w:szCs w:val="20"/>
          <w:color w:val="auto"/>
        </w:rPr>
      </w:pPr>
    </w:p>
    <w:p>
      <w:pPr>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Potential Defaulting Lender</w:t>
      </w:r>
      <w:r>
        <w:rPr>
          <w:rFonts w:ascii="Arial" w:cs="Arial" w:eastAsia="Arial" w:hAnsi="Arial"/>
          <w:sz w:val="14"/>
          <w:szCs w:val="14"/>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PPSA (Alberta)</w:t>
      </w:r>
      <w:r>
        <w:rPr>
          <w:rFonts w:ascii="Arial" w:cs="Arial" w:eastAsia="Arial" w:hAnsi="Arial"/>
          <w:sz w:val="15"/>
          <w:szCs w:val="15"/>
          <w:color w:val="auto"/>
        </w:rPr>
        <w:t>” shall mean the Personal Property Security Act, RSA 2000, c. P-7 (Alberta).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PPSA (Australia)</w:t>
      </w:r>
      <w:r>
        <w:rPr>
          <w:rFonts w:ascii="Arial" w:cs="Arial" w:eastAsia="Arial" w:hAnsi="Arial"/>
          <w:sz w:val="15"/>
          <w:szCs w:val="15"/>
          <w:color w:val="auto"/>
        </w:rPr>
        <w:t xml:space="preserve">” shall mean the Australian </w:t>
      </w:r>
      <w:r>
        <w:rPr>
          <w:rFonts w:ascii="Arial" w:cs="Arial" w:eastAsia="Arial" w:hAnsi="Arial"/>
          <w:sz w:val="15"/>
          <w:szCs w:val="15"/>
          <w:i w:val="1"/>
          <w:iCs w:val="1"/>
          <w:color w:val="auto"/>
        </w:rPr>
        <w:t>Personal Property Securities Act 2009</w:t>
      </w:r>
      <w:r>
        <w:rPr>
          <w:rFonts w:ascii="Arial" w:cs="Arial" w:eastAsia="Arial" w:hAnsi="Arial"/>
          <w:sz w:val="15"/>
          <w:szCs w:val="15"/>
          <w:color w:val="auto"/>
        </w:rPr>
        <w:t xml:space="preserve"> (Cth).</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PPS Law</w:t>
      </w:r>
      <w:r>
        <w:rPr>
          <w:rFonts w:ascii="Arial" w:cs="Arial" w:eastAsia="Arial" w:hAnsi="Arial"/>
          <w:sz w:val="12"/>
          <w:szCs w:val="12"/>
          <w:color w:val="auto"/>
        </w:rPr>
        <w:t>” shall mean (a) the PPSA (Australia) and any regulation made at any time under the PPSA (Australia), including the PPS Regulations (each as amended from time to time) and</w:t>
      </w:r>
    </w:p>
    <w:p>
      <w:pPr>
        <w:spacing w:after="0" w:line="46" w:lineRule="exact"/>
        <w:rPr>
          <w:sz w:val="20"/>
          <w:szCs w:val="20"/>
          <w:color w:val="auto"/>
        </w:rPr>
      </w:pPr>
    </w:p>
    <w:p>
      <w:pPr>
        <w:ind w:left="540" w:right="3920" w:hanging="533"/>
        <w:spacing w:after="0" w:line="516" w:lineRule="auto"/>
        <w:tabs>
          <w:tab w:leader="none" w:pos="222"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amendment made at any time to any other legislation as a consequence of a law or regulation referred to in paragraph (a). “</w:t>
      </w:r>
      <w:r>
        <w:rPr>
          <w:rFonts w:ascii="Arial" w:cs="Arial" w:eastAsia="Arial" w:hAnsi="Arial"/>
          <w:sz w:val="14"/>
          <w:szCs w:val="14"/>
          <w:i w:val="1"/>
          <w:iCs w:val="1"/>
          <w:color w:val="auto"/>
        </w:rPr>
        <w:t>PPS Register</w:t>
      </w:r>
      <w:r>
        <w:rPr>
          <w:rFonts w:ascii="Arial" w:cs="Arial" w:eastAsia="Arial" w:hAnsi="Arial"/>
          <w:sz w:val="14"/>
          <w:szCs w:val="14"/>
          <w:color w:val="auto"/>
        </w:rPr>
        <w:t>” shall mean the Personal Property Securities Register established pursuant to the PPSA (Australia). “</w:t>
      </w:r>
      <w:r>
        <w:rPr>
          <w:rFonts w:ascii="Arial" w:cs="Arial" w:eastAsia="Arial" w:hAnsi="Arial"/>
          <w:sz w:val="14"/>
          <w:szCs w:val="14"/>
          <w:i w:val="1"/>
          <w:iCs w:val="1"/>
          <w:color w:val="auto"/>
        </w:rPr>
        <w:t>PPS Regulations</w:t>
      </w:r>
      <w:r>
        <w:rPr>
          <w:rFonts w:ascii="Arial" w:cs="Arial" w:eastAsia="Arial" w:hAnsi="Arial"/>
          <w:sz w:val="14"/>
          <w:szCs w:val="14"/>
          <w:color w:val="auto"/>
        </w:rPr>
        <w:t xml:space="preserve">” means the </w:t>
      </w:r>
      <w:r>
        <w:rPr>
          <w:rFonts w:ascii="Arial" w:cs="Arial" w:eastAsia="Arial" w:hAnsi="Arial"/>
          <w:sz w:val="14"/>
          <w:szCs w:val="14"/>
          <w:i w:val="1"/>
          <w:iCs w:val="1"/>
          <w:color w:val="auto"/>
        </w:rPr>
        <w:t>Personal Property Securities Regulations 2010</w:t>
      </w:r>
      <w:r>
        <w:rPr>
          <w:rFonts w:ascii="Arial" w:cs="Arial" w:eastAsia="Arial" w:hAnsi="Arial"/>
          <w:sz w:val="14"/>
          <w:szCs w:val="14"/>
          <w:color w:val="auto"/>
        </w:rPr>
        <w:t xml:space="preserve"> (Cth).</w:t>
      </w:r>
    </w:p>
    <w:p>
      <w:pPr>
        <w:spacing w:after="0" w:line="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Prime Rate</w:t>
      </w:r>
      <w:r>
        <w:rPr>
          <w:rFonts w:ascii="Arial" w:cs="Arial" w:eastAsia="Arial" w:hAnsi="Arial"/>
          <w:sz w:val="15"/>
          <w:szCs w:val="15"/>
          <w:color w:val="auto"/>
        </w:rPr>
        <w:t>”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change in the Prime Rate shall be effective on the date such change is publicly announced as being effective.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5" w:name="page86"/>
    <w:bookmarkEnd w:id="85"/>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Proceeding</w:t>
      </w:r>
      <w:r>
        <w:rPr>
          <w:rFonts w:ascii="Arial" w:cs="Arial" w:eastAsia="Arial" w:hAnsi="Arial"/>
          <w:sz w:val="15"/>
          <w:szCs w:val="15"/>
          <w:color w:val="auto"/>
        </w:rPr>
        <w:t>” shall have the meaning assigned to such term in Section 9.05(b).</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PTI Holdco</w:t>
      </w:r>
      <w:r>
        <w:rPr>
          <w:rFonts w:ascii="Arial" w:cs="Arial" w:eastAsia="Arial" w:hAnsi="Arial"/>
          <w:sz w:val="15"/>
          <w:szCs w:val="15"/>
          <w:color w:val="auto"/>
        </w:rPr>
        <w:t>” shall mean 892489 Alberta Inc., a corporation organized and existing under the laws of the Province of Alberta.</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PTI Holdco Sub</w:t>
      </w:r>
      <w:r>
        <w:rPr>
          <w:rFonts w:ascii="Arial" w:cs="Arial" w:eastAsia="Arial" w:hAnsi="Arial"/>
          <w:sz w:val="15"/>
          <w:szCs w:val="15"/>
          <w:color w:val="auto"/>
        </w:rPr>
        <w:t>” shall mean 892493 Alberta Inc., a corporation organized and existing under the laws of the Province of Alberta, and the direct owner of 100% of the Equity Interests of the Canadian Parent.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Public Lender</w:t>
      </w:r>
      <w:r>
        <w:rPr>
          <w:rFonts w:ascii="Arial" w:cs="Arial" w:eastAsia="Arial" w:hAnsi="Arial"/>
          <w:sz w:val="15"/>
          <w:szCs w:val="15"/>
          <w:color w:val="auto"/>
        </w:rPr>
        <w:t>” shall have the meaning assigned to such term in Section 5.04.</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Recipient</w:t>
      </w:r>
      <w:r>
        <w:rPr>
          <w:rFonts w:ascii="Arial" w:cs="Arial" w:eastAsia="Arial" w:hAnsi="Arial"/>
          <w:sz w:val="15"/>
          <w:szCs w:val="15"/>
          <w:color w:val="auto"/>
        </w:rPr>
        <w:t>” shall mean (a) the Administrative Agent, (b) any Lender (c) any Issuing Bank, and (d) the Swing Line Lender, as applicable.</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“Reference Banks”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158"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Refinancing Transactions</w:t>
      </w:r>
      <w:r>
        <w:rPr>
          <w:rFonts w:ascii="Arial" w:cs="Arial" w:eastAsia="Arial" w:hAnsi="Arial"/>
          <w:sz w:val="14"/>
          <w:szCs w:val="14"/>
          <w:color w:val="auto"/>
        </w:rPr>
        <w:t>” shall mean (i) the termination of the commitments to extend credit and the payment in full all obligations under the Existing MAC Group Credit Agreement and the release of all guarantees and Liens thereunder and (ii) the release of all obligations, guarantees and Liens under the Existing OSI Credit Agreement.</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Register</w:t>
      </w:r>
      <w:r>
        <w:rPr>
          <w:rFonts w:ascii="Arial" w:cs="Arial" w:eastAsia="Arial" w:hAnsi="Arial"/>
          <w:sz w:val="15"/>
          <w:szCs w:val="15"/>
          <w:color w:val="auto"/>
        </w:rPr>
        <w:t>” shall have the meaning assigned to such term in Section 9.04(c).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Regulation T</w:t>
      </w:r>
      <w:r>
        <w:rPr>
          <w:rFonts w:ascii="Arial" w:cs="Arial" w:eastAsia="Arial" w:hAnsi="Arial"/>
          <w:sz w:val="15"/>
          <w:szCs w:val="15"/>
          <w:color w:val="auto"/>
        </w:rPr>
        <w:t>” shall mean Regulation T of the Board as from time to time in effect and all official rulings and interpretations thereunder or thereof.</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Regulation U</w:t>
      </w:r>
      <w:r>
        <w:rPr>
          <w:rFonts w:ascii="Arial" w:cs="Arial" w:eastAsia="Arial" w:hAnsi="Arial"/>
          <w:sz w:val="15"/>
          <w:szCs w:val="15"/>
          <w:color w:val="auto"/>
        </w:rPr>
        <w:t>” shall mean Regulation U of the Board as from time to time in effect and all official rulings and interpretations thereunder or thereof.</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Regulation X</w:t>
      </w:r>
      <w:r>
        <w:rPr>
          <w:rFonts w:ascii="Arial" w:cs="Arial" w:eastAsia="Arial" w:hAnsi="Arial"/>
          <w:sz w:val="15"/>
          <w:szCs w:val="15"/>
          <w:color w:val="auto"/>
        </w:rPr>
        <w:t>” shall mean Regulation X of the Board as from time to time in effect and all official rulings and interpretations thereunder or thereof.</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Related Parties</w:t>
      </w:r>
      <w:r>
        <w:rPr>
          <w:rFonts w:ascii="Arial" w:cs="Arial" w:eastAsia="Arial" w:hAnsi="Arial"/>
          <w:sz w:val="15"/>
          <w:szCs w:val="15"/>
          <w:color w:val="auto"/>
        </w:rPr>
        <w:t>” shall mean, with respect to any specified person, such person’s Affiliates and the respective partners, directors, officers, employees, agents and advisors of such person and such person’s Affiliates.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Release</w:t>
      </w:r>
      <w:r>
        <w:rPr>
          <w:rFonts w:ascii="Arial" w:cs="Arial" w:eastAsia="Arial" w:hAnsi="Arial"/>
          <w:sz w:val="15"/>
          <w:szCs w:val="15"/>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52"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Required Australian Lenders</w:t>
      </w:r>
      <w:r>
        <w:rPr>
          <w:rFonts w:ascii="Arial" w:cs="Arial" w:eastAsia="Arial" w:hAnsi="Arial"/>
          <w:sz w:val="15"/>
          <w:szCs w:val="15"/>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6" w:name="page87"/>
    <w:bookmarkEnd w:id="86"/>
    <w:p>
      <w:pPr>
        <w:jc w:val="both"/>
        <w:ind w:firstLine="525"/>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Required Canadian Lenders</w:t>
      </w:r>
      <w:r>
        <w:rPr>
          <w:rFonts w:ascii="Arial" w:cs="Arial" w:eastAsia="Arial" w:hAnsi="Arial"/>
          <w:sz w:val="15"/>
          <w:szCs w:val="15"/>
          <w:color w:val="auto"/>
        </w:rPr>
        <w:t xml:space="preserve">” shall mean, at any time, Canadian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Canadian Revolving Credit Loans outstanding, share of Canadian L/C Exposure and unused Canadian Revolving Commitments of any Defaulting Lender shall be disregarded in determining Required Canadian Lenders at any time. For purposes of determining the Required Canadian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63"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Lenders</w:t>
      </w:r>
      <w:r>
        <w:rPr>
          <w:rFonts w:ascii="Arial" w:cs="Arial" w:eastAsia="Arial" w:hAnsi="Arial"/>
          <w:sz w:val="14"/>
          <w:szCs w:val="14"/>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Loans outstanding, share of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49"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U.S. Lenders</w:t>
      </w:r>
      <w:r>
        <w:rPr>
          <w:rFonts w:ascii="Arial" w:cs="Arial" w:eastAsia="Arial" w:hAnsi="Arial"/>
          <w:sz w:val="14"/>
          <w:szCs w:val="14"/>
          <w:color w:val="auto"/>
        </w:rPr>
        <w:t xml:space="preserve">” shall mean, at any time, U.S. Lenders having U.S. Loans, a share of the U.S. L/C Exposure and unused U.S. Revolving Commitments representing at least a majority of the sum of all U.S. Loans outstanding, the U.S. L/C Exposure and unused U.S. Revolving Commitments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U.S. Loans outstanding, share of U.S. L/C Exposure and unused U.S. Revolving Commitments of any Defaulting Lender shall be disregarded in determining Required U.S. Lenders at any time.</w:t>
      </w:r>
    </w:p>
    <w:p>
      <w:pPr>
        <w:spacing w:after="0" w:line="14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Required U.S. Revolving Lenders</w:t>
      </w:r>
      <w:r>
        <w:rPr>
          <w:rFonts w:ascii="Arial" w:cs="Arial" w:eastAsia="Arial" w:hAnsi="Arial"/>
          <w:sz w:val="15"/>
          <w:szCs w:val="15"/>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U.S. Revolving Credit Loans outstanding, share of U.S. L/C Exposure and unused U.S. Revolving Commitments of any Defaulting Lender shall be disregarded in determining Required U.S. Revolving Lenders at any time.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7" w:name="page88"/>
    <w:bookmarkEnd w:id="87"/>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U.S. Term Lenders</w:t>
      </w:r>
      <w:r>
        <w:rPr>
          <w:rFonts w:ascii="Arial" w:cs="Arial" w:eastAsia="Arial" w:hAnsi="Arial"/>
          <w:sz w:val="14"/>
          <w:szCs w:val="14"/>
          <w:color w:val="auto"/>
        </w:rPr>
        <w:t xml:space="preserve">” shall mean, at any time, U.S. Term Lenders having U.S. Term Loans representing at least a majority of the sum of all U.S. Term Loans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U.S. Term Loans outstanding of any Defaulting Lender shall be disregarded in determining Required U.S. Term Lenders at any time.</w:t>
      </w:r>
    </w:p>
    <w:p>
      <w:pPr>
        <w:spacing w:after="0" w:line="130"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Responsible Officer</w:t>
      </w:r>
      <w:r>
        <w:rPr>
          <w:rFonts w:ascii="Arial" w:cs="Arial" w:eastAsia="Arial" w:hAnsi="Arial"/>
          <w:sz w:val="15"/>
          <w:szCs w:val="15"/>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Indebtedness</w:t>
      </w:r>
      <w:r>
        <w:rPr>
          <w:rFonts w:ascii="Arial" w:cs="Arial" w:eastAsia="Arial" w:hAnsi="Arial"/>
          <w:sz w:val="15"/>
          <w:szCs w:val="15"/>
          <w:color w:val="auto"/>
        </w:rPr>
        <w:t>” shall mean Subordinated Indebtedness of the U.S. Borrower or any Subsidiary, the payment, prepayment, repurchase or defeasance of which is restricted under Section 6.09(b).</w:t>
      </w:r>
    </w:p>
    <w:p>
      <w:pPr>
        <w:spacing w:after="0" w:line="15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Payment</w:t>
      </w:r>
      <w:r>
        <w:rPr>
          <w:rFonts w:ascii="Arial" w:cs="Arial" w:eastAsia="Arial" w:hAnsi="Arial"/>
          <w:sz w:val="15"/>
          <w:szCs w:val="15"/>
          <w:color w:val="auto"/>
        </w:rPr>
        <w:t>” shall mean any dividend or other distribution (whether in cash, securities or other property) with respect to any Equity Interests in the U.S. Borrower or any Subsidiary, or any payment (whether in cash, securities or other property), including any sinking fund or similar deposit, on account of the purchase, redemption, retirement, acquisition, cancellation or termination of any Equity Interests in the U.S. Borrower or any Subsidiary or any option, warrant or other right to acquire any such Equity Interests in the U.S. Borrower or any Subsidiary.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Revolving Commitments</w:t>
      </w:r>
      <w:r>
        <w:rPr>
          <w:rFonts w:ascii="Arial" w:cs="Arial" w:eastAsia="Arial" w:hAnsi="Arial"/>
          <w:sz w:val="15"/>
          <w:szCs w:val="15"/>
          <w:color w:val="auto"/>
        </w:rPr>
        <w:t>” shall mean the Canadian Revolving Commitments, the U.S. Revolving Commitments and the Australian Revolving Commitments.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Revolving Credit Loans</w:t>
      </w:r>
      <w:r>
        <w:rPr>
          <w:rFonts w:ascii="Arial" w:cs="Arial" w:eastAsia="Arial" w:hAnsi="Arial"/>
          <w:sz w:val="14"/>
          <w:szCs w:val="14"/>
          <w:color w:val="auto"/>
        </w:rPr>
        <w:t>” shall mean U.S. Revolving Credit Loans, Canadian Revolving Credit Loans or Australian Revolving Credit Loans, as the context may require.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Revolving Lenders</w:t>
      </w:r>
      <w:r>
        <w:rPr>
          <w:rFonts w:ascii="Arial" w:cs="Arial" w:eastAsia="Arial" w:hAnsi="Arial"/>
          <w:sz w:val="15"/>
          <w:szCs w:val="15"/>
          <w:color w:val="auto"/>
        </w:rPr>
        <w:t>” shall mean U.S. Revolving Lenders, Canadian Lenders or Australian Lenders, as the context may require.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Rolled Letter of Credit”</w:t>
      </w:r>
      <w:r>
        <w:rPr>
          <w:rFonts w:ascii="Arial" w:cs="Arial" w:eastAsia="Arial" w:hAnsi="Arial"/>
          <w:sz w:val="12"/>
          <w:szCs w:val="12"/>
          <w:color w:val="auto"/>
        </w:rPr>
        <w:t xml:space="preserve"> shall mean each Letter of Credit previously issued for the account of a Borrower that (a) is outstanding on the Closing Date and (b) is listed on Schedule 1.01(a).</w:t>
      </w:r>
    </w:p>
    <w:p>
      <w:pPr>
        <w:spacing w:after="0" w:line="21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Sanctions Laws and Regulations</w:t>
      </w:r>
      <w:r>
        <w:rPr>
          <w:rFonts w:ascii="Arial" w:cs="Arial" w:eastAsia="Arial" w:hAnsi="Arial"/>
          <w:sz w:val="15"/>
          <w:szCs w:val="15"/>
          <w:color w:val="auto"/>
        </w:rPr>
        <w:t>” shall mean (a) any economic or financial sanctions, prohibitions or requirements imposed, administered or enforced by any executive order of the President of the United States (an “</w:t>
      </w:r>
      <w:r>
        <w:rPr>
          <w:rFonts w:ascii="Arial" w:cs="Arial" w:eastAsia="Arial" w:hAnsi="Arial"/>
          <w:sz w:val="15"/>
          <w:szCs w:val="15"/>
          <w:i w:val="1"/>
          <w:iCs w:val="1"/>
          <w:color w:val="auto"/>
        </w:rPr>
        <w:t>Executive Order</w:t>
      </w:r>
      <w:r>
        <w:rPr>
          <w:rFonts w:ascii="Arial" w:cs="Arial" w:eastAsia="Arial" w:hAnsi="Arial"/>
          <w:sz w:val="15"/>
          <w:szCs w:val="15"/>
          <w:color w:val="auto"/>
        </w:rPr>
        <w:t>”) or by any economic sanctions program administered by OFAC or the U.S. Department of State; and (b) any sanctions measures imposed by the United Nations Security Council, European Union, the United Kingdom or Australia.</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 shall mean the Securities and Exchange Commission, and any successor entity.</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Secured Parties</w:t>
      </w:r>
      <w:r>
        <w:rPr>
          <w:rFonts w:ascii="Arial" w:cs="Arial" w:eastAsia="Arial" w:hAnsi="Arial"/>
          <w:sz w:val="15"/>
          <w:szCs w:val="15"/>
          <w:color w:val="auto"/>
        </w:rPr>
        <w:t>” shall mean, collectively, the U.S. Secured Parties, the Canadian Secured Parties and the Australian Secured Parties.</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Security Agreements</w:t>
      </w:r>
      <w:r>
        <w:rPr>
          <w:rFonts w:ascii="Arial" w:cs="Arial" w:eastAsia="Arial" w:hAnsi="Arial"/>
          <w:sz w:val="15"/>
          <w:szCs w:val="15"/>
          <w:color w:val="auto"/>
        </w:rPr>
        <w:t>” shall mean, collectively, the U.S. Security Agreement, the Canadian Security Agreement and following the execution and delivery thereof by the parties thereto, the Australian Security Deed.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8" w:name="page89"/>
    <w:bookmarkEnd w:id="88"/>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Security Documents</w:t>
      </w:r>
      <w:r>
        <w:rPr>
          <w:rFonts w:ascii="Arial" w:cs="Arial" w:eastAsia="Arial" w:hAnsi="Arial"/>
          <w:sz w:val="15"/>
          <w:szCs w:val="15"/>
          <w:color w:val="auto"/>
        </w:rPr>
        <w:t>” shall mean the Security Agreements, the Pledge Agreements, and each of the security agreements, and other instruments and documents executed and delivered pursuant to any of the foregoing or pursuant to Section 5.09.</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Separation Agreement</w:t>
      </w:r>
      <w:r>
        <w:rPr>
          <w:rFonts w:ascii="Arial" w:cs="Arial" w:eastAsia="Arial" w:hAnsi="Arial"/>
          <w:sz w:val="15"/>
          <w:szCs w:val="15"/>
          <w:color w:val="auto"/>
        </w:rPr>
        <w:t>” shall mean the separation and distribution agreement between the U.S. Borrower and Oil States dated as of May [28], 2014.</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Solvent</w:t>
      </w:r>
      <w:r>
        <w:rPr>
          <w:rFonts w:ascii="Arial" w:cs="Arial" w:eastAsia="Arial" w:hAnsi="Arial"/>
          <w:sz w:val="15"/>
          <w:szCs w:val="15"/>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Funding Date.</w:t>
      </w:r>
    </w:p>
    <w:p>
      <w:pPr>
        <w:spacing w:after="0" w:line="16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S&amp;P</w:t>
      </w:r>
      <w:r>
        <w:rPr>
          <w:rFonts w:ascii="Arial" w:cs="Arial" w:eastAsia="Arial" w:hAnsi="Arial"/>
          <w:sz w:val="15"/>
          <w:szCs w:val="15"/>
          <w:color w:val="auto"/>
        </w:rPr>
        <w:t>” shall mean Standard &amp; Poor’s Ratings Service, a division of The McGraw-Hill Companies, Inc., or any successor thereof which is a nationally recognized statistical rating organization.</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SPC</w:t>
      </w:r>
      <w:r>
        <w:rPr>
          <w:rFonts w:ascii="Arial" w:cs="Arial" w:eastAsia="Arial" w:hAnsi="Arial"/>
          <w:sz w:val="15"/>
          <w:szCs w:val="15"/>
          <w:color w:val="auto"/>
        </w:rPr>
        <w:t>” shall have the meaning assigned to such term in Section 9.04(g).</w:t>
      </w:r>
    </w:p>
    <w:p>
      <w:pPr>
        <w:spacing w:after="0" w:line="177"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Special Purpose Business Entity</w:t>
      </w:r>
      <w:r>
        <w:rPr>
          <w:rFonts w:ascii="Arial" w:cs="Arial" w:eastAsia="Arial" w:hAnsi="Arial"/>
          <w:sz w:val="14"/>
          <w:szCs w:val="14"/>
          <w:color w:val="auto"/>
        </w:rPr>
        <w:t>” shall mean each entity listed on Schedule 3.08 as being a Special Purpose Business Entity and any other entity formed by the Canadian Parent or any of its Subsidiaries, or in which the Canadian Parent or any of its Subsidiaries acquires an Equity Interest, in each case so long as (i) such entity is formed, or such Equity Interest is acquired, after October 30, 2003, (ii) such entity is, or proposes to engage in, a joint venture with persons that are, or are owned or controlled by, aboriginal peoples in Alaska or Canada, (iii) any loans or advances to, or investments in such Special Purpose Business Entity is permitted by Section 6.04, and (iv) the Canadian Parent delivers a certificate of a Responsible Officer to the Administrative Agents designating such Special Purpose Business Entity as such and certifying compliance with the foregoing requirements of this definition.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Spin Documents</w:t>
      </w:r>
      <w:r>
        <w:rPr>
          <w:rFonts w:ascii="Arial" w:cs="Arial" w:eastAsia="Arial" w:hAnsi="Arial"/>
          <w:sz w:val="15"/>
          <w:szCs w:val="15"/>
          <w:color w:val="auto"/>
        </w:rPr>
        <w:t>” shall mean, the Form 10, the Separation Agreement and all exhibits, schedules and amendments thereto.</w:t>
      </w:r>
    </w:p>
    <w:p>
      <w:pPr>
        <w:spacing w:after="0" w:line="177"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Spin-Off</w:t>
      </w:r>
      <w:r>
        <w:rPr>
          <w:rFonts w:ascii="Arial" w:cs="Arial" w:eastAsia="Arial" w:hAnsi="Arial"/>
          <w:sz w:val="14"/>
          <w:szCs w:val="14"/>
          <w:color w:val="auto"/>
        </w:rPr>
        <w:t>” shall mean (a) the separation of certain assets (including the Equity Interests of certain subsidiaries of Oil States) and certain liabilities related to Oil States’ remote site accommodations business from Oil States and the transfer of those assets (including the Equity Interests of certain Subsidiaries of Oil States) and liabilities to the U.S. Borrower pursuant to the Separation Agreement and (b) the distribution by Oil States of all of the issued and outstanding shares of common stock of the U.S. Borrower.</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Standard Time</w:t>
      </w:r>
      <w:r>
        <w:rPr>
          <w:rFonts w:ascii="Arial" w:cs="Arial" w:eastAsia="Arial" w:hAnsi="Arial"/>
          <w:sz w:val="15"/>
          <w:szCs w:val="15"/>
          <w:color w:val="auto"/>
        </w:rPr>
        <w:t>” shall mean eastern standard time or eastern daylight savings time, as applicable on the relevant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89" w:name="page90"/>
    <w:bookmarkEnd w:id="89"/>
    <w:p>
      <w:pPr>
        <w:jc w:val="both"/>
        <w:ind w:firstLine="525"/>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Statutory Reserves</w:t>
      </w:r>
      <w:r>
        <w:rPr>
          <w:rFonts w:ascii="Arial" w:cs="Arial" w:eastAsia="Arial" w:hAnsi="Arial"/>
          <w:sz w:val="12"/>
          <w:szCs w:val="12"/>
          <w:color w:val="auto"/>
        </w:rPr>
        <w:t>”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18"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Subordinated Indebtedness</w:t>
      </w:r>
      <w:r>
        <w:rPr>
          <w:rFonts w:ascii="Arial" w:cs="Arial" w:eastAsia="Arial" w:hAnsi="Arial"/>
          <w:sz w:val="15"/>
          <w:szCs w:val="15"/>
          <w:color w:val="auto"/>
        </w:rPr>
        <w:t>” shall mean Indebtedness of a Loan Party that is subordinated to the prior payment in full of the Obligations on terms reasonably satisfactory to the Administrative Agent.</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shall mean, with respect to any person (herein referred to as the “</w:t>
      </w:r>
      <w:r>
        <w:rPr>
          <w:rFonts w:ascii="Arial" w:cs="Arial" w:eastAsia="Arial" w:hAnsi="Arial"/>
          <w:sz w:val="15"/>
          <w:szCs w:val="15"/>
          <w:i w:val="1"/>
          <w:iCs w:val="1"/>
          <w:color w:val="auto"/>
        </w:rPr>
        <w:t>parent</w:t>
      </w:r>
      <w:r>
        <w:rPr>
          <w:rFonts w:ascii="Arial" w:cs="Arial" w:eastAsia="Arial" w:hAnsi="Arial"/>
          <w:sz w:val="15"/>
          <w:szCs w:val="15"/>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shall mean any subsidiary of a Borrower, other than a Special Purpose Business Entity.</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 Guarantors</w:t>
      </w:r>
      <w:r>
        <w:rPr>
          <w:rFonts w:ascii="Arial" w:cs="Arial" w:eastAsia="Arial" w:hAnsi="Arial"/>
          <w:sz w:val="15"/>
          <w:szCs w:val="15"/>
          <w:color w:val="auto"/>
        </w:rPr>
        <w:t>” shall mean, collectively, the U.S. Subsidiary Guarantors, the Canadian Subsidiary Guarantors, and the Australian Subsidiary Guarantors.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 Line Borrowing</w:t>
      </w:r>
      <w:r>
        <w:rPr>
          <w:rFonts w:ascii="Arial" w:cs="Arial" w:eastAsia="Arial" w:hAnsi="Arial"/>
          <w:sz w:val="15"/>
          <w:szCs w:val="15"/>
          <w:color w:val="auto"/>
        </w:rPr>
        <w:t>” shall mean a U.S. Swing Line Borrowing or a Canadian Swing Line Borrowing, as the context may require.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 Line Lender</w:t>
      </w:r>
      <w:r>
        <w:rPr>
          <w:rFonts w:ascii="Arial" w:cs="Arial" w:eastAsia="Arial" w:hAnsi="Arial"/>
          <w:sz w:val="15"/>
          <w:szCs w:val="15"/>
          <w:color w:val="auto"/>
        </w:rPr>
        <w:t>” shall mean the U.S. Swing Line Lender or the Canadian Swing Line Lender, as the context may require.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 Line Loan</w:t>
      </w:r>
      <w:r>
        <w:rPr>
          <w:rFonts w:ascii="Arial" w:cs="Arial" w:eastAsia="Arial" w:hAnsi="Arial"/>
          <w:sz w:val="15"/>
          <w:szCs w:val="15"/>
          <w:color w:val="auto"/>
        </w:rPr>
        <w:t>” shall mean a U.S. Swing Line Loan or a Canadian Swing Line Loan, as the context may require.</w:t>
      </w:r>
    </w:p>
    <w:p>
      <w:pPr>
        <w:spacing w:after="0" w:line="177"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Swing Line Payment Date</w:t>
      </w:r>
      <w:r>
        <w:rPr>
          <w:rFonts w:ascii="Arial" w:cs="Arial" w:eastAsia="Arial" w:hAnsi="Arial"/>
          <w:sz w:val="14"/>
          <w:szCs w:val="14"/>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three (3) Business Days after demand is made by the Applicable Swing Line Lender if no Default or Event of Default exists, and otherwise upon demand by the Applicable Swing Line Lender and (ii) the Maturity Date.</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Swing Line Sublimit</w:t>
      </w:r>
      <w:r>
        <w:rPr>
          <w:rFonts w:ascii="Arial" w:cs="Arial" w:eastAsia="Arial" w:hAnsi="Arial"/>
          <w:sz w:val="15"/>
          <w:szCs w:val="15"/>
          <w:color w:val="auto"/>
        </w:rPr>
        <w:t>” shall mean the U.S. Swing Line Sublimit or the Canadian Swing Line Sublimit, as the context may require.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0" w:name="page91"/>
    <w:bookmarkEnd w:id="90"/>
    <w:p>
      <w:pPr>
        <w:jc w:val="both"/>
        <w:ind w:firstLine="525"/>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Synthetic Purchase Agreement</w:t>
      </w:r>
      <w:r>
        <w:rPr>
          <w:rFonts w:ascii="Arial" w:cs="Arial" w:eastAsia="Arial" w:hAnsi="Arial"/>
          <w:sz w:val="14"/>
          <w:szCs w:val="14"/>
          <w:color w:val="auto"/>
        </w:rPr>
        <w:t xml:space="preserve">” shall mean any swap, derivative or other agreement or combination of agreements pursuant to which the U.S. Borrower or any Subsidiary is or may become obligated to make (a) any payment in connection with a purchase by any third party from a person other than the U.S.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phantom stock or similar plan providing for payments only to current or former directors, officers or employees of the U.S. Borrower or the Subsidiaries (or to their heirs or estates) shall be deemed to be a Synthetic Purchase Agreement.</w:t>
      </w:r>
    </w:p>
    <w:p>
      <w:pPr>
        <w:spacing w:after="0" w:line="14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Taxes</w:t>
      </w:r>
      <w:r>
        <w:rPr>
          <w:rFonts w:ascii="Arial" w:cs="Arial" w:eastAsia="Arial" w:hAnsi="Arial"/>
          <w:sz w:val="15"/>
          <w:szCs w:val="15"/>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Australian Revolving Commitment</w:t>
      </w:r>
      <w:r>
        <w:rPr>
          <w:rFonts w:ascii="Arial" w:cs="Arial" w:eastAsia="Arial" w:hAnsi="Arial"/>
          <w:sz w:val="15"/>
          <w:szCs w:val="15"/>
          <w:color w:val="auto"/>
        </w:rPr>
        <w:t>” shall mean, at any time, the aggregate amount of the Australian Revolving Commitments, as in effect at such time.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Canadian Revolving Commitment</w:t>
      </w:r>
      <w:r>
        <w:rPr>
          <w:rFonts w:ascii="Arial" w:cs="Arial" w:eastAsia="Arial" w:hAnsi="Arial"/>
          <w:sz w:val="15"/>
          <w:szCs w:val="15"/>
          <w:color w:val="auto"/>
        </w:rPr>
        <w:t>” shall mean, at any time, the aggregate amount of the Canadian Revolving Commitments, as in effect at such time.</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Debt</w:t>
      </w:r>
      <w:r>
        <w:rPr>
          <w:rFonts w:ascii="Arial" w:cs="Arial" w:eastAsia="Arial" w:hAnsi="Arial"/>
          <w:sz w:val="15"/>
          <w:szCs w:val="15"/>
          <w:color w:val="auto"/>
        </w:rPr>
        <w:t>” at any time shall mean the Indebtedness of the U.S. Borrower and its subsidiaries at such time (excluding Indebtedness of the type described in clause (i) of the definition of such term, except to the extent of any unreimbursed drawings thereunder).</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U.S. Revolving Commitment</w:t>
      </w:r>
      <w:r>
        <w:rPr>
          <w:rFonts w:ascii="Arial" w:cs="Arial" w:eastAsia="Arial" w:hAnsi="Arial"/>
          <w:sz w:val="15"/>
          <w:szCs w:val="15"/>
          <w:color w:val="auto"/>
        </w:rPr>
        <w:t>” shall mean, at any time, the aggregate amount of the U.S. Revolving Commitments, as in effect at such time.</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Transactions</w:t>
      </w:r>
      <w:r>
        <w:rPr>
          <w:rFonts w:ascii="Arial" w:cs="Arial" w:eastAsia="Arial" w:hAnsi="Arial"/>
          <w:sz w:val="15"/>
          <w:szCs w:val="15"/>
          <w:color w:val="auto"/>
        </w:rPr>
        <w:t>” shall mean, collectively, (a) the consummation of the Spin-Off, (b) the entering by the Loan Parties into Loan Documents to which they are to be a party, (c) the Refinancing Transactions, and (d) the payment of the fees and expenses incurred in connection with the consummation of the foregoing.</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Type</w:t>
      </w:r>
      <w:r>
        <w:rPr>
          <w:rFonts w:ascii="Arial" w:cs="Arial" w:eastAsia="Arial" w:hAnsi="Arial"/>
          <w:sz w:val="15"/>
          <w:szCs w:val="15"/>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5"/>
          <w:szCs w:val="15"/>
          <w:i w:val="1"/>
          <w:iCs w:val="1"/>
          <w:color w:val="auto"/>
        </w:rPr>
        <w:t>Rate</w:t>
      </w:r>
      <w:r>
        <w:rPr>
          <w:rFonts w:ascii="Arial" w:cs="Arial" w:eastAsia="Arial" w:hAnsi="Arial"/>
          <w:sz w:val="15"/>
          <w:szCs w:val="15"/>
          <w:color w:val="auto"/>
        </w:rPr>
        <w:t>” shall include the Adjusted LIBO Rate, the Alternate Base Rate, the Canadian Prime Rate, the U.S. Base Rate, the BBSY Rate and the B/A Discount Rate applicable to Bankers’ Acceptances and B/A Equivalent Loans.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UKBA</w:t>
      </w:r>
      <w:r>
        <w:rPr>
          <w:rFonts w:ascii="Arial" w:cs="Arial" w:eastAsia="Arial" w:hAnsi="Arial"/>
          <w:sz w:val="15"/>
          <w:szCs w:val="15"/>
          <w:color w:val="auto"/>
        </w:rPr>
        <w:t>” shall mean the U.K. Bribery Act 2010.</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Applicable Pro Rata Percentage</w:t>
      </w:r>
      <w:r>
        <w:rPr>
          <w:rFonts w:ascii="Arial" w:cs="Arial" w:eastAsia="Arial" w:hAnsi="Arial"/>
          <w:sz w:val="15"/>
          <w:szCs w:val="15"/>
          <w:color w:val="auto"/>
        </w:rPr>
        <w:t>” shall mean with respect to any U.S. Revolving Lender or U.S. Term Lender, the U.S. Revolving Pro Rata Percentage or the U.S. Term Loan Pro Rata Percentage, respectively.</w:t>
      </w:r>
    </w:p>
    <w:p>
      <w:pPr>
        <w:spacing w:after="0" w:line="152"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U.S. Base Rate</w:t>
      </w:r>
      <w:r>
        <w:rPr>
          <w:rFonts w:ascii="Arial" w:cs="Arial" w:eastAsia="Arial" w:hAnsi="Arial"/>
          <w:sz w:val="12"/>
          <w:szCs w:val="12"/>
          <w:color w:val="auto"/>
        </w:rPr>
        <w:t>” shall mean, for any day, a rate per annum equal to the greatest of (a) the rate of interest per annum publicly announced from time to time by the Canadian Administrative Agent as its base rate in effect at its principal office in Toronto, Ontario for determining interest rates on U.S. dollar-denominated commercial loans made in Canada, (b) the Federal Funds Effective Rate in effect on such day plus ½ of 1.0% and (c) the sum of the Adjusted LIBO Rate in effect for such day (or if such day is not a Business Day, the immediately preceding Business Day) for a deposit in U.S. dollars with a maturity of one month plus 1.0%. Each change in the U.S. Base Rate shall be effective on the date such change is publicly announced as being effective.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1" w:name="page92"/>
    <w:bookmarkEnd w:id="91"/>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Borrower Guarantee Agreement</w:t>
      </w:r>
      <w:r>
        <w:rPr>
          <w:rFonts w:ascii="Arial" w:cs="Arial" w:eastAsia="Arial" w:hAnsi="Arial"/>
          <w:sz w:val="15"/>
          <w:szCs w:val="15"/>
          <w:color w:val="auto"/>
        </w:rPr>
        <w:t>” shall mean the U.S. Borrower Guarantee Agreement, substantially in the form of Exhibit C-2, between the U.S. Borrower and the Canadian Collateral Agent for the benefit of the Canadian Secured Parties.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Collateral</w:t>
      </w:r>
      <w:r>
        <w:rPr>
          <w:rFonts w:ascii="Arial" w:cs="Arial" w:eastAsia="Arial" w:hAnsi="Arial"/>
          <w:sz w:val="15"/>
          <w:szCs w:val="15"/>
          <w:color w:val="auto"/>
        </w:rPr>
        <w:t>” shall mean all “Collateral” as defined in any Security Document, other than Canadian Collateral and the Australian Collateral.</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Commitment</w:t>
      </w:r>
      <w:r>
        <w:rPr>
          <w:rFonts w:ascii="Arial" w:cs="Arial" w:eastAsia="Arial" w:hAnsi="Arial"/>
          <w:sz w:val="15"/>
          <w:szCs w:val="15"/>
          <w:color w:val="auto"/>
        </w:rPr>
        <w:t>” shall mean a U.S. Revolving Commitment or a U.S. Term Commitment, as the context requires.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Commitment Fee</w:t>
      </w:r>
      <w:r>
        <w:rPr>
          <w:rFonts w:ascii="Arial" w:cs="Arial" w:eastAsia="Arial" w:hAnsi="Arial"/>
          <w:sz w:val="15"/>
          <w:szCs w:val="15"/>
          <w:color w:val="auto"/>
        </w:rPr>
        <w:t>” shall have the meaning assigned to such term in Section 2.05(a).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U.S. Dollar Equivalent</w:t>
      </w:r>
      <w:r>
        <w:rPr>
          <w:rFonts w:ascii="Arial" w:cs="Arial" w:eastAsia="Arial" w:hAnsi="Arial"/>
          <w:sz w:val="12"/>
          <w:szCs w:val="12"/>
          <w:color w:val="auto"/>
        </w:rPr>
        <w:t>” shall mean, on any date of determination, with respect to any amount in Canadian dollars, Australian dollars or an Alternative Currency, the equivalent in U.S.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dollars of such amount, determined by the Administrative Agent using the Exchange Rate then in effect.</w:t>
      </w:r>
    </w:p>
    <w:p>
      <w:pPr>
        <w:spacing w:after="0" w:line="168"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L/C Exposure</w:t>
      </w:r>
      <w:r>
        <w:rPr>
          <w:rFonts w:ascii="Arial" w:cs="Arial" w:eastAsia="Arial" w:hAnsi="Arial"/>
          <w:sz w:val="14"/>
          <w:szCs w:val="14"/>
          <w:color w:val="auto"/>
        </w:rPr>
        <w:t xml:space="preserve">” shall mean at any time the sum of (a) the U.S. Dollar Equivalent of the aggregate undrawn amount of all outstanding U.S. Letters of Credit at such time </w:t>
      </w:r>
      <w:r>
        <w:rPr>
          <w:rFonts w:ascii="Arial" w:cs="Arial" w:eastAsia="Arial" w:hAnsi="Arial"/>
          <w:sz w:val="14"/>
          <w:szCs w:val="14"/>
          <w:i w:val="1"/>
          <w:iCs w:val="1"/>
          <w:color w:val="auto"/>
        </w:rPr>
        <w:t>plus</w:t>
      </w:r>
      <w:r>
        <w:rPr>
          <w:rFonts w:ascii="Arial" w:cs="Arial" w:eastAsia="Arial" w:hAnsi="Arial"/>
          <w:sz w:val="14"/>
          <w:szCs w:val="14"/>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L/C Participation Fee</w:t>
      </w:r>
      <w:r>
        <w:rPr>
          <w:rFonts w:ascii="Arial" w:cs="Arial" w:eastAsia="Arial" w:hAnsi="Arial"/>
          <w:sz w:val="15"/>
          <w:szCs w:val="15"/>
          <w:color w:val="auto"/>
        </w:rPr>
        <w:t>” shall have the meaning assigned to such term in Section 2.05(c).</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Lenders</w:t>
      </w:r>
      <w:r>
        <w:rPr>
          <w:rFonts w:ascii="Arial" w:cs="Arial" w:eastAsia="Arial" w:hAnsi="Arial"/>
          <w:sz w:val="15"/>
          <w:szCs w:val="15"/>
          <w:color w:val="auto"/>
        </w:rPr>
        <w:t>” shall mean the Lenders having U.S. Commitments or outstanding U.S. Loans.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Loan</w:t>
      </w:r>
      <w:r>
        <w:rPr>
          <w:rFonts w:ascii="Arial" w:cs="Arial" w:eastAsia="Arial" w:hAnsi="Arial"/>
          <w:sz w:val="15"/>
          <w:szCs w:val="15"/>
          <w:color w:val="auto"/>
        </w:rPr>
        <w:t>” shall mean a U.S. Revolving Credit Loan or a U.S. Term Loan. Each U.S. Loan shall be an ABR Loan or a Eurocurrency Loan.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Person”</w:t>
      </w:r>
      <w:r>
        <w:rPr>
          <w:rFonts w:ascii="Arial" w:cs="Arial" w:eastAsia="Arial" w:hAnsi="Arial"/>
          <w:sz w:val="15"/>
          <w:szCs w:val="15"/>
          <w:color w:val="auto"/>
        </w:rPr>
        <w:t xml:space="preserve"> shall mean any person that is a “United States person” as defined in Section 7701(a)(30) of the Code.</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Pledge Agreement</w:t>
      </w:r>
      <w:r>
        <w:rPr>
          <w:rFonts w:ascii="Arial" w:cs="Arial" w:eastAsia="Arial" w:hAnsi="Arial"/>
          <w:sz w:val="15"/>
          <w:szCs w:val="15"/>
          <w:color w:val="auto"/>
        </w:rPr>
        <w:t>” shall mean the U.S. Pledge Agreement, substantially in the form of Exhibit D-3, among the U.S. Borrower, the Subsidiaries party thereto and the U.S. Collateral Agent for the benefit of the Secured Parties.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2" w:name="page93"/>
    <w:bookmarkEnd w:id="92"/>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Revolving Borrowing</w:t>
      </w:r>
      <w:r>
        <w:rPr>
          <w:rFonts w:ascii="Arial" w:cs="Arial" w:eastAsia="Arial" w:hAnsi="Arial"/>
          <w:sz w:val="15"/>
          <w:szCs w:val="15"/>
          <w:color w:val="auto"/>
        </w:rPr>
        <w:t>” shall mean group of U.S. Revolving Credit Loans of a single Type made, converted or continued by the U.S. Revolving Lenders on a single date and, in the case of a Eurocurrency Borrowing, as to which a single Interest Period is in effect.</w:t>
      </w:r>
    </w:p>
    <w:p>
      <w:pPr>
        <w:spacing w:after="0" w:line="152"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Revolving Commitment</w:t>
      </w:r>
      <w:r>
        <w:rPr>
          <w:rFonts w:ascii="Arial" w:cs="Arial" w:eastAsia="Arial" w:hAnsi="Arial"/>
          <w:sz w:val="15"/>
          <w:szCs w:val="15"/>
          <w:color w:val="auto"/>
        </w:rPr>
        <w:t>”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reduced from time to time pursuant to Section 2.09 and (ii) reduced or increased from time to time pursuant to assignments by or to such U.S. Revolving Lender pursuant to Section 9.04. The aggregate amount of the U.S. Revolving Commitments as of the Closing Date is $450,000,000.</w:t>
      </w:r>
    </w:p>
    <w:p>
      <w:pPr>
        <w:spacing w:after="0" w:line="163"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Revolving Credit Exposure</w:t>
      </w:r>
      <w:r>
        <w:rPr>
          <w:rFonts w:ascii="Arial" w:cs="Arial" w:eastAsia="Arial" w:hAnsi="Arial"/>
          <w:sz w:val="14"/>
          <w:szCs w:val="14"/>
          <w:color w:val="auto"/>
        </w:rPr>
        <w:t xml:space="preserve">” shall mean, with respect to any U.S. Revolving Lender at any time, the aggregate principal amount at such time of all outstanding U.S. Revolving Credit Loans of such U.S. Revolving Lender,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U.S. Dollar Equivalent of the aggregate amount at such time of such U.S. Revolving Lender’s U.S. Revolving Pro Rata Percentage of the U.S. L/C Exposure </w:t>
      </w:r>
      <w:r>
        <w:rPr>
          <w:rFonts w:ascii="Arial" w:cs="Arial" w:eastAsia="Arial" w:hAnsi="Arial"/>
          <w:sz w:val="14"/>
          <w:szCs w:val="14"/>
          <w:i w:val="1"/>
          <w:iCs w:val="1"/>
          <w:color w:val="auto"/>
        </w:rPr>
        <w:t>plus</w:t>
      </w:r>
      <w:r>
        <w:rPr>
          <w:rFonts w:ascii="Arial" w:cs="Arial" w:eastAsia="Arial" w:hAnsi="Arial"/>
          <w:sz w:val="14"/>
          <w:szCs w:val="14"/>
          <w:color w:val="auto"/>
        </w:rPr>
        <w:t xml:space="preserve"> such U.S. Revolving Lender’s U.S. Revolving Pro Rata Percentage of the outstanding amount all U.S. Swing Line Loans.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Revolving Credit Facility</w:t>
      </w:r>
      <w:r>
        <w:rPr>
          <w:rFonts w:ascii="Arial" w:cs="Arial" w:eastAsia="Arial" w:hAnsi="Arial"/>
          <w:sz w:val="15"/>
          <w:szCs w:val="15"/>
          <w:color w:val="auto"/>
        </w:rPr>
        <w:t>” shall mean at any time the aggregate amount of the U.S. Revolving Commitments of the U.S. Revolving Lenders at such time.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Revolving Credit Loan</w:t>
      </w:r>
      <w:r>
        <w:rPr>
          <w:rFonts w:ascii="Arial" w:cs="Arial" w:eastAsia="Arial" w:hAnsi="Arial"/>
          <w:sz w:val="15"/>
          <w:szCs w:val="15"/>
          <w:color w:val="auto"/>
        </w:rPr>
        <w:t>” shall mean the U.S. dollar-denominated Revolving Credit Loans made by the U.S. Revolving Lenders to the U.S. Borrower.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U.S. Revolving Lenders</w:t>
      </w:r>
      <w:r>
        <w:rPr>
          <w:rFonts w:ascii="Arial" w:cs="Arial" w:eastAsia="Arial" w:hAnsi="Arial"/>
          <w:sz w:val="12"/>
          <w:szCs w:val="12"/>
          <w:color w:val="auto"/>
        </w:rPr>
        <w:t>” shall mean Lenders having U.S. Revolving Commitments, outstanding U.S. Revolving Credit Loans, participations in U.S. Letters of Credit or outstanding U.S.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Swing Line Loans.</w:t>
      </w:r>
    </w:p>
    <w:p>
      <w:pPr>
        <w:spacing w:after="0" w:line="168"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U.S. Revolving Pro Rata Percentage</w:t>
      </w:r>
      <w:r>
        <w:rPr>
          <w:rFonts w:ascii="Arial" w:cs="Arial" w:eastAsia="Arial" w:hAnsi="Arial"/>
          <w:sz w:val="12"/>
          <w:szCs w:val="12"/>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Secured Parties</w:t>
      </w:r>
      <w:r>
        <w:rPr>
          <w:rFonts w:ascii="Arial" w:cs="Arial" w:eastAsia="Arial" w:hAnsi="Arial"/>
          <w:sz w:val="15"/>
          <w:szCs w:val="15"/>
          <w:color w:val="auto"/>
        </w:rPr>
        <w:t>” shall have the meaning assigned to such term in the U.S. Security Agreement.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U.S. Security Agreement</w:t>
      </w:r>
      <w:r>
        <w:rPr>
          <w:rFonts w:ascii="Arial" w:cs="Arial" w:eastAsia="Arial" w:hAnsi="Arial"/>
          <w:sz w:val="12"/>
          <w:szCs w:val="12"/>
          <w:color w:val="auto"/>
        </w:rPr>
        <w:t>” shall mean the U.S. Security Agreement, substantially in the form of Exhibit E-3, among the U.S. Borrower, the Subsidiaries party thereto and the U.S.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Collateral Agent for the benefit of the Secured Parties.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3" w:name="page94"/>
    <w:bookmarkEnd w:id="93"/>
    <w:p>
      <w:pPr>
        <w:jc w:val="both"/>
        <w:ind w:firstLine="52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Security Documents</w:t>
      </w:r>
      <w:r>
        <w:rPr>
          <w:rFonts w:ascii="Arial" w:cs="Arial" w:eastAsia="Arial" w:hAnsi="Arial"/>
          <w:sz w:val="14"/>
          <w:szCs w:val="14"/>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130"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Subsidiary Guarantee Agreement</w:t>
      </w:r>
      <w:r>
        <w:rPr>
          <w:rFonts w:ascii="Arial" w:cs="Arial" w:eastAsia="Arial" w:hAnsi="Arial"/>
          <w:sz w:val="15"/>
          <w:szCs w:val="15"/>
          <w:color w:val="auto"/>
        </w:rPr>
        <w:t>” shall mean the U.S. Subsidiary Guarantee Agreement, substantially in the form of Exhibit C-3, between the U.S. Subsidiary Guarantors and the U.S. Collateral Agent for the benefit of the Secured Parties.</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Subsidiary Guarantor</w:t>
      </w:r>
      <w:r>
        <w:rPr>
          <w:rFonts w:ascii="Arial" w:cs="Arial" w:eastAsia="Arial" w:hAnsi="Arial"/>
          <w:sz w:val="15"/>
          <w:szCs w:val="15"/>
          <w:color w:val="auto"/>
        </w:rPr>
        <w:t>” shall mean each Domestic Subsidiary of the U.S. Borrower listed on Schedule 1.01(a), and each other Material Subsidiary that is or becomes a party to the U.S. Subsidiary Guarantee Agreement.</w:t>
      </w:r>
    </w:p>
    <w:p>
      <w:pPr>
        <w:spacing w:after="0" w:line="15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Swing Line Borrowing</w:t>
      </w:r>
      <w:r>
        <w:rPr>
          <w:rFonts w:ascii="Arial" w:cs="Arial" w:eastAsia="Arial" w:hAnsi="Arial"/>
          <w:sz w:val="15"/>
          <w:szCs w:val="15"/>
          <w:color w:val="auto"/>
        </w:rPr>
        <w:t>” shall mean a borrowing of a U.S. Swing Line Loan pursuant to Section 2.23(a)(i) or, if an AutoBorrow Agreement is in effect, any transfer of funds pursuant to such AutoBorrow Agreement.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Swing Line Lender</w:t>
      </w:r>
      <w:r>
        <w:rPr>
          <w:rFonts w:ascii="Arial" w:cs="Arial" w:eastAsia="Arial" w:hAnsi="Arial"/>
          <w:sz w:val="15"/>
          <w:szCs w:val="15"/>
          <w:color w:val="auto"/>
        </w:rPr>
        <w:t>” shall mean Wells Fargo Bank, N.A. in its capacity as provider of U.S. Swing Line Loans, or any successor swing line lender hereunder.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Swing Line Loan</w:t>
      </w:r>
      <w:r>
        <w:rPr>
          <w:rFonts w:ascii="Arial" w:cs="Arial" w:eastAsia="Arial" w:hAnsi="Arial"/>
          <w:sz w:val="15"/>
          <w:szCs w:val="15"/>
          <w:color w:val="auto"/>
        </w:rPr>
        <w:t>” has the meaning assigned to such term in Section 2.23(a)(i).</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Swing Line Sublimit</w:t>
      </w:r>
      <w:r>
        <w:rPr>
          <w:rFonts w:ascii="Arial" w:cs="Arial" w:eastAsia="Arial" w:hAnsi="Arial"/>
          <w:sz w:val="15"/>
          <w:szCs w:val="15"/>
          <w:color w:val="auto"/>
        </w:rPr>
        <w:t>” shall mean U.S.$40,000,000. The U.S. Swing Line Sublimit is part of, and not in addition to, the U.S. Revolving Commitments.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Tax Compliance Certificate</w:t>
      </w:r>
      <w:r>
        <w:rPr>
          <w:rFonts w:ascii="Arial" w:cs="Arial" w:eastAsia="Arial" w:hAnsi="Arial"/>
          <w:sz w:val="15"/>
          <w:szCs w:val="15"/>
          <w:color w:val="auto"/>
        </w:rPr>
        <w:t>” has the meaning assigned to such term in paragraph (g) of Section 2.19(b)(3).</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Borrowing</w:t>
      </w:r>
      <w:r>
        <w:rPr>
          <w:rFonts w:ascii="Arial" w:cs="Arial" w:eastAsia="Arial" w:hAnsi="Arial"/>
          <w:sz w:val="15"/>
          <w:szCs w:val="15"/>
          <w:color w:val="auto"/>
        </w:rPr>
        <w:t>” shall mean a group of U.S. Term Loans of a single Type made, converted or continued by the U.S. Term Lenders on a single date and, in the case of a Eurocurrency Borrowing, as to which a single Interest Period is in effect.</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Commitment</w:t>
      </w:r>
      <w:r>
        <w:rPr>
          <w:rFonts w:ascii="Arial" w:cs="Arial" w:eastAsia="Arial" w:hAnsi="Arial"/>
          <w:sz w:val="15"/>
          <w:szCs w:val="15"/>
          <w:color w:val="auto"/>
        </w:rPr>
        <w:t>” shall mean, with respect to each U.S. Term Lender, the commitment of such U.S. Term Lender to make a single U.S. Term Loan to the U.S. Borrower on the Funding Date in an aggregate principal amount not to exceed the U.S. dollar amount set forth opposite such Lender’s name on Schedule 2.01. The aggregate amount of the U.S. Term Commitments as of the Closing Date is $775,000,000.</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Lender</w:t>
      </w:r>
      <w:r>
        <w:rPr>
          <w:rFonts w:ascii="Arial" w:cs="Arial" w:eastAsia="Arial" w:hAnsi="Arial"/>
          <w:sz w:val="15"/>
          <w:szCs w:val="15"/>
          <w:color w:val="auto"/>
        </w:rPr>
        <w:t>” shall mean any U.S. Lender that has a U.S. Term Commitment or holds a Term Credit Loan.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Loan</w:t>
      </w:r>
      <w:r>
        <w:rPr>
          <w:rFonts w:ascii="Arial" w:cs="Arial" w:eastAsia="Arial" w:hAnsi="Arial"/>
          <w:sz w:val="15"/>
          <w:szCs w:val="15"/>
          <w:color w:val="auto"/>
        </w:rPr>
        <w:t>” shall mean the U.S. dollar-denominated term loans made by the U.S. Term Lenders to the U.S. Borrower.</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Loan Facility</w:t>
      </w:r>
      <w:r>
        <w:rPr>
          <w:rFonts w:ascii="Arial" w:cs="Arial" w:eastAsia="Arial" w:hAnsi="Arial"/>
          <w:sz w:val="15"/>
          <w:szCs w:val="15"/>
          <w:color w:val="auto"/>
        </w:rPr>
        <w:t>” shall mean (a) at any time on or prior to the Funding Date, the aggregate amount of the U.S. Term Commitments at such time and (b) at any time after the Funding Date, the aggregate principal amount of the U.S. Term Loans of all U.S. Term Lenders outstanding at such time.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4" w:name="page95"/>
    <w:bookmarkEnd w:id="94"/>
    <w:p>
      <w:pPr>
        <w:jc w:val="both"/>
        <w:ind w:firstLine="525"/>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Term Loan Pro Rata Percentage</w:t>
      </w:r>
      <w:r>
        <w:rPr>
          <w:rFonts w:ascii="Arial" w:cs="Arial" w:eastAsia="Arial" w:hAnsi="Arial"/>
          <w:sz w:val="15"/>
          <w:szCs w:val="15"/>
          <w:color w:val="auto"/>
        </w:rPr>
        <w:t>” with respect to any U.S. Term Lender, (a) prior to the termination of the U.S. Term Commitments, the percentage of the aggregate U.S. Term Commitments represented by such U.S. Lender’s U.S. Term Commitment at such time and (b) following the termination of the U.S. Term Commitments, the percentage of the aggregate principal amount of the U.S. Term Loans represented by such U.S. Lender’s U.S. Term Loans at such time.</w:t>
      </w:r>
    </w:p>
    <w:p>
      <w:pPr>
        <w:spacing w:after="0" w:line="158"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wholly owned Subsidiary</w:t>
      </w:r>
      <w:r>
        <w:rPr>
          <w:rFonts w:ascii="Arial" w:cs="Arial" w:eastAsia="Arial" w:hAnsi="Arial"/>
          <w:sz w:val="12"/>
          <w:szCs w:val="12"/>
          <w:color w:val="auto"/>
        </w:rPr>
        <w:t>” of any person shall mean (a) any subsidiary of such person of which securities (except for directors’ qualifying shares and, in the case of PTI Holdco, the Exchangeable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provided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r>
        <w:rPr>
          <w:rFonts w:ascii="Arial" w:cs="Arial" w:eastAsia="Arial" w:hAnsi="Arial"/>
          <w:sz w:val="12"/>
          <w:szCs w:val="12"/>
          <w:i w:val="1"/>
          <w:iCs w:val="1"/>
          <w:color w:val="auto"/>
        </w:rPr>
        <w:t>.</w:t>
      </w:r>
    </w:p>
    <w:p>
      <w:pPr>
        <w:spacing w:after="0" w:line="120"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Withdrawal Liability</w:t>
      </w:r>
      <w:r>
        <w:rPr>
          <w:rFonts w:ascii="Arial" w:cs="Arial" w:eastAsia="Arial" w:hAnsi="Arial"/>
          <w:sz w:val="15"/>
          <w:szCs w:val="15"/>
          <w:color w:val="auto"/>
        </w:rPr>
        <w:t>” shall mean liability to a Multiemployer Plan as a result of a complete or partial withdrawal from such Multiemployer Plan, as such terms are defined in Part I of Subtitle E of Title IV of ERISA.</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Withholding Agent</w:t>
      </w:r>
      <w:r>
        <w:rPr>
          <w:rFonts w:ascii="Arial" w:cs="Arial" w:eastAsia="Arial" w:hAnsi="Arial"/>
          <w:sz w:val="15"/>
          <w:szCs w:val="15"/>
          <w:color w:val="auto"/>
        </w:rPr>
        <w:t>” means any Loan Party and the Administrative Agent.</w:t>
      </w:r>
    </w:p>
    <w:p>
      <w:pPr>
        <w:spacing w:after="0" w:line="173" w:lineRule="exact"/>
        <w:rPr>
          <w:sz w:val="20"/>
          <w:szCs w:val="20"/>
          <w:color w:val="auto"/>
        </w:rPr>
      </w:pPr>
    </w:p>
    <w:p>
      <w:pPr>
        <w:jc w:val="both"/>
        <w:ind w:firstLine="525"/>
        <w:spacing w:after="0" w:line="310" w:lineRule="auto"/>
        <w:rPr>
          <w:sz w:val="20"/>
          <w:szCs w:val="20"/>
          <w:color w:val="auto"/>
        </w:rPr>
      </w:pPr>
      <w:r>
        <w:rPr>
          <w:rFonts w:ascii="Arial" w:cs="Arial" w:eastAsia="Arial" w:hAnsi="Arial"/>
          <w:sz w:val="12"/>
          <w:szCs w:val="12"/>
          <w:b w:val="1"/>
          <w:bCs w:val="1"/>
          <w:color w:val="auto"/>
        </w:rPr>
        <w:t xml:space="preserve">SECTION 1.02 </w:t>
      </w:r>
      <w:r>
        <w:rPr>
          <w:rFonts w:ascii="Arial" w:cs="Arial" w:eastAsia="Arial" w:hAnsi="Arial"/>
          <w:sz w:val="12"/>
          <w:szCs w:val="12"/>
          <w:b w:val="1"/>
          <w:bCs w:val="1"/>
          <w:i w:val="1"/>
          <w:iCs w:val="1"/>
          <w:color w:val="auto"/>
        </w:rPr>
        <w:t>Terms Generally</w:t>
      </w:r>
      <w:r>
        <w:rPr>
          <w:rFonts w:ascii="Arial" w:cs="Arial" w:eastAsia="Arial" w:hAnsi="Arial"/>
          <w:sz w:val="12"/>
          <w:szCs w:val="12"/>
          <w:color w:val="auto"/>
        </w:rPr>
        <w:t>. The definitions in Section 1.01 shall apply equally to both the singular and plural forms of the terms defined. Whenever the context may require, 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(f)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the U.S.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U.S.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U.S. Borrower and the Required Lenders.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5" w:name="page96"/>
    <w:bookmarkEnd w:id="95"/>
    <w:p>
      <w:pPr>
        <w:ind w:firstLine="525"/>
        <w:spacing w:after="0" w:line="264" w:lineRule="auto"/>
        <w:rPr>
          <w:sz w:val="20"/>
          <w:szCs w:val="20"/>
          <w:color w:val="auto"/>
        </w:rPr>
      </w:pPr>
      <w:r>
        <w:rPr>
          <w:rFonts w:ascii="Arial" w:cs="Arial" w:eastAsia="Arial" w:hAnsi="Arial"/>
          <w:sz w:val="15"/>
          <w:szCs w:val="15"/>
          <w:b w:val="1"/>
          <w:bCs w:val="1"/>
          <w:color w:val="auto"/>
        </w:rPr>
        <w:t xml:space="preserve">SECTION 1.03 </w:t>
      </w:r>
      <w:r>
        <w:rPr>
          <w:rFonts w:ascii="Arial" w:cs="Arial" w:eastAsia="Arial" w:hAnsi="Arial"/>
          <w:sz w:val="15"/>
          <w:szCs w:val="15"/>
          <w:b w:val="1"/>
          <w:bCs w:val="1"/>
          <w:i w:val="1"/>
          <w:iCs w:val="1"/>
          <w:color w:val="auto"/>
        </w:rPr>
        <w:t>Several Obligations; Power of Attorney</w:t>
      </w:r>
      <w:r>
        <w:rPr>
          <w:rFonts w:ascii="Arial" w:cs="Arial" w:eastAsia="Arial" w:hAnsi="Arial"/>
          <w:sz w:val="15"/>
          <w:szCs w:val="15"/>
          <w:color w:val="auto"/>
        </w:rPr>
        <w:t>. (a) The Canadian Borrowers, any Canadian Subsidiaries, the Australian Borrower and any Australian Subsidiaries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liable for the payment obligations of the U.S. Borrower hereunder.</w:t>
      </w:r>
    </w:p>
    <w:p>
      <w:pPr>
        <w:spacing w:after="0" w:line="193" w:lineRule="exact"/>
        <w:rPr>
          <w:sz w:val="20"/>
          <w:szCs w:val="20"/>
          <w:color w:val="auto"/>
        </w:rPr>
      </w:pPr>
    </w:p>
    <w:p>
      <w:pPr>
        <w:jc w:val="both"/>
        <w:ind w:firstLine="532"/>
        <w:spacing w:after="0" w:line="247" w:lineRule="auto"/>
        <w:tabs>
          <w:tab w:leader="none" w:pos="898" w:val="left"/>
        </w:tabs>
        <w:numPr>
          <w:ilvl w:val="0"/>
          <w:numId w:val="32"/>
        </w:numPr>
        <w:rPr>
          <w:rFonts w:ascii="Arial" w:cs="Arial" w:eastAsia="Arial" w:hAnsi="Arial"/>
          <w:sz w:val="15"/>
          <w:szCs w:val="15"/>
          <w:color w:val="auto"/>
        </w:rPr>
      </w:pPr>
      <w:r>
        <w:rPr>
          <w:rFonts w:ascii="Arial" w:cs="Arial" w:eastAsia="Arial" w:hAnsi="Arial"/>
          <w:sz w:val="15"/>
          <w:szCs w:val="15"/>
          <w:color w:val="auto"/>
        </w:rPr>
        <w:t>Each of the Canadian Borrowers and the Australian Borrower hereby appoints the U.S. Borrower and each of its officers to be its attorneys in fact (its “</w:t>
      </w:r>
      <w:r>
        <w:rPr>
          <w:rFonts w:ascii="Arial" w:cs="Arial" w:eastAsia="Arial" w:hAnsi="Arial"/>
          <w:sz w:val="15"/>
          <w:szCs w:val="15"/>
          <w:i w:val="1"/>
          <w:iCs w:val="1"/>
          <w:color w:val="auto"/>
        </w:rPr>
        <w:t>Attorneys</w:t>
      </w:r>
      <w:r>
        <w:rPr>
          <w:rFonts w:ascii="Arial" w:cs="Arial" w:eastAsia="Arial" w:hAnsi="Arial"/>
          <w:sz w:val="15"/>
          <w:szCs w:val="15"/>
          <w:color w:val="auto"/>
        </w:rPr>
        <w:t>”)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Arial" w:cs="Arial" w:eastAsia="Arial" w:hAnsi="Arial"/>
          <w:sz w:val="15"/>
          <w:szCs w:val="15"/>
          <w:i w:val="1"/>
          <w:iCs w:val="1"/>
          <w:color w:val="auto"/>
        </w:rPr>
        <w:t>Documents</w:t>
      </w:r>
      <w:r>
        <w:rPr>
          <w:rFonts w:ascii="Arial" w:cs="Arial" w:eastAsia="Arial" w:hAnsi="Arial"/>
          <w:sz w:val="15"/>
          <w:szCs w:val="15"/>
          <w:color w:val="auto"/>
        </w:rPr>
        <w:t>”). This Power of Attorney shall be valid for the duration of the term of this Agreement. Each Canadian Borrower and the Australian Borrower hereby ratifies any and all acts which any of its Attorneys shall do in order to execute on its behalf, or in connection with, the Documents mentioned herein.</w:t>
      </w:r>
    </w:p>
    <w:p>
      <w:pPr>
        <w:spacing w:after="0" w:line="158"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1.04 </w:t>
      </w:r>
      <w:r>
        <w:rPr>
          <w:rFonts w:ascii="Arial" w:cs="Arial" w:eastAsia="Arial" w:hAnsi="Arial"/>
          <w:sz w:val="14"/>
          <w:szCs w:val="14"/>
          <w:b w:val="1"/>
          <w:bCs w:val="1"/>
          <w:i w:val="1"/>
          <w:iCs w:val="1"/>
          <w:color w:val="auto"/>
        </w:rPr>
        <w:t>Classification of Loans and Borrowings</w:t>
      </w:r>
      <w:r>
        <w:rPr>
          <w:rFonts w:ascii="Arial" w:cs="Arial" w:eastAsia="Arial" w:hAnsi="Arial"/>
          <w:sz w:val="14"/>
          <w:szCs w:val="14"/>
          <w:color w:val="auto"/>
        </w:rPr>
        <w:t>. For purposes of this Agreement, Loans may be classified and referred to by Class (</w:t>
      </w:r>
      <w:r>
        <w:rPr>
          <w:rFonts w:ascii="Arial" w:cs="Arial" w:eastAsia="Arial" w:hAnsi="Arial"/>
          <w:sz w:val="14"/>
          <w:szCs w:val="14"/>
          <w:i w:val="1"/>
          <w:iCs w:val="1"/>
          <w:color w:val="auto"/>
        </w:rPr>
        <w:t>e.g.</w:t>
      </w:r>
      <w:r>
        <w:rPr>
          <w:rFonts w:ascii="Arial" w:cs="Arial" w:eastAsia="Arial" w:hAnsi="Arial"/>
          <w:sz w:val="14"/>
          <w:szCs w:val="14"/>
          <w:color w:val="auto"/>
        </w:rPr>
        <w:t>, a “U.S. Revolving Credit Loan”) or</w:t>
      </w:r>
      <w:r>
        <w:rPr>
          <w:rFonts w:ascii="Arial" w:cs="Arial" w:eastAsia="Arial" w:hAnsi="Arial"/>
          <w:sz w:val="14"/>
          <w:szCs w:val="14"/>
          <w:b w:val="1"/>
          <w:bCs w:val="1"/>
          <w:color w:val="auto"/>
        </w:rPr>
        <w:t xml:space="preserve"> </w:t>
      </w:r>
      <w:r>
        <w:rPr>
          <w:rFonts w:ascii="Arial" w:cs="Arial" w:eastAsia="Arial" w:hAnsi="Arial"/>
          <w:sz w:val="14"/>
          <w:szCs w:val="14"/>
          <w:color w:val="auto"/>
        </w:rPr>
        <w:t>by Type (</w:t>
      </w:r>
      <w:r>
        <w:rPr>
          <w:rFonts w:ascii="Arial" w:cs="Arial" w:eastAsia="Arial" w:hAnsi="Arial"/>
          <w:sz w:val="14"/>
          <w:szCs w:val="14"/>
          <w:i w:val="1"/>
          <w:iCs w:val="1"/>
          <w:color w:val="auto"/>
        </w:rPr>
        <w:t>e.g.</w:t>
      </w:r>
      <w:r>
        <w:rPr>
          <w:rFonts w:ascii="Arial" w:cs="Arial" w:eastAsia="Arial" w:hAnsi="Arial"/>
          <w:sz w:val="14"/>
          <w:szCs w:val="14"/>
          <w:color w:val="auto"/>
        </w:rPr>
        <w:t>, a “Eurocurrency Loan”) or by Class and Type (</w:t>
      </w:r>
      <w:r>
        <w:rPr>
          <w:rFonts w:ascii="Arial" w:cs="Arial" w:eastAsia="Arial" w:hAnsi="Arial"/>
          <w:sz w:val="14"/>
          <w:szCs w:val="14"/>
          <w:i w:val="1"/>
          <w:iCs w:val="1"/>
          <w:color w:val="auto"/>
        </w:rPr>
        <w:t>e.g.</w:t>
      </w:r>
      <w:r>
        <w:rPr>
          <w:rFonts w:ascii="Arial" w:cs="Arial" w:eastAsia="Arial" w:hAnsi="Arial"/>
          <w:sz w:val="14"/>
          <w:szCs w:val="14"/>
          <w:color w:val="auto"/>
        </w:rPr>
        <w:t>, a “Eurocurrency U.S. Revolving Credit Loan”). Borrowings also may be classified and referred to by Class (</w:t>
      </w:r>
      <w:r>
        <w:rPr>
          <w:rFonts w:ascii="Arial" w:cs="Arial" w:eastAsia="Arial" w:hAnsi="Arial"/>
          <w:sz w:val="14"/>
          <w:szCs w:val="14"/>
          <w:i w:val="1"/>
          <w:iCs w:val="1"/>
          <w:color w:val="auto"/>
        </w:rPr>
        <w:t>e.g.</w:t>
      </w:r>
      <w:r>
        <w:rPr>
          <w:rFonts w:ascii="Arial" w:cs="Arial" w:eastAsia="Arial" w:hAnsi="Arial"/>
          <w:sz w:val="14"/>
          <w:szCs w:val="14"/>
          <w:color w:val="auto"/>
        </w:rPr>
        <w:t>, a “U.S. Revolving Borrowing”) or by Type (</w:t>
      </w:r>
      <w:r>
        <w:rPr>
          <w:rFonts w:ascii="Arial" w:cs="Arial" w:eastAsia="Arial" w:hAnsi="Arial"/>
          <w:sz w:val="14"/>
          <w:szCs w:val="14"/>
          <w:i w:val="1"/>
          <w:iCs w:val="1"/>
          <w:color w:val="auto"/>
        </w:rPr>
        <w:t>e.g.</w:t>
      </w:r>
      <w:r>
        <w:rPr>
          <w:rFonts w:ascii="Arial" w:cs="Arial" w:eastAsia="Arial" w:hAnsi="Arial"/>
          <w:sz w:val="14"/>
          <w:szCs w:val="14"/>
          <w:color w:val="auto"/>
        </w:rPr>
        <w:t>, a “Eurocurrency Borrowing”) or by Class and Type (</w:t>
      </w:r>
      <w:r>
        <w:rPr>
          <w:rFonts w:ascii="Arial" w:cs="Arial" w:eastAsia="Arial" w:hAnsi="Arial"/>
          <w:sz w:val="14"/>
          <w:szCs w:val="14"/>
          <w:i w:val="1"/>
          <w:iCs w:val="1"/>
          <w:color w:val="auto"/>
        </w:rPr>
        <w:t>e.g.</w:t>
      </w:r>
      <w:r>
        <w:rPr>
          <w:rFonts w:ascii="Arial" w:cs="Arial" w:eastAsia="Arial" w:hAnsi="Arial"/>
          <w:sz w:val="14"/>
          <w:szCs w:val="14"/>
          <w:color w:val="auto"/>
        </w:rPr>
        <w:t>, a “Eurocurrency U.S. Revolving Borrowing”).</w:t>
      </w:r>
    </w:p>
    <w:p>
      <w:pPr>
        <w:spacing w:after="0" w:line="180"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b w:val="1"/>
          <w:bCs w:val="1"/>
          <w:color w:val="auto"/>
        </w:rPr>
        <w:t xml:space="preserve">SECTION 1.05 </w:t>
      </w:r>
      <w:r>
        <w:rPr>
          <w:rFonts w:ascii="Arial" w:cs="Arial" w:eastAsia="Arial" w:hAnsi="Arial"/>
          <w:sz w:val="14"/>
          <w:szCs w:val="14"/>
          <w:b w:val="1"/>
          <w:bCs w:val="1"/>
          <w:i w:val="1"/>
          <w:iCs w:val="1"/>
          <w:color w:val="auto"/>
        </w:rPr>
        <w:t>Additional Alternative Currencies</w:t>
      </w:r>
      <w:r>
        <w:rPr>
          <w:rFonts w:ascii="Arial" w:cs="Arial" w:eastAsia="Arial" w:hAnsi="Arial"/>
          <w:sz w:val="14"/>
          <w:szCs w:val="14"/>
          <w:color w:val="auto"/>
        </w:rPr>
        <w:t>. The Borrowers may from time to time request that Letters of Credit be issued in a currency other than those specifically listed in</w:t>
      </w:r>
      <w:r>
        <w:rPr>
          <w:rFonts w:ascii="Arial" w:cs="Arial" w:eastAsia="Arial" w:hAnsi="Arial"/>
          <w:sz w:val="14"/>
          <w:szCs w:val="14"/>
          <w:b w:val="1"/>
          <w:bCs w:val="1"/>
          <w:color w:val="auto"/>
        </w:rPr>
        <w:t xml:space="preserve"> </w:t>
      </w:r>
      <w:r>
        <w:rPr>
          <w:rFonts w:ascii="Arial" w:cs="Arial" w:eastAsia="Arial" w:hAnsi="Arial"/>
          <w:sz w:val="14"/>
          <w:szCs w:val="14"/>
          <w:color w:val="auto"/>
        </w:rPr>
        <w:t>the definition of “Alternative Currency;” provided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5"/>
          <w:szCs w:val="15"/>
          <w:b w:val="1"/>
          <w:bCs w:val="1"/>
          <w:color w:val="auto"/>
        </w:rPr>
        <w:t>ARTICLE 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The Credits</w:t>
      </w:r>
    </w:p>
    <w:p>
      <w:pPr>
        <w:spacing w:after="0" w:line="17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2.01</w:t>
      </w:r>
      <w:r>
        <w:rPr>
          <w:sz w:val="20"/>
          <w:szCs w:val="20"/>
          <w:color w:val="auto"/>
        </w:rPr>
        <w:tab/>
      </w:r>
      <w:r>
        <w:rPr>
          <w:rFonts w:ascii="Arial" w:cs="Arial" w:eastAsia="Arial" w:hAnsi="Arial"/>
          <w:sz w:val="12"/>
          <w:szCs w:val="12"/>
          <w:b w:val="1"/>
          <w:bCs w:val="1"/>
          <w:i w:val="1"/>
          <w:iCs w:val="1"/>
          <w:color w:val="auto"/>
        </w:rPr>
        <w:t>Commitments</w:t>
      </w:r>
      <w:r>
        <w:rPr>
          <w:rFonts w:ascii="Arial" w:cs="Arial" w:eastAsia="Arial" w:hAnsi="Arial"/>
          <w:sz w:val="12"/>
          <w:szCs w:val="12"/>
          <w:color w:val="auto"/>
        </w:rPr>
        <w:t>. Subject to the terms and conditions and relying upon the representations and warranties herein set forth:</w:t>
      </w:r>
    </w:p>
    <w:p>
      <w:pPr>
        <w:spacing w:after="0" w:line="225" w:lineRule="exact"/>
        <w:rPr>
          <w:sz w:val="20"/>
          <w:szCs w:val="20"/>
          <w:color w:val="auto"/>
        </w:rPr>
      </w:pPr>
    </w:p>
    <w:p>
      <w:pPr>
        <w:jc w:val="both"/>
        <w:ind w:firstLine="532"/>
        <w:spacing w:after="0" w:line="277" w:lineRule="auto"/>
        <w:tabs>
          <w:tab w:leader="none" w:pos="9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each U.S. Revolving Lender agrees, severally and not jointly, to make U.S. Revolving Credit Loans in U.S. dollars to the U.S. Borrower, at any time and from time to time on or after the Funding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41" w:lineRule="exact"/>
        <w:rPr>
          <w:rFonts w:ascii="Arial" w:cs="Arial" w:eastAsia="Arial" w:hAnsi="Arial"/>
          <w:sz w:val="14"/>
          <w:szCs w:val="14"/>
          <w:color w:val="auto"/>
        </w:rPr>
      </w:pPr>
    </w:p>
    <w:p>
      <w:pPr>
        <w:jc w:val="both"/>
        <w:ind w:firstLine="532"/>
        <w:spacing w:after="0" w:line="248" w:lineRule="auto"/>
        <w:tabs>
          <w:tab w:leader="none" w:pos="899"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Canadian Lender agrees, severally and not jointly, to make Canadian Revolving Credit Loans in Canadian dollars and/or U.S. dollars to either Canadian Borrower at any time and from time to time on or after the Funding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161" w:lineRule="exact"/>
        <w:rPr>
          <w:rFonts w:ascii="Arial" w:cs="Arial" w:eastAsia="Arial" w:hAnsi="Arial"/>
          <w:sz w:val="15"/>
          <w:szCs w:val="15"/>
          <w:color w:val="auto"/>
        </w:rPr>
      </w:pPr>
    </w:p>
    <w:p>
      <w:pPr>
        <w:jc w:val="both"/>
        <w:ind w:firstLine="532"/>
        <w:spacing w:after="0" w:line="248" w:lineRule="auto"/>
        <w:tabs>
          <w:tab w:leader="none" w:pos="881"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Australian Lender agrees, severally and not jointly, to make Australian Revolving Credit Loans in Australian dollars and/or U.S. dollars to the Australian Borrower at any time and from time to time on or after the Funding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161" w:lineRule="exact"/>
        <w:rPr>
          <w:rFonts w:ascii="Arial" w:cs="Arial" w:eastAsia="Arial" w:hAnsi="Arial"/>
          <w:sz w:val="15"/>
          <w:szCs w:val="15"/>
          <w:color w:val="auto"/>
        </w:rPr>
      </w:pPr>
    </w:p>
    <w:p>
      <w:pPr>
        <w:ind w:firstLine="532"/>
        <w:spacing w:after="0" w:line="259" w:lineRule="auto"/>
        <w:tabs>
          <w:tab w:leader="none" w:pos="916"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U.S. Term Lender agrees, severally and not jointly, to make a single U.S. Term Loan in U.S. dollars to the U.S. Borrower on the Funding Date, in a principal amount not to exceed such Lender’s U.S. Term Commitment;</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U.S. Swing Line Lender agrees to make Swing Line Loans in U.S. dollars to the U.S. Borrower in accordance with Section 2.23;</w:t>
      </w:r>
    </w:p>
    <w:p>
      <w:pPr>
        <w:spacing w:after="0" w:line="177" w:lineRule="exact"/>
        <w:rPr>
          <w:rFonts w:ascii="Arial" w:cs="Arial" w:eastAsia="Arial" w:hAnsi="Arial"/>
          <w:sz w:val="15"/>
          <w:szCs w:val="15"/>
          <w:color w:val="auto"/>
        </w:rPr>
      </w:pPr>
    </w:p>
    <w:p>
      <w:pPr>
        <w:ind w:left="860" w:hanging="328"/>
        <w:spacing w:after="0"/>
        <w:tabs>
          <w:tab w:leader="none" w:pos="8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Canadian Swing Line Lender agrees to make Swing Line Loans in Canadian dollars or U.S. dollars to either Canadian Borrower in accordance with Section 2.23;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97" w:name="page98"/>
    <w:bookmarkEnd w:id="97"/>
    <w:p>
      <w:pPr>
        <w:ind w:firstLine="532"/>
        <w:spacing w:after="0" w:line="294" w:lineRule="auto"/>
        <w:tabs>
          <w:tab w:leader="none" w:pos="892" w:val="left"/>
        </w:tabs>
        <w:numPr>
          <w:ilvl w:val="0"/>
          <w:numId w:val="34"/>
        </w:numPr>
        <w:rPr>
          <w:rFonts w:ascii="Arial" w:cs="Arial" w:eastAsia="Arial" w:hAnsi="Arial"/>
          <w:sz w:val="14"/>
          <w:szCs w:val="14"/>
          <w:color w:val="auto"/>
        </w:rPr>
      </w:pPr>
      <w:r>
        <w:rPr>
          <w:rFonts w:ascii="Arial" w:cs="Arial" w:eastAsia="Arial" w:hAnsi="Arial"/>
          <w:sz w:val="14"/>
          <w:szCs w:val="14"/>
          <w:color w:val="auto"/>
        </w:rPr>
        <w:t>within the limits set forth in the preceding sentence and subject to the terms, conditions and limitations set forth herein, the Borrowers may borrow, prepay and reborrow Revolving Credit Loans and the Borrowers may prepay the U.S. Term Loans but no amount paid or repaid with respect to the U.S. Term Loans may be reborrowed.</w:t>
      </w:r>
    </w:p>
    <w:p>
      <w:pPr>
        <w:spacing w:after="0" w:line="126" w:lineRule="exact"/>
        <w:rPr>
          <w:sz w:val="20"/>
          <w:szCs w:val="20"/>
          <w:color w:val="auto"/>
        </w:rPr>
      </w:pPr>
    </w:p>
    <w:p>
      <w:pPr>
        <w:jc w:val="both"/>
        <w:ind w:firstLine="525"/>
        <w:spacing w:after="0" w:line="318" w:lineRule="auto"/>
        <w:rPr>
          <w:sz w:val="20"/>
          <w:szCs w:val="20"/>
          <w:color w:val="auto"/>
        </w:rPr>
      </w:pPr>
      <w:r>
        <w:rPr>
          <w:rFonts w:ascii="Arial" w:cs="Arial" w:eastAsia="Arial" w:hAnsi="Arial"/>
          <w:sz w:val="12"/>
          <w:szCs w:val="12"/>
          <w:b w:val="1"/>
          <w:bCs w:val="1"/>
          <w:color w:val="auto"/>
        </w:rPr>
        <w:t xml:space="preserve">SECTION 2.02 </w:t>
      </w:r>
      <w:r>
        <w:rPr>
          <w:rFonts w:ascii="Arial" w:cs="Arial" w:eastAsia="Arial" w:hAnsi="Arial"/>
          <w:sz w:val="12"/>
          <w:szCs w:val="12"/>
          <w:b w:val="1"/>
          <w:bCs w:val="1"/>
          <w:i w:val="1"/>
          <w:iCs w:val="1"/>
          <w:color w:val="auto"/>
        </w:rPr>
        <w:t>Loans</w:t>
      </w:r>
      <w:r>
        <w:rPr>
          <w:rFonts w:ascii="Arial" w:cs="Arial" w:eastAsia="Arial" w:hAnsi="Arial"/>
          <w:sz w:val="12"/>
          <w:szCs w:val="12"/>
          <w:color w:val="auto"/>
        </w:rPr>
        <w:t>. (a) Each Loan shall be made as part of a Borrowing consisting of Loans made by the Applicable Lenders ratably in accordance with their Applicable Pro Rata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Percentages of the applicable Facility;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 (v) equal to the remaining available balance of the applicable Commitment.</w:t>
      </w:r>
    </w:p>
    <w:p>
      <w:pPr>
        <w:spacing w:after="0" w:line="167" w:lineRule="exact"/>
        <w:rPr>
          <w:sz w:val="20"/>
          <w:szCs w:val="20"/>
          <w:color w:val="auto"/>
        </w:rPr>
      </w:pPr>
    </w:p>
    <w:p>
      <w:pPr>
        <w:jc w:val="both"/>
        <w:ind w:firstLine="532"/>
        <w:spacing w:after="0" w:line="313" w:lineRule="auto"/>
        <w:tabs>
          <w:tab w:leader="none" w:pos="893"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Subject to Sections 2.08 and 2.14, (i) each Borrowing denominated in U.S. dollars shall be comprised entirely of ABR Loans (if made to the U.S. Borrower), U.S. Base Rate Loans (if made to a Canadian Borrower), BBSY Loans (if made to the Australian Borrower) or Eurocurrency Loans as the Applicable Borrower may request pursuant to Section 2.03, (ii) each Borrowing denominated in Canadian dollars shall be comprised entirely of B/A Loans or Canadian Prime Rate Loans as a Canadian Borrower may request pursuant to Section 2.03 and (iii) each Borrowing denominated in Australian dollars shall be comprised entirely of BBSY Rate Loans. Each Lender may at its option make any Eurocurrency Loan, Canadian Revolving Credit Loan or Australian Revolving Credit Loan denominated in U.S. dollars by causing any domestic or foreign branch or Affiliate of such Lender to make such Loan;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Borrowers shall not be entitled to request any Borrowing that, if made, would result in more than ten Eurocurrency Borrowings outstanding hereunder at any time, more than ten B/A Borrowings outstanding hereunder at any time, or more than ten BBSY Borrowings outstanding hereunder at any time. For purposes of the foregoing, Eurocurrency Borrowings or BBSY Borrowings having different Interest Periods and B/A Borrowings having different Contract Periods, regardless of whether they commence on the same date, shall be considered separate Borrowings.</w:t>
      </w:r>
    </w:p>
    <w:p>
      <w:pPr>
        <w:spacing w:after="0" w:line="303" w:lineRule="exact"/>
        <w:rPr>
          <w:rFonts w:ascii="Arial" w:cs="Arial" w:eastAsia="Arial" w:hAnsi="Arial"/>
          <w:sz w:val="12"/>
          <w:szCs w:val="12"/>
          <w:color w:val="auto"/>
        </w:rPr>
      </w:pPr>
    </w:p>
    <w:p>
      <w:pPr>
        <w:jc w:val="both"/>
        <w:ind w:firstLine="532"/>
        <w:spacing w:after="0" w:line="264" w:lineRule="auto"/>
        <w:tabs>
          <w:tab w:leader="none" w:pos="886"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a Canadian Borrower shall make each Canadian Revolving Credit Loan to be made by it hereunder on the proposed date thereof by wire transfer of immediately available funds to such account in Toronto, Ontario as the Canadian Administrative Agent may designate not later than 1:00 p.m. (Standard Time) in the case of a Eurocurrency Borrowing or a B/A Borrowing, or 1:00 p.m. (Standard Time) in the case of a Canadian Prime Rate Borrowing or U.S. Base Rate Borrowing, and the Canadian Administrative Agent shall promptly credit the amounts so received to an account designated by such Canadian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8" w:name="page99"/>
    <w:bookmarkEnd w:id="98"/>
    <w:p>
      <w:pPr>
        <w:jc w:val="both"/>
        <w:ind w:firstLine="532"/>
        <w:spacing w:after="0" w:line="311" w:lineRule="auto"/>
        <w:tabs>
          <w:tab w:leader="none" w:pos="8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the foregoing does not constitute a waiver by any Borrower of any claim for damages permitted hereunder and attributable to such Lender. Any payment by a Borrower</w:t>
      </w:r>
      <w:r>
        <w:rPr>
          <w:rFonts w:ascii="Arial" w:cs="Arial" w:eastAsia="Arial" w:hAnsi="Arial"/>
          <w:sz w:val="12"/>
          <w:szCs w:val="12"/>
          <w:i w:val="1"/>
          <w:iCs w:val="1"/>
          <w:color w:val="auto"/>
        </w:rPr>
        <w:t xml:space="preserve"> </w:t>
      </w:r>
      <w:r>
        <w:rPr>
          <w:rFonts w:ascii="Arial" w:cs="Arial" w:eastAsia="Arial" w:hAnsi="Arial"/>
          <w:sz w:val="12"/>
          <w:szCs w:val="12"/>
          <w:color w:val="auto"/>
        </w:rPr>
        <w:t>shall be without prejudice to any claim any Borrower may have against a Lender that shall have failed to make such payment to the Applicable Administrative Agent.</w:t>
      </w:r>
    </w:p>
    <w:p>
      <w:pPr>
        <w:spacing w:after="0" w:line="302" w:lineRule="exact"/>
        <w:rPr>
          <w:rFonts w:ascii="Arial" w:cs="Arial" w:eastAsia="Arial" w:hAnsi="Arial"/>
          <w:sz w:val="12"/>
          <w:szCs w:val="12"/>
          <w:color w:val="auto"/>
        </w:rPr>
      </w:pPr>
    </w:p>
    <w:p>
      <w:pPr>
        <w:jc w:val="both"/>
        <w:ind w:firstLine="532"/>
        <w:spacing w:after="0" w:line="317" w:lineRule="auto"/>
        <w:tabs>
          <w:tab w:leader="none" w:pos="1018" w:val="left"/>
        </w:tabs>
        <w:numPr>
          <w:ilvl w:val="0"/>
          <w:numId w:val="36"/>
        </w:numPr>
        <w:rPr>
          <w:rFonts w:ascii="Arial" w:cs="Arial" w:eastAsia="Arial" w:hAnsi="Arial"/>
          <w:sz w:val="12"/>
          <w:szCs w:val="12"/>
          <w:color w:val="auto"/>
        </w:rPr>
      </w:pPr>
      <w:r>
        <w:rPr>
          <w:rFonts w:ascii="Arial" w:cs="Arial" w:eastAsia="Arial" w:hAnsi="Arial"/>
          <w:sz w:val="12"/>
          <w:szCs w:val="12"/>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99" w:name="page100"/>
    <w:bookmarkEnd w:id="99"/>
    <w:p>
      <w:pPr>
        <w:ind w:firstLine="532"/>
        <w:spacing w:after="0" w:line="259" w:lineRule="auto"/>
        <w:tabs>
          <w:tab w:leader="none" w:pos="866"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the Borrowers shall not be entitled to request any Borrowing if the Interest Period or Contract Period requested with respect thereto would end after the Maturity Date.</w:t>
      </w:r>
    </w:p>
    <w:p>
      <w:pPr>
        <w:spacing w:after="0" w:line="152" w:lineRule="exact"/>
        <w:rPr>
          <w:rFonts w:ascii="Arial" w:cs="Arial" w:eastAsia="Arial" w:hAnsi="Arial"/>
          <w:sz w:val="15"/>
          <w:szCs w:val="15"/>
          <w:color w:val="auto"/>
        </w:rPr>
      </w:pPr>
    </w:p>
    <w:p>
      <w:pPr>
        <w:jc w:val="both"/>
        <w:ind w:firstLine="532"/>
        <w:spacing w:after="0" w:line="307" w:lineRule="auto"/>
        <w:tabs>
          <w:tab w:leader="none" w:pos="912"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If an Issuing Bank shall not have received from the U.S. Borrower, the applicable Canadian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Lender, an Australian Lender or the Borrower for whose account such L/C Disbursement was made), the Borrower for whose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0" w:name="page101"/>
    <w:bookmarkEnd w:id="100"/>
    <w:p>
      <w:pPr>
        <w:jc w:val="both"/>
        <w:ind w:firstLine="525"/>
        <w:spacing w:after="0" w:line="264" w:lineRule="auto"/>
        <w:rPr>
          <w:sz w:val="20"/>
          <w:szCs w:val="20"/>
          <w:color w:val="auto"/>
        </w:rPr>
      </w:pPr>
      <w:r>
        <w:rPr>
          <w:rFonts w:ascii="Arial" w:cs="Arial" w:eastAsia="Arial" w:hAnsi="Arial"/>
          <w:sz w:val="14"/>
          <w:szCs w:val="14"/>
          <w:b w:val="1"/>
          <w:bCs w:val="1"/>
          <w:color w:val="auto"/>
        </w:rPr>
        <w:t xml:space="preserve">SECTION 2.03 </w:t>
      </w:r>
      <w:r>
        <w:rPr>
          <w:rFonts w:ascii="Arial" w:cs="Arial" w:eastAsia="Arial" w:hAnsi="Arial"/>
          <w:sz w:val="14"/>
          <w:szCs w:val="14"/>
          <w:b w:val="1"/>
          <w:bCs w:val="1"/>
          <w:i w:val="1"/>
          <w:iCs w:val="1"/>
          <w:color w:val="auto"/>
        </w:rPr>
        <w:t>Borrowing Procedure</w:t>
      </w:r>
      <w:r>
        <w:rPr>
          <w:rFonts w:ascii="Arial" w:cs="Arial" w:eastAsia="Arial" w:hAnsi="Arial"/>
          <w:sz w:val="14"/>
          <w:szCs w:val="14"/>
          <w:color w:val="auto"/>
        </w:rPr>
        <w:t>. (a) In order to request a Borrowing (other than a deemed Borrowing pursuant to Section 2.02(g) or a Swing Line Borrowing as to which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Section 2.03(a) shall not apply), the U.S. Borrower shall hand deliver, fax or send by electronic communication (e-mail) (or by telephone notice promptly confirmed by a written, fax or electronic communication (e-mail)) to the Administrative Agent a duly completed Borrowing Request (x) in the case of a Eurocurrency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the U.S. Borrower and shall specify the following information: (i) whether the Borrowing being requested is to be a U.S. Revolving Borrowing or a U.S. Term Borrowing, (ii) whether such Borrowing is to be a Eurocurrency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 Borrowing, the Interest Period with respect thereto;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Eurocurrency Borrowing is specified in any such notice, then the U.S.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01" w:name="page102"/>
    <w:bookmarkEnd w:id="101"/>
    <w:p>
      <w:pPr>
        <w:jc w:val="both"/>
        <w:ind w:firstLine="532"/>
        <w:spacing w:after="0" w:line="306" w:lineRule="auto"/>
        <w:tabs>
          <w:tab w:leader="none" w:pos="912" w:val="left"/>
        </w:tabs>
        <w:numPr>
          <w:ilvl w:val="1"/>
          <w:numId w:val="38"/>
        </w:numPr>
        <w:rPr>
          <w:rFonts w:ascii="Arial" w:cs="Arial" w:eastAsia="Arial" w:hAnsi="Arial"/>
          <w:sz w:val="12"/>
          <w:szCs w:val="12"/>
          <w:color w:val="auto"/>
        </w:rPr>
      </w:pPr>
      <w:r>
        <w:rPr>
          <w:rFonts w:ascii="Arial" w:cs="Arial" w:eastAsia="Arial" w:hAnsi="Arial"/>
          <w:sz w:val="12"/>
          <w:szCs w:val="12"/>
          <w:color w:val="auto"/>
        </w:rPr>
        <w:t>In order to request a Borrowing (other than a deemed Borrowing pursuant to Section 2.02(g) or a Swing Line Borrowing as to which Section 2.03(b) shall not apply), a Canadian Borrower (or the U.S. Borrower on its behalf)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applicable Canadian Borrower (or the U.S. Borrower on its behalf) and shall specify the following information: (i) whether the Borrowing then being requested is to be denominated in Canadian dollars or U.S. dollars;</w:t>
      </w:r>
    </w:p>
    <w:p>
      <w:pPr>
        <w:spacing w:after="0" w:line="2" w:lineRule="exact"/>
        <w:rPr>
          <w:rFonts w:ascii="Arial" w:cs="Arial" w:eastAsia="Arial" w:hAnsi="Arial"/>
          <w:sz w:val="12"/>
          <w:szCs w:val="12"/>
          <w:color w:val="auto"/>
        </w:rPr>
      </w:pPr>
    </w:p>
    <w:p>
      <w:pPr>
        <w:jc w:val="both"/>
        <w:ind w:firstLine="7"/>
        <w:spacing w:after="0" w:line="314" w:lineRule="auto"/>
        <w:tabs>
          <w:tab w:leader="none" w:pos="217"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whether such Borrowing is to be a Canadian Prime Rate Borrowing, a B/A Borrowing, a U.S. Base Rate Borrowing or a Eurocurrency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B/A Borrowing or a Eurocurrency Borrowing, the Contract Period or Interest Period, respectively, therefor;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 Borrowing has been specified in any such notice, then the applicable Canadian Borrower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301" w:lineRule="exact"/>
        <w:rPr>
          <w:rFonts w:ascii="Arial" w:cs="Arial" w:eastAsia="Arial" w:hAnsi="Arial"/>
          <w:sz w:val="12"/>
          <w:szCs w:val="12"/>
          <w:color w:val="auto"/>
        </w:rPr>
      </w:pPr>
    </w:p>
    <w:p>
      <w:pPr>
        <w:jc w:val="both"/>
        <w:ind w:firstLine="532"/>
        <w:spacing w:after="0" w:line="308" w:lineRule="auto"/>
        <w:tabs>
          <w:tab w:leader="none" w:pos="888" w:val="left"/>
        </w:tabs>
        <w:numPr>
          <w:ilvl w:val="1"/>
          <w:numId w:val="39"/>
        </w:numPr>
        <w:rPr>
          <w:rFonts w:ascii="Arial" w:cs="Arial" w:eastAsia="Arial" w:hAnsi="Arial"/>
          <w:sz w:val="12"/>
          <w:szCs w:val="12"/>
          <w:color w:val="auto"/>
        </w:rPr>
      </w:pPr>
      <w:r>
        <w:rPr>
          <w:rFonts w:ascii="Arial" w:cs="Arial" w:eastAsia="Arial" w:hAnsi="Arial"/>
          <w:sz w:val="12"/>
          <w:szCs w:val="12"/>
          <w:color w:val="auto"/>
        </w:rPr>
        <w:t>In order to request a Borrowing (other than a deemed Borrowing pursuant to Section 2.02(g), as to which this Section 2.03(c) shall not apply), the Australian Borrower (or the U.S.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U.S. Borrower on its behalf) and shall specify the following information:</w:t>
      </w:r>
    </w:p>
    <w:p>
      <w:pPr>
        <w:jc w:val="both"/>
        <w:ind w:firstLine="7"/>
        <w:spacing w:after="0" w:line="265" w:lineRule="auto"/>
        <w:tabs>
          <w:tab w:leader="none" w:pos="181"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the date of such Borrowing (which shall be a Business Day); (ii) the number and location of the account to which funds are to be disbursed (which shall be an account that complies with the requirements of Section 2.02(c)); (iii) the amount of such Borrowing; and (iv) the Interest Period therefor;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2" w:name="page103"/>
    <w:bookmarkEnd w:id="102"/>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2.04</w:t>
      </w:r>
      <w:r>
        <w:rPr>
          <w:sz w:val="20"/>
          <w:szCs w:val="20"/>
          <w:color w:val="auto"/>
        </w:rPr>
        <w:tab/>
      </w:r>
      <w:r>
        <w:rPr>
          <w:rFonts w:ascii="Arial" w:cs="Arial" w:eastAsia="Arial" w:hAnsi="Arial"/>
          <w:sz w:val="12"/>
          <w:szCs w:val="12"/>
          <w:b w:val="1"/>
          <w:bCs w:val="1"/>
          <w:i w:val="1"/>
          <w:iCs w:val="1"/>
          <w:color w:val="auto"/>
        </w:rPr>
        <w:t>Evidence of Debt; Repayment of Loans</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46" w:lineRule="auto"/>
        <w:tabs>
          <w:tab w:leader="none" w:pos="911"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U.S. Borrower hereby unconditionally promises to pay to the Administrative Agent for the account of each U.S. Revolving Lender holding U.S. Revolving Credit Loans the then unpaid principal amount of each such Revolving Credit Loan of such Lender on the Maturity Date. Each Canadian Borrower hereby, jointly and severally, unconditionally promises to pay to the Canadian Administrative Agent for the account of each Canadian Lender holding Canadian Revolving Credit Loans made to such Canadian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63" w:lineRule="exact"/>
        <w:rPr>
          <w:rFonts w:ascii="Arial" w:cs="Arial" w:eastAsia="Arial" w:hAnsi="Arial"/>
          <w:sz w:val="15"/>
          <w:szCs w:val="15"/>
          <w:color w:val="auto"/>
        </w:rPr>
      </w:pPr>
    </w:p>
    <w:p>
      <w:pPr>
        <w:jc w:val="both"/>
        <w:ind w:firstLine="532"/>
        <w:spacing w:after="0" w:line="251" w:lineRule="auto"/>
        <w:tabs>
          <w:tab w:leader="none" w:pos="904"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U.S. Borrower hereby unconditionally promises to pay to the Administrative Agent for the account of each U.S. Term Lender holding U.S. Term Loans the principal amounts set forth on Schedule 2.04 on each corresponding date set forth on such schedule;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Administrative Agent shall promptly update Schedule 2.04 upon any repayment or prepayment of U.S. Term Loans, which updated schedule shall become effective upon delivery to the U.S. Borrower.</w:t>
      </w:r>
    </w:p>
    <w:p>
      <w:pPr>
        <w:spacing w:after="0" w:line="158" w:lineRule="exact"/>
        <w:rPr>
          <w:rFonts w:ascii="Arial" w:cs="Arial" w:eastAsia="Arial" w:hAnsi="Arial"/>
          <w:sz w:val="15"/>
          <w:szCs w:val="15"/>
          <w:color w:val="auto"/>
        </w:rPr>
      </w:pPr>
    </w:p>
    <w:p>
      <w:pPr>
        <w:ind w:firstLine="532"/>
        <w:spacing w:after="0" w:line="259" w:lineRule="auto"/>
        <w:tabs>
          <w:tab w:leader="none" w:pos="899"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U.S. Borrower shall repay each U.S. Swing Line Loan on the Swing Line Payment Date. Each Canadian Borrower shall repay each Canadian Swing Line Loan on the Swing Line Payment Date.</w:t>
      </w:r>
    </w:p>
    <w:p>
      <w:pPr>
        <w:spacing w:after="0" w:line="152" w:lineRule="exact"/>
        <w:rPr>
          <w:rFonts w:ascii="Arial" w:cs="Arial" w:eastAsia="Arial" w:hAnsi="Arial"/>
          <w:sz w:val="15"/>
          <w:szCs w:val="15"/>
          <w:color w:val="auto"/>
        </w:rPr>
      </w:pPr>
    </w:p>
    <w:p>
      <w:pPr>
        <w:ind w:firstLine="532"/>
        <w:spacing w:after="0" w:line="259" w:lineRule="auto"/>
        <w:tabs>
          <w:tab w:leader="none" w:pos="931" w:val="left"/>
        </w:tabs>
        <w:numPr>
          <w:ilvl w:val="0"/>
          <w:numId w:val="41"/>
        </w:numPr>
        <w:rPr>
          <w:rFonts w:ascii="Arial" w:cs="Arial" w:eastAsia="Arial" w:hAnsi="Arial"/>
          <w:sz w:val="15"/>
          <w:szCs w:val="15"/>
          <w:color w:val="auto"/>
        </w:rPr>
      </w:pPr>
      <w:r>
        <w:rPr>
          <w:rFonts w:ascii="Arial" w:cs="Arial" w:eastAsia="Arial" w:hAnsi="Arial"/>
          <w:sz w:val="15"/>
          <w:szCs w:val="15"/>
          <w:color w:val="auto"/>
        </w:rPr>
        <w:t>Except for any B/A Loan (the compensation for which is set forth in Section 2.22), each Loan shall bear interest from and including the date made on the outstanding principal balance thereof as set forth in Section 2.06.</w:t>
      </w:r>
    </w:p>
    <w:p>
      <w:pPr>
        <w:spacing w:after="0" w:line="152" w:lineRule="exact"/>
        <w:rPr>
          <w:rFonts w:ascii="Arial" w:cs="Arial" w:eastAsia="Arial" w:hAnsi="Arial"/>
          <w:sz w:val="15"/>
          <w:szCs w:val="15"/>
          <w:color w:val="auto"/>
        </w:rPr>
      </w:pPr>
    </w:p>
    <w:p>
      <w:pPr>
        <w:jc w:val="both"/>
        <w:ind w:firstLine="532"/>
        <w:spacing w:after="0" w:line="251" w:lineRule="auto"/>
        <w:tabs>
          <w:tab w:leader="none" w:pos="868"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58" w:lineRule="exact"/>
        <w:rPr>
          <w:rFonts w:ascii="Arial" w:cs="Arial" w:eastAsia="Arial" w:hAnsi="Arial"/>
          <w:sz w:val="15"/>
          <w:szCs w:val="15"/>
          <w:color w:val="auto"/>
        </w:rPr>
      </w:pPr>
    </w:p>
    <w:p>
      <w:pPr>
        <w:jc w:val="both"/>
        <w:ind w:firstLine="532"/>
        <w:spacing w:after="0" w:line="277" w:lineRule="auto"/>
        <w:tabs>
          <w:tab w:leader="none" w:pos="90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41" w:lineRule="exact"/>
        <w:rPr>
          <w:rFonts w:ascii="Arial" w:cs="Arial" w:eastAsia="Arial" w:hAnsi="Arial"/>
          <w:sz w:val="14"/>
          <w:szCs w:val="14"/>
          <w:color w:val="auto"/>
        </w:rPr>
      </w:pPr>
    </w:p>
    <w:p>
      <w:pPr>
        <w:jc w:val="both"/>
        <w:ind w:firstLine="532"/>
        <w:spacing w:after="0" w:line="251" w:lineRule="auto"/>
        <w:tabs>
          <w:tab w:leader="none" w:pos="876"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entries made in the accounts maintained pursuant to paragraphs (d) and (e) above shall be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existence and amounts of the obligations therein recorded;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 failure of any Lender or the Administrative Agents to maintain such accounts or any error therein shall not in any manner affect the obligations of the Borrowers to</w:t>
      </w:r>
      <w:r>
        <w:rPr>
          <w:rFonts w:ascii="Arial" w:cs="Arial" w:eastAsia="Arial" w:hAnsi="Arial"/>
          <w:sz w:val="15"/>
          <w:szCs w:val="15"/>
          <w:i w:val="1"/>
          <w:iCs w:val="1"/>
          <w:color w:val="auto"/>
        </w:rPr>
        <w:t xml:space="preserve"> </w:t>
      </w:r>
      <w:r>
        <w:rPr>
          <w:rFonts w:ascii="Arial" w:cs="Arial" w:eastAsia="Arial" w:hAnsi="Arial"/>
          <w:sz w:val="15"/>
          <w:szCs w:val="15"/>
          <w:color w:val="auto"/>
        </w:rPr>
        <w:t>repay the Loans in accordance with the terms of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03" w:name="page104"/>
    <w:bookmarkEnd w:id="103"/>
    <w:p>
      <w:pPr>
        <w:jc w:val="both"/>
        <w:ind w:firstLine="532"/>
        <w:spacing w:after="0" w:line="330" w:lineRule="auto"/>
        <w:tabs>
          <w:tab w:leader="none" w:pos="898"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Lender may request that Loans made by it hereunder be evidenced by a promissory note (a “</w:t>
      </w:r>
      <w:r>
        <w:rPr>
          <w:rFonts w:ascii="Arial" w:cs="Arial" w:eastAsia="Arial" w:hAnsi="Arial"/>
          <w:sz w:val="12"/>
          <w:szCs w:val="12"/>
          <w:i w:val="1"/>
          <w:iCs w:val="1"/>
          <w:color w:val="auto"/>
        </w:rPr>
        <w:t>Note</w:t>
      </w:r>
      <w:r>
        <w:rPr>
          <w:rFonts w:ascii="Arial" w:cs="Arial" w:eastAsia="Arial" w:hAnsi="Arial"/>
          <w:sz w:val="12"/>
          <w:szCs w:val="12"/>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11"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2.05 </w:t>
      </w:r>
      <w:r>
        <w:rPr>
          <w:rFonts w:ascii="Arial" w:cs="Arial" w:eastAsia="Arial" w:hAnsi="Arial"/>
          <w:sz w:val="15"/>
          <w:szCs w:val="15"/>
          <w:b w:val="1"/>
          <w:bCs w:val="1"/>
          <w:i w:val="1"/>
          <w:iCs w:val="1"/>
          <w:color w:val="auto"/>
        </w:rPr>
        <w:t>Fees</w:t>
      </w:r>
      <w:r>
        <w:rPr>
          <w:rFonts w:ascii="Arial" w:cs="Arial" w:eastAsia="Arial" w:hAnsi="Arial"/>
          <w:sz w:val="15"/>
          <w:szCs w:val="15"/>
          <w:color w:val="auto"/>
        </w:rPr>
        <w:t>. (a) (i) The U.S. Borrower agrees to pay to each U.S. Revolving Lender, through the Administrative Agent, on the last Business Day of March, June, September</w:t>
      </w:r>
      <w:r>
        <w:rPr>
          <w:rFonts w:ascii="Arial" w:cs="Arial" w:eastAsia="Arial" w:hAnsi="Arial"/>
          <w:sz w:val="15"/>
          <w:szCs w:val="15"/>
          <w:b w:val="1"/>
          <w:bCs w:val="1"/>
          <w:color w:val="auto"/>
        </w:rPr>
        <w:t xml:space="preserve"> </w:t>
      </w:r>
      <w:r>
        <w:rPr>
          <w:rFonts w:ascii="Arial" w:cs="Arial" w:eastAsia="Arial" w:hAnsi="Arial"/>
          <w:sz w:val="15"/>
          <w:szCs w:val="15"/>
          <w:color w:val="auto"/>
        </w:rPr>
        <w:t>and December in each year, a commitment fee (the “</w:t>
      </w:r>
      <w:r>
        <w:rPr>
          <w:rFonts w:ascii="Arial" w:cs="Arial" w:eastAsia="Arial" w:hAnsi="Arial"/>
          <w:sz w:val="15"/>
          <w:szCs w:val="15"/>
          <w:i w:val="1"/>
          <w:iCs w:val="1"/>
          <w:color w:val="auto"/>
        </w:rPr>
        <w:t>U.S. Commitment Fee</w:t>
      </w:r>
      <w:r>
        <w:rPr>
          <w:rFonts w:ascii="Arial" w:cs="Arial" w:eastAsia="Arial" w:hAnsi="Arial"/>
          <w:sz w:val="15"/>
          <w:szCs w:val="15"/>
          <w:color w:val="auto"/>
        </w:rPr>
        <w:t>”)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203" w:lineRule="exact"/>
        <w:rPr>
          <w:sz w:val="20"/>
          <w:szCs w:val="20"/>
          <w:color w:val="auto"/>
        </w:rPr>
      </w:pPr>
    </w:p>
    <w:p>
      <w:pPr>
        <w:jc w:val="both"/>
        <w:ind w:firstLine="1057"/>
        <w:spacing w:after="0" w:line="248" w:lineRule="auto"/>
        <w:tabs>
          <w:tab w:leader="none" w:pos="1266"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Canadian Borrower agrees to pay, jointly and severally, to each Canadian Lender, through the Canadian Administrative Agent, on the last Business Day of March, June, September and December in each year, a commitment fee (the “</w:t>
      </w:r>
      <w:r>
        <w:rPr>
          <w:rFonts w:ascii="Arial" w:cs="Arial" w:eastAsia="Arial" w:hAnsi="Arial"/>
          <w:sz w:val="15"/>
          <w:szCs w:val="15"/>
          <w:i w:val="1"/>
          <w:iCs w:val="1"/>
          <w:color w:val="auto"/>
        </w:rPr>
        <w:t>Canadian Commitment Fee</w:t>
      </w:r>
      <w:r>
        <w:rPr>
          <w:rFonts w:ascii="Arial" w:cs="Arial" w:eastAsia="Arial" w:hAnsi="Arial"/>
          <w:sz w:val="15"/>
          <w:szCs w:val="15"/>
          <w:color w:val="auto"/>
        </w:rPr>
        <w:t>”) equal to the Applicable Percentage on the daily unused amount of the Canadian Revolving Commitments of such Canadian Lender to make Canadian Revolving Credit Loans to the Canadian Borrowers during the preceding quarter. The Canadian Commitment Fee shall be computed on the basis of the actual number of days elapsed in a year of 365 or 366 days, as the case may be.</w:t>
      </w:r>
    </w:p>
    <w:p>
      <w:pPr>
        <w:spacing w:after="0" w:line="161" w:lineRule="exact"/>
        <w:rPr>
          <w:rFonts w:ascii="Arial" w:cs="Arial" w:eastAsia="Arial" w:hAnsi="Arial"/>
          <w:sz w:val="15"/>
          <w:szCs w:val="15"/>
          <w:color w:val="auto"/>
        </w:rPr>
      </w:pPr>
    </w:p>
    <w:p>
      <w:pPr>
        <w:jc w:val="both"/>
        <w:ind w:firstLine="1057"/>
        <w:spacing w:after="0" w:line="330" w:lineRule="auto"/>
        <w:tabs>
          <w:tab w:leader="none" w:pos="1315"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Australian Borrower agrees to pay to each Australian Lender, through the Australian Administrative Agent, on the last Business Day of March, June, September and December in each year, a commitment fee (the “</w:t>
      </w:r>
      <w:r>
        <w:rPr>
          <w:rFonts w:ascii="Arial" w:cs="Arial" w:eastAsia="Arial" w:hAnsi="Arial"/>
          <w:sz w:val="12"/>
          <w:szCs w:val="12"/>
          <w:i w:val="1"/>
          <w:iCs w:val="1"/>
          <w:color w:val="auto"/>
        </w:rPr>
        <w:t>Australian Commitment Fee</w:t>
      </w:r>
      <w:r>
        <w:rPr>
          <w:rFonts w:ascii="Arial" w:cs="Arial" w:eastAsia="Arial" w:hAnsi="Arial"/>
          <w:sz w:val="12"/>
          <w:szCs w:val="12"/>
          <w:color w:val="auto"/>
        </w:rPr>
        <w:t>”; together with the U.S. Commitment Fee and the Canadian Commitment Fee, the “</w:t>
      </w:r>
      <w:r>
        <w:rPr>
          <w:rFonts w:ascii="Arial" w:cs="Arial" w:eastAsia="Arial" w:hAnsi="Arial"/>
          <w:sz w:val="12"/>
          <w:szCs w:val="12"/>
          <w:i w:val="1"/>
          <w:iCs w:val="1"/>
          <w:color w:val="auto"/>
        </w:rPr>
        <w:t>Commitment Fees</w:t>
      </w:r>
      <w:r>
        <w:rPr>
          <w:rFonts w:ascii="Arial" w:cs="Arial" w:eastAsia="Arial" w:hAnsi="Arial"/>
          <w:sz w:val="12"/>
          <w:szCs w:val="12"/>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15" w:lineRule="exact"/>
        <w:rPr>
          <w:rFonts w:ascii="Arial" w:cs="Arial" w:eastAsia="Arial" w:hAnsi="Arial"/>
          <w:sz w:val="12"/>
          <w:szCs w:val="12"/>
          <w:color w:val="auto"/>
        </w:rPr>
      </w:pPr>
    </w:p>
    <w:p>
      <w:pPr>
        <w:jc w:val="both"/>
        <w:ind w:firstLine="1057"/>
        <w:spacing w:after="0" w:line="248" w:lineRule="auto"/>
        <w:tabs>
          <w:tab w:leader="none" w:pos="129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Commitment Fees due to each Revolving Lender shall commence to accrue on the Funding Date, and shall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 under this Section 2.05(a).</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4" w:name="page105"/>
    <w:bookmarkEnd w:id="104"/>
    <w:p>
      <w:pPr>
        <w:ind w:firstLine="532"/>
        <w:spacing w:after="0" w:line="294" w:lineRule="auto"/>
        <w:tabs>
          <w:tab w:leader="none" w:pos="887" w:val="left"/>
        </w:tabs>
        <w:numPr>
          <w:ilvl w:val="0"/>
          <w:numId w:val="44"/>
        </w:numPr>
        <w:rPr>
          <w:rFonts w:ascii="Arial" w:cs="Arial" w:eastAsia="Arial" w:hAnsi="Arial"/>
          <w:sz w:val="14"/>
          <w:szCs w:val="14"/>
          <w:color w:val="auto"/>
        </w:rPr>
      </w:pPr>
      <w:r>
        <w:rPr>
          <w:rFonts w:ascii="Arial" w:cs="Arial" w:eastAsia="Arial" w:hAnsi="Arial"/>
          <w:sz w:val="14"/>
          <w:szCs w:val="14"/>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30" w:lineRule="exact"/>
        <w:rPr>
          <w:rFonts w:ascii="Arial" w:cs="Arial" w:eastAsia="Arial" w:hAnsi="Arial"/>
          <w:sz w:val="14"/>
          <w:szCs w:val="14"/>
          <w:color w:val="auto"/>
        </w:rPr>
      </w:pPr>
    </w:p>
    <w:p>
      <w:pPr>
        <w:jc w:val="both"/>
        <w:ind w:firstLine="532"/>
        <w:spacing w:after="0" w:line="307" w:lineRule="auto"/>
        <w:tabs>
          <w:tab w:leader="none" w:pos="86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U.S. Borrower agrees to pay to each U.S. Revolving Lender, through the Administrative Agent, on the last Business Day of March, June, September and December of each year, commencing with the first such date to occur after the Funding Date, and on the date on which the U.S. Revolving Commitment of such Revolving Lender shall be terminated as provided herein, a fee (the “</w:t>
      </w:r>
      <w:r>
        <w:rPr>
          <w:rFonts w:ascii="Arial" w:cs="Arial" w:eastAsia="Arial" w:hAnsi="Arial"/>
          <w:sz w:val="12"/>
          <w:szCs w:val="12"/>
          <w:i w:val="1"/>
          <w:iCs w:val="1"/>
          <w:color w:val="auto"/>
        </w:rPr>
        <w:t>U.S. L/C Participation Fee</w:t>
      </w:r>
      <w:r>
        <w:rPr>
          <w:rFonts w:ascii="Arial" w:cs="Arial" w:eastAsia="Arial" w:hAnsi="Arial"/>
          <w:sz w:val="12"/>
          <w:szCs w:val="12"/>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Each Canadian Borrower agrees to pay, jointly and severally, to each Canadian Lender, through the Canadian Administrative Agent, on the last Business Day of March, June, September and December of each year, commencing with the first such date to occur after the Funding Date, and on the date on which the Canadian Revolving Commitment of such Revolving Lender shall be terminated as provided herein, a fee (the “</w:t>
      </w:r>
      <w:r>
        <w:rPr>
          <w:rFonts w:ascii="Arial" w:cs="Arial" w:eastAsia="Arial" w:hAnsi="Arial"/>
          <w:sz w:val="12"/>
          <w:szCs w:val="12"/>
          <w:i w:val="1"/>
          <w:iCs w:val="1"/>
          <w:color w:val="auto"/>
        </w:rPr>
        <w:t>Canadian L/C Participation Fee</w:t>
      </w:r>
      <w:r>
        <w:rPr>
          <w:rFonts w:ascii="Arial" w:cs="Arial" w:eastAsia="Arial" w:hAnsi="Arial"/>
          <w:sz w:val="12"/>
          <w:szCs w:val="12"/>
          <w:color w:val="auto"/>
        </w:rPr>
        <w:t>” calculated on such Lender’s Canadian Revolving Pro Rata Percentage of the daily aggregate Canadian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Australian Borrower agrees to pay to each Australian Lender, through the Australian Administrative Agent, on the last Business Day of March, June, September and December of each year, commencing with the first such date to occur after the Funding Date, and on the date on which the Australian Revolving Commitment of such Revolving Lender shall be terminated as provided herein, a fee (the “</w:t>
      </w:r>
      <w:r>
        <w:rPr>
          <w:rFonts w:ascii="Arial" w:cs="Arial" w:eastAsia="Arial" w:hAnsi="Arial"/>
          <w:sz w:val="12"/>
          <w:szCs w:val="12"/>
          <w:i w:val="1"/>
          <w:iCs w:val="1"/>
          <w:color w:val="auto"/>
        </w:rPr>
        <w:t>Australian L/C</w:t>
      </w:r>
      <w:r>
        <w:rPr>
          <w:rFonts w:ascii="Arial" w:cs="Arial" w:eastAsia="Arial" w:hAnsi="Arial"/>
          <w:sz w:val="12"/>
          <w:szCs w:val="12"/>
          <w:color w:val="auto"/>
        </w:rPr>
        <w:t xml:space="preserve"> </w:t>
      </w:r>
      <w:r>
        <w:rPr>
          <w:rFonts w:ascii="Arial" w:cs="Arial" w:eastAsia="Arial" w:hAnsi="Arial"/>
          <w:sz w:val="12"/>
          <w:szCs w:val="12"/>
          <w:i w:val="1"/>
          <w:iCs w:val="1"/>
          <w:color w:val="auto"/>
        </w:rPr>
        <w:t>Participation Fee</w:t>
      </w:r>
      <w:r>
        <w:rPr>
          <w:rFonts w:ascii="Arial" w:cs="Arial" w:eastAsia="Arial" w:hAnsi="Arial"/>
          <w:sz w:val="12"/>
          <w:szCs w:val="12"/>
          <w:color w:val="auto"/>
        </w:rPr>
        <w:t>”; together with the U.S. L/C Participation Fee and the Canadian L/C Participation Fee, the “</w:t>
      </w:r>
      <w:r>
        <w:rPr>
          <w:rFonts w:ascii="Arial" w:cs="Arial" w:eastAsia="Arial" w:hAnsi="Arial"/>
          <w:sz w:val="12"/>
          <w:szCs w:val="12"/>
          <w:i w:val="1"/>
          <w:iCs w:val="1"/>
          <w:color w:val="auto"/>
        </w:rPr>
        <w:t>L/C Participation Fees</w:t>
      </w:r>
      <w:r>
        <w:rPr>
          <w:rFonts w:ascii="Arial" w:cs="Arial" w:eastAsia="Arial" w:hAnsi="Arial"/>
          <w:sz w:val="12"/>
          <w:szCs w:val="12"/>
          <w:color w:val="auto"/>
        </w:rPr>
        <w:t>”) calculated on such Lender’s Australian Revolving Pro Rata</w:t>
      </w:r>
      <w:r>
        <w:rPr>
          <w:rFonts w:ascii="Arial" w:cs="Arial" w:eastAsia="Arial" w:hAnsi="Arial"/>
          <w:sz w:val="12"/>
          <w:szCs w:val="12"/>
          <w:i w:val="1"/>
          <w:iCs w:val="1"/>
          <w:color w:val="auto"/>
        </w:rPr>
        <w:t xml:space="preserve"> </w:t>
      </w:r>
      <w:r>
        <w:rPr>
          <w:rFonts w:ascii="Arial" w:cs="Arial" w:eastAsia="Arial" w:hAnsi="Arial"/>
          <w:sz w:val="12"/>
          <w:szCs w:val="12"/>
          <w:color w:val="auto"/>
        </w:rPr>
        <w:t>Percentage of the daily aggregate Australian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Arial" w:cs="Arial" w:eastAsia="Arial" w:hAnsi="Arial"/>
          <w:sz w:val="12"/>
          <w:szCs w:val="12"/>
          <w:i w:val="1"/>
          <w:iCs w:val="1"/>
          <w:color w:val="auto"/>
        </w:rPr>
        <w:t>Issuing Bank Fees</w:t>
      </w:r>
      <w:r>
        <w:rPr>
          <w:rFonts w:ascii="Arial" w:cs="Arial" w:eastAsia="Arial" w:hAnsi="Arial"/>
          <w:sz w:val="12"/>
          <w:szCs w:val="12"/>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5" w:name="page106"/>
    <w:bookmarkEnd w:id="105"/>
    <w:p>
      <w:pPr>
        <w:jc w:val="both"/>
        <w:ind w:firstLine="532"/>
        <w:spacing w:after="0" w:line="330" w:lineRule="auto"/>
        <w:tabs>
          <w:tab w:leader="none" w:pos="8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Fees shall be paid on the dates due, in immediately available U.S. dollars (except with respect to (i) L/C Participation Fees and Issuing Bank Fees in respect of Canadian Letters of Credit, each of which shall be payable in immediately available Canadian dollars and (ii) L/C Participation Fees and Issuing Bank Fees in respect of Australian Letters of Credit,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11"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2.06 </w:t>
      </w:r>
      <w:r>
        <w:rPr>
          <w:rFonts w:ascii="Arial" w:cs="Arial" w:eastAsia="Arial" w:hAnsi="Arial"/>
          <w:sz w:val="15"/>
          <w:szCs w:val="15"/>
          <w:b w:val="1"/>
          <w:bCs w:val="1"/>
          <w:i w:val="1"/>
          <w:iCs w:val="1"/>
          <w:color w:val="auto"/>
        </w:rPr>
        <w:t>Interest on Loans</w:t>
      </w:r>
      <w:r>
        <w:rPr>
          <w:rFonts w:ascii="Arial" w:cs="Arial" w:eastAsia="Arial" w:hAnsi="Arial"/>
          <w:sz w:val="15"/>
          <w:szCs w:val="15"/>
          <w:color w:val="auto"/>
        </w:rPr>
        <w:t>. (a) Subject to the provisions of Section 9.09, the Loans comprising each ABR Borrowing shall bear interest (computed on the basis of the actual</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203" w:lineRule="exact"/>
        <w:rPr>
          <w:sz w:val="20"/>
          <w:szCs w:val="20"/>
          <w:color w:val="auto"/>
        </w:rPr>
      </w:pPr>
    </w:p>
    <w:p>
      <w:pPr>
        <w:jc w:val="both"/>
        <w:ind w:firstLine="532"/>
        <w:spacing w:after="0" w:line="251" w:lineRule="auto"/>
        <w:tabs>
          <w:tab w:leader="none" w:pos="885"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Subject to the provisions of Section 9.09, the Loans comprising each Eurocurrency Borrowing shall bear interest (computed on the basis of the actual number of days elapsed over a year of 360 days) at a rate per annum equal to the Adjusted LIBO Rate for the Interest Period in effect for such Borrowing plus the Applicable Percentage in respect of Eurocurrency Loans in effect from time to time.</w:t>
      </w:r>
    </w:p>
    <w:p>
      <w:pPr>
        <w:spacing w:after="0" w:line="158" w:lineRule="exact"/>
        <w:rPr>
          <w:rFonts w:ascii="Arial" w:cs="Arial" w:eastAsia="Arial" w:hAnsi="Arial"/>
          <w:sz w:val="15"/>
          <w:szCs w:val="15"/>
          <w:color w:val="auto"/>
        </w:rPr>
      </w:pPr>
    </w:p>
    <w:p>
      <w:pPr>
        <w:jc w:val="both"/>
        <w:ind w:firstLine="532"/>
        <w:spacing w:after="0" w:line="277" w:lineRule="auto"/>
        <w:tabs>
          <w:tab w:leader="none" w:pos="87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41" w:lineRule="exact"/>
        <w:rPr>
          <w:rFonts w:ascii="Arial" w:cs="Arial" w:eastAsia="Arial" w:hAnsi="Arial"/>
          <w:sz w:val="14"/>
          <w:szCs w:val="14"/>
          <w:color w:val="auto"/>
        </w:rPr>
      </w:pPr>
    </w:p>
    <w:p>
      <w:pPr>
        <w:ind w:firstLine="532"/>
        <w:spacing w:after="0" w:line="259" w:lineRule="auto"/>
        <w:tabs>
          <w:tab w:leader="none" w:pos="917"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Subject to the provisions of Section 9.09, the Loans comprising each B/A Borrowing shall be subject to an Acceptance Fee, payable by the applicable Canadian Borrower on the date of acceptance of the relevant B/A and calculated as set forth in the definition of the term “Acceptance Fee” in Section 1.01.</w:t>
      </w:r>
    </w:p>
    <w:p>
      <w:pPr>
        <w:spacing w:after="0" w:line="152" w:lineRule="exact"/>
        <w:rPr>
          <w:rFonts w:ascii="Arial" w:cs="Arial" w:eastAsia="Arial" w:hAnsi="Arial"/>
          <w:sz w:val="15"/>
          <w:szCs w:val="15"/>
          <w:color w:val="auto"/>
        </w:rPr>
      </w:pPr>
    </w:p>
    <w:p>
      <w:pPr>
        <w:jc w:val="both"/>
        <w:ind w:firstLine="532"/>
        <w:spacing w:after="0" w:line="251" w:lineRule="auto"/>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6" w:name="page107"/>
    <w:bookmarkEnd w:id="106"/>
    <w:p>
      <w:pPr>
        <w:jc w:val="both"/>
        <w:ind w:firstLine="532"/>
        <w:spacing w:after="0" w:line="251" w:lineRule="auto"/>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58" w:lineRule="exact"/>
        <w:rPr>
          <w:rFonts w:ascii="Arial" w:cs="Arial" w:eastAsia="Arial" w:hAnsi="Arial"/>
          <w:sz w:val="15"/>
          <w:szCs w:val="15"/>
          <w:color w:val="auto"/>
        </w:rPr>
      </w:pPr>
    </w:p>
    <w:p>
      <w:pPr>
        <w:jc w:val="both"/>
        <w:ind w:firstLine="532"/>
        <w:spacing w:after="0" w:line="343" w:lineRule="auto"/>
        <w:tabs>
          <w:tab w:leader="none" w:pos="884" w:val="left"/>
        </w:tabs>
        <w:numPr>
          <w:ilvl w:val="0"/>
          <w:numId w:val="47"/>
        </w:numPr>
        <w:rPr>
          <w:rFonts w:ascii="Arial" w:cs="Arial" w:eastAsia="Arial" w:hAnsi="Arial"/>
          <w:sz w:val="12"/>
          <w:szCs w:val="12"/>
          <w:color w:val="auto"/>
        </w:rPr>
      </w:pPr>
      <w:r>
        <w:rPr>
          <w:rFonts w:ascii="Arial" w:cs="Arial" w:eastAsia="Arial" w:hAnsi="Arial"/>
          <w:sz w:val="12"/>
          <w:szCs w:val="12"/>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07" w:lineRule="exact"/>
        <w:rPr>
          <w:rFonts w:ascii="Arial" w:cs="Arial" w:eastAsia="Arial" w:hAnsi="Arial"/>
          <w:sz w:val="12"/>
          <w:szCs w:val="12"/>
          <w:color w:val="auto"/>
        </w:rPr>
      </w:pPr>
    </w:p>
    <w:p>
      <w:pPr>
        <w:jc w:val="both"/>
        <w:ind w:firstLine="532"/>
        <w:spacing w:after="0" w:line="269" w:lineRule="auto"/>
        <w:tabs>
          <w:tab w:leader="none" w:pos="9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46" w:lineRule="exact"/>
        <w:rPr>
          <w:rFonts w:ascii="Arial" w:cs="Arial" w:eastAsia="Arial" w:hAnsi="Arial"/>
          <w:sz w:val="14"/>
          <w:szCs w:val="14"/>
          <w:color w:val="auto"/>
        </w:rPr>
      </w:pPr>
    </w:p>
    <w:p>
      <w:pPr>
        <w:jc w:val="both"/>
        <w:ind w:firstLine="532"/>
        <w:spacing w:after="0" w:line="251" w:lineRule="auto"/>
        <w:tabs>
          <w:tab w:leader="none" w:pos="957"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Interest on each Loan shall be payable to the Applicable Administrative Agent on the Interest Payment Dates applicable to such Loan except as otherwise provided in this Agreement. The applicable Alternate Base Rate, Adjusted LIBO Rate, BBSY Rate, Canadian Prime Rate, U.S. Base Rate, B/A Discount Rate, and Acceptance Fee shall be determined by the Applicable Administrative Agent, and such determination shall be conclusive absent manifest error.</w:t>
      </w:r>
    </w:p>
    <w:p>
      <w:pPr>
        <w:spacing w:after="0" w:line="158" w:lineRule="exact"/>
        <w:rPr>
          <w:rFonts w:ascii="Arial" w:cs="Arial" w:eastAsia="Arial" w:hAnsi="Arial"/>
          <w:sz w:val="15"/>
          <w:szCs w:val="15"/>
          <w:color w:val="auto"/>
        </w:rPr>
      </w:pPr>
    </w:p>
    <w:p>
      <w:pPr>
        <w:jc w:val="both"/>
        <w:ind w:firstLine="532"/>
        <w:spacing w:after="0" w:line="271" w:lineRule="auto"/>
        <w:tabs>
          <w:tab w:leader="none" w:pos="844"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For the purposes of the </w:t>
      </w:r>
      <w:r>
        <w:rPr>
          <w:rFonts w:ascii="Arial" w:cs="Arial" w:eastAsia="Arial" w:hAnsi="Arial"/>
          <w:sz w:val="14"/>
          <w:szCs w:val="14"/>
          <w:i w:val="1"/>
          <w:iCs w:val="1"/>
          <w:color w:val="auto"/>
        </w:rPr>
        <w:t>Interest Act</w:t>
      </w:r>
      <w:r>
        <w:rPr>
          <w:rFonts w:ascii="Arial" w:cs="Arial" w:eastAsia="Arial" w:hAnsi="Arial"/>
          <w:sz w:val="14"/>
          <w:szCs w:val="14"/>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7" w:name="page108"/>
    <w:bookmarkEnd w:id="107"/>
    <w:p>
      <w:pPr>
        <w:jc w:val="both"/>
        <w:ind w:firstLine="525"/>
        <w:spacing w:after="0" w:line="246" w:lineRule="auto"/>
        <w:rPr>
          <w:sz w:val="20"/>
          <w:szCs w:val="20"/>
          <w:color w:val="auto"/>
        </w:rPr>
      </w:pPr>
      <w:r>
        <w:rPr>
          <w:rFonts w:ascii="Arial" w:cs="Arial" w:eastAsia="Arial" w:hAnsi="Arial"/>
          <w:sz w:val="15"/>
          <w:szCs w:val="15"/>
          <w:b w:val="1"/>
          <w:bCs w:val="1"/>
          <w:color w:val="auto"/>
        </w:rPr>
        <w:t xml:space="preserve">SECTION 2.07 </w:t>
      </w:r>
      <w:r>
        <w:rPr>
          <w:rFonts w:ascii="Arial" w:cs="Arial" w:eastAsia="Arial" w:hAnsi="Arial"/>
          <w:sz w:val="15"/>
          <w:szCs w:val="15"/>
          <w:b w:val="1"/>
          <w:bCs w:val="1"/>
          <w:i w:val="1"/>
          <w:iCs w:val="1"/>
          <w:color w:val="auto"/>
        </w:rPr>
        <w:t>Default Interest</w:t>
      </w:r>
      <w:r>
        <w:rPr>
          <w:rFonts w:ascii="Arial" w:cs="Arial" w:eastAsia="Arial" w:hAnsi="Arial"/>
          <w:sz w:val="15"/>
          <w:szCs w:val="15"/>
          <w:color w:val="auto"/>
        </w:rPr>
        <w:t>. If a Borrower shall default in the payment of the principal of or interest on any Loan or any other amount becoming due hereunder, by acceleration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Canadian Borrower, or a BBSY Rate Loan, in the case of the Australian Borrower) plus 2.00% (subject to Section 9.09).</w:t>
      </w:r>
    </w:p>
    <w:p>
      <w:pPr>
        <w:spacing w:after="0" w:line="205"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4"/>
          <w:szCs w:val="14"/>
          <w:b w:val="1"/>
          <w:bCs w:val="1"/>
          <w:color w:val="auto"/>
        </w:rPr>
        <w:t xml:space="preserve">SECTION 2.08 </w:t>
      </w:r>
      <w:r>
        <w:rPr>
          <w:rFonts w:ascii="Arial" w:cs="Arial" w:eastAsia="Arial" w:hAnsi="Arial"/>
          <w:sz w:val="14"/>
          <w:szCs w:val="14"/>
          <w:b w:val="1"/>
          <w:bCs w:val="1"/>
          <w:i w:val="1"/>
          <w:iCs w:val="1"/>
          <w:color w:val="auto"/>
        </w:rPr>
        <w:t>Alternate Rate of Interest</w:t>
      </w:r>
      <w:r>
        <w:rPr>
          <w:rFonts w:ascii="Arial" w:cs="Arial" w:eastAsia="Arial" w:hAnsi="Arial"/>
          <w:sz w:val="14"/>
          <w:szCs w:val="14"/>
          <w:color w:val="auto"/>
        </w:rPr>
        <w:t>. In the event, and on each occasion, that (a) on the day two Business Days prior to the commencement of any Interest Period for a</w:t>
      </w:r>
      <w:r>
        <w:rPr>
          <w:rFonts w:ascii="Arial" w:cs="Arial" w:eastAsia="Arial" w:hAnsi="Arial"/>
          <w:sz w:val="14"/>
          <w:szCs w:val="14"/>
          <w:b w:val="1"/>
          <w:bCs w:val="1"/>
          <w:color w:val="auto"/>
        </w:rPr>
        <w:t xml:space="preserve"> </w:t>
      </w:r>
      <w:r>
        <w:rPr>
          <w:rFonts w:ascii="Arial" w:cs="Arial" w:eastAsia="Arial" w:hAnsi="Arial"/>
          <w:sz w:val="14"/>
          <w:szCs w:val="14"/>
          <w:color w:val="auto"/>
        </w:rPr>
        <w:t>Eurocurrency Borrowing the Administrative Agent is unable to determine the Adjusted LIBO Rate for Eurocurrency Loans comprising any requested Borrowing, or (b) if the Applicable Required Lenders shall, by 11:00 a.m. (Standard Time) at least one (1) Business Day before the date of any requested Borrowing, notify the Administrative Agent that the Adjusted LIBO Rate for Eurocurrency Loans comprising such Borrowing will not adequately and fairly reflect the cost to any Lender of making or maintaining its Eurocurrency Loan, during such Interest Period, then the Administrative Agent shall, as soon as practicable thereafter, give written, fax or electronic communication (e-mail) (or telephone notice promptly confirmed by a written, fax or electronic communication (e-mail)) notice of such determination to the Borrowers and the Lenders. In the event of any such determination, until the Administrative Agent shall have advised the Borrowers and the Lenders that the circumstances giving rise to such notice no longer exist, any request by a Borrower for a Eurocurrency Borrowing pursuant to Section 2.03 or 2.10 shall be deemed to be a request for an ABR Borrowing (or, in the case of a request by a Canadian Borrower, a U.S. Base Rate Borrowing). Each determination by the Administrative Agent hereunder shall be conclusive absent manifest error.</w:t>
      </w:r>
    </w:p>
    <w:p>
      <w:pPr>
        <w:spacing w:after="0" w:line="19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5"/>
          <w:szCs w:val="15"/>
          <w:b w:val="1"/>
          <w:bCs w:val="1"/>
          <w:color w:val="auto"/>
        </w:rPr>
        <w:t>SECTION 2.09</w:t>
      </w:r>
      <w:r>
        <w:rPr>
          <w:sz w:val="20"/>
          <w:szCs w:val="20"/>
          <w:color w:val="auto"/>
        </w:rPr>
        <w:tab/>
      </w:r>
      <w:r>
        <w:rPr>
          <w:rFonts w:ascii="Arial" w:cs="Arial" w:eastAsia="Arial" w:hAnsi="Arial"/>
          <w:sz w:val="12"/>
          <w:szCs w:val="12"/>
          <w:b w:val="1"/>
          <w:bCs w:val="1"/>
          <w:i w:val="1"/>
          <w:iCs w:val="1"/>
          <w:color w:val="auto"/>
        </w:rPr>
        <w:t>Termination and Reduction of Commitments</w:t>
      </w:r>
      <w:r>
        <w:rPr>
          <w:rFonts w:ascii="Arial" w:cs="Arial" w:eastAsia="Arial" w:hAnsi="Arial"/>
          <w:sz w:val="12"/>
          <w:szCs w:val="12"/>
          <w:color w:val="auto"/>
        </w:rPr>
        <w:t>. (a) The Revolving Commitments and the L/C Commitments shall automatically terminate on the Maturity Date.</w:t>
      </w:r>
    </w:p>
    <w:p>
      <w:pPr>
        <w:spacing w:after="0" w:line="225" w:lineRule="exact"/>
        <w:rPr>
          <w:sz w:val="20"/>
          <w:szCs w:val="20"/>
          <w:color w:val="auto"/>
        </w:rPr>
      </w:pPr>
    </w:p>
    <w:p>
      <w:pPr>
        <w:ind w:left="880" w:hanging="348"/>
        <w:spacing w:after="0"/>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U.S. Term Commitments shall automatically terminate on the Funding Date immediately following the making of the U.S. Term Loan on such date.</w:t>
      </w:r>
    </w:p>
    <w:p>
      <w:pPr>
        <w:spacing w:after="0" w:line="177" w:lineRule="exact"/>
        <w:rPr>
          <w:rFonts w:ascii="Arial" w:cs="Arial" w:eastAsia="Arial" w:hAnsi="Arial"/>
          <w:sz w:val="15"/>
          <w:szCs w:val="15"/>
          <w:color w:val="auto"/>
        </w:rPr>
      </w:pPr>
    </w:p>
    <w:p>
      <w:pPr>
        <w:jc w:val="both"/>
        <w:ind w:firstLine="532"/>
        <w:spacing w:after="0" w:line="248" w:lineRule="auto"/>
        <w:tabs>
          <w:tab w:leader="none" w:pos="912"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a Canadian Borrower or the Australian Borrower, as the case may be, may at any time in whole permanently terminate, or from time to time in part permanently reduce, any Class of Commitments;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each partial reduction of any Class of Commitments shall be in an integral multiple of U.S.$1,000,000.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08" w:name="page109"/>
    <w:bookmarkEnd w:id="108"/>
    <w:p>
      <w:pPr>
        <w:jc w:val="both"/>
        <w:ind w:firstLine="532"/>
        <w:spacing w:after="0" w:line="251" w:lineRule="auto"/>
        <w:tabs>
          <w:tab w:leader="none" w:pos="904"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54"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b w:val="1"/>
          <w:bCs w:val="1"/>
          <w:color w:val="auto"/>
        </w:rPr>
        <w:t>SECTION 2.10</w:t>
      </w:r>
      <w:r>
        <w:rPr>
          <w:sz w:val="20"/>
          <w:szCs w:val="20"/>
          <w:color w:val="auto"/>
        </w:rPr>
        <w:tab/>
      </w:r>
      <w:r>
        <w:rPr>
          <w:rFonts w:ascii="Arial" w:cs="Arial" w:eastAsia="Arial" w:hAnsi="Arial"/>
          <w:sz w:val="12"/>
          <w:szCs w:val="12"/>
          <w:b w:val="1"/>
          <w:bCs w:val="1"/>
          <w:i w:val="1"/>
          <w:iCs w:val="1"/>
          <w:color w:val="auto"/>
        </w:rPr>
        <w:t>Conversion and Continuation of Borrowings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Borrowers shall have the right at any time upon prior irrevocable notice to the Applicable Administrative Agent</w:t>
      </w:r>
    </w:p>
    <w:p>
      <w:pPr>
        <w:spacing w:after="0" w:line="15" w:lineRule="exact"/>
        <w:rPr>
          <w:sz w:val="20"/>
          <w:szCs w:val="20"/>
          <w:color w:val="auto"/>
        </w:rPr>
      </w:pPr>
    </w:p>
    <w:p>
      <w:pPr>
        <w:jc w:val="both"/>
        <w:ind w:firstLine="7"/>
        <w:spacing w:after="0" w:line="313" w:lineRule="auto"/>
        <w:tabs>
          <w:tab w:leader="none" w:pos="2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not later than 1:00 p.m. (Standard Time) one Business Day before the proposed conversion, to convert any Eurocurrency Borrowing into an ABR Borrowing under the U.S. Revolving Commitments, (b) not later than 1:00 p.m. (Standard Time) one Business Day before the proposed conversion to convert any U.S. Base Rate Borrowing under the Canadian Revolving Commitments or to convert any B/A Borrowing into a Canadian Prime Rate Borrowing, (c) not later than 1:00 p.m. (Standard Time) three Business Days prior to conversion or continuation, to convert any ABR Borrowing or U.S. Base Rate Borrowing into a Eurocurrency Borrowing or to continue any Eurocurrency Borrowing under the U.S. Revolving Commitments or Canadian Revolving Commitments as a Eurocurrency Borrowing for an additional Interest Period, (d) not later than 1:00 p.m. (Standard Time) three Business Days prior to conversion, to convert the Interest Period with respect to any Eurocurrency Borrowing under the U.S. Revolving Commitments or Canadian Revolving Commitments to another permissible Interest Period, (e) not later than 3:00 p.m. (Sydney time) three Business Days prior to conversion, to convert the Interest Period with respect to any BBSY Rate Borrowing under the Australian Revolving Commitments to another permissible Interest Period and (f) not later than 1:00 p.m. (Standard Time) three Business Days prior to conversion or continuation, to convert any Canadian Prime Rate Borrowing to a B/A Borrowing or to continue any B/A Borrowing as a B/A Borrowing for an additional Contract Period, subject in each case to the following:</w:t>
      </w:r>
    </w:p>
    <w:p>
      <w:pPr>
        <w:spacing w:after="0" w:line="343" w:lineRule="exact"/>
        <w:rPr>
          <w:rFonts w:ascii="Arial" w:cs="Arial" w:eastAsia="Arial" w:hAnsi="Arial"/>
          <w:sz w:val="12"/>
          <w:szCs w:val="12"/>
          <w:color w:val="auto"/>
        </w:rPr>
      </w:pPr>
    </w:p>
    <w:p>
      <w:pPr>
        <w:ind w:left="540" w:firstLine="517"/>
        <w:spacing w:after="0" w:line="259" w:lineRule="auto"/>
        <w:tabs>
          <w:tab w:leader="none" w:pos="1424" w:val="left"/>
        </w:tabs>
        <w:numPr>
          <w:ilvl w:val="1"/>
          <w:numId w:val="50"/>
        </w:numPr>
        <w:rPr>
          <w:rFonts w:ascii="Arial" w:cs="Arial" w:eastAsia="Arial" w:hAnsi="Arial"/>
          <w:sz w:val="15"/>
          <w:szCs w:val="15"/>
          <w:color w:val="auto"/>
        </w:rPr>
      </w:pPr>
      <w:r>
        <w:rPr>
          <w:rFonts w:ascii="Arial" w:cs="Arial" w:eastAsia="Arial" w:hAnsi="Arial"/>
          <w:sz w:val="15"/>
          <w:szCs w:val="15"/>
          <w:color w:val="auto"/>
        </w:rPr>
        <w:t>each conversion or continuation shall be made pro rata among the Lenders in accordance with the respective principal amounts of the Loans comprising the converted or continued Borrowing;</w:t>
      </w:r>
    </w:p>
    <w:p>
      <w:pPr>
        <w:spacing w:after="0" w:line="152" w:lineRule="exact"/>
        <w:rPr>
          <w:rFonts w:ascii="Arial" w:cs="Arial" w:eastAsia="Arial" w:hAnsi="Arial"/>
          <w:sz w:val="15"/>
          <w:szCs w:val="15"/>
          <w:color w:val="auto"/>
        </w:rPr>
      </w:pPr>
    </w:p>
    <w:p>
      <w:pPr>
        <w:ind w:left="540" w:firstLine="517"/>
        <w:spacing w:after="0" w:line="294" w:lineRule="auto"/>
        <w:tabs>
          <w:tab w:leader="none" w:pos="1454" w:val="left"/>
        </w:tabs>
        <w:numPr>
          <w:ilvl w:val="1"/>
          <w:numId w:val="50"/>
        </w:numPr>
        <w:rPr>
          <w:rFonts w:ascii="Arial" w:cs="Arial" w:eastAsia="Arial" w:hAnsi="Arial"/>
          <w:sz w:val="14"/>
          <w:szCs w:val="14"/>
          <w:color w:val="auto"/>
        </w:rPr>
      </w:pPr>
      <w:r>
        <w:rPr>
          <w:rFonts w:ascii="Arial" w:cs="Arial" w:eastAsia="Arial" w:hAnsi="Arial"/>
          <w:sz w:val="14"/>
          <w:szCs w:val="14"/>
          <w:color w:val="auto"/>
        </w:rPr>
        <w:t>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w:t>
      </w:r>
    </w:p>
    <w:p>
      <w:pPr>
        <w:spacing w:after="0" w:line="130" w:lineRule="exact"/>
        <w:rPr>
          <w:rFonts w:ascii="Arial" w:cs="Arial" w:eastAsia="Arial" w:hAnsi="Arial"/>
          <w:sz w:val="14"/>
          <w:szCs w:val="14"/>
          <w:color w:val="auto"/>
        </w:rPr>
      </w:pPr>
    </w:p>
    <w:p>
      <w:pPr>
        <w:jc w:val="both"/>
        <w:ind w:left="540" w:firstLine="517"/>
        <w:spacing w:after="0" w:line="251" w:lineRule="auto"/>
        <w:tabs>
          <w:tab w:leader="none" w:pos="1531" w:val="left"/>
        </w:tabs>
        <w:numPr>
          <w:ilvl w:val="1"/>
          <w:numId w:val="50"/>
        </w:numPr>
        <w:rPr>
          <w:rFonts w:ascii="Arial" w:cs="Arial" w:eastAsia="Arial" w:hAnsi="Arial"/>
          <w:sz w:val="15"/>
          <w:szCs w:val="15"/>
          <w:color w:val="auto"/>
        </w:rPr>
      </w:pPr>
      <w:r>
        <w:rPr>
          <w:rFonts w:ascii="Arial" w:cs="Arial" w:eastAsia="Arial" w:hAnsi="Arial"/>
          <w:sz w:val="15"/>
          <w:szCs w:val="15"/>
          <w:color w:val="auto"/>
        </w:rPr>
        <w:t>each conversion shall be effected by each Lender and the Applicable Administrative Agent by recording for the account of such Lender the new Type and/or Interest Period or Contract Period for such Borrowing resulting from such conversion; accrued interest on any Eurocurrency Loan or BBSY Rate Loan (or, in each case, any portion thereof) being converted shall be paid by the Applicable Borrower at the time of conversion;</w:t>
      </w:r>
    </w:p>
    <w:p>
      <w:pPr>
        <w:spacing w:after="0" w:line="158" w:lineRule="exact"/>
        <w:rPr>
          <w:rFonts w:ascii="Arial" w:cs="Arial" w:eastAsia="Arial" w:hAnsi="Arial"/>
          <w:sz w:val="15"/>
          <w:szCs w:val="15"/>
          <w:color w:val="auto"/>
        </w:rPr>
      </w:pPr>
    </w:p>
    <w:p>
      <w:pPr>
        <w:ind w:left="540" w:firstLine="517"/>
        <w:spacing w:after="0" w:line="259" w:lineRule="auto"/>
        <w:tabs>
          <w:tab w:leader="none" w:pos="1501" w:val="left"/>
        </w:tabs>
        <w:numPr>
          <w:ilvl w:val="1"/>
          <w:numId w:val="50"/>
        </w:numPr>
        <w:rPr>
          <w:rFonts w:ascii="Arial" w:cs="Arial" w:eastAsia="Arial" w:hAnsi="Arial"/>
          <w:sz w:val="15"/>
          <w:szCs w:val="15"/>
          <w:color w:val="auto"/>
        </w:rPr>
      </w:pPr>
      <w:r>
        <w:rPr>
          <w:rFonts w:ascii="Arial" w:cs="Arial" w:eastAsia="Arial" w:hAnsi="Arial"/>
          <w:sz w:val="15"/>
          <w:szCs w:val="15"/>
          <w:color w:val="auto"/>
        </w:rPr>
        <w:t>if any Eurocurrency Borrowing, BBSY Rate Borrowing or B/A Borrowing is converted at a time other than the end of the Interest Period or Contract Period applicable thereto, the Applicable Borrower shall pay, upon demand, any amounts due to the Lenders pursuant to Section 2.15;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09" w:name="page110"/>
    <w:bookmarkEnd w:id="109"/>
    <w:p>
      <w:pPr>
        <w:ind w:left="540" w:firstLine="517"/>
        <w:spacing w:after="0" w:line="259" w:lineRule="auto"/>
        <w:tabs>
          <w:tab w:leader="none" w:pos="1445"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portion of a Borrowing maturing or required to be repaid in less than one month may not be converted into or continued as a Eurocurrency Borrowing, a BBSY Rate Borrowing or a B/A Borrowing;</w:t>
      </w:r>
    </w:p>
    <w:p>
      <w:pPr>
        <w:spacing w:after="0" w:line="152" w:lineRule="exact"/>
        <w:rPr>
          <w:rFonts w:ascii="Arial" w:cs="Arial" w:eastAsia="Arial" w:hAnsi="Arial"/>
          <w:sz w:val="15"/>
          <w:szCs w:val="15"/>
          <w:color w:val="auto"/>
        </w:rPr>
      </w:pPr>
    </w:p>
    <w:p>
      <w:pPr>
        <w:jc w:val="both"/>
        <w:ind w:left="540" w:firstLine="517"/>
        <w:spacing w:after="0" w:line="251" w:lineRule="auto"/>
        <w:tabs>
          <w:tab w:leader="none" w:pos="1483"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portion of a Eurocurrency Borrowing or a B/A Borrowing that cannot be converted into or continued as a Eurocurrency Borrowing or a B/A Borrowing by reason of the immediately preceding clause shall be automatically converted at the end of the Interest Period or Contract Period in effect for such Borrowing into an ABR Borrowing, a U.S. Base Rate Borrowing or a Canadian Prime Rate Borrowing, as the case may be;</w:t>
      </w:r>
    </w:p>
    <w:p>
      <w:pPr>
        <w:spacing w:after="0" w:line="158" w:lineRule="exact"/>
        <w:rPr>
          <w:rFonts w:ascii="Arial" w:cs="Arial" w:eastAsia="Arial" w:hAnsi="Arial"/>
          <w:sz w:val="15"/>
          <w:szCs w:val="15"/>
          <w:color w:val="auto"/>
        </w:rPr>
      </w:pPr>
    </w:p>
    <w:p>
      <w:pPr>
        <w:ind w:left="540" w:firstLine="517"/>
        <w:spacing w:after="0" w:line="383" w:lineRule="auto"/>
        <w:tabs>
          <w:tab w:leader="none" w:pos="15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upon notice to the Borrowers from the Administrative Agent given at the request of the Applicable Required Lenders after the occurrence and during the continuance of a Default or Event of Default, no outstanding Loan may be converted into, or continued as, a Eurocurrency Loan, a BBSY Rate Loan or a B/A Loan, respectively; and</w:t>
      </w:r>
    </w:p>
    <w:p>
      <w:pPr>
        <w:spacing w:after="0" w:line="84" w:lineRule="exact"/>
        <w:rPr>
          <w:rFonts w:ascii="Arial" w:cs="Arial" w:eastAsia="Arial" w:hAnsi="Arial"/>
          <w:sz w:val="12"/>
          <w:szCs w:val="12"/>
          <w:color w:val="auto"/>
        </w:rPr>
      </w:pPr>
    </w:p>
    <w:p>
      <w:pPr>
        <w:ind w:left="1520" w:hanging="463"/>
        <w:spacing w:after="0"/>
        <w:tabs>
          <w:tab w:leader="none" w:pos="15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notwithstanding anything to the contrary herein, a Swing Line Loan may not be converted to a Eurocurrency Loan.</w:t>
      </w:r>
    </w:p>
    <w:p>
      <w:pPr>
        <w:spacing w:after="0" w:line="177" w:lineRule="exact"/>
        <w:rPr>
          <w:sz w:val="20"/>
          <w:szCs w:val="20"/>
          <w:color w:val="auto"/>
        </w:rPr>
      </w:pPr>
    </w:p>
    <w:p>
      <w:pPr>
        <w:jc w:val="both"/>
        <w:ind w:firstLine="525"/>
        <w:spacing w:after="0" w:line="312" w:lineRule="auto"/>
        <w:rPr>
          <w:sz w:val="20"/>
          <w:szCs w:val="20"/>
          <w:color w:val="auto"/>
        </w:rPr>
      </w:pPr>
      <w:r>
        <w:rPr>
          <w:rFonts w:ascii="Arial" w:cs="Arial" w:eastAsia="Arial" w:hAnsi="Arial"/>
          <w:sz w:val="12"/>
          <w:szCs w:val="12"/>
          <w:color w:val="auto"/>
        </w:rPr>
        <w:t>Each notice pursuant to this Section 2.10 shall be irrevocable, shall be hand delivered, faxed or sent by electronic communication (e-mail) (or by telephone notice promptly confirmed by a written, fax or electronic communication (e-mail)) and shall refer to this Agreement and specify (i) the identity and amount of the Borrowing that the Applicable Borrower requests be converted or continued, (ii) whether such Borrowing is to be converted to or continued as a Eurocurrency Borrowing, an ABR Borrowing, a B/A Borrowing, a U.S. Base Rate Borrowing. a Canadian Prime Rate Borrowing or a BBSY Rate Borrowing, (iii) if such notice requests a conversion, the date of such conversion (which shall be a Business Day) and (iv) if such Borrowing is to be converted to or continued as a Eurocurrency Borrowing, a BBSY Rate Borrowing or a B/A Borrowing, the Interest Period or Contract Period with respect thereto. If no Interest Period or Contract Period is specified in any such notice with respect to any conversion to or continuation as a Eurocurrency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 Borrowing (other than a Eurocurrency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0" w:name="page111"/>
    <w:bookmarkEnd w:id="110"/>
    <w:p>
      <w:pPr>
        <w:jc w:val="both"/>
        <w:ind w:firstLine="525"/>
        <w:spacing w:after="0" w:line="314" w:lineRule="auto"/>
        <w:rPr>
          <w:sz w:val="20"/>
          <w:szCs w:val="20"/>
          <w:color w:val="auto"/>
        </w:rPr>
      </w:pPr>
      <w:r>
        <w:rPr>
          <w:rFonts w:ascii="Arial" w:cs="Arial" w:eastAsia="Arial" w:hAnsi="Arial"/>
          <w:sz w:val="12"/>
          <w:szCs w:val="12"/>
          <w:b w:val="1"/>
          <w:bCs w:val="1"/>
          <w:color w:val="auto"/>
        </w:rPr>
        <w:t xml:space="preserve">SECTION 2.11 </w:t>
      </w:r>
      <w:r>
        <w:rPr>
          <w:rFonts w:ascii="Arial" w:cs="Arial" w:eastAsia="Arial" w:hAnsi="Arial"/>
          <w:sz w:val="12"/>
          <w:szCs w:val="12"/>
          <w:b w:val="1"/>
          <w:bCs w:val="1"/>
          <w:i w:val="1"/>
          <w:iCs w:val="1"/>
          <w:color w:val="auto"/>
        </w:rPr>
        <w:t>Optional Prepayment</w:t>
      </w:r>
      <w:r>
        <w:rPr>
          <w:rFonts w:ascii="Arial" w:cs="Arial" w:eastAsia="Arial" w:hAnsi="Arial"/>
          <w:sz w:val="12"/>
          <w:szCs w:val="12"/>
          <w:color w:val="auto"/>
        </w:rPr>
        <w:t>. (a) Each Borrower shall have the right at any time and from time to time to prepay any Borrowing (other than Bankers’ Acceptances or B/A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Equivalent Loans, which may, however, be defeased as provided below), in whole or in part, upon written, fax or electronic communication (e-mail) (or by telephone notice promptly confirmed by written, fax or electronic communication (e-mail)) delivered to the Applicable Administrative Agent by (i) 1:00 p.m. (Standard Time) at least three Business Days prior to the date designated for such prepayment, in the case of any prepayment of a Eurocurrency Borrowing or a BBSY Rate Borrowing, (ii) 1:00 p.m. (Standard Time) on the date designated for such prepayment in the case of any prepayment of an ABR Borrowing under the U.S. Commitments, or (iii) 1:00 p.m. (Standard Time) one Business Day prior to the date designated for such prepayment, in the case of a U.S. Base Rate Borrowing or a Canadian Prime Rate Borrowing under the Canadian Revolving Commitments;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each partial prepayment shall be in an amount that is a minimum amount of U.S.$500,000 or an integral multiple of U.S.$100,000 in excess thereof (or C$500,000 and C$100,000, respectively, in the case of Borrowings denominated in Canadian dollars);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Canadian Borrowers may defease any B/A or B/A Equivalent Loan by depositing with the Canadian Administrative Agent an amount that, together with interest accruing on such amount to the end of the Contract Period for such B/A or B/A Equivalent Loan, is sufficient to pay such maturing Bankers’ Acceptances or B/A Equivalent Loans when due. The Applicable Administrative Agent shall promptly advise the Applicable Lenders of any notice given pursuant to this Section 2.11 and of each Lender’s portion of such prepayment.</w:t>
      </w:r>
    </w:p>
    <w:p>
      <w:pPr>
        <w:spacing w:after="0" w:line="346" w:lineRule="exact"/>
        <w:rPr>
          <w:sz w:val="20"/>
          <w:szCs w:val="20"/>
          <w:color w:val="auto"/>
        </w:rPr>
      </w:pPr>
    </w:p>
    <w:p>
      <w:pPr>
        <w:jc w:val="both"/>
        <w:ind w:firstLine="532"/>
        <w:spacing w:after="0" w:line="277" w:lineRule="auto"/>
        <w:tabs>
          <w:tab w:leader="none" w:pos="878"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141" w:lineRule="exact"/>
        <w:rPr>
          <w:rFonts w:ascii="Arial" w:cs="Arial" w:eastAsia="Arial" w:hAnsi="Arial"/>
          <w:sz w:val="14"/>
          <w:szCs w:val="14"/>
          <w:color w:val="auto"/>
        </w:rPr>
      </w:pPr>
    </w:p>
    <w:p>
      <w:pPr>
        <w:jc w:val="both"/>
        <w:ind w:firstLine="532"/>
        <w:spacing w:after="0" w:line="343" w:lineRule="auto"/>
        <w:tabs>
          <w:tab w:leader="none" w:pos="896" w:val="left"/>
        </w:tabs>
        <w:numPr>
          <w:ilvl w:val="0"/>
          <w:numId w:val="52"/>
        </w:numPr>
        <w:rPr>
          <w:rFonts w:ascii="Arial" w:cs="Arial" w:eastAsia="Arial" w:hAnsi="Arial"/>
          <w:sz w:val="12"/>
          <w:szCs w:val="12"/>
          <w:color w:val="auto"/>
        </w:rPr>
      </w:pPr>
      <w:r>
        <w:rPr>
          <w:rFonts w:ascii="Arial" w:cs="Arial" w:eastAsia="Arial" w:hAnsi="Arial"/>
          <w:sz w:val="12"/>
          <w:szCs w:val="12"/>
          <w:color w:val="auto"/>
        </w:rPr>
        <w:t xml:space="preserve">Either Canadian Borrower may, upon notice to the Canadian Swing Line Lender (with a copy to the Canadian Administrative Agent), at any time or from time to time, voluntarily prepay Canadian Swing Line Loans in whole or in part without premium or penalty;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07" w:lineRule="exact"/>
        <w:rPr>
          <w:rFonts w:ascii="Arial" w:cs="Arial" w:eastAsia="Arial" w:hAnsi="Arial"/>
          <w:sz w:val="12"/>
          <w:szCs w:val="12"/>
          <w:color w:val="auto"/>
        </w:rPr>
      </w:pPr>
    </w:p>
    <w:p>
      <w:pPr>
        <w:jc w:val="both"/>
        <w:ind w:firstLine="532"/>
        <w:spacing w:after="0" w:line="248" w:lineRule="auto"/>
        <w:tabs>
          <w:tab w:leader="none" w:pos="913" w:val="left"/>
        </w:tabs>
        <w:numPr>
          <w:ilvl w:val="0"/>
          <w:numId w:val="52"/>
        </w:numPr>
        <w:rPr>
          <w:rFonts w:ascii="Arial" w:cs="Arial" w:eastAsia="Arial" w:hAnsi="Arial"/>
          <w:sz w:val="15"/>
          <w:szCs w:val="15"/>
          <w:color w:val="auto"/>
        </w:rPr>
      </w:pPr>
      <w:r>
        <w:rPr>
          <w:rFonts w:ascii="Arial" w:cs="Arial" w:eastAsia="Arial" w:hAnsi="Arial"/>
          <w:sz w:val="15"/>
          <w:szCs w:val="15"/>
          <w:color w:val="auto"/>
        </w:rPr>
        <w:t>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U.S. Term Loans, pursuant to this Section 2.11 shall be applied to the principal repayment installments thereof in inverse order of maturity.</w:t>
      </w:r>
    </w:p>
    <w:p>
      <w:pPr>
        <w:spacing w:after="0" w:line="157"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4"/>
          <w:szCs w:val="14"/>
          <w:b w:val="1"/>
          <w:bCs w:val="1"/>
          <w:color w:val="auto"/>
        </w:rPr>
        <w:t xml:space="preserve">SECTION 2.12 </w:t>
      </w:r>
      <w:r>
        <w:rPr>
          <w:rFonts w:ascii="Arial" w:cs="Arial" w:eastAsia="Arial" w:hAnsi="Arial"/>
          <w:sz w:val="14"/>
          <w:szCs w:val="14"/>
          <w:b w:val="1"/>
          <w:bCs w:val="1"/>
          <w:i w:val="1"/>
          <w:iCs w:val="1"/>
          <w:color w:val="auto"/>
        </w:rPr>
        <w:t>Mandatory Prepayments</w:t>
      </w:r>
      <w:r>
        <w:rPr>
          <w:rFonts w:ascii="Arial" w:cs="Arial" w:eastAsia="Arial" w:hAnsi="Arial"/>
          <w:sz w:val="14"/>
          <w:szCs w:val="14"/>
          <w:color w:val="auto"/>
        </w:rPr>
        <w:t>. (a) In the event of any termination of all the U.S. Revolving Commitments, Canadian Revolving Commitments or Australian Revolving</w:t>
      </w:r>
      <w:r>
        <w:rPr>
          <w:rFonts w:ascii="Arial" w:cs="Arial" w:eastAsia="Arial" w:hAnsi="Arial"/>
          <w:sz w:val="14"/>
          <w:szCs w:val="14"/>
          <w:b w:val="1"/>
          <w:bCs w:val="1"/>
          <w:color w:val="auto"/>
        </w:rPr>
        <w:t xml:space="preserve"> </w:t>
      </w:r>
      <w:r>
        <w:rPr>
          <w:rFonts w:ascii="Arial" w:cs="Arial" w:eastAsia="Arial" w:hAnsi="Arial"/>
          <w:sz w:val="14"/>
          <w:szCs w:val="14"/>
          <w:color w:val="auto"/>
        </w:rPr>
        <w:t>Commitments, the Applicable Borrower shall, on the date of such termination, repay or prepay all its outstanding U.S. Revolving Credit Loans, Canadian Revolving Credit Loans or Australian Revolving Credit Loans, as applicable, and replace all outstanding Letters of Credit and/or deposit an amount equal to the sum of the U.S. L/C Exposure, the Canadian L/C Exposure or the Australian L/C Exposure, as applicable, in cash in a cash collateral account established with the U.S. Collateral Agent for the benefit of the U.S. Secured Parties, the Canadian Collateral Agent for the benefit of the Canadian Secured Parties or the Australian Collateral Agent for the benefit of the Australian Secured Parties. In the event of any partial reduction of the U.S. Revolving Commitments, the Canadian Revolving Commitments or the Australian Revolving Commitments, then (i) at or prior to the effective date of such reduction, the Applicable Administrative Agent shall notify the Borrowers and the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 the Canadian Borrowers or the Australian Borrower, as the case may be, shall, on the date of such reduction, repay or prepay Revolving Borrowings (or defease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Canadian Borrowers shall repay or prepay Canadian Revolving Borrowings (or defease B/A Borrowings as described in Section 2.11(a))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and/or replace or cash collateralize outstanding Australian Letters of Credit in an amount sufficient to eliminate such excess.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11" w:name="page112"/>
    <w:bookmarkEnd w:id="111"/>
    <w:p>
      <w:pPr>
        <w:jc w:val="both"/>
        <w:ind w:firstLine="532"/>
        <w:spacing w:after="0" w:line="317" w:lineRule="auto"/>
        <w:tabs>
          <w:tab w:leader="none" w:pos="905"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If on any date the U.S. Borrower or any of its Subsidiaries shall receive Net Cash Proceeds from any Asset Sale and the aggregate amount of all such Net Cash Proceeds received since the later of the Closing Date and the date on which the last prepayment under this Section 2.12(b) was made exceeds $5,000,000, the U.S. Term Loans shall be prepaid, on or before the date which is not more than five (5) Business Days following the date of receipt of such Net Cash Proceeds by an amount equal to 100% of the amount of such Net Cash Proceeds;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no prepayment shall be required under this Section 2.12(b) to the extent that, if no Event of Default has occurred and is then continuing, the U.S. Borrower delivers a certificate to the Administrative Agent prior to the date of any such required prepayment stating that the U.S. Borrower or such Subsidiary intends to reinvest such Net Cash Proceeds in assets used or useful in the business of the U.S. Borrower and its Subsidiaries within twelve months after receipt of such Net Cash Proceeds by the U.S. Borrower or such Subsidiary; </w:t>
      </w:r>
      <w:r>
        <w:rPr>
          <w:rFonts w:ascii="Arial" w:cs="Arial" w:eastAsia="Arial" w:hAnsi="Arial"/>
          <w:sz w:val="12"/>
          <w:szCs w:val="12"/>
          <w:i w:val="1"/>
          <w:iCs w:val="1"/>
          <w:color w:val="auto"/>
        </w:rPr>
        <w:t>provided, further</w:t>
      </w:r>
      <w:r>
        <w:rPr>
          <w:rFonts w:ascii="Arial" w:cs="Arial" w:eastAsia="Arial" w:hAnsi="Arial"/>
          <w:sz w:val="12"/>
          <w:szCs w:val="12"/>
          <w:color w:val="auto"/>
        </w:rPr>
        <w:t>, however, that any Net Cash Proceeds not so reinvested within such twelve month period shall be immediately applied to the prepayment of the U.S. Term Loans as set forth in this Section 2.12(b).</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2" w:name="page113"/>
    <w:bookmarkEnd w:id="112"/>
    <w:p>
      <w:pPr>
        <w:jc w:val="both"/>
        <w:ind w:firstLine="525"/>
        <w:spacing w:after="0" w:line="264" w:lineRule="auto"/>
        <w:rPr>
          <w:sz w:val="20"/>
          <w:szCs w:val="20"/>
          <w:color w:val="auto"/>
        </w:rPr>
      </w:pPr>
      <w:r>
        <w:rPr>
          <w:rFonts w:ascii="Arial" w:cs="Arial" w:eastAsia="Arial" w:hAnsi="Arial"/>
          <w:sz w:val="14"/>
          <w:szCs w:val="14"/>
          <w:b w:val="1"/>
          <w:bCs w:val="1"/>
          <w:color w:val="auto"/>
        </w:rPr>
        <w:t xml:space="preserve">SECTION 2.13 </w:t>
      </w:r>
      <w:r>
        <w:rPr>
          <w:rFonts w:ascii="Arial" w:cs="Arial" w:eastAsia="Arial" w:hAnsi="Arial"/>
          <w:sz w:val="14"/>
          <w:szCs w:val="14"/>
          <w:b w:val="1"/>
          <w:bCs w:val="1"/>
          <w:i w:val="1"/>
          <w:iCs w:val="1"/>
          <w:color w:val="auto"/>
        </w:rPr>
        <w:t>Increased Costs; Capital Requirements</w:t>
      </w:r>
      <w:r>
        <w:rPr>
          <w:rFonts w:ascii="Arial" w:cs="Arial" w:eastAsia="Arial" w:hAnsi="Arial"/>
          <w:sz w:val="14"/>
          <w:szCs w:val="14"/>
          <w:color w:val="auto"/>
        </w:rPr>
        <w:t>. (a) Notwithstanding any other provision of this Agreement, if any Change in Law shall (i) impose, modify or deem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 the B/A Discount Rate or the BBSY Rate), (ii) subject any Lender or the Issuing Bank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 Loans, B/A Loans or BBSY Rate Loans made by such Lender or any Letter of Credit or participation therein, and the result of any of the foregoing shall be to increase the cost to such Lender or Issuing Bank of making or maintaining any Eurocurrency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96" w:lineRule="exact"/>
        <w:rPr>
          <w:sz w:val="20"/>
          <w:szCs w:val="20"/>
          <w:color w:val="auto"/>
        </w:rPr>
      </w:pPr>
    </w:p>
    <w:p>
      <w:pPr>
        <w:jc w:val="both"/>
        <w:ind w:firstLine="532"/>
        <w:spacing w:after="0" w:line="265" w:lineRule="auto"/>
        <w:tabs>
          <w:tab w:leader="none" w:pos="881"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any Lender or Issuing Bank (acting reasonably) shall have determined that any Change in Law affecting such Lender or Issuing Bank or any lending office of such Lender or such Lender’s or Issuing Bank’s holding company, if any, regarding capital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51" w:lineRule="exact"/>
        <w:rPr>
          <w:rFonts w:ascii="Arial" w:cs="Arial" w:eastAsia="Arial" w:hAnsi="Arial"/>
          <w:sz w:val="14"/>
          <w:szCs w:val="14"/>
          <w:color w:val="auto"/>
        </w:rPr>
      </w:pPr>
    </w:p>
    <w:p>
      <w:pPr>
        <w:jc w:val="both"/>
        <w:ind w:firstLine="532"/>
        <w:spacing w:after="0" w:line="251" w:lineRule="auto"/>
        <w:tabs>
          <w:tab w:leader="none" w:pos="935"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13" w:name="page114"/>
    <w:bookmarkEnd w:id="113"/>
    <w:p>
      <w:pPr>
        <w:jc w:val="both"/>
        <w:ind w:firstLine="532"/>
        <w:spacing w:after="0" w:line="266" w:lineRule="auto"/>
        <w:tabs>
          <w:tab w:leader="none" w:pos="8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46"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2.14 </w:t>
      </w:r>
      <w:r>
        <w:rPr>
          <w:rFonts w:ascii="Arial" w:cs="Arial" w:eastAsia="Arial" w:hAnsi="Arial"/>
          <w:sz w:val="15"/>
          <w:szCs w:val="15"/>
          <w:b w:val="1"/>
          <w:bCs w:val="1"/>
          <w:i w:val="1"/>
          <w:iCs w:val="1"/>
          <w:color w:val="auto"/>
        </w:rPr>
        <w:t>Change in Legality</w:t>
      </w:r>
      <w:r>
        <w:rPr>
          <w:rFonts w:ascii="Arial" w:cs="Arial" w:eastAsia="Arial" w:hAnsi="Arial"/>
          <w:sz w:val="15"/>
          <w:szCs w:val="15"/>
          <w:color w:val="auto"/>
        </w:rPr>
        <w:t>. (a) Notwithstanding any other provision of this Agreement, if any Change in Law shall make it unlawful for any Lender to make or maintain any</w:t>
      </w:r>
      <w:r>
        <w:rPr>
          <w:rFonts w:ascii="Arial" w:cs="Arial" w:eastAsia="Arial" w:hAnsi="Arial"/>
          <w:sz w:val="15"/>
          <w:szCs w:val="15"/>
          <w:b w:val="1"/>
          <w:bCs w:val="1"/>
          <w:color w:val="auto"/>
        </w:rPr>
        <w:t xml:space="preserve"> </w:t>
      </w:r>
      <w:r>
        <w:rPr>
          <w:rFonts w:ascii="Arial" w:cs="Arial" w:eastAsia="Arial" w:hAnsi="Arial"/>
          <w:sz w:val="15"/>
          <w:szCs w:val="15"/>
          <w:color w:val="auto"/>
        </w:rPr>
        <w:t>Eurocurrency Loan or to give effect to its obligations as contemplated hereby with respect to any Eurocurrency Loan, then, by written notice to the Applicable Borrower and to the Applicable Administrative Agent:</w:t>
      </w:r>
    </w:p>
    <w:p>
      <w:pPr>
        <w:spacing w:after="0" w:line="202" w:lineRule="exact"/>
        <w:rPr>
          <w:sz w:val="20"/>
          <w:szCs w:val="20"/>
          <w:color w:val="auto"/>
        </w:rPr>
      </w:pPr>
    </w:p>
    <w:p>
      <w:pPr>
        <w:jc w:val="both"/>
        <w:ind w:left="540" w:firstLine="517"/>
        <w:spacing w:after="0" w:line="269" w:lineRule="auto"/>
        <w:tabs>
          <w:tab w:leader="none" w:pos="14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such Lender may declare that Eurocurrency Loans, as the case may be, will not thereafter (for the duration of such unlawfulness) be made by such Lender hereunder (or be continued for additional Interest Periods and ABR Loans and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 ABR Loan or a U.S. Base Rate Loan (or a request to continue an ABR Loan or a U.S. Base Rate Loan as such or to convert a Eurocurrency Loan into an ABR Loan or a U.S. Base Rate Loan), unless such declaration shall be subsequently withdrawn; and</w:t>
      </w:r>
    </w:p>
    <w:p>
      <w:pPr>
        <w:spacing w:after="0" w:line="146" w:lineRule="exact"/>
        <w:rPr>
          <w:rFonts w:ascii="Arial" w:cs="Arial" w:eastAsia="Arial" w:hAnsi="Arial"/>
          <w:sz w:val="14"/>
          <w:szCs w:val="14"/>
          <w:color w:val="auto"/>
        </w:rPr>
      </w:pPr>
    </w:p>
    <w:p>
      <w:pPr>
        <w:jc w:val="both"/>
        <w:ind w:left="540" w:firstLine="517"/>
        <w:spacing w:after="0" w:line="251" w:lineRule="auto"/>
        <w:tabs>
          <w:tab w:leader="none" w:pos="1448" w:val="left"/>
        </w:tabs>
        <w:numPr>
          <w:ilvl w:val="0"/>
          <w:numId w:val="56"/>
        </w:numPr>
        <w:rPr>
          <w:rFonts w:ascii="Arial" w:cs="Arial" w:eastAsia="Arial" w:hAnsi="Arial"/>
          <w:sz w:val="15"/>
          <w:szCs w:val="15"/>
          <w:color w:val="auto"/>
        </w:rPr>
      </w:pPr>
      <w:r>
        <w:rPr>
          <w:rFonts w:ascii="Arial" w:cs="Arial" w:eastAsia="Arial" w:hAnsi="Arial"/>
          <w:sz w:val="15"/>
          <w:szCs w:val="15"/>
          <w:color w:val="auto"/>
        </w:rPr>
        <w:t>such Lender may require that all outstanding Eurocurrency Loans made by it be converted to ABR Loans or U.S. Base Rate Loans, as the case may be, in which event all such Eurocurrency Loans shall be automatically converted to ABR Loans or U.S. Base Rate Loans, as the case may be, as of the effective date of such notice as provided in paragraph (b) below.</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4" w:name="page115"/>
    <w:bookmarkEnd w:id="114"/>
    <w:p>
      <w:pPr>
        <w:ind w:firstLine="532"/>
        <w:spacing w:after="0" w:line="383" w:lineRule="auto"/>
        <w:tabs>
          <w:tab w:leader="none" w:pos="889" w:val="left"/>
        </w:tabs>
        <w:numPr>
          <w:ilvl w:val="0"/>
          <w:numId w:val="57"/>
        </w:numPr>
        <w:rPr>
          <w:rFonts w:ascii="Arial" w:cs="Arial" w:eastAsia="Arial" w:hAnsi="Arial"/>
          <w:sz w:val="12"/>
          <w:szCs w:val="12"/>
          <w:color w:val="auto"/>
        </w:rPr>
      </w:pPr>
      <w:r>
        <w:rPr>
          <w:rFonts w:ascii="Arial" w:cs="Arial" w:eastAsia="Arial" w:hAnsi="Arial"/>
          <w:sz w:val="12"/>
          <w:szCs w:val="12"/>
          <w:color w:val="auto"/>
        </w:rPr>
        <w:t>For purposes of this Section 2.14, a notice to the U.S.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w:t>
      </w:r>
    </w:p>
    <w:p>
      <w:pPr>
        <w:spacing w:after="0" w:line="80"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b w:val="1"/>
          <w:bCs w:val="1"/>
          <w:color w:val="auto"/>
        </w:rPr>
        <w:t xml:space="preserve">SECTION 2.15 </w:t>
      </w:r>
      <w:r>
        <w:rPr>
          <w:rFonts w:ascii="Arial" w:cs="Arial" w:eastAsia="Arial" w:hAnsi="Arial"/>
          <w:sz w:val="12"/>
          <w:szCs w:val="12"/>
          <w:b w:val="1"/>
          <w:bCs w:val="1"/>
          <w:i w:val="1"/>
          <w:iCs w:val="1"/>
          <w:color w:val="auto"/>
        </w:rPr>
        <w:t>Breakage Costs</w:t>
      </w:r>
      <w:r>
        <w:rPr>
          <w:rFonts w:ascii="Arial" w:cs="Arial" w:eastAsia="Arial" w:hAnsi="Arial"/>
          <w:sz w:val="12"/>
          <w:szCs w:val="12"/>
          <w:b w:val="1"/>
          <w:bCs w:val="1"/>
          <w:color w:val="auto"/>
        </w:rPr>
        <w:t xml:space="preserve">. </w:t>
      </w:r>
      <w:r>
        <w:rPr>
          <w:rFonts w:ascii="Arial" w:cs="Arial" w:eastAsia="Arial" w:hAnsi="Arial"/>
          <w:sz w:val="12"/>
          <w:szCs w:val="12"/>
          <w:color w:val="auto"/>
        </w:rPr>
        <w:t>The Borrowers hereby severally indemnify each Lender against any loss or expense that such Lender may sustain or incur as a consequence of (a) any</w:t>
      </w:r>
      <w:r>
        <w:rPr>
          <w:rFonts w:ascii="Arial" w:cs="Arial" w:eastAsia="Arial" w:hAnsi="Arial"/>
          <w:sz w:val="12"/>
          <w:szCs w:val="12"/>
          <w:b w:val="1"/>
          <w:bCs w:val="1"/>
          <w:color w:val="auto"/>
        </w:rPr>
        <w:t xml:space="preserve"> </w:t>
      </w:r>
      <w:r>
        <w:rPr>
          <w:rFonts w:ascii="Arial" w:cs="Arial" w:eastAsia="Arial" w:hAnsi="Arial"/>
          <w:sz w:val="12"/>
          <w:szCs w:val="12"/>
          <w:color w:val="auto"/>
        </w:rPr>
        <w:t>event, other than a default by such Lender in the performance of its obligations hereunder, which results in (i) such Lender receiving or being deemed to receive any amount on account of the principal of any Eurocurrency Loan or BBSY Rate Loan prior to the end of the Interest Period in effect therefor, including, without limitation, as a result of any prepayment, the acceleration of the maturity of the Obligations or for any other reason, (ii) the conversion of any Eurocurrency Loan to an ABR Loan or U.S. Base Rate Loans or the conversion of the Interest Period with respect to any Eurocurrency Loan or BBSY Rate Loan, in each case other than on the last day of the Interest Period in effect therefor, (iii) any Eurocurrency Loan, B/A Loan or BBSY Rate Loan to be made by such Lender (including any Eurocurrency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 Loan or BBSY Rate Loan is made other than on the last day of the Interest Period for such Loan as a result of a request by the Applicable Borrower pursuant to Section 2.20 (any of the events referred to in this clause (a) being called a “</w:t>
      </w:r>
      <w:r>
        <w:rPr>
          <w:rFonts w:ascii="Arial" w:cs="Arial" w:eastAsia="Arial" w:hAnsi="Arial"/>
          <w:sz w:val="12"/>
          <w:szCs w:val="12"/>
          <w:i w:val="1"/>
          <w:iCs w:val="1"/>
          <w:color w:val="auto"/>
        </w:rPr>
        <w:t>Breakage Event</w:t>
      </w:r>
      <w:r>
        <w:rPr>
          <w:rFonts w:ascii="Arial" w:cs="Arial" w:eastAsia="Arial" w:hAnsi="Arial"/>
          <w:sz w:val="12"/>
          <w:szCs w:val="12"/>
          <w:color w:val="auto"/>
        </w:rPr>
        <w:t>”) or (b) any default in the making of any payment or prepayment required to be made hereunder. In the case of any Breakage Event, such loss shall include an amount equal to the excess, as reasonably determined by such Lender, of (i) its cost of obtaining funds for the Eurocurrency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342"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2.16 </w:t>
      </w:r>
      <w:r>
        <w:rPr>
          <w:rFonts w:ascii="Arial" w:cs="Arial" w:eastAsia="Arial" w:hAnsi="Arial"/>
          <w:sz w:val="15"/>
          <w:szCs w:val="15"/>
          <w:b w:val="1"/>
          <w:bCs w:val="1"/>
          <w:i w:val="1"/>
          <w:iCs w:val="1"/>
          <w:color w:val="auto"/>
        </w:rPr>
        <w:t>Pro Rata Treatment</w:t>
      </w:r>
      <w:r>
        <w:rPr>
          <w:rFonts w:ascii="Arial" w:cs="Arial" w:eastAsia="Arial" w:hAnsi="Arial"/>
          <w:sz w:val="15"/>
          <w:szCs w:val="15"/>
          <w:color w:val="auto"/>
        </w:rPr>
        <w:t>. (a) Except as required under Section 2.14, each Borrowing, each payment or prepayment of principal of any Borrowing, each payment of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on the Loans, each payment of the Commitment Fees, each reduction of the Commitments and each conversion of any Borrowing to or continuation of any Borrowing as a Borrowing of any Type shall be allocated pro rata among the Applicable Lenders in accordance with their Aggregate Pro Rata Percentages.</w:t>
      </w:r>
    </w:p>
    <w:p>
      <w:pPr>
        <w:spacing w:after="0" w:line="202" w:lineRule="exact"/>
        <w:rPr>
          <w:sz w:val="20"/>
          <w:szCs w:val="20"/>
          <w:color w:val="auto"/>
        </w:rPr>
      </w:pPr>
    </w:p>
    <w:p>
      <w:pPr>
        <w:jc w:val="both"/>
        <w:ind w:firstLine="532"/>
        <w:spacing w:after="0" w:line="317" w:lineRule="auto"/>
        <w:tabs>
          <w:tab w:leader="none" w:pos="893" w:val="left"/>
        </w:tabs>
        <w:numPr>
          <w:ilvl w:val="0"/>
          <w:numId w:val="58"/>
        </w:numPr>
        <w:rPr>
          <w:rFonts w:ascii="Arial" w:cs="Arial" w:eastAsia="Arial" w:hAnsi="Arial"/>
          <w:sz w:val="12"/>
          <w:szCs w:val="12"/>
          <w:color w:val="auto"/>
        </w:rPr>
      </w:pPr>
      <w:r>
        <w:rPr>
          <w:rFonts w:ascii="Arial" w:cs="Arial" w:eastAsia="Arial" w:hAnsi="Arial"/>
          <w:sz w:val="12"/>
          <w:szCs w:val="12"/>
          <w:color w:val="auto"/>
        </w:rPr>
        <w:t>Notwithstanding any other provision of this Agreement or the Security Documents but subject to Section 2.24, it is the intent of the Secured Parties that each of the Secured Parties shall share in the aggregate proceeds of the Collateral on a pro rata basis as provided in paragraph (a) above. Accordingly, if the proceeds in respect of one class of Collateral (</w:t>
      </w:r>
      <w:r>
        <w:rPr>
          <w:rFonts w:ascii="Arial" w:cs="Arial" w:eastAsia="Arial" w:hAnsi="Arial"/>
          <w:sz w:val="12"/>
          <w:szCs w:val="12"/>
          <w:i w:val="1"/>
          <w:iCs w:val="1"/>
          <w:color w:val="auto"/>
        </w:rPr>
        <w:t>i.e.</w:t>
      </w:r>
      <w:r>
        <w:rPr>
          <w:rFonts w:ascii="Arial" w:cs="Arial" w:eastAsia="Arial" w:hAnsi="Arial"/>
          <w:sz w:val="12"/>
          <w:szCs w:val="12"/>
          <w:color w:val="auto"/>
        </w:rPr>
        <w:t>, U.S. Collateral, Canadian Collateral or Australian Collateral) are insufficient to repay the Obligations intended to be secured by such class of Collateral pursuant to the Security Documents, the Agents, shall, to the extent they deem necessary, allocate and reallocate the proceeds of the Collateral to ensure that each Secured Party receives its Aggregate Pro Rata Percentages of the proceeds of all the Collateral. If after giving effect to the allocations described in the preceding sentence any Secured Party shall have received less than its Aggregate Pro Rata Percentages of the aggregate proceeds of all the Collateral, each Secured Party that received more than its Aggregate Pro Rata Percentages of the aggregate proceeds of all the Collateral agrees to deliver to the Agents, for reallocation to the Secured Parties that received less than their Aggregate Pro Rata Percentages of the proceeds of all the Collateral, the excess of the aggregate amount received by such Secured Party over the amount that would have been such Secured Party’s Aggregate Pro Rata Percentage of the proceeds of all the Collateral.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5" w:name="page116"/>
    <w:bookmarkEnd w:id="115"/>
    <w:p>
      <w:pPr>
        <w:jc w:val="both"/>
        <w:ind w:firstLine="525"/>
        <w:spacing w:after="0" w:line="311" w:lineRule="auto"/>
        <w:rPr>
          <w:sz w:val="20"/>
          <w:szCs w:val="20"/>
          <w:color w:val="auto"/>
        </w:rPr>
      </w:pPr>
      <w:r>
        <w:rPr>
          <w:rFonts w:ascii="Arial" w:cs="Arial" w:eastAsia="Arial" w:hAnsi="Arial"/>
          <w:sz w:val="12"/>
          <w:szCs w:val="12"/>
          <w:b w:val="1"/>
          <w:bCs w:val="1"/>
          <w:color w:val="auto"/>
        </w:rPr>
        <w:t xml:space="preserve">SECTION 2.17 </w:t>
      </w:r>
      <w:r>
        <w:rPr>
          <w:rFonts w:ascii="Arial" w:cs="Arial" w:eastAsia="Arial" w:hAnsi="Arial"/>
          <w:sz w:val="12"/>
          <w:szCs w:val="12"/>
          <w:b w:val="1"/>
          <w:bCs w:val="1"/>
          <w:i w:val="1"/>
          <w:iCs w:val="1"/>
          <w:color w:val="auto"/>
        </w:rPr>
        <w:t>Sharing of Setoffs</w:t>
      </w:r>
      <w:r>
        <w:rPr>
          <w:rFonts w:ascii="Arial" w:cs="Arial" w:eastAsia="Arial" w:hAnsi="Arial"/>
          <w:sz w:val="12"/>
          <w:szCs w:val="12"/>
          <w:color w:val="auto"/>
        </w:rPr>
        <w:t>. (a) Each Canadian Lender agrees that if it shall, through the exercise of a right of banker’s lien, setoff or counterclaim against a Borrower or 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Revolving Credit Loan as a result of which the unpaid portion of its Canadian Revolving Credit Loans shall be proportionately less than the unpaid portion of the Canadian Revolving Credit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Revolving Credit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Revolving Credit Loans and participations in Canadian Revolving Credit Loans, Canadian L/C Exposure and Canadian Swing Line Loans held by each Canadian Lender shall be in the same proportion to the aggregate unpaid amount of all Canadian Revolving Credit Loans, Canadian L/C Exposure and Canadian Swing Line Loans then outstanding of the same Class as the amount of its Canadian Revolving Credit Loans, Canadian L/C Exposure and Canadian Swing Line Loans prior to such exercise of banker’s lien, setoff or counterclaim or other event was to the amount of all Canadian Revolving Credit Loans, Canadian L/C Exposure and Canadian Swing Line Loans outstanding prior to such exercise of banker’s lien, setoff or counterclaim or other event;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350" w:lineRule="exact"/>
        <w:rPr>
          <w:sz w:val="20"/>
          <w:szCs w:val="20"/>
          <w:color w:val="auto"/>
        </w:rPr>
      </w:pPr>
    </w:p>
    <w:p>
      <w:pPr>
        <w:jc w:val="both"/>
        <w:ind w:firstLine="532"/>
        <w:spacing w:after="0" w:line="263" w:lineRule="auto"/>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16" w:name="page117"/>
    <w:bookmarkEnd w:id="116"/>
    <w:p>
      <w:pPr>
        <w:jc w:val="both"/>
        <w:ind w:firstLine="532"/>
        <w:spacing w:after="0" w:line="311" w:lineRule="auto"/>
        <w:tabs>
          <w:tab w:leader="none" w:pos="912" w:val="left"/>
        </w:tabs>
        <w:numPr>
          <w:ilvl w:val="0"/>
          <w:numId w:val="60"/>
        </w:numPr>
        <w:rPr>
          <w:rFonts w:ascii="Arial" w:cs="Arial" w:eastAsia="Arial" w:hAnsi="Arial"/>
          <w:sz w:val="12"/>
          <w:szCs w:val="12"/>
          <w:color w:val="auto"/>
        </w:rPr>
      </w:pPr>
      <w:r>
        <w:rPr>
          <w:rFonts w:ascii="Arial" w:cs="Arial" w:eastAsia="Arial" w:hAnsi="Arial"/>
          <w:sz w:val="12"/>
          <w:szCs w:val="12"/>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if any such purchase, purchases, subparticipations or adjustments shall be made pursuant to this Section 2.17(c) and the payment giving rise thereto shall thereafter be</w:t>
      </w:r>
      <w:r>
        <w:rPr>
          <w:rFonts w:ascii="Arial" w:cs="Arial" w:eastAsia="Arial" w:hAnsi="Arial"/>
          <w:sz w:val="12"/>
          <w:szCs w:val="12"/>
          <w:i w:val="1"/>
          <w:iCs w:val="1"/>
          <w:color w:val="auto"/>
        </w:rPr>
        <w:t xml:space="preserve"> </w:t>
      </w:r>
      <w:r>
        <w:rPr>
          <w:rFonts w:ascii="Arial" w:cs="Arial" w:eastAsia="Arial" w:hAnsi="Arial"/>
          <w:sz w:val="12"/>
          <w:szCs w:val="12"/>
          <w:color w:val="auto"/>
        </w:rPr>
        <w:t>recovered, such purchase, purchases, subparticipations or adjustments shall be rescinded to the extent of such recovery and the purchase price or prices or adjustment restored without interest.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7" w:name="page118"/>
    <w:bookmarkEnd w:id="117"/>
    <w:p>
      <w:pPr>
        <w:jc w:val="both"/>
        <w:ind w:firstLine="532"/>
        <w:spacing w:after="0" w:line="277" w:lineRule="auto"/>
        <w:tabs>
          <w:tab w:leader="none" w:pos="90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provisions of Section 2.17(a), (b) and (c)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and (c) shall apply).</w:t>
      </w:r>
    </w:p>
    <w:p>
      <w:pPr>
        <w:spacing w:after="0" w:line="141" w:lineRule="exact"/>
        <w:rPr>
          <w:rFonts w:ascii="Arial" w:cs="Arial" w:eastAsia="Arial" w:hAnsi="Arial"/>
          <w:sz w:val="14"/>
          <w:szCs w:val="14"/>
          <w:color w:val="auto"/>
        </w:rPr>
      </w:pPr>
    </w:p>
    <w:p>
      <w:pPr>
        <w:jc w:val="both"/>
        <w:ind w:firstLine="532"/>
        <w:spacing w:after="0" w:line="277" w:lineRule="auto"/>
        <w:tabs>
          <w:tab w:leader="none" w:pos="868"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Loan Party expressly consents to the arrangements set forth in Section 2.17(a), (b) and (c)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3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4"/>
          <w:szCs w:val="14"/>
          <w:b w:val="1"/>
          <w:bCs w:val="1"/>
          <w:color w:val="auto"/>
        </w:rPr>
        <w:t xml:space="preserve">SECTION 2.18 </w:t>
      </w:r>
      <w:r>
        <w:rPr>
          <w:rFonts w:ascii="Arial" w:cs="Arial" w:eastAsia="Arial" w:hAnsi="Arial"/>
          <w:sz w:val="14"/>
          <w:szCs w:val="14"/>
          <w:b w:val="1"/>
          <w:bCs w:val="1"/>
          <w:i w:val="1"/>
          <w:iCs w:val="1"/>
          <w:color w:val="auto"/>
        </w:rPr>
        <w:t>Payments</w:t>
      </w:r>
      <w:r>
        <w:rPr>
          <w:rFonts w:ascii="Arial" w:cs="Arial" w:eastAsia="Arial" w:hAnsi="Arial"/>
          <w:sz w:val="14"/>
          <w:szCs w:val="14"/>
          <w:color w:val="auto"/>
        </w:rPr>
        <w:t>. (a) The Borrowers shall make each payment (including principal of or interest on any Borrowing or any L/C Disbursement or any Fees or other amounts)</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94" w:lineRule="exact"/>
        <w:rPr>
          <w:sz w:val="20"/>
          <w:szCs w:val="20"/>
          <w:color w:val="auto"/>
        </w:rPr>
      </w:pPr>
    </w:p>
    <w:p>
      <w:pPr>
        <w:jc w:val="both"/>
        <w:ind w:firstLine="532"/>
        <w:spacing w:after="0" w:line="251" w:lineRule="auto"/>
        <w:tabs>
          <w:tab w:leader="none" w:pos="91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5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2.19</w:t>
      </w:r>
      <w:r>
        <w:rPr>
          <w:sz w:val="20"/>
          <w:szCs w:val="20"/>
          <w:color w:val="auto"/>
        </w:rPr>
        <w:tab/>
      </w:r>
      <w:r>
        <w:rPr>
          <w:rFonts w:ascii="Arial" w:cs="Arial" w:eastAsia="Arial" w:hAnsi="Arial"/>
          <w:sz w:val="12"/>
          <w:szCs w:val="12"/>
          <w:b w:val="1"/>
          <w:bCs w:val="1"/>
          <w:i w:val="1"/>
          <w:iCs w:val="1"/>
          <w:color w:val="auto"/>
        </w:rPr>
        <w:t>Taxes</w:t>
      </w:r>
      <w:r>
        <w:rPr>
          <w:rFonts w:ascii="Arial" w:cs="Arial" w:eastAsia="Arial" w:hAnsi="Arial"/>
          <w:sz w:val="12"/>
          <w:szCs w:val="12"/>
          <w:color w:val="auto"/>
        </w:rPr>
        <w:t>.</w:t>
      </w:r>
    </w:p>
    <w:p>
      <w:pPr>
        <w:spacing w:after="0" w:line="225" w:lineRule="exact"/>
        <w:rPr>
          <w:sz w:val="20"/>
          <w:szCs w:val="20"/>
          <w:color w:val="auto"/>
        </w:rPr>
      </w:pPr>
    </w:p>
    <w:p>
      <w:pPr>
        <w:ind w:left="5620" w:right="3140" w:hanging="5088"/>
        <w:spacing w:after="0" w:line="776" w:lineRule="auto"/>
        <w:tabs>
          <w:tab w:leader="none" w:pos="883"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purposes of this Section 2.19, the term “Lender” includes any Issuing Bank and the term “applicable law” includes FATCA.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7292340" cy="33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8" w:name="page119"/>
    <w:bookmarkEnd w:id="118"/>
    <w:p>
      <w:pPr>
        <w:jc w:val="both"/>
        <w:ind w:firstLine="532"/>
        <w:spacing w:after="0" w:line="320" w:lineRule="auto"/>
        <w:tabs>
          <w:tab w:leader="none" w:pos="897"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20" w:lineRule="exact"/>
        <w:rPr>
          <w:rFonts w:ascii="Arial" w:cs="Arial" w:eastAsia="Arial" w:hAnsi="Arial"/>
          <w:sz w:val="12"/>
          <w:szCs w:val="12"/>
          <w:color w:val="auto"/>
        </w:rPr>
      </w:pPr>
    </w:p>
    <w:p>
      <w:pPr>
        <w:ind w:left="880" w:hanging="348"/>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addition, the Loan Parties shall pay any Other Taxes to the relevant Governmental Authority in accordance with applicable law.</w:t>
      </w:r>
    </w:p>
    <w:p>
      <w:pPr>
        <w:spacing w:after="0" w:line="177" w:lineRule="exact"/>
        <w:rPr>
          <w:rFonts w:ascii="Arial" w:cs="Arial" w:eastAsia="Arial" w:hAnsi="Arial"/>
          <w:sz w:val="15"/>
          <w:szCs w:val="15"/>
          <w:color w:val="auto"/>
        </w:rPr>
      </w:pPr>
    </w:p>
    <w:p>
      <w:pPr>
        <w:jc w:val="both"/>
        <w:ind w:firstLine="532"/>
        <w:spacing w:after="0" w:line="269" w:lineRule="auto"/>
        <w:tabs>
          <w:tab w:leader="none" w:pos="959"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Borrowers shall indemnify each Agent, Lender and Issuing Bank,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46" w:lineRule="exact"/>
        <w:rPr>
          <w:rFonts w:ascii="Arial" w:cs="Arial" w:eastAsia="Arial" w:hAnsi="Arial"/>
          <w:sz w:val="14"/>
          <w:szCs w:val="14"/>
          <w:color w:val="auto"/>
        </w:rPr>
      </w:pPr>
    </w:p>
    <w:p>
      <w:pPr>
        <w:jc w:val="both"/>
        <w:ind w:firstLine="532"/>
        <w:spacing w:after="0" w:line="265" w:lineRule="auto"/>
        <w:tabs>
          <w:tab w:leader="none" w:pos="914"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51" w:lineRule="exact"/>
        <w:rPr>
          <w:rFonts w:ascii="Arial" w:cs="Arial" w:eastAsia="Arial" w:hAnsi="Arial"/>
          <w:sz w:val="14"/>
          <w:szCs w:val="14"/>
          <w:color w:val="auto"/>
        </w:rPr>
      </w:pPr>
    </w:p>
    <w:p>
      <w:pPr>
        <w:jc w:val="both"/>
        <w:ind w:firstLine="532"/>
        <w:spacing w:after="0" w:line="251" w:lineRule="auto"/>
        <w:tabs>
          <w:tab w:leader="none" w:pos="865" w:val="left"/>
        </w:tabs>
        <w:numPr>
          <w:ilvl w:val="0"/>
          <w:numId w:val="64"/>
        </w:numPr>
        <w:rPr>
          <w:rFonts w:ascii="Arial" w:cs="Arial" w:eastAsia="Arial" w:hAnsi="Arial"/>
          <w:sz w:val="15"/>
          <w:szCs w:val="15"/>
          <w:color w:val="auto"/>
        </w:rPr>
      </w:pPr>
      <w:r>
        <w:rPr>
          <w:rFonts w:ascii="Arial" w:cs="Arial" w:eastAsia="Arial" w:hAnsi="Arial"/>
          <w:sz w:val="15"/>
          <w:szCs w:val="15"/>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19" w:name="page120"/>
    <w:bookmarkEnd w:id="119"/>
    <w:p>
      <w:pPr>
        <w:jc w:val="both"/>
        <w:ind w:firstLine="532"/>
        <w:spacing w:after="0" w:line="264" w:lineRule="auto"/>
        <w:tabs>
          <w:tab w:leader="none" w:pos="892" w:val="left"/>
        </w:tabs>
        <w:numPr>
          <w:ilvl w:val="0"/>
          <w:numId w:val="65"/>
        </w:numPr>
        <w:rPr>
          <w:rFonts w:ascii="Arial" w:cs="Arial" w:eastAsia="Arial" w:hAnsi="Arial"/>
          <w:sz w:val="14"/>
          <w:szCs w:val="14"/>
          <w:color w:val="auto"/>
        </w:rPr>
      </w:pPr>
      <w:r>
        <w:rPr>
          <w:rFonts w:ascii="Arial" w:cs="Arial" w:eastAsia="Arial" w:hAnsi="Arial"/>
          <w:sz w:val="14"/>
          <w:szCs w:val="14"/>
          <w:color w:val="auto"/>
        </w:rPr>
        <w:t>(i) Any Lender that is entitled to an exemption from or reduction of withholding Tax under the law of the jurisdiction in which the Applicable Borrower is resident for tax purposes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4" w:lineRule="exact"/>
        <w:rPr>
          <w:rFonts w:ascii="Arial" w:cs="Arial" w:eastAsia="Arial" w:hAnsi="Arial"/>
          <w:sz w:val="14"/>
          <w:szCs w:val="14"/>
          <w:color w:val="auto"/>
        </w:rPr>
      </w:pPr>
    </w:p>
    <w:p>
      <w:pPr>
        <w:ind w:left="1380" w:hanging="323"/>
        <w:spacing w:after="0"/>
        <w:tabs>
          <w:tab w:leader="none" w:pos="13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Without limiting the generality of the foregoing, in the event that a Borrower is a U.S. Person:</w:t>
      </w:r>
    </w:p>
    <w:p>
      <w:pPr>
        <w:spacing w:after="0" w:line="177" w:lineRule="exact"/>
        <w:rPr>
          <w:rFonts w:ascii="Arial" w:cs="Arial" w:eastAsia="Arial" w:hAnsi="Arial"/>
          <w:sz w:val="15"/>
          <w:szCs w:val="15"/>
          <w:color w:val="auto"/>
        </w:rPr>
      </w:pPr>
    </w:p>
    <w:p>
      <w:pPr>
        <w:jc w:val="both"/>
        <w:ind w:left="1060" w:firstLine="521"/>
        <w:spacing w:after="0" w:line="251" w:lineRule="auto"/>
        <w:tabs>
          <w:tab w:leader="none" w:pos="1998" w:val="left"/>
        </w:tabs>
        <w:numPr>
          <w:ilvl w:val="2"/>
          <w:numId w:val="65"/>
        </w:numPr>
        <w:rPr>
          <w:rFonts w:ascii="Arial" w:cs="Arial" w:eastAsia="Arial" w:hAnsi="Arial"/>
          <w:sz w:val="15"/>
          <w:szCs w:val="15"/>
          <w:color w:val="auto"/>
        </w:rPr>
      </w:pPr>
      <w:r>
        <w:rPr>
          <w:rFonts w:ascii="Arial" w:cs="Arial" w:eastAsia="Arial" w:hAnsi="Arial"/>
          <w:sz w:val="15"/>
          <w:szCs w:val="15"/>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158" w:lineRule="exact"/>
        <w:rPr>
          <w:rFonts w:ascii="Arial" w:cs="Arial" w:eastAsia="Arial" w:hAnsi="Arial"/>
          <w:sz w:val="15"/>
          <w:szCs w:val="15"/>
          <w:color w:val="auto"/>
        </w:rPr>
      </w:pPr>
    </w:p>
    <w:p>
      <w:pPr>
        <w:jc w:val="both"/>
        <w:ind w:left="1060" w:firstLine="521"/>
        <w:spacing w:after="0" w:line="277" w:lineRule="auto"/>
        <w:tabs>
          <w:tab w:leader="none" w:pos="1987" w:val="left"/>
        </w:tabs>
        <w:numPr>
          <w:ilvl w:val="2"/>
          <w:numId w:val="65"/>
        </w:numPr>
        <w:rPr>
          <w:rFonts w:ascii="Arial" w:cs="Arial" w:eastAsia="Arial" w:hAnsi="Arial"/>
          <w:sz w:val="14"/>
          <w:szCs w:val="14"/>
          <w:color w:val="auto"/>
        </w:rPr>
      </w:pPr>
      <w:r>
        <w:rPr>
          <w:rFonts w:ascii="Arial" w:cs="Arial" w:eastAsia="Arial" w:hAnsi="Arial"/>
          <w:sz w:val="14"/>
          <w:szCs w:val="14"/>
          <w:color w:val="auto"/>
        </w:rPr>
        <w:t>any Foreign Lender with respect to such Borrower shall deliver to such Borrower and the Administrative Agent, in such number of copies as shall be requested by the recipient, (on or prior to the date on which such Foreign Lender becomes a Lender under this Agreement and from time to time thereafter upon the request of such Borrower or the Administrative Agent), but only if such Foreign Lender is legally entitled to do so, whichever of the following is applicable:</w:t>
      </w:r>
    </w:p>
    <w:p>
      <w:pPr>
        <w:spacing w:after="0" w:line="141" w:lineRule="exact"/>
        <w:rPr>
          <w:rFonts w:ascii="Arial" w:cs="Arial" w:eastAsia="Arial" w:hAnsi="Arial"/>
          <w:sz w:val="14"/>
          <w:szCs w:val="14"/>
          <w:color w:val="auto"/>
        </w:rPr>
      </w:pPr>
    </w:p>
    <w:p>
      <w:pPr>
        <w:ind w:firstLine="2630"/>
        <w:spacing w:after="0" w:line="271" w:lineRule="auto"/>
        <w:tabs>
          <w:tab w:leader="none" w:pos="2975" w:val="left"/>
        </w:tabs>
        <w:numPr>
          <w:ilvl w:val="3"/>
          <w:numId w:val="65"/>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an income tax treaty to which the United States is a party (x) with respect to payments of interest under any Loan Document, duly completed copies of an applicable IRS Form W-8BEN establishing an exemption from, or reduction of, U.S. federal withholding Tax pursuant to the “interest” article of such tax treaty and (y) with respect to any other applicable payments under any Loan Document, an applicable IRS Form W-8BEN establishing an exemption from, or reduction of, U.S. federal withholding Tax pursuant to the “business profits” or “other income” article of such tax treaty,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0" w:name="page121"/>
    <w:bookmarkEnd w:id="120"/>
    <w:p>
      <w:pPr>
        <w:ind w:left="2980" w:hanging="350"/>
        <w:spacing w:after="0"/>
        <w:tabs>
          <w:tab w:leader="none" w:pos="2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duly completed copies of IRS Form W-8ECI,</w:t>
      </w:r>
    </w:p>
    <w:p>
      <w:pPr>
        <w:spacing w:after="0" w:line="177" w:lineRule="exact"/>
        <w:rPr>
          <w:rFonts w:ascii="Arial" w:cs="Arial" w:eastAsia="Arial" w:hAnsi="Arial"/>
          <w:sz w:val="15"/>
          <w:szCs w:val="15"/>
          <w:color w:val="auto"/>
        </w:rPr>
      </w:pPr>
    </w:p>
    <w:p>
      <w:pPr>
        <w:ind w:right="160" w:firstLine="2630"/>
        <w:spacing w:after="0" w:line="248" w:lineRule="auto"/>
        <w:tabs>
          <w:tab w:leader="none" w:pos="2975"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Code, or (C) a “controlled foreign corporation” described in section 881(c)(3)(C) of the Code (a “U.S. Tax Compliance Certificate”) and (y) duly completed copies of an applicable IRS Form W-8BEN, or</w:t>
      </w:r>
    </w:p>
    <w:p>
      <w:pPr>
        <w:spacing w:after="0" w:line="166" w:lineRule="exact"/>
        <w:rPr>
          <w:rFonts w:ascii="Arial" w:cs="Arial" w:eastAsia="Arial" w:hAnsi="Arial"/>
          <w:sz w:val="15"/>
          <w:szCs w:val="15"/>
          <w:color w:val="auto"/>
        </w:rPr>
      </w:pPr>
    </w:p>
    <w:p>
      <w:pPr>
        <w:ind w:left="2980" w:hanging="350"/>
        <w:spacing w:after="0"/>
        <w:tabs>
          <w:tab w:leader="none" w:pos="2980" w:val="left"/>
        </w:tabs>
        <w:numPr>
          <w:ilvl w:val="0"/>
          <w:numId w:val="66"/>
        </w:numPr>
        <w:rPr>
          <w:rFonts w:ascii="Arial" w:cs="Arial" w:eastAsia="Arial" w:hAnsi="Arial"/>
          <w:sz w:val="14"/>
          <w:szCs w:val="14"/>
          <w:color w:val="auto"/>
        </w:rPr>
      </w:pPr>
      <w:r>
        <w:rPr>
          <w:rFonts w:ascii="Arial" w:cs="Arial" w:eastAsia="Arial" w:hAnsi="Arial"/>
          <w:sz w:val="16"/>
          <w:szCs w:val="16"/>
          <w:color w:val="auto"/>
        </w:rPr>
        <w:t>to the extent a Foreign Lender is not the beneficial owner, duly completed copies of IRS Form W-8IMY, accompanied</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by IRS Form W-8ECI, an applicable IRS Form W-8BEN,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39" w:lineRule="exact"/>
        <w:rPr>
          <w:sz w:val="20"/>
          <w:szCs w:val="20"/>
          <w:color w:val="auto"/>
        </w:rPr>
      </w:pPr>
    </w:p>
    <w:p>
      <w:pPr>
        <w:jc w:val="both"/>
        <w:ind w:left="1060" w:firstLine="521"/>
        <w:spacing w:after="0" w:line="269" w:lineRule="auto"/>
        <w:tabs>
          <w:tab w:leader="none" w:pos="2024"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Lender shall, to the extent it is legally entitled to do so, deliver to the Borrower and the Administrative Agent (in such copies as shall be requested by the recipient) on or prior to the date on which such Lender becomes a Lender under this Agreement (and from time to time thereafter upon the reasonable request of the Borrower or the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46" w:lineRule="exact"/>
        <w:rPr>
          <w:rFonts w:ascii="Arial" w:cs="Arial" w:eastAsia="Arial" w:hAnsi="Arial"/>
          <w:sz w:val="14"/>
          <w:szCs w:val="14"/>
          <w:color w:val="auto"/>
        </w:rPr>
      </w:pPr>
    </w:p>
    <w:p>
      <w:pPr>
        <w:jc w:val="both"/>
        <w:ind w:left="1060" w:firstLine="521"/>
        <w:spacing w:after="0" w:line="245" w:lineRule="auto"/>
        <w:tabs>
          <w:tab w:leader="none" w:pos="19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U.S. Borrower or the Administrative Agent, at the time or times prescribed by law and at such time or times reasonably requested by the U.S. Borrower or the Administrative Agent, such documentation prescribed by applicable law (including as prescribed by Section 1471(b)(3)(C)(i) of the Code) and such additional documentation reasonably requested by the U.S. Borrower or the Administrative Agent as may be necessary for the U.S. Borrower or the Administrative Agent to comply with its obligations under FATCA, to determine that such Agent, Lender or Issuing Bank has complied with its obligations under FATCA or to determine the amount to deduct and withhold from any such payments. Solely for purposes of this paragraph (i), “FATCA” shall include any amendments made to FATCA after the date of this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1" w:name="page122"/>
    <w:bookmarkEnd w:id="121"/>
    <w:p>
      <w:pPr>
        <w:ind w:firstLine="525"/>
        <w:spacing w:after="0" w:line="259" w:lineRule="auto"/>
        <w:rPr>
          <w:sz w:val="20"/>
          <w:szCs w:val="20"/>
          <w:color w:val="auto"/>
        </w:rPr>
      </w:pPr>
      <w:r>
        <w:rPr>
          <w:rFonts w:ascii="Arial" w:cs="Arial" w:eastAsia="Arial" w:hAnsi="Arial"/>
          <w:sz w:val="15"/>
          <w:szCs w:val="15"/>
          <w:color w:val="auto"/>
        </w:rPr>
        <w:t>Each Lender agrees that if any form or certification it previously delivered expires or becomes obsolete or inaccurate in any respect, it shall update such form or certification or promptly notify the U.S. Borrower and the Applicable Administrative Agent in writing of its legal inability to do so.</w:t>
      </w:r>
    </w:p>
    <w:p>
      <w:pPr>
        <w:spacing w:after="0" w:line="152" w:lineRule="exact"/>
        <w:rPr>
          <w:sz w:val="20"/>
          <w:szCs w:val="20"/>
          <w:color w:val="auto"/>
        </w:rPr>
      </w:pPr>
    </w:p>
    <w:p>
      <w:pPr>
        <w:jc w:val="both"/>
        <w:ind w:firstLine="1057"/>
        <w:spacing w:after="0" w:line="248" w:lineRule="auto"/>
        <w:tabs>
          <w:tab w:leader="none" w:pos="1471"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Administrative Agent shall deliver to the U.S. Borrower a duly completed copy of IRS Form W-8IMY certifying that it is a “U.S. branch” of a foreign bank and that the Administrative Agent agrees to be treated as a U.S. Person with respect to any payments made to it by the U.S. Borrower under any Loan Document. The Administrative Agent agrees that if such IRS Form W-8IMY previously delivered expires or becomes obsolete or inaccurate in any respect, it shall update such form or promptly notify the U.S. Borrower in writing of its legal inability to do so.</w:t>
      </w:r>
    </w:p>
    <w:p>
      <w:pPr>
        <w:spacing w:after="0" w:line="161" w:lineRule="exact"/>
        <w:rPr>
          <w:rFonts w:ascii="Arial" w:cs="Arial" w:eastAsia="Arial" w:hAnsi="Arial"/>
          <w:sz w:val="15"/>
          <w:szCs w:val="15"/>
          <w:color w:val="auto"/>
        </w:rPr>
      </w:pPr>
    </w:p>
    <w:p>
      <w:pPr>
        <w:jc w:val="both"/>
        <w:ind w:firstLine="532"/>
        <w:spacing w:after="0" w:line="264" w:lineRule="auto"/>
        <w:tabs>
          <w:tab w:leader="none" w:pos="9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52" w:lineRule="exact"/>
        <w:rPr>
          <w:rFonts w:ascii="Arial" w:cs="Arial" w:eastAsia="Arial" w:hAnsi="Arial"/>
          <w:sz w:val="14"/>
          <w:szCs w:val="14"/>
          <w:color w:val="auto"/>
        </w:rPr>
      </w:pPr>
    </w:p>
    <w:p>
      <w:pPr>
        <w:ind w:left="860" w:hanging="328"/>
        <w:spacing w:after="0"/>
        <w:tabs>
          <w:tab w:leader="none" w:pos="8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Australian GST</w:t>
      </w:r>
    </w:p>
    <w:p>
      <w:pPr>
        <w:spacing w:after="0" w:line="177" w:lineRule="exact"/>
        <w:rPr>
          <w:rFonts w:ascii="Arial" w:cs="Arial" w:eastAsia="Arial" w:hAnsi="Arial"/>
          <w:sz w:val="15"/>
          <w:szCs w:val="15"/>
          <w:color w:val="auto"/>
        </w:rPr>
      </w:pPr>
    </w:p>
    <w:p>
      <w:pPr>
        <w:ind w:left="540" w:firstLine="517"/>
        <w:spacing w:after="0" w:line="259" w:lineRule="auto"/>
        <w:tabs>
          <w:tab w:leader="none" w:pos="1458" w:val="left"/>
        </w:tabs>
        <w:numPr>
          <w:ilvl w:val="1"/>
          <w:numId w:val="69"/>
        </w:numPr>
        <w:rPr>
          <w:rFonts w:ascii="Arial" w:cs="Arial" w:eastAsia="Arial" w:hAnsi="Arial"/>
          <w:sz w:val="15"/>
          <w:szCs w:val="15"/>
          <w:color w:val="auto"/>
        </w:rPr>
      </w:pPr>
      <w:r>
        <w:rPr>
          <w:rFonts w:ascii="Arial" w:cs="Arial" w:eastAsia="Arial" w:hAnsi="Arial"/>
          <w:sz w:val="15"/>
          <w:szCs w:val="15"/>
          <w:color w:val="auto"/>
        </w:rPr>
        <w:t>Unless expressly stated otherwise in the relevant Loan Document, the consideration payable for any supply made by or through a Lender or Issuing Bank under or in connection with any Loan Document does not include Australian GST.</w:t>
      </w:r>
    </w:p>
    <w:p>
      <w:pPr>
        <w:spacing w:after="0" w:line="152" w:lineRule="exact"/>
        <w:rPr>
          <w:sz w:val="20"/>
          <w:szCs w:val="20"/>
          <w:color w:val="auto"/>
        </w:rPr>
      </w:pPr>
    </w:p>
    <w:p>
      <w:pPr>
        <w:ind w:left="540" w:firstLine="517"/>
        <w:spacing w:after="0" w:line="259" w:lineRule="auto"/>
        <w:tabs>
          <w:tab w:leader="none" w:pos="1503"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If Australian GST is payable in respect of any supply made by or through a Lender or Issuing Bank (a </w:t>
      </w:r>
      <w:r>
        <w:rPr>
          <w:rFonts w:ascii="Arial" w:cs="Arial" w:eastAsia="Arial" w:hAnsi="Arial"/>
          <w:sz w:val="15"/>
          <w:szCs w:val="15"/>
          <w:i w:val="1"/>
          <w:iCs w:val="1"/>
          <w:color w:val="auto"/>
        </w:rPr>
        <w:t>"Supplier")</w:t>
      </w:r>
      <w:r>
        <w:rPr>
          <w:rFonts w:ascii="Arial" w:cs="Arial" w:eastAsia="Arial" w:hAnsi="Arial"/>
          <w:sz w:val="15"/>
          <w:szCs w:val="15"/>
          <w:color w:val="auto"/>
        </w:rPr>
        <w:t xml:space="preserve"> under or in connection with any Loan Document </w:t>
      </w:r>
      <w:r>
        <w:rPr>
          <w:rFonts w:ascii="Arial" w:cs="Arial" w:eastAsia="Arial" w:hAnsi="Arial"/>
          <w:sz w:val="15"/>
          <w:szCs w:val="15"/>
          <w:i w:val="1"/>
          <w:iCs w:val="1"/>
          <w:color w:val="auto"/>
        </w:rPr>
        <w:t xml:space="preserve">("Australian GST Liability") </w:t>
      </w:r>
      <w:r>
        <w:rPr>
          <w:rFonts w:ascii="Arial" w:cs="Arial" w:eastAsia="Arial" w:hAnsi="Arial"/>
          <w:sz w:val="15"/>
          <w:szCs w:val="15"/>
          <w:color w:val="auto"/>
        </w:rPr>
        <w:t>then: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2" w:name="page123"/>
    <w:bookmarkEnd w:id="122"/>
    <w:p>
      <w:pPr>
        <w:ind w:left="1060" w:firstLine="521"/>
        <w:spacing w:after="0" w:line="259" w:lineRule="auto"/>
        <w:tabs>
          <w:tab w:leader="none" w:pos="2019"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where consideration is provided by a party </w:t>
      </w:r>
      <w:r>
        <w:rPr>
          <w:rFonts w:ascii="Arial" w:cs="Arial" w:eastAsia="Arial" w:hAnsi="Arial"/>
          <w:sz w:val="15"/>
          <w:szCs w:val="15"/>
          <w:i w:val="1"/>
          <w:iCs w:val="1"/>
          <w:color w:val="auto"/>
        </w:rPr>
        <w:t>("Recipient')</w:t>
      </w:r>
      <w:r>
        <w:rPr>
          <w:rFonts w:ascii="Arial" w:cs="Arial" w:eastAsia="Arial" w:hAnsi="Arial"/>
          <w:sz w:val="15"/>
          <w:szCs w:val="15"/>
          <w:color w:val="auto"/>
        </w:rPr>
        <w:t xml:space="preserve"> in relation to that supply, the Recipient will pay an additional amount to the Supplier equal to the full amount of the Australian GST Liability; and</w:t>
      </w:r>
    </w:p>
    <w:p>
      <w:pPr>
        <w:spacing w:after="0" w:line="152" w:lineRule="exact"/>
        <w:rPr>
          <w:sz w:val="20"/>
          <w:szCs w:val="20"/>
          <w:color w:val="auto"/>
        </w:rPr>
      </w:pPr>
    </w:p>
    <w:p>
      <w:pPr>
        <w:ind w:left="2000" w:hanging="419"/>
        <w:spacing w:after="0"/>
        <w:tabs>
          <w:tab w:leader="none" w:pos="20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except where the foregoing clause (A) applies, the Australian Borrower will indemnify and keep the Supplier indemnified for the full amount of the Australian</w:t>
      </w:r>
    </w:p>
    <w:p>
      <w:pPr>
        <w:spacing w:after="0" w:line="4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5"/>
          <w:szCs w:val="15"/>
          <w:color w:val="auto"/>
        </w:rPr>
        <w:t>GST Liability.</w:t>
      </w:r>
    </w:p>
    <w:p>
      <w:pPr>
        <w:spacing w:after="0" w:line="168" w:lineRule="exact"/>
        <w:rPr>
          <w:sz w:val="20"/>
          <w:szCs w:val="20"/>
          <w:color w:val="auto"/>
        </w:rPr>
      </w:pPr>
    </w:p>
    <w:p>
      <w:pPr>
        <w:ind w:left="1060" w:right="120"/>
        <w:spacing w:after="0" w:line="307" w:lineRule="auto"/>
        <w:rPr>
          <w:sz w:val="20"/>
          <w:szCs w:val="20"/>
          <w:color w:val="auto"/>
        </w:rPr>
      </w:pPr>
      <w:r>
        <w:rPr>
          <w:rFonts w:ascii="Arial" w:cs="Arial" w:eastAsia="Arial" w:hAnsi="Arial"/>
          <w:sz w:val="12"/>
          <w:szCs w:val="12"/>
          <w:color w:val="auto"/>
        </w:rPr>
        <w:t>However, (l) the relevant Recipient or the Australian Borrower, as applicable, need not pay the additional amount on account of the Australian GST Liability to a Supplier until that Supplier gives the Recipient or the Australian Borrower, as applicable, a tax invoice complying with the relevant law relating to any payment made to that Supplier in accordance with this Section 2.20(f)(ii) and (2) if an adjustment event arises in respect of any supply made by or through a Lender or Issuing Bank under or in connection with any Loan Document and (if required by law) the Lender or Issuing Bank gives the Recipient or the Australian Borrower, as applicable, a valid adjustment note, the additional amount must be adjusted to reflect the adjustment event and the Recipient or the Supplier (as the case may be) must make any payments necessary to reflect the adjustment; and</w:t>
      </w:r>
    </w:p>
    <w:p>
      <w:pPr>
        <w:spacing w:after="0" w:line="1" w:lineRule="exact"/>
        <w:rPr>
          <w:sz w:val="20"/>
          <w:szCs w:val="20"/>
          <w:color w:val="auto"/>
        </w:rPr>
      </w:pPr>
    </w:p>
    <w:p>
      <w:pPr>
        <w:ind w:left="1060" w:hanging="3"/>
        <w:spacing w:after="0" w:line="244" w:lineRule="auto"/>
        <w:tabs>
          <w:tab w:leader="none" w:pos="1266"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this Section 2.20(f)(ii) does not apply to the extent that the Australian GST Liability on a supply made by or through a Lender or Issuing Bank under or in connection with any Loan Document is payable by the Recipient or the Australian Borrower, as appropriate, under Division 83 or 84 of the </w:t>
      </w:r>
      <w:r>
        <w:rPr>
          <w:rFonts w:ascii="Arial" w:cs="Arial" w:eastAsia="Arial" w:hAnsi="Arial"/>
          <w:sz w:val="15"/>
          <w:szCs w:val="15"/>
          <w:i w:val="1"/>
          <w:iCs w:val="1"/>
          <w:color w:val="auto"/>
        </w:rPr>
        <w:t>A New Tax System (Goods and Services Tax) Act 1999</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(Cth) </w:t>
      </w:r>
      <w:r>
        <w:rPr>
          <w:rFonts w:ascii="Arial" w:cs="Arial" w:eastAsia="Arial" w:hAnsi="Arial"/>
          <w:sz w:val="15"/>
          <w:szCs w:val="15"/>
          <w:color w:val="auto"/>
        </w:rPr>
        <w:t>and the Lender or Issuing Bank has no liability at all in relation to that payment.</w:t>
      </w:r>
    </w:p>
    <w:p>
      <w:pPr>
        <w:spacing w:after="0" w:line="164" w:lineRule="exact"/>
        <w:rPr>
          <w:sz w:val="20"/>
          <w:szCs w:val="20"/>
          <w:color w:val="auto"/>
        </w:rPr>
      </w:pPr>
    </w:p>
    <w:p>
      <w:pPr>
        <w:jc w:val="both"/>
        <w:ind w:left="540" w:firstLine="517"/>
        <w:spacing w:after="0" w:line="343" w:lineRule="auto"/>
        <w:tabs>
          <w:tab w:leader="none" w:pos="1475"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04"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b w:val="1"/>
          <w:bCs w:val="1"/>
          <w:color w:val="auto"/>
        </w:rPr>
        <w:t xml:space="preserve">SECTION 2.20 </w:t>
      </w:r>
      <w:r>
        <w:rPr>
          <w:rFonts w:ascii="Arial" w:cs="Arial" w:eastAsia="Arial" w:hAnsi="Arial"/>
          <w:sz w:val="12"/>
          <w:szCs w:val="12"/>
          <w:b w:val="1"/>
          <w:bCs w:val="1"/>
          <w:i w:val="1"/>
          <w:iCs w:val="1"/>
          <w:color w:val="auto"/>
        </w:rPr>
        <w:t>Assignment of Commitments Under Certain Circumstances; Duty to Mitigate</w:t>
      </w:r>
      <w:r>
        <w:rPr>
          <w:rFonts w:ascii="Arial" w:cs="Arial" w:eastAsia="Arial" w:hAnsi="Arial"/>
          <w:sz w:val="12"/>
          <w:szCs w:val="12"/>
          <w:color w:val="auto"/>
        </w:rPr>
        <w:t>. (a) In the event (i) any Lender or Issuing Bank delivers a certificate requesting</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w:t>
      </w:r>
    </w:p>
    <w:p>
      <w:pPr>
        <w:spacing w:after="0" w:line="1" w:lineRule="exact"/>
        <w:rPr>
          <w:sz w:val="20"/>
          <w:szCs w:val="20"/>
          <w:color w:val="auto"/>
        </w:rPr>
      </w:pPr>
    </w:p>
    <w:p>
      <w:pPr>
        <w:jc w:val="both"/>
        <w:ind w:firstLine="7"/>
        <w:spacing w:after="0" w:line="262" w:lineRule="auto"/>
        <w:tabs>
          <w:tab w:leader="none" w:pos="232"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3" w:name="page124"/>
    <w:bookmarkEnd w:id="123"/>
    <w:p>
      <w:pPr>
        <w:jc w:val="both"/>
        <w:ind w:firstLine="532"/>
        <w:spacing w:after="0" w:line="317" w:lineRule="auto"/>
        <w:tabs>
          <w:tab w:leader="none" w:pos="912" w:val="left"/>
        </w:tabs>
        <w:numPr>
          <w:ilvl w:val="0"/>
          <w:numId w:val="76"/>
        </w:numPr>
        <w:rPr>
          <w:rFonts w:ascii="Arial" w:cs="Arial" w:eastAsia="Arial" w:hAnsi="Arial"/>
          <w:sz w:val="12"/>
          <w:szCs w:val="12"/>
          <w:color w:val="auto"/>
        </w:rPr>
      </w:pPr>
      <w:r>
        <w:rPr>
          <w:rFonts w:ascii="Arial" w:cs="Arial" w:eastAsia="Arial" w:hAnsi="Arial"/>
          <w:sz w:val="12"/>
          <w:szCs w:val="12"/>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1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2.21</w:t>
      </w:r>
      <w:r>
        <w:rPr>
          <w:sz w:val="20"/>
          <w:szCs w:val="20"/>
          <w:color w:val="auto"/>
        </w:rPr>
        <w:tab/>
      </w:r>
      <w:r>
        <w:rPr>
          <w:rFonts w:ascii="Arial" w:cs="Arial" w:eastAsia="Arial" w:hAnsi="Arial"/>
          <w:sz w:val="12"/>
          <w:szCs w:val="12"/>
          <w:b w:val="1"/>
          <w:bCs w:val="1"/>
          <w:i w:val="1"/>
          <w:iCs w:val="1"/>
          <w:color w:val="auto"/>
        </w:rPr>
        <w:t>Letters of Credit</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330" w:lineRule="auto"/>
        <w:tabs>
          <w:tab w:leader="none" w:pos="868"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General</w:t>
      </w:r>
      <w:r>
        <w:rPr>
          <w:rFonts w:ascii="Arial" w:cs="Arial" w:eastAsia="Arial" w:hAnsi="Arial"/>
          <w:sz w:val="12"/>
          <w:szCs w:val="12"/>
          <w:color w:val="auto"/>
        </w:rPr>
        <w:t>. Each Borrower may request the issuance of a Letter of Credit denominated in U.S. dollars, Canadian dollars, Australian dollars or in one or more Alternative Currencies for</w:t>
      </w:r>
      <w:r>
        <w:rPr>
          <w:rFonts w:ascii="Arial" w:cs="Arial" w:eastAsia="Arial" w:hAnsi="Arial"/>
          <w:sz w:val="12"/>
          <w:szCs w:val="12"/>
          <w:i w:val="1"/>
          <w:iCs w:val="1"/>
          <w:color w:val="auto"/>
        </w:rPr>
        <w:t xml:space="preserve"> </w:t>
      </w:r>
      <w:r>
        <w:rPr>
          <w:rFonts w:ascii="Arial" w:cs="Arial" w:eastAsia="Arial" w:hAnsi="Arial"/>
          <w:sz w:val="12"/>
          <w:szCs w:val="12"/>
          <w:color w:val="auto"/>
        </w:rPr>
        <w:t>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4" w:name="page125"/>
    <w:bookmarkEnd w:id="124"/>
    <w:p>
      <w:pPr>
        <w:jc w:val="both"/>
        <w:ind w:firstLine="532"/>
        <w:spacing w:after="0" w:line="309" w:lineRule="auto"/>
        <w:tabs>
          <w:tab w:leader="none" w:pos="953" w:val="left"/>
        </w:tabs>
        <w:numPr>
          <w:ilvl w:val="1"/>
          <w:numId w:val="78"/>
        </w:numPr>
        <w:rPr>
          <w:rFonts w:ascii="Arial" w:cs="Arial" w:eastAsia="Arial" w:hAnsi="Arial"/>
          <w:sz w:val="12"/>
          <w:szCs w:val="12"/>
          <w:color w:val="auto"/>
        </w:rPr>
      </w:pPr>
      <w:r>
        <w:rPr>
          <w:rFonts w:ascii="Arial" w:cs="Arial" w:eastAsia="Arial" w:hAnsi="Arial"/>
          <w:sz w:val="12"/>
          <w:szCs w:val="12"/>
          <w:i w:val="1"/>
          <w:iCs w:val="1"/>
          <w:color w:val="auto"/>
        </w:rPr>
        <w:t>Notice of Issuance, Amendment, Renewal, Extension; Certain Conditions</w:t>
      </w:r>
      <w:r>
        <w:rPr>
          <w:rFonts w:ascii="Arial" w:cs="Arial" w:eastAsia="Arial" w:hAnsi="Arial"/>
          <w:sz w:val="12"/>
          <w:szCs w:val="12"/>
          <w:color w:val="auto"/>
        </w:rPr>
        <w:t>. In order to request the issuance of a Letter of Credit denominated in U.S. dollars, Canadian dollars,</w:t>
      </w:r>
      <w:r>
        <w:rPr>
          <w:rFonts w:ascii="Arial" w:cs="Arial" w:eastAsia="Arial" w:hAnsi="Arial"/>
          <w:sz w:val="12"/>
          <w:szCs w:val="12"/>
          <w:i w:val="1"/>
          <w:iCs w:val="1"/>
          <w:color w:val="auto"/>
        </w:rPr>
        <w:t xml:space="preserve"> </w:t>
      </w:r>
      <w:r>
        <w:rPr>
          <w:rFonts w:ascii="Arial" w:cs="Arial" w:eastAsia="Arial" w:hAnsi="Arial"/>
          <w:sz w:val="12"/>
          <w:szCs w:val="12"/>
          <w:color w:val="auto"/>
        </w:rPr>
        <w:t>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issued, amended, renewed or extended only if, and upon issuance, amendment, renewal or extension of each Letter of Credit the U.S. Borrower shall be deemed to represent and warrant that, after giving effect to such issuance, amendment, renewal or extension (i) the U.S. L/C Exposure shall not exceed U.S.$50,000,000,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issued, amended, renewed or extended only if, and upon issuance, amendment, renewal or extension of each Canadian Letter of Credit, such Canadian Borrower shall be deemed to represent and warrant that after giving effect to such issuance, amendment, renewal or extension (i) the Canadian L/C Exposure shall not exceed the Canadian Dollar Equivalent of U.S.$10,000,000, and (ii) the aggregate Canadian Revolving Credit Exposure shall not exceed the Total Canadian Revolving Commitment. An Australian Letter of Credit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w:t>
      </w:r>
    </w:p>
    <w:p>
      <w:pPr>
        <w:spacing w:after="0" w:line="136" w:lineRule="exact"/>
        <w:rPr>
          <w:rFonts w:ascii="Arial" w:cs="Arial" w:eastAsia="Arial" w:hAnsi="Arial"/>
          <w:sz w:val="12"/>
          <w:szCs w:val="12"/>
          <w:color w:val="auto"/>
        </w:rPr>
      </w:pPr>
    </w:p>
    <w:p>
      <w:pPr>
        <w:ind w:left="220" w:hanging="213"/>
        <w:spacing w:after="0"/>
        <w:tabs>
          <w:tab w:leader="none" w:pos="2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aggregate Australian Revolving Credit Exposure shall not exceed the Total Australian Revolving Commitment.</w:t>
      </w:r>
    </w:p>
    <w:p>
      <w:pPr>
        <w:spacing w:after="0" w:line="168" w:lineRule="exact"/>
        <w:rPr>
          <w:rFonts w:ascii="Arial" w:cs="Arial" w:eastAsia="Arial" w:hAnsi="Arial"/>
          <w:sz w:val="15"/>
          <w:szCs w:val="15"/>
          <w:color w:val="auto"/>
        </w:rPr>
      </w:pPr>
    </w:p>
    <w:p>
      <w:pPr>
        <w:jc w:val="both"/>
        <w:ind w:firstLine="532"/>
        <w:spacing w:after="0" w:line="311" w:lineRule="auto"/>
        <w:tabs>
          <w:tab w:leader="none" w:pos="901" w:val="left"/>
        </w:tabs>
        <w:numPr>
          <w:ilvl w:val="1"/>
          <w:numId w:val="79"/>
        </w:numPr>
        <w:rPr>
          <w:rFonts w:ascii="Arial" w:cs="Arial" w:eastAsia="Arial" w:hAnsi="Arial"/>
          <w:sz w:val="12"/>
          <w:szCs w:val="12"/>
          <w:color w:val="auto"/>
        </w:rPr>
      </w:pPr>
      <w:r>
        <w:rPr>
          <w:rFonts w:ascii="Arial" w:cs="Arial" w:eastAsia="Arial" w:hAnsi="Arial"/>
          <w:sz w:val="12"/>
          <w:szCs w:val="12"/>
          <w:i w:val="1"/>
          <w:iCs w:val="1"/>
          <w:color w:val="auto"/>
        </w:rPr>
        <w:t>Expiration Date</w:t>
      </w:r>
      <w:r>
        <w:rPr>
          <w:rFonts w:ascii="Arial" w:cs="Arial" w:eastAsia="Arial" w:hAnsi="Arial"/>
          <w:sz w:val="12"/>
          <w:szCs w:val="12"/>
          <w:color w:val="auto"/>
        </w:rPr>
        <w:t>. Each U.S. Letter of Credit and Canadian Letter of Credit shall have an expiration date not later than the earlier of (y) three years after the date of the issuance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such Letter of Credit and (z) the date that is 24 months after the Maturity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60 days prior to the Maturity Date the Borrowers shall deposit in an account with the U.S. Collateral Agent or the Canadian Collateral Agent, as the case may be, for the benefit of the U.S. Revolving Lenders or Canadian Lenders, as the case may be, an amount in cash equal to 105% of the U.S. L/C Exposure or the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provided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5" w:name="page126"/>
    <w:bookmarkEnd w:id="125"/>
    <w:p>
      <w:pPr>
        <w:jc w:val="both"/>
        <w:ind w:firstLine="532"/>
        <w:spacing w:after="0" w:line="263" w:lineRule="auto"/>
        <w:tabs>
          <w:tab w:leader="none" w:pos="887" w:val="left"/>
        </w:tabs>
        <w:numPr>
          <w:ilvl w:val="0"/>
          <w:numId w:val="80"/>
        </w:numPr>
        <w:rPr>
          <w:rFonts w:ascii="Arial" w:cs="Arial" w:eastAsia="Arial" w:hAnsi="Arial"/>
          <w:sz w:val="14"/>
          <w:szCs w:val="14"/>
          <w:color w:val="auto"/>
        </w:rPr>
      </w:pPr>
      <w:r>
        <w:rPr>
          <w:rFonts w:ascii="Arial" w:cs="Arial" w:eastAsia="Arial" w:hAnsi="Arial"/>
          <w:sz w:val="14"/>
          <w:szCs w:val="14"/>
          <w:i w:val="1"/>
          <w:iCs w:val="1"/>
          <w:color w:val="auto"/>
        </w:rPr>
        <w:t>Participations</w:t>
      </w:r>
      <w:r>
        <w:rPr>
          <w:rFonts w:ascii="Arial" w:cs="Arial" w:eastAsia="Arial" w:hAnsi="Arial"/>
          <w:sz w:val="14"/>
          <w:szCs w:val="14"/>
          <w:color w:val="auto"/>
        </w:rPr>
        <w:t>. By the issuance of a Letter of Credit and without any further action on the part of an Issuing Bank or the Lenders, the Applicable Issuing Bank hereby grants to each</w:t>
      </w:r>
      <w:r>
        <w:rPr>
          <w:rFonts w:ascii="Arial" w:cs="Arial" w:eastAsia="Arial" w:hAnsi="Arial"/>
          <w:sz w:val="14"/>
          <w:szCs w:val="14"/>
          <w:i w:val="1"/>
          <w:iCs w:val="1"/>
          <w:color w:val="auto"/>
        </w:rPr>
        <w:t xml:space="preserve"> </w:t>
      </w:r>
      <w:r>
        <w:rPr>
          <w:rFonts w:ascii="Arial" w:cs="Arial" w:eastAsia="Arial" w:hAnsi="Arial"/>
          <w:sz w:val="14"/>
          <w:szCs w:val="14"/>
          <w:color w:val="auto"/>
        </w:rPr>
        <w:t>U.S. Revolving Lender, Canadian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(unless (i) such Letter of Credit is a Canadian Letter of Credit denominated in Canadian dollars, in which case such payment shall be made in Canadian dollars or (ii) such Letter of Credit is an Australian Letter of Credit denominated in Australian dollars,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56" w:lineRule="exact"/>
        <w:rPr>
          <w:rFonts w:ascii="Arial" w:cs="Arial" w:eastAsia="Arial" w:hAnsi="Arial"/>
          <w:sz w:val="14"/>
          <w:szCs w:val="14"/>
          <w:color w:val="auto"/>
        </w:rPr>
      </w:pPr>
    </w:p>
    <w:p>
      <w:pPr>
        <w:jc w:val="both"/>
        <w:ind w:firstLine="532"/>
        <w:spacing w:after="0" w:line="330" w:lineRule="auto"/>
        <w:tabs>
          <w:tab w:leader="none" w:pos="879"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Reimbursement</w:t>
      </w:r>
      <w:r>
        <w:rPr>
          <w:rFonts w:ascii="Arial" w:cs="Arial" w:eastAsia="Arial" w:hAnsi="Arial"/>
          <w:sz w:val="12"/>
          <w:szCs w:val="12"/>
          <w:color w:val="auto"/>
        </w:rPr>
        <w:t>. If an Issuing Bank shall make any L/C Disbursement in respect of a Letter of Credit, the Applicable Borrower shall pay to the Applicable Administrative Agent an</w:t>
      </w:r>
      <w:r>
        <w:rPr>
          <w:rFonts w:ascii="Arial" w:cs="Arial" w:eastAsia="Arial" w:hAnsi="Arial"/>
          <w:sz w:val="12"/>
          <w:szCs w:val="12"/>
          <w:i w:val="1"/>
          <w:iCs w:val="1"/>
          <w:color w:val="auto"/>
        </w:rPr>
        <w:t xml:space="preserve"> </w:t>
      </w:r>
      <w:r>
        <w:rPr>
          <w:rFonts w:ascii="Arial" w:cs="Arial" w:eastAsia="Arial" w:hAnsi="Arial"/>
          <w:sz w:val="12"/>
          <w:szCs w:val="12"/>
          <w:color w:val="auto"/>
        </w:rPr>
        <w:t>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6" w:name="page127"/>
    <w:bookmarkEnd w:id="126"/>
    <w:p>
      <w:pPr>
        <w:ind w:firstLine="532"/>
        <w:spacing w:after="0" w:line="259" w:lineRule="auto"/>
        <w:tabs>
          <w:tab w:leader="none" w:pos="852"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Obligations Absolute</w:t>
      </w:r>
      <w:r>
        <w:rPr>
          <w:rFonts w:ascii="Arial" w:cs="Arial" w:eastAsia="Arial" w:hAnsi="Arial"/>
          <w:sz w:val="15"/>
          <w:szCs w:val="15"/>
          <w:color w:val="auto"/>
        </w:rPr>
        <w:t>. Each Borrower’s obligations to reimburse L/C Disbursements as provided in paragraph (e) above shall be absolute, unconditional and irrevocable, and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performed strictly in accordance with the terms of this Agreement, under any and all circumstances whatsoever, and irrespective of:</w:t>
      </w:r>
    </w:p>
    <w:p>
      <w:pPr>
        <w:spacing w:after="0" w:line="152" w:lineRule="exact"/>
        <w:rPr>
          <w:rFonts w:ascii="Arial" w:cs="Arial" w:eastAsia="Arial" w:hAnsi="Arial"/>
          <w:sz w:val="15"/>
          <w:szCs w:val="15"/>
          <w:color w:val="auto"/>
        </w:rPr>
      </w:pPr>
    </w:p>
    <w:p>
      <w:pPr>
        <w:ind w:left="1380" w:hanging="323"/>
        <w:spacing w:after="0"/>
        <w:tabs>
          <w:tab w:leader="none" w:pos="1380" w:val="left"/>
        </w:tabs>
        <w:numPr>
          <w:ilvl w:val="1"/>
          <w:numId w:val="81"/>
        </w:numPr>
        <w:rPr>
          <w:rFonts w:ascii="Arial" w:cs="Arial" w:eastAsia="Arial" w:hAnsi="Arial"/>
          <w:sz w:val="15"/>
          <w:szCs w:val="15"/>
          <w:color w:val="auto"/>
        </w:rPr>
      </w:pPr>
      <w:r>
        <w:rPr>
          <w:rFonts w:ascii="Arial" w:cs="Arial" w:eastAsia="Arial" w:hAnsi="Arial"/>
          <w:sz w:val="15"/>
          <w:szCs w:val="15"/>
          <w:color w:val="auto"/>
        </w:rPr>
        <w:t>any lack of validity or enforceability of any Letter of Credit or any Loan Document, or any term or provision therein;</w:t>
      </w:r>
    </w:p>
    <w:p>
      <w:pPr>
        <w:spacing w:after="0" w:line="177" w:lineRule="exact"/>
        <w:rPr>
          <w:rFonts w:ascii="Arial" w:cs="Arial" w:eastAsia="Arial" w:hAnsi="Arial"/>
          <w:sz w:val="15"/>
          <w:szCs w:val="15"/>
          <w:color w:val="auto"/>
        </w:rPr>
      </w:pPr>
    </w:p>
    <w:p>
      <w:pPr>
        <w:ind w:left="1420" w:hanging="363"/>
        <w:spacing w:after="0"/>
        <w:tabs>
          <w:tab w:leader="none" w:pos="1420" w:val="left"/>
        </w:tabs>
        <w:numPr>
          <w:ilvl w:val="1"/>
          <w:numId w:val="81"/>
        </w:numPr>
        <w:rPr>
          <w:rFonts w:ascii="Arial" w:cs="Arial" w:eastAsia="Arial" w:hAnsi="Arial"/>
          <w:sz w:val="15"/>
          <w:szCs w:val="15"/>
          <w:color w:val="auto"/>
        </w:rPr>
      </w:pPr>
      <w:r>
        <w:rPr>
          <w:rFonts w:ascii="Arial" w:cs="Arial" w:eastAsia="Arial" w:hAnsi="Arial"/>
          <w:sz w:val="15"/>
          <w:szCs w:val="15"/>
          <w:color w:val="auto"/>
        </w:rPr>
        <w:t>any amendment or waiver of or any consent to departure from all or any of the provisions of any Letter of Credit or any Loan Document;</w:t>
      </w:r>
    </w:p>
    <w:p>
      <w:pPr>
        <w:spacing w:after="0" w:line="177" w:lineRule="exact"/>
        <w:rPr>
          <w:rFonts w:ascii="Arial" w:cs="Arial" w:eastAsia="Arial" w:hAnsi="Arial"/>
          <w:sz w:val="15"/>
          <w:szCs w:val="15"/>
          <w:color w:val="auto"/>
        </w:rPr>
      </w:pPr>
    </w:p>
    <w:p>
      <w:pPr>
        <w:jc w:val="both"/>
        <w:ind w:left="540" w:firstLine="517"/>
        <w:spacing w:after="0" w:line="277" w:lineRule="auto"/>
        <w:tabs>
          <w:tab w:leader="none" w:pos="1491"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41" w:lineRule="exact"/>
        <w:rPr>
          <w:rFonts w:ascii="Arial" w:cs="Arial" w:eastAsia="Arial" w:hAnsi="Arial"/>
          <w:sz w:val="14"/>
          <w:szCs w:val="14"/>
          <w:color w:val="auto"/>
        </w:rPr>
      </w:pPr>
    </w:p>
    <w:p>
      <w:pPr>
        <w:ind w:left="540" w:firstLine="517"/>
        <w:spacing w:after="0" w:line="294" w:lineRule="auto"/>
        <w:tabs>
          <w:tab w:leader="none" w:pos="1471" w:val="left"/>
        </w:tabs>
        <w:numPr>
          <w:ilvl w:val="1"/>
          <w:numId w:val="81"/>
        </w:numPr>
        <w:rPr>
          <w:rFonts w:ascii="Arial" w:cs="Arial" w:eastAsia="Arial" w:hAnsi="Arial"/>
          <w:sz w:val="14"/>
          <w:szCs w:val="14"/>
          <w:color w:val="auto"/>
        </w:rPr>
      </w:pPr>
      <w:r>
        <w:rPr>
          <w:rFonts w:ascii="Arial" w:cs="Arial" w:eastAsia="Arial" w:hAnsi="Arial"/>
          <w:sz w:val="14"/>
          <w:szCs w:val="14"/>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30" w:lineRule="exact"/>
        <w:rPr>
          <w:rFonts w:ascii="Arial" w:cs="Arial" w:eastAsia="Arial" w:hAnsi="Arial"/>
          <w:sz w:val="14"/>
          <w:szCs w:val="14"/>
          <w:color w:val="auto"/>
        </w:rPr>
      </w:pPr>
    </w:p>
    <w:p>
      <w:pPr>
        <w:jc w:val="both"/>
        <w:ind w:left="540" w:firstLine="517"/>
        <w:spacing w:after="0" w:line="248" w:lineRule="auto"/>
        <w:tabs>
          <w:tab w:leader="none" w:pos="1434" w:val="left"/>
        </w:tabs>
        <w:numPr>
          <w:ilvl w:val="1"/>
          <w:numId w:val="81"/>
        </w:numPr>
        <w:rPr>
          <w:rFonts w:ascii="Arial" w:cs="Arial" w:eastAsia="Arial" w:hAnsi="Arial"/>
          <w:sz w:val="15"/>
          <w:szCs w:val="15"/>
          <w:color w:val="auto"/>
        </w:rPr>
      </w:pPr>
      <w:r>
        <w:rPr>
          <w:rFonts w:ascii="Arial" w:cs="Arial" w:eastAsia="Arial" w:hAnsi="Arial"/>
          <w:sz w:val="15"/>
          <w:szCs w:val="15"/>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61" w:lineRule="exact"/>
        <w:rPr>
          <w:rFonts w:ascii="Arial" w:cs="Arial" w:eastAsia="Arial" w:hAnsi="Arial"/>
          <w:sz w:val="15"/>
          <w:szCs w:val="15"/>
          <w:color w:val="auto"/>
        </w:rPr>
      </w:pPr>
    </w:p>
    <w:p>
      <w:pPr>
        <w:ind w:left="540" w:firstLine="517"/>
        <w:spacing w:after="0" w:line="259" w:lineRule="auto"/>
        <w:tabs>
          <w:tab w:leader="none" w:pos="1470" w:val="left"/>
        </w:tabs>
        <w:numPr>
          <w:ilvl w:val="1"/>
          <w:numId w:val="81"/>
        </w:numPr>
        <w:rPr>
          <w:rFonts w:ascii="Arial" w:cs="Arial" w:eastAsia="Arial" w:hAnsi="Arial"/>
          <w:sz w:val="15"/>
          <w:szCs w:val="15"/>
          <w:color w:val="auto"/>
        </w:rPr>
      </w:pPr>
      <w:r>
        <w:rPr>
          <w:rFonts w:ascii="Arial" w:cs="Arial" w:eastAsia="Arial" w:hAnsi="Arial"/>
          <w:sz w:val="15"/>
          <w:szCs w:val="15"/>
          <w:color w:val="auto"/>
        </w:rPr>
        <w:t>any adverse change in the relevant exchange rates or in the availability of the relevant Alternative Currency to any Borrower, any Subsidiary or any other person, or in the relevant currency markets generally; or</w:t>
      </w:r>
    </w:p>
    <w:p>
      <w:pPr>
        <w:spacing w:after="0" w:line="152" w:lineRule="exact"/>
        <w:rPr>
          <w:rFonts w:ascii="Arial" w:cs="Arial" w:eastAsia="Arial" w:hAnsi="Arial"/>
          <w:sz w:val="15"/>
          <w:szCs w:val="15"/>
          <w:color w:val="auto"/>
        </w:rPr>
      </w:pPr>
    </w:p>
    <w:p>
      <w:pPr>
        <w:jc w:val="both"/>
        <w:ind w:left="540" w:firstLine="517"/>
        <w:spacing w:after="0" w:line="251" w:lineRule="auto"/>
        <w:tabs>
          <w:tab w:leader="none" w:pos="1555" w:val="left"/>
        </w:tabs>
        <w:numPr>
          <w:ilvl w:val="1"/>
          <w:numId w:val="81"/>
        </w:numPr>
        <w:rPr>
          <w:rFonts w:ascii="Arial" w:cs="Arial" w:eastAsia="Arial" w:hAnsi="Arial"/>
          <w:sz w:val="15"/>
          <w:szCs w:val="15"/>
          <w:color w:val="auto"/>
        </w:rPr>
      </w:pPr>
      <w:r>
        <w:rPr>
          <w:rFonts w:ascii="Arial" w:cs="Arial" w:eastAsia="Arial" w:hAnsi="Arial"/>
          <w:sz w:val="15"/>
          <w:szCs w:val="15"/>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7" w:name="page128"/>
    <w:bookmarkEnd w:id="127"/>
    <w:p>
      <w:pPr>
        <w:ind w:firstLine="525"/>
        <w:spacing w:after="0" w:line="294" w:lineRule="auto"/>
        <w:rPr>
          <w:sz w:val="20"/>
          <w:szCs w:val="20"/>
          <w:color w:val="auto"/>
        </w:rPr>
      </w:pPr>
      <w:r>
        <w:rPr>
          <w:rFonts w:ascii="Arial" w:cs="Arial" w:eastAsia="Arial" w:hAnsi="Arial"/>
          <w:sz w:val="14"/>
          <w:szCs w:val="14"/>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30" w:lineRule="exact"/>
        <w:rPr>
          <w:sz w:val="20"/>
          <w:szCs w:val="20"/>
          <w:color w:val="auto"/>
        </w:rPr>
      </w:pPr>
    </w:p>
    <w:p>
      <w:pPr>
        <w:ind w:firstLine="532"/>
        <w:spacing w:after="0" w:line="383" w:lineRule="auto"/>
        <w:tabs>
          <w:tab w:leader="none" w:pos="876"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Role of Issuing Bank</w:t>
      </w:r>
      <w:r>
        <w:rPr>
          <w:rFonts w:ascii="Arial" w:cs="Arial" w:eastAsia="Arial" w:hAnsi="Arial"/>
          <w:sz w:val="12"/>
          <w:szCs w:val="12"/>
          <w:color w:val="auto"/>
        </w:rPr>
        <w:t>. Each Borrower assumes all risks of the acts or omissions of any beneficiary or transferee of any Letter of Credit with respect to its use of such Letter of Credit.</w:t>
      </w:r>
      <w:r>
        <w:rPr>
          <w:rFonts w:ascii="Arial" w:cs="Arial" w:eastAsia="Arial" w:hAnsi="Arial"/>
          <w:sz w:val="12"/>
          <w:szCs w:val="12"/>
          <w:i w:val="1"/>
          <w:iCs w:val="1"/>
          <w:color w:val="auto"/>
        </w:rPr>
        <w:t xml:space="preserve"> </w:t>
      </w:r>
      <w:r>
        <w:rPr>
          <w:rFonts w:ascii="Arial" w:cs="Arial" w:eastAsia="Arial" w:hAnsi="Arial"/>
          <w:sz w:val="12"/>
          <w:szCs w:val="12"/>
          <w:color w:val="auto"/>
        </w:rPr>
        <w:t>None of the Issuing Banks, the Agents, any of their respective Related Parties or any correspondent, participant or assignee of the Issuing Bank shall be liable or responsible for:</w:t>
      </w:r>
    </w:p>
    <w:p>
      <w:pPr>
        <w:spacing w:after="0" w:line="84" w:lineRule="exact"/>
        <w:rPr>
          <w:rFonts w:ascii="Arial" w:cs="Arial" w:eastAsia="Arial" w:hAnsi="Arial"/>
          <w:sz w:val="12"/>
          <w:szCs w:val="12"/>
          <w:color w:val="auto"/>
        </w:rPr>
      </w:pPr>
    </w:p>
    <w:p>
      <w:pPr>
        <w:ind w:left="1380" w:hanging="323"/>
        <w:spacing w:after="0"/>
        <w:tabs>
          <w:tab w:leader="none" w:pos="1380"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the use which may be made of any Letter of Credit or any acts or omissions of any beneficiary or transferee in connection therewith;</w:t>
      </w:r>
    </w:p>
    <w:p>
      <w:pPr>
        <w:spacing w:after="0" w:line="177" w:lineRule="exact"/>
        <w:rPr>
          <w:rFonts w:ascii="Arial" w:cs="Arial" w:eastAsia="Arial" w:hAnsi="Arial"/>
          <w:sz w:val="15"/>
          <w:szCs w:val="15"/>
          <w:color w:val="auto"/>
        </w:rPr>
      </w:pPr>
    </w:p>
    <w:p>
      <w:pPr>
        <w:ind w:left="540" w:firstLine="517"/>
        <w:spacing w:after="0" w:line="259" w:lineRule="auto"/>
        <w:tabs>
          <w:tab w:leader="none" w:pos="1437"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the validity, sufficiency or genuineness of documents, or of any endorsement thereon, even if such documents should prove to be in any or all respects invalid, insufficient, fraudulent or forged; or</w:t>
      </w:r>
    </w:p>
    <w:p>
      <w:pPr>
        <w:spacing w:after="0" w:line="152" w:lineRule="exact"/>
        <w:rPr>
          <w:rFonts w:ascii="Arial" w:cs="Arial" w:eastAsia="Arial" w:hAnsi="Arial"/>
          <w:sz w:val="15"/>
          <w:szCs w:val="15"/>
          <w:color w:val="auto"/>
        </w:rPr>
      </w:pPr>
    </w:p>
    <w:p>
      <w:pPr>
        <w:ind w:left="1460" w:hanging="403"/>
        <w:spacing w:after="0"/>
        <w:tabs>
          <w:tab w:leader="none" w:pos="1460" w:val="left"/>
        </w:tabs>
        <w:numPr>
          <w:ilvl w:val="1"/>
          <w:numId w:val="82"/>
        </w:numPr>
        <w:rPr>
          <w:rFonts w:ascii="Arial" w:cs="Arial" w:eastAsia="Arial" w:hAnsi="Arial"/>
          <w:sz w:val="15"/>
          <w:szCs w:val="15"/>
          <w:color w:val="auto"/>
        </w:rPr>
      </w:pPr>
      <w:r>
        <w:rPr>
          <w:rFonts w:ascii="Arial" w:cs="Arial" w:eastAsia="Arial" w:hAnsi="Arial"/>
          <w:sz w:val="15"/>
          <w:szCs w:val="15"/>
          <w:color w:val="auto"/>
        </w:rPr>
        <w:t>any other circumstances whatsoever in making or failing to make payment under any Letter of Credit (including the Issuing Bank’s own negligence),</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a Borrower shall have a claim against the Issuing Bank, and the Issuing Bank shall be liable to, and shall promptly pay to, such Borrower, to the extent of any direct, as</w:t>
      </w:r>
      <w:r>
        <w:rPr>
          <w:rFonts w:ascii="Arial" w:cs="Arial" w:eastAsia="Arial" w:hAnsi="Arial"/>
          <w:sz w:val="12"/>
          <w:szCs w:val="12"/>
          <w:i w:val="1"/>
          <w:iCs w:val="1"/>
          <w:color w:val="auto"/>
        </w:rPr>
        <w:t xml:space="preserve"> </w:t>
      </w:r>
      <w:r>
        <w:rPr>
          <w:rFonts w:ascii="Arial" w:cs="Arial" w:eastAsia="Arial" w:hAnsi="Arial"/>
          <w:sz w:val="12"/>
          <w:szCs w:val="12"/>
          <w:color w:val="auto"/>
        </w:rPr>
        <w:t>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8" w:name="page129"/>
    <w:bookmarkEnd w:id="128"/>
    <w:p>
      <w:pPr>
        <w:jc w:val="both"/>
        <w:ind w:firstLine="532"/>
        <w:spacing w:after="0" w:line="269" w:lineRule="auto"/>
        <w:tabs>
          <w:tab w:leader="none" w:pos="887" w:val="left"/>
        </w:tabs>
        <w:numPr>
          <w:ilvl w:val="0"/>
          <w:numId w:val="83"/>
        </w:numPr>
        <w:rPr>
          <w:rFonts w:ascii="Arial" w:cs="Arial" w:eastAsia="Arial" w:hAnsi="Arial"/>
          <w:sz w:val="14"/>
          <w:szCs w:val="14"/>
          <w:color w:val="auto"/>
        </w:rPr>
      </w:pPr>
      <w:r>
        <w:rPr>
          <w:rFonts w:ascii="Arial" w:cs="Arial" w:eastAsia="Arial" w:hAnsi="Arial"/>
          <w:sz w:val="14"/>
          <w:szCs w:val="14"/>
          <w:i w:val="1"/>
          <w:iCs w:val="1"/>
          <w:color w:val="auto"/>
        </w:rPr>
        <w:t>Disbursement Procedures</w:t>
      </w:r>
      <w:r>
        <w:rPr>
          <w:rFonts w:ascii="Arial" w:cs="Arial" w:eastAsia="Arial" w:hAnsi="Arial"/>
          <w:sz w:val="14"/>
          <w:szCs w:val="14"/>
          <w:color w:val="auto"/>
        </w:rPr>
        <w:t>. The Applicable Issuing Bank shall, promptly following its receipt thereof, examine all documents purporting to represent a demand for payment under 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46" w:lineRule="exact"/>
        <w:rPr>
          <w:rFonts w:ascii="Arial" w:cs="Arial" w:eastAsia="Arial" w:hAnsi="Arial"/>
          <w:sz w:val="14"/>
          <w:szCs w:val="14"/>
          <w:color w:val="auto"/>
        </w:rPr>
      </w:pPr>
    </w:p>
    <w:p>
      <w:pPr>
        <w:jc w:val="both"/>
        <w:ind w:firstLine="532"/>
        <w:spacing w:after="0" w:line="324" w:lineRule="auto"/>
        <w:tabs>
          <w:tab w:leader="none" w:pos="844"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Interim Interest</w:t>
      </w:r>
      <w:r>
        <w:rPr>
          <w:rFonts w:ascii="Arial" w:cs="Arial" w:eastAsia="Arial" w:hAnsi="Arial"/>
          <w:sz w:val="12"/>
          <w:szCs w:val="12"/>
          <w:color w:val="auto"/>
        </w:rPr>
        <w:t>. If an Issuing Bank shall make any L/C Disbursement in respect of a Letter of Credit, then, unless the Applicable Borrower shall reimburse such L/C Disbursement in</w:t>
      </w:r>
      <w:r>
        <w:rPr>
          <w:rFonts w:ascii="Arial" w:cs="Arial" w:eastAsia="Arial" w:hAnsi="Arial"/>
          <w:sz w:val="12"/>
          <w:szCs w:val="12"/>
          <w:i w:val="1"/>
          <w:iCs w:val="1"/>
          <w:color w:val="auto"/>
        </w:rPr>
        <w:t xml:space="preserve"> </w:t>
      </w:r>
      <w:r>
        <w:rPr>
          <w:rFonts w:ascii="Arial" w:cs="Arial" w:eastAsia="Arial" w:hAnsi="Arial"/>
          <w:sz w:val="12"/>
          <w:szCs w:val="12"/>
          <w:color w:val="auto"/>
        </w:rPr>
        <w:t>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denominated in Canadian dollars), a U.S. Base Rate Loan (for Canadian Letters of Credit denominated in U.S. dollars) or, in the case of any L/C Disbursement with respect to an Australian Letter of Credit, a BBSY Rate Loan, as the case may be.</w:t>
      </w:r>
    </w:p>
    <w:p>
      <w:pPr>
        <w:spacing w:after="0" w:line="117" w:lineRule="exact"/>
        <w:rPr>
          <w:rFonts w:ascii="Arial" w:cs="Arial" w:eastAsia="Arial" w:hAnsi="Arial"/>
          <w:sz w:val="12"/>
          <w:szCs w:val="12"/>
          <w:color w:val="auto"/>
        </w:rPr>
      </w:pPr>
    </w:p>
    <w:p>
      <w:pPr>
        <w:jc w:val="both"/>
        <w:ind w:firstLine="532"/>
        <w:spacing w:after="0" w:line="312" w:lineRule="auto"/>
        <w:tabs>
          <w:tab w:leader="none" w:pos="855"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Resignation or Removal of an Issuing Bank</w:t>
      </w:r>
      <w:r>
        <w:rPr>
          <w:rFonts w:ascii="Arial" w:cs="Arial" w:eastAsia="Arial" w:hAnsi="Arial"/>
          <w:sz w:val="12"/>
          <w:szCs w:val="12"/>
          <w:color w:val="auto"/>
        </w:rPr>
        <w:t>. An Issuing Bank may resign at any time by giving 30 days’ prior written notice to the Applicable Administrative Agent, the Applicable</w:t>
      </w:r>
      <w:r>
        <w:rPr>
          <w:rFonts w:ascii="Arial" w:cs="Arial" w:eastAsia="Arial" w:hAnsi="Arial"/>
          <w:sz w:val="12"/>
          <w:szCs w:val="12"/>
          <w:i w:val="1"/>
          <w:iCs w:val="1"/>
          <w:color w:val="auto"/>
        </w:rPr>
        <w:t xml:space="preserve"> </w:t>
      </w:r>
      <w:r>
        <w:rPr>
          <w:rFonts w:ascii="Arial" w:cs="Arial" w:eastAsia="Arial" w:hAnsi="Arial"/>
          <w:sz w:val="12"/>
          <w:szCs w:val="12"/>
          <w:color w:val="auto"/>
        </w:rPr>
        <w:t>Lenders and the U.S. Borrower, and may be removed at any time by the U.S.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the Borrowers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29" w:name="page130"/>
    <w:bookmarkEnd w:id="129"/>
    <w:p>
      <w:pPr>
        <w:jc w:val="both"/>
        <w:ind w:firstLine="532"/>
        <w:spacing w:after="0" w:line="307" w:lineRule="auto"/>
        <w:tabs>
          <w:tab w:leader="none" w:pos="887"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Cash Collateralization</w:t>
      </w:r>
      <w:r>
        <w:rPr>
          <w:rFonts w:ascii="Arial" w:cs="Arial" w:eastAsia="Arial" w:hAnsi="Arial"/>
          <w:sz w:val="12"/>
          <w:szCs w:val="12"/>
          <w:color w:val="auto"/>
        </w:rPr>
        <w:t>. If (i) any Event of Default shall occur and be continuing, other than an event with respect to a Borrower described in Section 7.01(g) or (h) and a Borrower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shall receive notice from Applicable Administrative Agent or the Required U.S. Revolving Lenders, the Required Canadian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condition to issuance amendment, renewal or extension of a Letter of Credit), the Applicable Borrower shall deliver to the U.S. Collateral Agent, the Canadian Collateral Agent or the Australian Collateral Agent, as the case may be, for the benefit of the U.S. Revolving Lenders, Canadian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Collateral Agent shall establish the L/C Cash Collateral Account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Arial" w:cs="Arial" w:eastAsia="Arial" w:hAnsi="Arial"/>
          <w:sz w:val="12"/>
          <w:szCs w:val="12"/>
          <w:i w:val="1"/>
          <w:iCs w:val="1"/>
          <w:color w:val="auto"/>
        </w:rPr>
        <w:t>provided, however</w:t>
      </w:r>
      <w:r>
        <w:rPr>
          <w:rFonts w:ascii="Arial" w:cs="Arial" w:eastAsia="Arial" w:hAnsi="Arial"/>
          <w:sz w:val="12"/>
          <w:szCs w:val="12"/>
          <w:color w:val="auto"/>
        </w:rPr>
        <w:t>, that Cash Collateral furnished by or on behalf of a Loan Party shall not be released during the continuance of an Event of Default and may be otherwise applied in accordance with Section 7.06.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0" w:name="page131"/>
    <w:bookmarkEnd w:id="130"/>
    <w:p>
      <w:pPr>
        <w:jc w:val="both"/>
        <w:ind w:firstLine="532"/>
        <w:spacing w:after="0" w:line="267" w:lineRule="auto"/>
        <w:tabs>
          <w:tab w:leader="none" w:pos="888"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Additional Issuing Banks</w:t>
      </w:r>
      <w:r>
        <w:rPr>
          <w:rFonts w:ascii="Arial" w:cs="Arial" w:eastAsia="Arial" w:hAnsi="Arial"/>
          <w:sz w:val="14"/>
          <w:szCs w:val="14"/>
          <w:color w:val="auto"/>
        </w:rPr>
        <w:t>. A Borrower may, at any time and from time to time with the consent of the Applicable Administrative Agent (which consent shall not be unreasonably</w:t>
      </w:r>
      <w:r>
        <w:rPr>
          <w:rFonts w:ascii="Arial" w:cs="Arial" w:eastAsia="Arial" w:hAnsi="Arial"/>
          <w:sz w:val="14"/>
          <w:szCs w:val="14"/>
          <w:i w:val="1"/>
          <w:iCs w:val="1"/>
          <w:color w:val="auto"/>
        </w:rPr>
        <w:t xml:space="preserve"> </w:t>
      </w:r>
      <w:r>
        <w:rPr>
          <w:rFonts w:ascii="Arial" w:cs="Arial" w:eastAsia="Arial" w:hAnsi="Arial"/>
          <w:sz w:val="14"/>
          <w:szCs w:val="14"/>
          <w:color w:val="auto"/>
        </w:rPr>
        <w:t>withheld or delayed) and such Revolving Lender, designate one or more additional Lenders to act as an issuing bank under the terms of this Agreement. The acceptance of any appointment as an Issuing Bank hereunder by a Revolving Lender shall be evidenced by an agreement entered into by such Revolving Lender, in a form satisfactory to the Borrowers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49" w:lineRule="exact"/>
        <w:rPr>
          <w:rFonts w:ascii="Arial" w:cs="Arial" w:eastAsia="Arial" w:hAnsi="Arial"/>
          <w:sz w:val="14"/>
          <w:szCs w:val="14"/>
          <w:color w:val="auto"/>
        </w:rPr>
      </w:pPr>
    </w:p>
    <w:p>
      <w:pPr>
        <w:ind w:left="920" w:hanging="388"/>
        <w:spacing w:after="0"/>
        <w:tabs>
          <w:tab w:leader="none" w:pos="9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the event of any conflict between the terms hereof and the terms of any Letter of Credit Document, the terms hereof shall control.</w:t>
      </w:r>
    </w:p>
    <w:p>
      <w:pPr>
        <w:spacing w:after="0" w:line="177" w:lineRule="exact"/>
        <w:rPr>
          <w:rFonts w:ascii="Arial" w:cs="Arial" w:eastAsia="Arial" w:hAnsi="Arial"/>
          <w:sz w:val="15"/>
          <w:szCs w:val="15"/>
          <w:color w:val="auto"/>
        </w:rPr>
      </w:pPr>
    </w:p>
    <w:p>
      <w:pPr>
        <w:jc w:val="both"/>
        <w:ind w:firstLine="532"/>
        <w:spacing w:after="0" w:line="269" w:lineRule="auto"/>
        <w:tabs>
          <w:tab w:leader="none" w:pos="895"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a Canadian Borrower or any subsidiary thereof or the Australian Borrower or any Subsidiary thereof) inures to the benefit of such Borrower, and that such Borrower’s business derives substantial benefits from the businesses of such Borrower’s Subsidiaries.</w:t>
      </w:r>
    </w:p>
    <w:p>
      <w:pPr>
        <w:spacing w:after="0" w:line="146" w:lineRule="exact"/>
        <w:rPr>
          <w:rFonts w:ascii="Arial" w:cs="Arial" w:eastAsia="Arial" w:hAnsi="Arial"/>
          <w:sz w:val="14"/>
          <w:szCs w:val="14"/>
          <w:color w:val="auto"/>
        </w:rPr>
      </w:pPr>
    </w:p>
    <w:p>
      <w:pPr>
        <w:ind w:firstLine="532"/>
        <w:spacing w:after="0" w:line="259" w:lineRule="auto"/>
        <w:tabs>
          <w:tab w:leader="none" w:pos="938" w:val="left"/>
        </w:tabs>
        <w:numPr>
          <w:ilvl w:val="0"/>
          <w:numId w:val="85"/>
        </w:numPr>
        <w:rPr>
          <w:rFonts w:ascii="Arial" w:cs="Arial" w:eastAsia="Arial" w:hAnsi="Arial"/>
          <w:sz w:val="15"/>
          <w:szCs w:val="15"/>
          <w:color w:val="auto"/>
        </w:rPr>
      </w:pPr>
      <w:r>
        <w:rPr>
          <w:rFonts w:ascii="Arial" w:cs="Arial" w:eastAsia="Arial" w:hAnsi="Arial"/>
          <w:sz w:val="15"/>
          <w:szCs w:val="15"/>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48"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2.22 </w:t>
      </w:r>
      <w:r>
        <w:rPr>
          <w:rFonts w:ascii="Arial" w:cs="Arial" w:eastAsia="Arial" w:hAnsi="Arial"/>
          <w:sz w:val="15"/>
          <w:szCs w:val="15"/>
          <w:b w:val="1"/>
          <w:bCs w:val="1"/>
          <w:i w:val="1"/>
          <w:iCs w:val="1"/>
          <w:color w:val="auto"/>
        </w:rPr>
        <w:t>Bankers’ Acceptances</w:t>
      </w:r>
      <w:r>
        <w:rPr>
          <w:rFonts w:ascii="Arial" w:cs="Arial" w:eastAsia="Arial" w:hAnsi="Arial"/>
          <w:sz w:val="15"/>
          <w:szCs w:val="15"/>
          <w:color w:val="auto"/>
        </w:rPr>
        <w:t>. (a) Subject to the terms and conditions of this Agreement, each Canadian Borrower may request a Borrowing denominated in Canadian dollars</w:t>
      </w:r>
      <w:r>
        <w:rPr>
          <w:rFonts w:ascii="Arial" w:cs="Arial" w:eastAsia="Arial" w:hAnsi="Arial"/>
          <w:sz w:val="15"/>
          <w:szCs w:val="15"/>
          <w:b w:val="1"/>
          <w:bCs w:val="1"/>
          <w:color w:val="auto"/>
        </w:rPr>
        <w:t xml:space="preserve"> </w:t>
      </w:r>
      <w:r>
        <w:rPr>
          <w:rFonts w:ascii="Arial" w:cs="Arial" w:eastAsia="Arial" w:hAnsi="Arial"/>
          <w:sz w:val="15"/>
          <w:szCs w:val="15"/>
          <w:color w:val="auto"/>
        </w:rPr>
        <w:t>by presenting drafts for acceptance and, if applicable, purchase as B/As by the Canadian Lenders.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1" w:name="page132"/>
    <w:bookmarkEnd w:id="131"/>
    <w:p>
      <w:pPr>
        <w:ind w:firstLine="532"/>
        <w:spacing w:after="0" w:line="259" w:lineRule="auto"/>
        <w:tabs>
          <w:tab w:leader="none" w:pos="930" w:val="left"/>
        </w:tabs>
        <w:numPr>
          <w:ilvl w:val="0"/>
          <w:numId w:val="86"/>
        </w:numPr>
        <w:rPr>
          <w:rFonts w:ascii="Arial" w:cs="Arial" w:eastAsia="Arial" w:hAnsi="Arial"/>
          <w:sz w:val="15"/>
          <w:szCs w:val="15"/>
          <w:color w:val="auto"/>
        </w:rPr>
      </w:pPr>
      <w:r>
        <w:rPr>
          <w:rFonts w:ascii="Arial" w:cs="Arial" w:eastAsia="Arial" w:hAnsi="Arial"/>
          <w:sz w:val="15"/>
          <w:szCs w:val="15"/>
          <w:color w:val="auto"/>
        </w:rPr>
        <w:t>No Contract Period with respect to a B/A to be accepted and, if applicable, purchased as a Loan shall extend beyond the Maturity Date. All B/A Loans shall be denominated in Canadian dollars.</w:t>
      </w:r>
    </w:p>
    <w:p>
      <w:pPr>
        <w:spacing w:after="0" w:line="152" w:lineRule="exact"/>
        <w:rPr>
          <w:rFonts w:ascii="Arial" w:cs="Arial" w:eastAsia="Arial" w:hAnsi="Arial"/>
          <w:sz w:val="15"/>
          <w:szCs w:val="15"/>
          <w:color w:val="auto"/>
        </w:rPr>
      </w:pPr>
    </w:p>
    <w:p>
      <w:pPr>
        <w:jc w:val="both"/>
        <w:ind w:firstLine="532"/>
        <w:spacing w:after="0" w:line="263" w:lineRule="auto"/>
        <w:tabs>
          <w:tab w:leader="none" w:pos="922"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To facilitate availment of the B/A Loans, each Canadian Borrower hereby appoints each Canadian Lender as its attorney to sign and endorse on its behalf, in handwriting or by facsimile or mechanical signature as and when deemed necessary by such Canadian Lender, blank forms of B/As in the form requested by such Canadian Lender. Each Canadian Borrower recognizes and agrees that all B/As signed and/or endorsed on its behalf by a Canadian Lender shall bind such Canadian Borrower as fully and effectually as if signed in the handwriting of and duly issued by the proper signing officers of such Canadian Borrower. Each Canadian Lender is hereby authorized to issue such B/As endorsed in blank in such face amounts as may be determined by such Canadian Lender;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or its officers, employees, agents or representatives. Each Canadian Lender shall maintain a record with respect to B/As (i) voided by it for 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Canadian Borrower, a Canadian Lender shall cancel all forms of B/A which have been pre-signed or pre-endorsed on behalf of a Canadian Borrower and which are held by such Canadian Lender and are not required to be issued in accordance with the Canadian Borrower’s irrevocable notice. At the discretion of a Lender, Bankers’ Acceptances to be accepted by such Lender may be issued in the form of “Depository Bills” within the meaning of the </w:t>
      </w:r>
      <w:r>
        <w:rPr>
          <w:rFonts w:ascii="Arial" w:cs="Arial" w:eastAsia="Arial" w:hAnsi="Arial"/>
          <w:sz w:val="14"/>
          <w:szCs w:val="14"/>
          <w:i w:val="1"/>
          <w:iCs w:val="1"/>
          <w:color w:val="auto"/>
        </w:rPr>
        <w:t>Depository Bills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Notes Act </w:t>
      </w:r>
      <w:r>
        <w:rPr>
          <w:rFonts w:ascii="Arial" w:cs="Arial" w:eastAsia="Arial" w:hAnsi="Arial"/>
          <w:sz w:val="14"/>
          <w:szCs w:val="14"/>
          <w:color w:val="auto"/>
        </w:rPr>
        <w:t>(Canada) and deposited with the Canadian Depository for Securities Limited (“</w:t>
      </w:r>
      <w:r>
        <w:rPr>
          <w:rFonts w:ascii="Arial" w:cs="Arial" w:eastAsia="Arial" w:hAnsi="Arial"/>
          <w:sz w:val="14"/>
          <w:szCs w:val="14"/>
          <w:i w:val="1"/>
          <w:iCs w:val="1"/>
          <w:color w:val="auto"/>
        </w:rPr>
        <w:t>CDS</w:t>
      </w:r>
      <w:r>
        <w:rPr>
          <w:rFonts w:ascii="Arial" w:cs="Arial" w:eastAsia="Arial" w:hAnsi="Arial"/>
          <w:sz w:val="14"/>
          <w:szCs w:val="14"/>
          <w:color w:val="auto"/>
        </w:rPr>
        <w:t>”) and may be made payable to “CDS &amp; Co.” or in such other name as may be acceptable to CDS</w:t>
      </w:r>
      <w:r>
        <w:rPr>
          <w:rFonts w:ascii="Arial" w:cs="Arial" w:eastAsia="Arial" w:hAnsi="Arial"/>
          <w:sz w:val="14"/>
          <w:szCs w:val="14"/>
          <w:i w:val="1"/>
          <w:iCs w:val="1"/>
          <w:color w:val="auto"/>
        </w:rPr>
        <w:t xml:space="preserve"> </w:t>
      </w:r>
      <w:r>
        <w:rPr>
          <w:rFonts w:ascii="Arial" w:cs="Arial" w:eastAsia="Arial" w:hAnsi="Arial"/>
          <w:sz w:val="14"/>
          <w:szCs w:val="14"/>
          <w:color w:val="auto"/>
        </w:rPr>
        <w:t>and thereafter dealt with in accordance with the rules and procedures of CDS, consistent with the terms of this Agreement. All Depository Bills so issued shall be governed by the provisions of this Section 2.22.</w:t>
      </w:r>
    </w:p>
    <w:p>
      <w:pPr>
        <w:spacing w:after="0" w:line="152" w:lineRule="exact"/>
        <w:rPr>
          <w:rFonts w:ascii="Arial" w:cs="Arial" w:eastAsia="Arial" w:hAnsi="Arial"/>
          <w:sz w:val="14"/>
          <w:szCs w:val="14"/>
          <w:color w:val="auto"/>
        </w:rPr>
      </w:pPr>
    </w:p>
    <w:p>
      <w:pPr>
        <w:jc w:val="both"/>
        <w:ind w:firstLine="532"/>
        <w:spacing w:after="0" w:line="343" w:lineRule="auto"/>
        <w:tabs>
          <w:tab w:leader="none" w:pos="904" w:val="left"/>
        </w:tabs>
        <w:numPr>
          <w:ilvl w:val="0"/>
          <w:numId w:val="86"/>
        </w:numPr>
        <w:rPr>
          <w:rFonts w:ascii="Arial" w:cs="Arial" w:eastAsia="Arial" w:hAnsi="Arial"/>
          <w:sz w:val="12"/>
          <w:szCs w:val="12"/>
          <w:color w:val="auto"/>
        </w:rPr>
      </w:pPr>
      <w:r>
        <w:rPr>
          <w:rFonts w:ascii="Arial" w:cs="Arial" w:eastAsia="Arial" w:hAnsi="Arial"/>
          <w:sz w:val="12"/>
          <w:szCs w:val="12"/>
          <w:color w:val="auto"/>
        </w:rPr>
        <w:t>Drafts of a Canadian Borrower to be accepted as B/As hereunder shall be signed as set forth in this Section 2.22. Notwithstanding that any person whose signature appears on any B/A may no longer be an authorized signatory for any of the Canadian Lenders or the applicable Canadian Borrower at the date of issuance of a B/A, such signature shall nevertheless be valid and sufficient for all purposes as if such authority had remained in force at the time of such issuance and any such B/A so signed shall be binding on such Canadian Borrower.</w:t>
      </w:r>
    </w:p>
    <w:p>
      <w:pPr>
        <w:spacing w:after="0" w:line="107" w:lineRule="exact"/>
        <w:rPr>
          <w:rFonts w:ascii="Arial" w:cs="Arial" w:eastAsia="Arial" w:hAnsi="Arial"/>
          <w:sz w:val="12"/>
          <w:szCs w:val="12"/>
          <w:color w:val="auto"/>
        </w:rPr>
      </w:pPr>
    </w:p>
    <w:p>
      <w:pPr>
        <w:jc w:val="both"/>
        <w:ind w:firstLine="532"/>
        <w:spacing w:after="0" w:line="330" w:lineRule="auto"/>
        <w:tabs>
          <w:tab w:leader="none" w:pos="888"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Promptly following receipt of a notice of borrowing, continuation or conversion of B/As, the Canadian Administrative Agent shall so advise the Canadian Lenders and shall advise each Canadian Lender of the aggregate face amount of the B/As to be accepted by it and the applicable Contract Period (which shall be identical for all Canadian Lenders). The aggregate face amount of the B/As to be accepted by a Canadian Lender shall be in an integral multiple of C$100,000 and such face amount shall be in each Canadian Lender’s pro rata portion of such Canadian Borrowing; </w:t>
      </w:r>
      <w:r>
        <w:rPr>
          <w:rFonts w:ascii="Arial" w:cs="Arial" w:eastAsia="Arial" w:hAnsi="Arial"/>
          <w:sz w:val="12"/>
          <w:szCs w:val="12"/>
          <w:i w:val="1"/>
          <w:iCs w:val="1"/>
          <w:color w:val="auto"/>
        </w:rPr>
        <w:t>provided</w:t>
      </w:r>
      <w:r>
        <w:rPr>
          <w:rFonts w:ascii="Arial" w:cs="Arial" w:eastAsia="Arial" w:hAnsi="Arial"/>
          <w:sz w:val="12"/>
          <w:szCs w:val="12"/>
          <w:color w:val="auto"/>
        </w:rPr>
        <w:t>, that the Canadian Administrative Agent may, in its sole discretion, increase or reduce any Canadian Lender’s portion of such B/A to the nearest C$100,000.</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2" w:name="page133"/>
    <w:bookmarkEnd w:id="132"/>
    <w:p>
      <w:pPr>
        <w:jc w:val="both"/>
        <w:ind w:firstLine="532"/>
        <w:spacing w:after="0" w:line="269" w:lineRule="auto"/>
        <w:tabs>
          <w:tab w:leader="none" w:pos="86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applicable Canadian Borrower may specify in a notice of borrowing or conversion or continuation pursuant to Section 2.03 or Section 2.10, respectively, that it desires that any B/As requested by such notice be purchased by the Canadian Lenders, in which case the Canadian Lenders shall purchase, or arrange the purchase of, each B/A from such Canadian Borrower at the B/A Discount Rate for such Canadian Lender applicable to such B/A accepted by it and provide to the Canadian Administrative Agent the Discount Proceeds for the account of such Canadian Borrower. The Acceptance Fee payable by such Canadian Borrower to a Canadian Lender under Section 2.06 in respect of each B/A accepted by such Canadian Lender shall be set off against the Discount Proceeds payable by such Canadian Lender under this Section 2.22.</w:t>
      </w:r>
    </w:p>
    <w:p>
      <w:pPr>
        <w:spacing w:after="0" w:line="146" w:lineRule="exact"/>
        <w:rPr>
          <w:rFonts w:ascii="Arial" w:cs="Arial" w:eastAsia="Arial" w:hAnsi="Arial"/>
          <w:sz w:val="14"/>
          <w:szCs w:val="14"/>
          <w:color w:val="auto"/>
        </w:rPr>
      </w:pPr>
    </w:p>
    <w:p>
      <w:pPr>
        <w:ind w:left="880" w:hanging="348"/>
        <w:spacing w:after="0"/>
        <w:tabs>
          <w:tab w:leader="none" w:pos="8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Each Canadian Lender may at any time and from time to time hold, sell, rediscount or otherwise dispose of any or all B/As accepted and purchased by it.</w:t>
      </w:r>
    </w:p>
    <w:p>
      <w:pPr>
        <w:spacing w:after="0" w:line="177" w:lineRule="exact"/>
        <w:rPr>
          <w:rFonts w:ascii="Arial" w:cs="Arial" w:eastAsia="Arial" w:hAnsi="Arial"/>
          <w:sz w:val="15"/>
          <w:szCs w:val="15"/>
          <w:color w:val="auto"/>
        </w:rPr>
      </w:pPr>
    </w:p>
    <w:p>
      <w:pPr>
        <w:jc w:val="both"/>
        <w:ind w:firstLine="532"/>
        <w:spacing w:after="0" w:line="264" w:lineRule="auto"/>
        <w:tabs>
          <w:tab w:leader="none" w:pos="9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Arial" w:cs="Arial" w:eastAsia="Arial" w:hAnsi="Arial"/>
          <w:sz w:val="14"/>
          <w:szCs w:val="14"/>
          <w:i w:val="1"/>
          <w:iCs w:val="1"/>
          <w:color w:val="auto"/>
        </w:rPr>
        <w:t>B/A Equivalent Loan</w:t>
      </w:r>
      <w:r>
        <w:rPr>
          <w:rFonts w:ascii="Arial" w:cs="Arial" w:eastAsia="Arial" w:hAnsi="Arial"/>
          <w:sz w:val="14"/>
          <w:szCs w:val="14"/>
          <w:color w:val="auto"/>
        </w:rPr>
        <w:t>”) to the applicable Canadian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Canadian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Canadian Borrowers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of the Canadian Borrower, denominated in Canadian Dollars, executed and delivered by the applicable Canadian Borrower to such Canadian Lender, substantially in the form of Exhibit H.</w:t>
      </w:r>
    </w:p>
    <w:p>
      <w:pPr>
        <w:spacing w:after="0" w:line="152" w:lineRule="exact"/>
        <w:rPr>
          <w:rFonts w:ascii="Arial" w:cs="Arial" w:eastAsia="Arial" w:hAnsi="Arial"/>
          <w:sz w:val="14"/>
          <w:szCs w:val="14"/>
          <w:color w:val="auto"/>
        </w:rPr>
      </w:pPr>
    </w:p>
    <w:p>
      <w:pPr>
        <w:jc w:val="both"/>
        <w:ind w:firstLine="532"/>
        <w:spacing w:after="0" w:line="320" w:lineRule="auto"/>
        <w:tabs>
          <w:tab w:leader="none" w:pos="844" w:val="left"/>
        </w:tabs>
        <w:numPr>
          <w:ilvl w:val="0"/>
          <w:numId w:val="87"/>
        </w:numPr>
        <w:rPr>
          <w:rFonts w:ascii="Arial" w:cs="Arial" w:eastAsia="Arial" w:hAnsi="Arial"/>
          <w:sz w:val="12"/>
          <w:szCs w:val="12"/>
          <w:color w:val="auto"/>
        </w:rPr>
      </w:pPr>
      <w:r>
        <w:rPr>
          <w:rFonts w:ascii="Arial" w:cs="Arial" w:eastAsia="Arial" w:hAnsi="Arial"/>
          <w:sz w:val="12"/>
          <w:szCs w:val="12"/>
          <w:color w:val="auto"/>
        </w:rPr>
        <w:t>Each Canadian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each Canadian Borrower agrees not to claim any days of grace if such Canadian Lender as holder sues such Canadian Borrower on the B/A for payment of the amount payable by such Canadian Borrower thereunder. On the last day of the Contract Period of a B/A, or such earlier date as may be required or permitted pursuant to the provisions of this Agreement, the applicable Canadian Borrower shall pay the Canadian Lender that has accepted and purchased such B/A the full face amount of such B/A and after such payment, such Canadian Borrower shall have no further liability in respect of such B/A and such Canadian Lender shall be entitled to all benefits of, and be responsible for all payments due to third parties under, such B/A.</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3" w:name="page134"/>
    <w:bookmarkEnd w:id="133"/>
    <w:p>
      <w:pPr>
        <w:ind w:firstLine="532"/>
        <w:spacing w:after="0" w:line="259" w:lineRule="auto"/>
        <w:tabs>
          <w:tab w:leader="none" w:pos="852"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Except as required by any Canadian Lender upon the occurrence of an Event of Default, no B/A Loan may be repaid by a Canadian Borrower prior to the expiry date of the Contract Period applicable to such B/A Loan;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B/A Loan may be defeased as provided in the proviso to Section 2.11(a).</w:t>
      </w:r>
    </w:p>
    <w:p>
      <w:pPr>
        <w:spacing w:after="0" w:line="152" w:lineRule="exact"/>
        <w:rPr>
          <w:rFonts w:ascii="Arial" w:cs="Arial" w:eastAsia="Arial" w:hAnsi="Arial"/>
          <w:sz w:val="15"/>
          <w:szCs w:val="15"/>
          <w:color w:val="auto"/>
        </w:rPr>
      </w:pPr>
    </w:p>
    <w:p>
      <w:pPr>
        <w:jc w:val="both"/>
        <w:ind w:firstLine="532"/>
        <w:spacing w:after="0" w:line="263" w:lineRule="auto"/>
        <w:tabs>
          <w:tab w:leader="none" w:pos="876" w:val="left"/>
        </w:tabs>
        <w:numPr>
          <w:ilvl w:val="0"/>
          <w:numId w:val="88"/>
        </w:numPr>
        <w:rPr>
          <w:rFonts w:ascii="Arial" w:cs="Arial" w:eastAsia="Arial" w:hAnsi="Arial"/>
          <w:sz w:val="14"/>
          <w:szCs w:val="14"/>
          <w:color w:val="auto"/>
        </w:rPr>
      </w:pPr>
      <w:r>
        <w:rPr>
          <w:rFonts w:ascii="Arial" w:cs="Arial" w:eastAsia="Arial" w:hAnsi="Arial"/>
          <w:sz w:val="14"/>
          <w:szCs w:val="14"/>
          <w:color w:val="auto"/>
        </w:rPr>
        <w:t>With respect to any repayment of unmatured B/A’s pursuant to the proviso to Section 2.11(a) or otherwise hereunder, it is agreed that the applicable Canadian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Arial" w:cs="Arial" w:eastAsia="Arial" w:hAnsi="Arial"/>
          <w:sz w:val="14"/>
          <w:szCs w:val="14"/>
          <w:u w:val="single" w:color="auto"/>
          <w:color w:val="auto"/>
        </w:rPr>
        <w:t>Outstanding BAs Collateral</w:t>
      </w:r>
      <w:r>
        <w:rPr>
          <w:rFonts w:ascii="Arial" w:cs="Arial" w:eastAsia="Arial" w:hAnsi="Arial"/>
          <w:sz w:val="14"/>
          <w:szCs w:val="14"/>
          <w:color w:val="auto"/>
        </w:rPr>
        <w:t>”) shall be assigned to the Canadian Administrative Agent as security for the obligations of the applicable Canadian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applicable Canadian Borrower for such B/A’s as they mature and the Canadian Administrative Agent is hereby irrevocably directed by the applicable Canadian Borrower to apply any such Outstanding BAs Collateral to such maturing B/A’s. The Outstanding BAs Collateral created herein shall not be released to the applicable Canadian Borrower prior to the maturity of the applicable B/As without the consent of the Canadian Lenders; however, interest on such deposited amounts shall be for the account of the applicable Canadian Borrower and may be withdrawn by the applicable Canadian Borrower so long as no Default or Event of Default is then continuing. If, after maturity of the B/A’s for which such Outstanding BAs Collateral is held and application by the Canadian Administrative Agent of the Outstanding BAs Collateral to satisfy the obligations of the applicable Canadian Borrower hereunder with respect to the B/A’s being repaid, any interest or other proceeds of the Outstanding BAs Collateral remains, such interest or other proceeds shall be promptly paid and transferred by the Canadian Administrative Agent to the applicable Canadian Borrower so long as no Default or Event of Default is then continuing.</w:t>
      </w:r>
    </w:p>
    <w:p>
      <w:pPr>
        <w:spacing w:after="0" w:line="14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2.23</w:t>
      </w:r>
      <w:r>
        <w:rPr>
          <w:sz w:val="20"/>
          <w:szCs w:val="20"/>
          <w:color w:val="auto"/>
        </w:rPr>
        <w:tab/>
      </w:r>
      <w:r>
        <w:rPr>
          <w:rFonts w:ascii="Arial" w:cs="Arial" w:eastAsia="Arial" w:hAnsi="Arial"/>
          <w:sz w:val="12"/>
          <w:szCs w:val="12"/>
          <w:b w:val="1"/>
          <w:bCs w:val="1"/>
          <w:i w:val="1"/>
          <w:iCs w:val="1"/>
          <w:color w:val="auto"/>
        </w:rPr>
        <w:t>Swing Line Loans</w:t>
      </w:r>
      <w:r>
        <w:rPr>
          <w:rFonts w:ascii="Arial" w:cs="Arial" w:eastAsia="Arial" w:hAnsi="Arial"/>
          <w:sz w:val="12"/>
          <w:szCs w:val="12"/>
          <w:color w:val="auto"/>
        </w:rPr>
        <w:t>.</w:t>
      </w:r>
    </w:p>
    <w:p>
      <w:pPr>
        <w:spacing w:after="0" w:line="225" w:lineRule="exact"/>
        <w:rPr>
          <w:sz w:val="20"/>
          <w:szCs w:val="20"/>
          <w:color w:val="auto"/>
        </w:rPr>
      </w:pPr>
    </w:p>
    <w:p>
      <w:pPr>
        <w:ind w:left="880" w:hanging="348"/>
        <w:spacing w:after="0"/>
        <w:tabs>
          <w:tab w:leader="none" w:pos="88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Generally</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jc w:val="both"/>
        <w:ind w:left="540" w:firstLine="517"/>
        <w:spacing w:after="0" w:line="263" w:lineRule="auto"/>
        <w:tabs>
          <w:tab w:leader="none" w:pos="1471" w:val="left"/>
        </w:tabs>
        <w:numPr>
          <w:ilvl w:val="1"/>
          <w:numId w:val="89"/>
        </w:numPr>
        <w:rPr>
          <w:rFonts w:ascii="Arial" w:cs="Arial" w:eastAsia="Arial" w:hAnsi="Arial"/>
          <w:sz w:val="14"/>
          <w:szCs w:val="14"/>
          <w:color w:val="auto"/>
        </w:rPr>
      </w:pPr>
      <w:r>
        <w:rPr>
          <w:rFonts w:ascii="Arial" w:cs="Arial" w:eastAsia="Arial" w:hAnsi="Arial"/>
          <w:sz w:val="14"/>
          <w:szCs w:val="14"/>
          <w:i w:val="1"/>
          <w:iCs w:val="1"/>
          <w:color w:val="auto"/>
        </w:rPr>
        <w:t>The U.S. Swing Line</w:t>
      </w:r>
      <w:r>
        <w:rPr>
          <w:rFonts w:ascii="Arial" w:cs="Arial" w:eastAsia="Arial" w:hAnsi="Arial"/>
          <w:sz w:val="14"/>
          <w:szCs w:val="14"/>
          <w:color w:val="auto"/>
        </w:rPr>
        <w:t>. Subject to the terms and conditions set forth herein, and if an AutoBorrow Agreement is in effect, subject to the terms and conditions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AutoBorrow Agreement, the U.S. Swing Line Lender may in its sole and absolute discretion, in reliance upon the agreements of the other U.S. Revolving Lenders set forth in this Section 2.23, make loans in U.S. Dollars (each such loan, a “</w:t>
      </w:r>
      <w:r>
        <w:rPr>
          <w:rFonts w:ascii="Arial" w:cs="Arial" w:eastAsia="Arial" w:hAnsi="Arial"/>
          <w:sz w:val="14"/>
          <w:szCs w:val="14"/>
          <w:i w:val="1"/>
          <w:iCs w:val="1"/>
          <w:color w:val="auto"/>
        </w:rPr>
        <w:t>U.S. Swing Line Loan</w:t>
      </w:r>
      <w:r>
        <w:rPr>
          <w:rFonts w:ascii="Arial" w:cs="Arial" w:eastAsia="Arial" w:hAnsi="Arial"/>
          <w:sz w:val="14"/>
          <w:szCs w:val="14"/>
          <w:color w:val="auto"/>
        </w:rPr>
        <w:t xml:space="preserve">”) to the U.S. Borrower from time to time on or after the Funding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times the amount of such U.S. Swing Line Loan. Each U.S. Revolving Lender shall have the obligation to purchase and fund risk participations in the U.S. Swing Line Loans and to refinance U.S. Swing Line Loans as provided in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4" w:name="page135"/>
    <w:bookmarkEnd w:id="134"/>
    <w:p>
      <w:pPr>
        <w:jc w:val="both"/>
        <w:ind w:left="8" w:firstLine="517"/>
        <w:spacing w:after="0" w:line="306" w:lineRule="auto"/>
        <w:tabs>
          <w:tab w:leader="none" w:pos="925" w:val="left"/>
        </w:tabs>
        <w:numPr>
          <w:ilvl w:val="1"/>
          <w:numId w:val="90"/>
        </w:numPr>
        <w:rPr>
          <w:rFonts w:ascii="Arial" w:cs="Arial" w:eastAsia="Arial" w:hAnsi="Arial"/>
          <w:sz w:val="12"/>
          <w:szCs w:val="12"/>
          <w:color w:val="auto"/>
        </w:rPr>
      </w:pPr>
      <w:r>
        <w:rPr>
          <w:rFonts w:ascii="Arial" w:cs="Arial" w:eastAsia="Arial" w:hAnsi="Arial"/>
          <w:sz w:val="12"/>
          <w:szCs w:val="12"/>
          <w:i w:val="1"/>
          <w:iCs w:val="1"/>
          <w:color w:val="auto"/>
        </w:rPr>
        <w:t>The Canadian Swing Line</w:t>
      </w:r>
      <w:r>
        <w:rPr>
          <w:rFonts w:ascii="Arial" w:cs="Arial" w:eastAsia="Arial" w:hAnsi="Arial"/>
          <w:sz w:val="12"/>
          <w:szCs w:val="12"/>
          <w:color w:val="auto"/>
        </w:rPr>
        <w:t>. Subject to the terms and conditions set forth herein, and if an AutoBorrow Agreement is in effect, subject to the terms and conditions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AutoBorrow Agreement, the Canadian Swing Line Lender may in its sole and absolute discretion, in reliance upon the agreements of the other Canadian Lenders set forth in this Section 2.23, make loans in Canadian dollars or U.S. Dollars (each such loan, a “</w:t>
      </w:r>
      <w:r>
        <w:rPr>
          <w:rFonts w:ascii="Arial" w:cs="Arial" w:eastAsia="Arial" w:hAnsi="Arial"/>
          <w:sz w:val="12"/>
          <w:szCs w:val="12"/>
          <w:i w:val="1"/>
          <w:iCs w:val="1"/>
          <w:color w:val="auto"/>
        </w:rPr>
        <w:t>Canadian Swing Line Loan</w:t>
      </w:r>
      <w:r>
        <w:rPr>
          <w:rFonts w:ascii="Arial" w:cs="Arial" w:eastAsia="Arial" w:hAnsi="Arial"/>
          <w:sz w:val="12"/>
          <w:szCs w:val="12"/>
          <w:color w:val="auto"/>
        </w:rPr>
        <w:t xml:space="preserve">”) to either Canadian Borrower from time to time on or after the Funding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after giving effect to any Canadian Swing Line Loan,</w:t>
      </w:r>
    </w:p>
    <w:p>
      <w:pPr>
        <w:spacing w:after="0" w:line="2" w:lineRule="exact"/>
        <w:rPr>
          <w:rFonts w:ascii="Arial" w:cs="Arial" w:eastAsia="Arial" w:hAnsi="Arial"/>
          <w:sz w:val="12"/>
          <w:szCs w:val="12"/>
          <w:color w:val="auto"/>
        </w:rPr>
      </w:pPr>
    </w:p>
    <w:p>
      <w:pPr>
        <w:jc w:val="both"/>
        <w:ind w:left="8" w:hanging="8"/>
        <w:spacing w:after="0" w:line="314" w:lineRule="auto"/>
        <w:tabs>
          <w:tab w:leader="none" w:pos="183"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the aggregate Canadian Revolving Credit Exposure of all Canadian Lenders shall not exceed the Total Canadian Revolving Commitments at such time, and (ii) the Canadian Revolving Credit Exposure of each Canadian Lender at such time shall not exceed such Lender’s Canadian Revolving Commitment,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the Canadian Borrower shall not use the proceeds of any Canadian Swing Line Loan to refinance any outstanding Canadian Swing Line Loan. Within the foregoing limits, the Canadian Borrower may borrow under this Section 2.23(a), prepay under Section 2.11, and reborrow under this Section 2.23(a). Immediately upon the making of a Canadian Swing Line Loan, each Canadian Lender shall be deemed to, and hereby irrevocably and unconditionally agrees to, purchase from the Canadian Swing Line Lender a risk participation in such Canadian Swing Line Loan in an amount equal to the product of such Canadian Lender’s Canadian Revolving Pro Rata Percentage times the amount of such Canadian Swing Line Loan. Each Canadian Lender shall have the obligation to purchase and fund risk participations in the Canadian Swing Line Loans and to refinance Canadian Swing Line Loans as provided in this Agreement.</w:t>
      </w:r>
    </w:p>
    <w:p>
      <w:pPr>
        <w:spacing w:after="0" w:line="323" w:lineRule="exact"/>
        <w:rPr>
          <w:sz w:val="20"/>
          <w:szCs w:val="20"/>
          <w:color w:val="auto"/>
        </w:rPr>
      </w:pPr>
    </w:p>
    <w:p>
      <w:pPr>
        <w:jc w:val="center"/>
        <w:ind w:right="512"/>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60960</wp:posOffset>
            </wp:positionV>
            <wp:extent cx="7292340" cy="33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8"/>
          </w:cols>
          <w:pgMar w:left="752" w:top="500" w:right="219" w:bottom="1440" w:gutter="0" w:footer="0" w:header="0"/>
        </w:sectPr>
      </w:pPr>
    </w:p>
    <w:bookmarkStart w:id="135" w:name="page136"/>
    <w:bookmarkEnd w:id="135"/>
    <w:p>
      <w:pPr>
        <w:jc w:val="both"/>
        <w:ind w:firstLine="532"/>
        <w:spacing w:after="0" w:line="309" w:lineRule="auto"/>
        <w:tabs>
          <w:tab w:leader="none" w:pos="909"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Borrowing Procedures</w:t>
      </w:r>
      <w:r>
        <w:rPr>
          <w:rFonts w:ascii="Arial" w:cs="Arial" w:eastAsia="Arial" w:hAnsi="Arial"/>
          <w:sz w:val="12"/>
          <w:szCs w:val="12"/>
          <w:color w:val="auto"/>
        </w:rPr>
        <w:t>. . If an AutoBorrow Agreement is in effect, each Swing Line Borrowing shall be made as provided in such AutoBorrow Agreement. Otherwise, in order to</w:t>
      </w:r>
      <w:r>
        <w:rPr>
          <w:rFonts w:ascii="Arial" w:cs="Arial" w:eastAsia="Arial" w:hAnsi="Arial"/>
          <w:sz w:val="12"/>
          <w:szCs w:val="12"/>
          <w:i w:val="1"/>
          <w:iCs w:val="1"/>
          <w:color w:val="auto"/>
        </w:rPr>
        <w:t xml:space="preserve"> </w:t>
      </w:r>
      <w:r>
        <w:rPr>
          <w:rFonts w:ascii="Arial" w:cs="Arial" w:eastAsia="Arial" w:hAnsi="Arial"/>
          <w:sz w:val="12"/>
          <w:szCs w:val="12"/>
          <w:color w:val="auto"/>
        </w:rPr>
        <w:t>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and (ii)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307" w:lineRule="exact"/>
        <w:rPr>
          <w:rFonts w:ascii="Arial" w:cs="Arial" w:eastAsia="Arial" w:hAnsi="Arial"/>
          <w:sz w:val="12"/>
          <w:szCs w:val="12"/>
          <w:color w:val="auto"/>
        </w:rPr>
      </w:pPr>
    </w:p>
    <w:p>
      <w:pPr>
        <w:jc w:val="both"/>
        <w:ind w:firstLine="532"/>
        <w:spacing w:after="0" w:line="263" w:lineRule="auto"/>
        <w:tabs>
          <w:tab w:leader="none" w:pos="901" w:val="left"/>
        </w:tabs>
        <w:numPr>
          <w:ilvl w:val="0"/>
          <w:numId w:val="92"/>
        </w:numPr>
        <w:rPr>
          <w:rFonts w:ascii="Arial" w:cs="Arial" w:eastAsia="Arial" w:hAnsi="Arial"/>
          <w:sz w:val="14"/>
          <w:szCs w:val="14"/>
          <w:color w:val="auto"/>
        </w:rPr>
      </w:pPr>
      <w:r>
        <w:rPr>
          <w:rFonts w:ascii="Arial" w:cs="Arial" w:eastAsia="Arial" w:hAnsi="Arial"/>
          <w:sz w:val="14"/>
          <w:szCs w:val="14"/>
          <w:i w:val="1"/>
          <w:iCs w:val="1"/>
          <w:color w:val="auto"/>
        </w:rPr>
        <w:t>Refinancing of Swing Line Loans</w:t>
      </w:r>
      <w:r>
        <w:rPr>
          <w:rFonts w:ascii="Arial" w:cs="Arial" w:eastAsia="Arial" w:hAnsi="Arial"/>
          <w:sz w:val="14"/>
          <w:szCs w:val="14"/>
          <w:color w:val="auto"/>
        </w:rPr>
        <w:t>. (i) The Applicable Swing Line Lender at any time in its sole and absolute discretion may request, on behalf of the Applicable Borrower (which</w:t>
      </w:r>
      <w:r>
        <w:rPr>
          <w:rFonts w:ascii="Arial" w:cs="Arial" w:eastAsia="Arial" w:hAnsi="Arial"/>
          <w:sz w:val="14"/>
          <w:szCs w:val="14"/>
          <w:i w:val="1"/>
          <w:iCs w:val="1"/>
          <w:color w:val="auto"/>
        </w:rPr>
        <w:t xml:space="preserve"> </w:t>
      </w:r>
      <w:r>
        <w:rPr>
          <w:rFonts w:ascii="Arial" w:cs="Arial" w:eastAsia="Arial" w:hAnsi="Arial"/>
          <w:sz w:val="14"/>
          <w:szCs w:val="14"/>
          <w:color w:val="auto"/>
        </w:rPr>
        <w:t>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6" w:name="page137"/>
    <w:bookmarkEnd w:id="136"/>
    <w:p>
      <w:pPr>
        <w:jc w:val="both"/>
        <w:ind w:firstLine="517"/>
        <w:spacing w:after="0" w:line="247" w:lineRule="auto"/>
        <w:tabs>
          <w:tab w:leader="none" w:pos="913"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for any reason any Swing Line Loan cannot be refinanced by such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161" w:lineRule="exact"/>
        <w:rPr>
          <w:rFonts w:ascii="Arial" w:cs="Arial" w:eastAsia="Arial" w:hAnsi="Arial"/>
          <w:sz w:val="15"/>
          <w:szCs w:val="15"/>
          <w:color w:val="auto"/>
        </w:rPr>
      </w:pPr>
    </w:p>
    <w:p>
      <w:pPr>
        <w:jc w:val="both"/>
        <w:ind w:firstLine="517"/>
        <w:spacing w:after="0" w:line="315" w:lineRule="auto"/>
        <w:tabs>
          <w:tab w:leader="none" w:pos="95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plus any administrative, processing or similar fees customarily charged by the Applicable Swing Line Lender in connection with the foregoing.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24" w:lineRule="exact"/>
        <w:rPr>
          <w:rFonts w:ascii="Arial" w:cs="Arial" w:eastAsia="Arial" w:hAnsi="Arial"/>
          <w:sz w:val="12"/>
          <w:szCs w:val="12"/>
          <w:color w:val="auto"/>
        </w:rPr>
      </w:pPr>
    </w:p>
    <w:p>
      <w:pPr>
        <w:jc w:val="both"/>
        <w:ind w:firstLine="517"/>
        <w:spacing w:after="0" w:line="267" w:lineRule="auto"/>
        <w:tabs>
          <w:tab w:leader="none" w:pos="917"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34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60960</wp:posOffset>
            </wp:positionV>
            <wp:extent cx="7292340" cy="33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0"/>
          </w:cols>
          <w:pgMar w:left="760" w:top="500" w:right="219" w:bottom="1440" w:gutter="0" w:footer="0" w:header="0"/>
        </w:sectPr>
      </w:pPr>
    </w:p>
    <w:bookmarkStart w:id="137" w:name="page138"/>
    <w:bookmarkEnd w:id="137"/>
    <w:p>
      <w:pPr>
        <w:jc w:val="both"/>
        <w:ind w:firstLine="532"/>
        <w:spacing w:after="0" w:line="251" w:lineRule="auto"/>
        <w:tabs>
          <w:tab w:leader="none" w:pos="887"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Repayment of Participations</w:t>
      </w:r>
      <w:r>
        <w:rPr>
          <w:rFonts w:ascii="Arial" w:cs="Arial" w:eastAsia="Arial" w:hAnsi="Arial"/>
          <w:sz w:val="15"/>
          <w:szCs w:val="15"/>
          <w:color w:val="auto"/>
        </w:rPr>
        <w:t>. (i) At any time after any Applicable Lender has purchased and funded a risk participation in a Swing Line Loan, if the Applicable Swing Line Lender</w:t>
      </w:r>
      <w:r>
        <w:rPr>
          <w:rFonts w:ascii="Arial" w:cs="Arial" w:eastAsia="Arial" w:hAnsi="Arial"/>
          <w:sz w:val="15"/>
          <w:szCs w:val="15"/>
          <w:i w:val="1"/>
          <w:iCs w:val="1"/>
          <w:color w:val="auto"/>
        </w:rPr>
        <w:t xml:space="preserve"> </w:t>
      </w:r>
      <w:r>
        <w:rPr>
          <w:rFonts w:ascii="Arial" w:cs="Arial" w:eastAsia="Arial" w:hAnsi="Arial"/>
          <w:sz w:val="15"/>
          <w:szCs w:val="15"/>
          <w:color w:val="auto"/>
        </w:rPr>
        <w:t>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58" w:lineRule="exact"/>
        <w:rPr>
          <w:rFonts w:ascii="Arial" w:cs="Arial" w:eastAsia="Arial" w:hAnsi="Arial"/>
          <w:sz w:val="15"/>
          <w:szCs w:val="15"/>
          <w:color w:val="auto"/>
        </w:rPr>
      </w:pPr>
    </w:p>
    <w:p>
      <w:pPr>
        <w:jc w:val="both"/>
        <w:ind w:left="540" w:firstLine="517"/>
        <w:spacing w:after="0" w:line="246" w:lineRule="auto"/>
        <w:tabs>
          <w:tab w:leader="none" w:pos="1425" w:val="left"/>
        </w:tabs>
        <w:numPr>
          <w:ilvl w:val="1"/>
          <w:numId w:val="94"/>
        </w:numPr>
        <w:rPr>
          <w:rFonts w:ascii="Arial" w:cs="Arial" w:eastAsia="Arial" w:hAnsi="Arial"/>
          <w:sz w:val="15"/>
          <w:szCs w:val="15"/>
          <w:color w:val="auto"/>
        </w:rPr>
      </w:pPr>
      <w:r>
        <w:rPr>
          <w:rFonts w:ascii="Arial" w:cs="Arial" w:eastAsia="Arial" w:hAnsi="Arial"/>
          <w:sz w:val="15"/>
          <w:szCs w:val="15"/>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Revolving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63" w:lineRule="exact"/>
        <w:rPr>
          <w:rFonts w:ascii="Arial" w:cs="Arial" w:eastAsia="Arial" w:hAnsi="Arial"/>
          <w:sz w:val="15"/>
          <w:szCs w:val="15"/>
          <w:color w:val="auto"/>
        </w:rPr>
      </w:pPr>
    </w:p>
    <w:p>
      <w:pPr>
        <w:jc w:val="both"/>
        <w:ind w:firstLine="532"/>
        <w:spacing w:after="0" w:line="277" w:lineRule="auto"/>
        <w:tabs>
          <w:tab w:leader="none" w:pos="912"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Interest for Account of Swing Line Lender</w:t>
      </w:r>
      <w:r>
        <w:rPr>
          <w:rFonts w:ascii="Arial" w:cs="Arial" w:eastAsia="Arial" w:hAnsi="Arial"/>
          <w:sz w:val="14"/>
          <w:szCs w:val="14"/>
          <w:color w:val="auto"/>
        </w:rPr>
        <w:t>. The Applicable Swing Line Lender shall be responsible for invoicing the Applicable Borrower for interest on the Swing Line Loans.</w:t>
      </w:r>
      <w:r>
        <w:rPr>
          <w:rFonts w:ascii="Arial" w:cs="Arial" w:eastAsia="Arial" w:hAnsi="Arial"/>
          <w:sz w:val="14"/>
          <w:szCs w:val="14"/>
          <w:i w:val="1"/>
          <w:iCs w:val="1"/>
          <w:color w:val="auto"/>
        </w:rPr>
        <w:t xml:space="preserve"> </w:t>
      </w:r>
      <w:r>
        <w:rPr>
          <w:rFonts w:ascii="Arial" w:cs="Arial" w:eastAsia="Arial" w:hAnsi="Arial"/>
          <w:sz w:val="14"/>
          <w:szCs w:val="14"/>
          <w:color w:val="auto"/>
        </w:rPr>
        <w:t>Until each Applicable Lender funds its Loan or risk participation pursuant to this Section 2.23 to refinance such Applicable Lender’s Applicable Revolving Pro Rata Percentage of any Swing Line Loan, interest in respect of such Applicable Revolving Pro Rata Percentage shall be solely for the account of the Applicable Swing Line Lender.</w:t>
      </w:r>
    </w:p>
    <w:p>
      <w:pPr>
        <w:spacing w:after="0" w:line="141" w:lineRule="exact"/>
        <w:rPr>
          <w:rFonts w:ascii="Arial" w:cs="Arial" w:eastAsia="Arial" w:hAnsi="Arial"/>
          <w:sz w:val="14"/>
          <w:szCs w:val="14"/>
          <w:color w:val="auto"/>
        </w:rPr>
      </w:pPr>
    </w:p>
    <w:p>
      <w:pPr>
        <w:ind w:firstLine="532"/>
        <w:spacing w:after="0" w:line="259" w:lineRule="auto"/>
        <w:tabs>
          <w:tab w:leader="none" w:pos="885"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Payments Directly to Swing Line Lender</w:t>
      </w:r>
      <w:r>
        <w:rPr>
          <w:rFonts w:ascii="Arial" w:cs="Arial" w:eastAsia="Arial" w:hAnsi="Arial"/>
          <w:sz w:val="15"/>
          <w:szCs w:val="15"/>
          <w:color w:val="auto"/>
        </w:rPr>
        <w:t>. The Applicable Borrower shall make all payments of principal and interest in respect of the Swing Line Loans directly to the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Swing Line Lender, and, if an AutoBorrow Agreement is in effect, in accordance with the terms of such AutoBorrow Agreement.</w:t>
      </w:r>
    </w:p>
    <w:p>
      <w:pPr>
        <w:spacing w:after="0" w:line="152" w:lineRule="exact"/>
        <w:rPr>
          <w:rFonts w:ascii="Arial" w:cs="Arial" w:eastAsia="Arial" w:hAnsi="Arial"/>
          <w:sz w:val="15"/>
          <w:szCs w:val="15"/>
          <w:color w:val="auto"/>
        </w:rPr>
      </w:pPr>
    </w:p>
    <w:p>
      <w:pPr>
        <w:jc w:val="both"/>
        <w:ind w:firstLine="532"/>
        <w:spacing w:after="0" w:line="251" w:lineRule="auto"/>
        <w:tabs>
          <w:tab w:leader="none" w:pos="909"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Discretionary Nature of the Swing Line Facility</w:t>
      </w:r>
      <w:r>
        <w:rPr>
          <w:rFonts w:ascii="Arial" w:cs="Arial" w:eastAsia="Arial" w:hAnsi="Arial"/>
          <w:sz w:val="15"/>
          <w:szCs w:val="15"/>
          <w:color w:val="auto"/>
        </w:rPr>
        <w:t>. Notwithstanding any terms to the contrary contained herein, the swing line facilities provided herein (i) are each an uncommitted</w:t>
      </w:r>
      <w:r>
        <w:rPr>
          <w:rFonts w:ascii="Arial" w:cs="Arial" w:eastAsia="Arial" w:hAnsi="Arial"/>
          <w:sz w:val="15"/>
          <w:szCs w:val="15"/>
          <w:i w:val="1"/>
          <w:iCs w:val="1"/>
          <w:color w:val="auto"/>
        </w:rPr>
        <w:t xml:space="preserve"> </w:t>
      </w:r>
      <w:r>
        <w:rPr>
          <w:rFonts w:ascii="Arial" w:cs="Arial" w:eastAsia="Arial" w:hAnsi="Arial"/>
          <w:sz w:val="15"/>
          <w:szCs w:val="15"/>
          <w:color w:val="auto"/>
        </w:rPr>
        <w:t>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38" w:name="page139"/>
    <w:bookmarkEnd w:id="138"/>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2.24</w:t>
      </w:r>
      <w:r>
        <w:rPr>
          <w:sz w:val="20"/>
          <w:szCs w:val="20"/>
          <w:color w:val="auto"/>
        </w:rPr>
        <w:tab/>
      </w:r>
      <w:r>
        <w:rPr>
          <w:rFonts w:ascii="Arial" w:cs="Arial" w:eastAsia="Arial" w:hAnsi="Arial"/>
          <w:sz w:val="12"/>
          <w:szCs w:val="12"/>
          <w:b w:val="1"/>
          <w:bCs w:val="1"/>
          <w:i w:val="1"/>
          <w:iCs w:val="1"/>
          <w:color w:val="auto"/>
        </w:rPr>
        <w:t>Defaulting Lenders</w:t>
      </w:r>
      <w:r>
        <w:rPr>
          <w:rFonts w:ascii="Arial" w:cs="Arial" w:eastAsia="Arial" w:hAnsi="Arial"/>
          <w:sz w:val="12"/>
          <w:szCs w:val="12"/>
          <w:color w:val="auto"/>
        </w:rPr>
        <w:t>.</w:t>
      </w:r>
    </w:p>
    <w:p>
      <w:pPr>
        <w:spacing w:after="0" w:line="225" w:lineRule="exact"/>
        <w:rPr>
          <w:sz w:val="20"/>
          <w:szCs w:val="20"/>
          <w:color w:val="auto"/>
        </w:rPr>
      </w:pPr>
    </w:p>
    <w:p>
      <w:pPr>
        <w:ind w:firstLine="532"/>
        <w:spacing w:after="0" w:line="259" w:lineRule="auto"/>
        <w:tabs>
          <w:tab w:leader="none" w:pos="868"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Notwithstanding anything to the contrary contained in this Agreement, if any Revolving Lender becomes a Defaulting Lender, then, until such time as that Lender is no</w:t>
      </w:r>
      <w:r>
        <w:rPr>
          <w:rFonts w:ascii="Arial" w:cs="Arial" w:eastAsia="Arial" w:hAnsi="Arial"/>
          <w:sz w:val="15"/>
          <w:szCs w:val="15"/>
          <w:i w:val="1"/>
          <w:iCs w:val="1"/>
          <w:color w:val="auto"/>
        </w:rPr>
        <w:t xml:space="preserve"> </w:t>
      </w:r>
      <w:r>
        <w:rPr>
          <w:rFonts w:ascii="Arial" w:cs="Arial" w:eastAsia="Arial" w:hAnsi="Arial"/>
          <w:sz w:val="15"/>
          <w:szCs w:val="15"/>
          <w:color w:val="auto"/>
        </w:rPr>
        <w:t>longer a Defaulting Lender, to the extent permitted by applicable law:</w:t>
      </w:r>
    </w:p>
    <w:p>
      <w:pPr>
        <w:spacing w:after="0" w:line="152" w:lineRule="exact"/>
        <w:rPr>
          <w:rFonts w:ascii="Arial" w:cs="Arial" w:eastAsia="Arial" w:hAnsi="Arial"/>
          <w:sz w:val="15"/>
          <w:szCs w:val="15"/>
          <w:color w:val="auto"/>
        </w:rPr>
      </w:pPr>
    </w:p>
    <w:p>
      <w:pPr>
        <w:ind w:left="540" w:firstLine="517"/>
        <w:spacing w:after="0" w:line="259" w:lineRule="auto"/>
        <w:tabs>
          <w:tab w:leader="none" w:pos="1404" w:val="left"/>
        </w:tabs>
        <w:numPr>
          <w:ilvl w:val="1"/>
          <w:numId w:val="95"/>
        </w:numPr>
        <w:rPr>
          <w:rFonts w:ascii="Arial" w:cs="Arial" w:eastAsia="Arial" w:hAnsi="Arial"/>
          <w:sz w:val="15"/>
          <w:szCs w:val="15"/>
          <w:color w:val="auto"/>
        </w:rPr>
      </w:pPr>
      <w:r>
        <w:rPr>
          <w:rFonts w:ascii="Arial" w:cs="Arial" w:eastAsia="Arial" w:hAnsi="Arial"/>
          <w:sz w:val="15"/>
          <w:szCs w:val="15"/>
          <w:color w:val="auto"/>
        </w:rPr>
        <w:t>such Defaulting Lender’s right to approve or disapprove any amendment, waiver or consent with respect to this Agreement or any other Loan Document shall be restricted as set forth in Section 9.08(b); and</w:t>
      </w:r>
    </w:p>
    <w:p>
      <w:pPr>
        <w:spacing w:after="0" w:line="152" w:lineRule="exact"/>
        <w:rPr>
          <w:rFonts w:ascii="Arial" w:cs="Arial" w:eastAsia="Arial" w:hAnsi="Arial"/>
          <w:sz w:val="15"/>
          <w:szCs w:val="15"/>
          <w:color w:val="auto"/>
        </w:rPr>
      </w:pPr>
    </w:p>
    <w:p>
      <w:pPr>
        <w:jc w:val="both"/>
        <w:ind w:left="540" w:firstLine="517"/>
        <w:spacing w:after="0" w:line="251" w:lineRule="auto"/>
        <w:tabs>
          <w:tab w:leader="none" w:pos="1434"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58" w:lineRule="exact"/>
        <w:rPr>
          <w:rFonts w:ascii="Arial" w:cs="Arial" w:eastAsia="Arial" w:hAnsi="Arial"/>
          <w:sz w:val="15"/>
          <w:szCs w:val="15"/>
          <w:color w:val="auto"/>
        </w:rPr>
      </w:pPr>
    </w:p>
    <w:p>
      <w:pPr>
        <w:ind w:left="1940" w:hanging="359"/>
        <w:spacing w:after="0"/>
        <w:tabs>
          <w:tab w:leader="none" w:pos="1940" w:val="left"/>
        </w:tabs>
        <w:numPr>
          <w:ilvl w:val="2"/>
          <w:numId w:val="95"/>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to the payment of any amounts owing by such Defaulting Lender to the Applicable Administrative Agent hereunder;</w:t>
      </w:r>
    </w:p>
    <w:p>
      <w:pPr>
        <w:spacing w:after="0" w:line="177" w:lineRule="exact"/>
        <w:rPr>
          <w:rFonts w:ascii="Arial" w:cs="Arial" w:eastAsia="Arial" w:hAnsi="Arial"/>
          <w:sz w:val="15"/>
          <w:szCs w:val="15"/>
          <w:color w:val="auto"/>
        </w:rPr>
      </w:pPr>
    </w:p>
    <w:p>
      <w:pPr>
        <w:ind w:left="1980" w:hanging="399"/>
        <w:spacing w:after="0"/>
        <w:tabs>
          <w:tab w:leader="none" w:pos="1980" w:val="left"/>
        </w:tabs>
        <w:numPr>
          <w:ilvl w:val="2"/>
          <w:numId w:val="95"/>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to the payment on a pro rata basis of any amounts owing by such Defaulting Lender to the Issuing Banks and the Swing Line Lenders hereunder;</w:t>
      </w:r>
    </w:p>
    <w:p>
      <w:pPr>
        <w:spacing w:after="0" w:line="216" w:lineRule="exact"/>
        <w:rPr>
          <w:rFonts w:ascii="Arial" w:cs="Arial" w:eastAsia="Arial" w:hAnsi="Arial"/>
          <w:sz w:val="12"/>
          <w:szCs w:val="12"/>
          <w:color w:val="auto"/>
        </w:rPr>
      </w:pPr>
    </w:p>
    <w:p>
      <w:pPr>
        <w:ind w:left="1980" w:hanging="399"/>
        <w:spacing w:after="0"/>
        <w:tabs>
          <w:tab w:leader="none" w:pos="1980" w:val="left"/>
        </w:tabs>
        <w:numPr>
          <w:ilvl w:val="2"/>
          <w:numId w:val="95"/>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Cash Collateralize the Issuing Banks’ Fronting Exposure with respect to such Defaulting Lender in accordance with</w:t>
      </w:r>
      <w:r>
        <w:rPr>
          <w:rFonts w:ascii="Arial" w:cs="Arial" w:eastAsia="Arial" w:hAnsi="Arial"/>
          <w:sz w:val="15"/>
          <w:szCs w:val="15"/>
          <w:i w:val="1"/>
          <w:iCs w:val="1"/>
          <w:color w:val="auto"/>
        </w:rPr>
        <w:t xml:space="preserve"> </w:t>
      </w:r>
      <w:r>
        <w:rPr>
          <w:rFonts w:ascii="Arial" w:cs="Arial" w:eastAsia="Arial" w:hAnsi="Arial"/>
          <w:sz w:val="17"/>
          <w:szCs w:val="17"/>
          <w:color w:val="auto"/>
        </w:rPr>
        <w:t>Section 2.21(k);;</w:t>
      </w:r>
    </w:p>
    <w:p>
      <w:pPr>
        <w:spacing w:after="0" w:line="193" w:lineRule="exact"/>
        <w:rPr>
          <w:rFonts w:ascii="Arial" w:cs="Arial" w:eastAsia="Arial" w:hAnsi="Arial"/>
          <w:sz w:val="15"/>
          <w:szCs w:val="15"/>
          <w:color w:val="auto"/>
        </w:rPr>
      </w:pPr>
    </w:p>
    <w:p>
      <w:pPr>
        <w:ind w:left="1060" w:firstLine="521"/>
        <w:spacing w:after="0" w:line="259" w:lineRule="auto"/>
        <w:tabs>
          <w:tab w:leader="none" w:pos="1947" w:val="left"/>
        </w:tabs>
        <w:numPr>
          <w:ilvl w:val="2"/>
          <w:numId w:val="95"/>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as the Applicable Borrower may request (so long as no Default or Event of Default exists), to the funding of any Loan in respect of which such Defaulting</w:t>
      </w:r>
      <w:r>
        <w:rPr>
          <w:rFonts w:ascii="Arial" w:cs="Arial" w:eastAsia="Arial" w:hAnsi="Arial"/>
          <w:sz w:val="15"/>
          <w:szCs w:val="15"/>
          <w:i w:val="1"/>
          <w:iCs w:val="1"/>
          <w:color w:val="auto"/>
        </w:rPr>
        <w:t xml:space="preserve"> </w:t>
      </w:r>
      <w:r>
        <w:rPr>
          <w:rFonts w:ascii="Arial" w:cs="Arial" w:eastAsia="Arial" w:hAnsi="Arial"/>
          <w:sz w:val="15"/>
          <w:szCs w:val="15"/>
          <w:color w:val="auto"/>
        </w:rPr>
        <w:t>Lender has failed to fund its portion thereof as required by this Agreement, as determined by the Applicable Administrative Agent;</w:t>
      </w:r>
    </w:p>
    <w:p>
      <w:pPr>
        <w:spacing w:after="0" w:line="152" w:lineRule="exact"/>
        <w:rPr>
          <w:rFonts w:ascii="Arial" w:cs="Arial" w:eastAsia="Arial" w:hAnsi="Arial"/>
          <w:sz w:val="15"/>
          <w:szCs w:val="15"/>
          <w:color w:val="auto"/>
        </w:rPr>
      </w:pPr>
    </w:p>
    <w:p>
      <w:pPr>
        <w:jc w:val="both"/>
        <w:ind w:left="1060" w:firstLine="521"/>
        <w:spacing w:after="0" w:line="288" w:lineRule="auto"/>
        <w:tabs>
          <w:tab w:leader="none" w:pos="1999" w:val="left"/>
        </w:tabs>
        <w:numPr>
          <w:ilvl w:val="2"/>
          <w:numId w:val="95"/>
        </w:numPr>
        <w:rPr>
          <w:rFonts w:ascii="Arial" w:cs="Arial" w:eastAsia="Arial" w:hAnsi="Arial"/>
          <w:sz w:val="14"/>
          <w:szCs w:val="14"/>
          <w:color w:val="auto"/>
        </w:rPr>
      </w:pPr>
      <w:r>
        <w:rPr>
          <w:rFonts w:ascii="Arial" w:cs="Arial" w:eastAsia="Arial" w:hAnsi="Arial"/>
          <w:sz w:val="14"/>
          <w:szCs w:val="14"/>
          <w:i w:val="1"/>
          <w:iCs w:val="1"/>
          <w:color w:val="auto"/>
        </w:rPr>
        <w:t>fifth</w:t>
      </w:r>
      <w:r>
        <w:rPr>
          <w:rFonts w:ascii="Arial" w:cs="Arial" w:eastAsia="Arial" w:hAnsi="Arial"/>
          <w:sz w:val="14"/>
          <w:szCs w:val="14"/>
          <w:color w:val="auto"/>
        </w:rPr>
        <w:t>, if so determined by the Administrative Agent and the applicable Borrower, to be held in a deposit account and released pro rata in order to (x) satisfy such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Arial" w:cs="Arial" w:eastAsia="Arial" w:hAnsi="Arial"/>
          <w:sz w:val="16"/>
          <w:szCs w:val="16"/>
          <w:color w:val="auto"/>
        </w:rPr>
        <w:t>Section 2.21(k);</w:t>
      </w:r>
    </w:p>
    <w:p>
      <w:pPr>
        <w:spacing w:after="0" w:line="135" w:lineRule="exact"/>
        <w:rPr>
          <w:rFonts w:ascii="Arial" w:cs="Arial" w:eastAsia="Arial" w:hAnsi="Arial"/>
          <w:sz w:val="14"/>
          <w:szCs w:val="14"/>
          <w:color w:val="auto"/>
        </w:rPr>
      </w:pPr>
    </w:p>
    <w:p>
      <w:pPr>
        <w:jc w:val="both"/>
        <w:ind w:left="1060" w:firstLine="521"/>
        <w:spacing w:after="0" w:line="251" w:lineRule="auto"/>
        <w:tabs>
          <w:tab w:leader="none" w:pos="2083" w:val="left"/>
        </w:tabs>
        <w:numPr>
          <w:ilvl w:val="2"/>
          <w:numId w:val="95"/>
        </w:numPr>
        <w:rPr>
          <w:rFonts w:ascii="Arial" w:cs="Arial" w:eastAsia="Arial" w:hAnsi="Arial"/>
          <w:sz w:val="15"/>
          <w:szCs w:val="15"/>
          <w:color w:val="auto"/>
        </w:rPr>
      </w:pPr>
      <w:r>
        <w:rPr>
          <w:rFonts w:ascii="Arial" w:cs="Arial" w:eastAsia="Arial" w:hAnsi="Arial"/>
          <w:sz w:val="15"/>
          <w:szCs w:val="15"/>
          <w:i w:val="1"/>
          <w:iCs w:val="1"/>
          <w:color w:val="auto"/>
        </w:rPr>
        <w:t>sixth</w:t>
      </w:r>
      <w:r>
        <w:rPr>
          <w:rFonts w:ascii="Arial" w:cs="Arial" w:eastAsia="Arial" w:hAnsi="Arial"/>
          <w:sz w:val="15"/>
          <w:szCs w:val="15"/>
          <w:color w:val="auto"/>
        </w:rPr>
        <w:t>, to the payment of any amounts owing to the Revolving Lenders, the Applicable Issuing Bank or the Applicable Swing Line Lender as a result of any</w:t>
      </w:r>
      <w:r>
        <w:rPr>
          <w:rFonts w:ascii="Arial" w:cs="Arial" w:eastAsia="Arial" w:hAnsi="Arial"/>
          <w:sz w:val="15"/>
          <w:szCs w:val="15"/>
          <w:i w:val="1"/>
          <w:iCs w:val="1"/>
          <w:color w:val="auto"/>
        </w:rPr>
        <w:t xml:space="preserve"> </w:t>
      </w:r>
      <w:r>
        <w:rPr>
          <w:rFonts w:ascii="Arial" w:cs="Arial" w:eastAsia="Arial" w:hAnsi="Arial"/>
          <w:sz w:val="15"/>
          <w:szCs w:val="15"/>
          <w:color w:val="auto"/>
        </w:rPr>
        <w:t>judgment of a court of competent jurisdiction obtained by any Revolving Lender or an Applicable Issuing Bank against such Defaulting Lender as a result of such Defaulting Lender’s breach of its obligations under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39" w:name="page140"/>
    <w:bookmarkEnd w:id="139"/>
    <w:p>
      <w:pPr>
        <w:jc w:val="both"/>
        <w:ind w:left="1060" w:firstLine="521"/>
        <w:spacing w:after="0" w:line="251" w:lineRule="auto"/>
        <w:tabs>
          <w:tab w:leader="none" w:pos="2058"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seventh</w:t>
      </w:r>
      <w:r>
        <w:rPr>
          <w:rFonts w:ascii="Arial" w:cs="Arial" w:eastAsia="Arial" w:hAnsi="Arial"/>
          <w:sz w:val="15"/>
          <w:szCs w:val="15"/>
          <w:color w:val="auto"/>
        </w:rPr>
        <w:t>, so long as no Default or Event of Default exists, to the payment of any amounts owing to the Applicable Borrower as a result of any judgment of a court</w:t>
      </w:r>
      <w:r>
        <w:rPr>
          <w:rFonts w:ascii="Arial" w:cs="Arial" w:eastAsia="Arial" w:hAnsi="Arial"/>
          <w:sz w:val="15"/>
          <w:szCs w:val="15"/>
          <w:i w:val="1"/>
          <w:iCs w:val="1"/>
          <w:color w:val="auto"/>
        </w:rPr>
        <w:t xml:space="preserve"> </w:t>
      </w:r>
      <w:r>
        <w:rPr>
          <w:rFonts w:ascii="Arial" w:cs="Arial" w:eastAsia="Arial" w:hAnsi="Arial"/>
          <w:sz w:val="15"/>
          <w:szCs w:val="15"/>
          <w:color w:val="auto"/>
        </w:rPr>
        <w:t>of competent jurisdiction obtained by the Applicable Borrower against such Defaulting Lender as a result of such Defaulting Lender’s breach of its obligations under this Agreement; and</w:t>
      </w:r>
    </w:p>
    <w:p>
      <w:pPr>
        <w:spacing w:after="0" w:line="158" w:lineRule="exact"/>
        <w:rPr>
          <w:rFonts w:ascii="Arial" w:cs="Arial" w:eastAsia="Arial" w:hAnsi="Arial"/>
          <w:sz w:val="15"/>
          <w:szCs w:val="15"/>
          <w:color w:val="auto"/>
        </w:rPr>
      </w:pPr>
    </w:p>
    <w:p>
      <w:pPr>
        <w:jc w:val="both"/>
        <w:ind w:left="1060" w:firstLine="521"/>
        <w:spacing w:after="0" w:line="265" w:lineRule="auto"/>
        <w:tabs>
          <w:tab w:leader="none" w:pos="201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eighth</w:t>
      </w:r>
      <w:r>
        <w:rPr>
          <w:rFonts w:ascii="Arial" w:cs="Arial" w:eastAsia="Arial" w:hAnsi="Arial"/>
          <w:sz w:val="14"/>
          <w:szCs w:val="14"/>
          <w:color w:val="auto"/>
        </w:rPr>
        <w:t>, to such Defaulting Lender or as otherwise directed by a court of competent jurisdiction;</w:t>
      </w:r>
      <w:r>
        <w:rPr>
          <w:rFonts w:ascii="Arial" w:cs="Arial" w:eastAsia="Arial" w:hAnsi="Arial"/>
          <w:sz w:val="14"/>
          <w:szCs w:val="14"/>
          <w:i w:val="1"/>
          <w:iCs w:val="1"/>
          <w:color w:val="auto"/>
        </w:rPr>
        <w:t xml:space="preserve"> provided </w:t>
      </w:r>
      <w:r>
        <w:rPr>
          <w:rFonts w:ascii="Arial" w:cs="Arial" w:eastAsia="Arial" w:hAnsi="Arial"/>
          <w:sz w:val="14"/>
          <w:szCs w:val="14"/>
          <w:color w:val="auto"/>
        </w:rPr>
        <w:t>that if (x) such payment is a payment of the principal</w:t>
      </w:r>
      <w:r>
        <w:rPr>
          <w:rFonts w:ascii="Arial" w:cs="Arial" w:eastAsia="Arial" w:hAnsi="Arial"/>
          <w:sz w:val="14"/>
          <w:szCs w:val="14"/>
          <w:i w:val="1"/>
          <w:iCs w:val="1"/>
          <w:color w:val="auto"/>
        </w:rPr>
        <w:t xml:space="preserve"> </w:t>
      </w:r>
      <w:r>
        <w:rPr>
          <w:rFonts w:ascii="Arial" w:cs="Arial" w:eastAsia="Arial" w:hAnsi="Arial"/>
          <w:sz w:val="14"/>
          <w:szCs w:val="14"/>
          <w:color w:val="auto"/>
        </w:rPr>
        <w:t>amount of any Revolving Loans or L/C Disbursements in respect of which that Defaulting Lender has not fully funded its appropriate share and (y) such Revolving Loans were made or the related Letters of Credit were issued at a time when the conditions set forth in Section 4.01 were satisfied or waived, such payment shall be applied solely to pay the Revolving Loans of, and L/C Disbursements owed to, all Non-Defaulting Lenders on a pro rata basis prior to being applied to the payment of any Revolving Loans of, or L/C Disbursements owed to, such Defaulting Lender until such time as all Loans and funded and unfunded participations in L/C Obligations and Swing Line Loans are held by the Lenders pro rata in accordance with the Revolving Commitments without giving effect to Section 2.24(a)(iv).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52" w:lineRule="exact"/>
        <w:rPr>
          <w:sz w:val="20"/>
          <w:szCs w:val="20"/>
          <w:color w:val="auto"/>
        </w:rPr>
      </w:pPr>
    </w:p>
    <w:p>
      <w:pPr>
        <w:ind w:left="540"/>
        <w:spacing w:after="0" w:line="294" w:lineRule="auto"/>
        <w:rPr>
          <w:sz w:val="20"/>
          <w:szCs w:val="20"/>
          <w:color w:val="auto"/>
        </w:rPr>
      </w:pPr>
      <w:r>
        <w:rPr>
          <w:rFonts w:ascii="Arial" w:cs="Arial" w:eastAsia="Arial" w:hAnsi="Arial"/>
          <w:sz w:val="14"/>
          <w:szCs w:val="14"/>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30" w:lineRule="exact"/>
        <w:rPr>
          <w:sz w:val="20"/>
          <w:szCs w:val="20"/>
          <w:color w:val="auto"/>
        </w:rPr>
      </w:pPr>
    </w:p>
    <w:p>
      <w:pPr>
        <w:jc w:val="both"/>
        <w:ind w:firstLine="532"/>
        <w:spacing w:after="0" w:line="251" w:lineRule="auto"/>
        <w:tabs>
          <w:tab w:leader="none" w:pos="909"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Certain Fees</w:t>
      </w:r>
      <w:r>
        <w:rPr>
          <w:rFonts w:ascii="Arial" w:cs="Arial" w:eastAsia="Arial" w:hAnsi="Arial"/>
          <w:sz w:val="15"/>
          <w:szCs w:val="15"/>
          <w:color w:val="auto"/>
        </w:rPr>
        <w:t>. No Defaulting Lender shall be entitled to receive any Commitment Fee pursuant to Section 2.05(a) or any L/C Participation Fee pursuant to Section 2.05(c) for any</w:t>
      </w:r>
      <w:r>
        <w:rPr>
          <w:rFonts w:ascii="Arial" w:cs="Arial" w:eastAsia="Arial" w:hAnsi="Arial"/>
          <w:sz w:val="15"/>
          <w:szCs w:val="15"/>
          <w:i w:val="1"/>
          <w:iCs w:val="1"/>
          <w:color w:val="auto"/>
        </w:rPr>
        <w:t xml:space="preserve"> </w:t>
      </w:r>
      <w:r>
        <w:rPr>
          <w:rFonts w:ascii="Arial" w:cs="Arial" w:eastAsia="Arial" w:hAnsi="Arial"/>
          <w:sz w:val="15"/>
          <w:szCs w:val="15"/>
          <w:color w:val="auto"/>
        </w:rPr>
        <w:t>period during which such Lender is a Defaulting Lender (and, except as otherwise provided in Section 2.05(a), the Applicable Borrower shall not be required to pay any such fee that otherwise would have been required to have been paid to such Defaulting Lender).</w:t>
      </w:r>
    </w:p>
    <w:p>
      <w:pPr>
        <w:spacing w:after="0" w:line="158" w:lineRule="exact"/>
        <w:rPr>
          <w:rFonts w:ascii="Arial" w:cs="Arial" w:eastAsia="Arial" w:hAnsi="Arial"/>
          <w:sz w:val="15"/>
          <w:szCs w:val="15"/>
          <w:color w:val="auto"/>
        </w:rPr>
      </w:pPr>
    </w:p>
    <w:p>
      <w:pPr>
        <w:ind w:left="1060" w:firstLine="521"/>
        <w:spacing w:after="0" w:line="259" w:lineRule="auto"/>
        <w:tabs>
          <w:tab w:leader="none" w:pos="1935" w:val="left"/>
        </w:tabs>
        <w:numPr>
          <w:ilvl w:val="1"/>
          <w:numId w:val="97"/>
        </w:numPr>
        <w:rPr>
          <w:rFonts w:ascii="Arial" w:cs="Arial" w:eastAsia="Arial" w:hAnsi="Arial"/>
          <w:sz w:val="15"/>
          <w:szCs w:val="15"/>
          <w:color w:val="auto"/>
        </w:rPr>
      </w:pPr>
      <w:r>
        <w:rPr>
          <w:rFonts w:ascii="Arial" w:cs="Arial" w:eastAsia="Arial" w:hAnsi="Arial"/>
          <w:sz w:val="15"/>
          <w:szCs w:val="15"/>
          <w:color w:val="auto"/>
        </w:rPr>
        <w:t>No Defaulting Lender shall be entitled to receive any Commitment Fee for any period during which such Lender is a Defaulting Lender (and any Borrower shall not be required to pay any such fee that otherwise would have been required to have been paid to such Defaulting Lender).</w:t>
      </w:r>
    </w:p>
    <w:p>
      <w:pPr>
        <w:spacing w:after="0" w:line="157" w:lineRule="exact"/>
        <w:rPr>
          <w:rFonts w:ascii="Arial" w:cs="Arial" w:eastAsia="Arial" w:hAnsi="Arial"/>
          <w:sz w:val="15"/>
          <w:szCs w:val="15"/>
          <w:color w:val="auto"/>
        </w:rPr>
      </w:pPr>
    </w:p>
    <w:p>
      <w:pPr>
        <w:ind w:left="2080" w:hanging="499"/>
        <w:spacing w:after="0"/>
        <w:tabs>
          <w:tab w:leader="none" w:pos="20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Defaulting Lender shall be entitled to receive L/C Participation Fees for any period during which that Lender is a Defaulting</w:t>
      </w:r>
    </w:p>
    <w:p>
      <w:pPr>
        <w:spacing w:after="0" w:line="38" w:lineRule="exact"/>
        <w:rPr>
          <w:sz w:val="20"/>
          <w:szCs w:val="20"/>
          <w:color w:val="auto"/>
        </w:rPr>
      </w:pPr>
    </w:p>
    <w:p>
      <w:pPr>
        <w:ind w:left="1060"/>
        <w:spacing w:after="0" w:line="296" w:lineRule="auto"/>
        <w:rPr>
          <w:sz w:val="20"/>
          <w:szCs w:val="20"/>
          <w:color w:val="auto"/>
        </w:rPr>
      </w:pPr>
      <w:r>
        <w:rPr>
          <w:rFonts w:ascii="Arial" w:cs="Arial" w:eastAsia="Arial" w:hAnsi="Arial"/>
          <w:sz w:val="17"/>
          <w:szCs w:val="17"/>
          <w:color w:val="auto"/>
        </w:rPr>
        <w:t>Lender only to the extent allocable to its Pro Rata Percentage of the stated amount of Letters of Credit for which it has provided cash collateral pursuant to Section 2.21(k).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40" w:name="page141"/>
    <w:bookmarkEnd w:id="140"/>
    <w:p>
      <w:pPr>
        <w:jc w:val="both"/>
        <w:ind w:left="1060" w:firstLine="521"/>
        <w:spacing w:after="0" w:line="305" w:lineRule="auto"/>
        <w:tabs>
          <w:tab w:leader="none" w:pos="2105" w:val="left"/>
        </w:tabs>
        <w:numPr>
          <w:ilvl w:val="2"/>
          <w:numId w:val="98"/>
        </w:numPr>
        <w:rPr>
          <w:rFonts w:ascii="Arial" w:cs="Arial" w:eastAsia="Arial" w:hAnsi="Arial"/>
          <w:sz w:val="15"/>
          <w:szCs w:val="15"/>
          <w:color w:val="auto"/>
        </w:rPr>
      </w:pPr>
      <w:r>
        <w:rPr>
          <w:rFonts w:ascii="Arial" w:cs="Arial" w:eastAsia="Arial" w:hAnsi="Arial"/>
          <w:sz w:val="15"/>
          <w:szCs w:val="15"/>
          <w:color w:val="auto"/>
        </w:rPr>
        <w:t>With respect to any L/C Participation Fee not required to be paid to any Defaulting Lender pursuant to clause (A) or (B)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Lender and Swing Line Lender, as applicable, the amount of any such fee otherwise payable to such Defaulting Lender to the extent allocable to such Issuing Lender’s or Swing Line Lender’s Fronting Exposure to such Defaulting Lender, and</w:t>
      </w:r>
    </w:p>
    <w:p>
      <w:pPr>
        <w:ind w:left="1300" w:hanging="243"/>
        <w:spacing w:after="0"/>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not be required to pay the remaining amount of any such fee.</w:t>
      </w:r>
    </w:p>
    <w:p>
      <w:pPr>
        <w:spacing w:after="0" w:line="189" w:lineRule="exact"/>
        <w:rPr>
          <w:rFonts w:ascii="Arial" w:cs="Arial" w:eastAsia="Arial" w:hAnsi="Arial"/>
          <w:sz w:val="17"/>
          <w:szCs w:val="17"/>
          <w:color w:val="auto"/>
        </w:rPr>
      </w:pPr>
    </w:p>
    <w:p>
      <w:pPr>
        <w:jc w:val="both"/>
        <w:ind w:firstLine="532"/>
        <w:spacing w:after="0" w:line="320" w:lineRule="auto"/>
        <w:tabs>
          <w:tab w:leader="none" w:pos="945"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Reallocation of Ratable Portions to Reduce Fronting Exposure</w:t>
      </w:r>
      <w:r>
        <w:rPr>
          <w:rFonts w:ascii="Arial" w:cs="Arial" w:eastAsia="Arial" w:hAnsi="Arial"/>
          <w:sz w:val="12"/>
          <w:szCs w:val="12"/>
          <w:color w:val="auto"/>
        </w:rPr>
        <w:t>. During any period in which there is a Defaulting Lender, solely for purposes of computing the amount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provided,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20" w:lineRule="exact"/>
        <w:rPr>
          <w:rFonts w:ascii="Arial" w:cs="Arial" w:eastAsia="Arial" w:hAnsi="Arial"/>
          <w:sz w:val="12"/>
          <w:szCs w:val="12"/>
          <w:color w:val="auto"/>
        </w:rPr>
      </w:pPr>
    </w:p>
    <w:p>
      <w:pPr>
        <w:jc w:val="both"/>
        <w:ind w:firstLine="532"/>
        <w:spacing w:after="0" w:line="277" w:lineRule="auto"/>
        <w:tabs>
          <w:tab w:leader="none" w:pos="898"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Cash Collateral, Repayment of Swing Line Loans</w:t>
      </w:r>
      <w:r>
        <w:rPr>
          <w:rFonts w:ascii="Arial" w:cs="Arial" w:eastAsia="Arial" w:hAnsi="Arial"/>
          <w:sz w:val="14"/>
          <w:szCs w:val="14"/>
          <w:color w:val="auto"/>
        </w:rPr>
        <w:t>. If the reallocation described in clause (c) above cannot, or can only partially, be effected, the applicable Borrower shall,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prejudice to any right or remedy available to it hereunder or under law, (x) first, prepay Swing Line Loans in an amount equal to the applicable Swing Line Lender’s Fronting Exposure and (y) second, cash collateralize the applicable Issuing Lenders’ Fronting Exposure in accordance with the procedures set forth in Section 2.21(k).</w:t>
      </w:r>
    </w:p>
    <w:p>
      <w:pPr>
        <w:spacing w:after="0" w:line="141" w:lineRule="exact"/>
        <w:rPr>
          <w:rFonts w:ascii="Arial" w:cs="Arial" w:eastAsia="Arial" w:hAnsi="Arial"/>
          <w:sz w:val="14"/>
          <w:szCs w:val="14"/>
          <w:color w:val="auto"/>
        </w:rPr>
      </w:pPr>
    </w:p>
    <w:p>
      <w:pPr>
        <w:jc w:val="both"/>
        <w:ind w:firstLine="532"/>
        <w:spacing w:after="0" w:line="314" w:lineRule="auto"/>
        <w:tabs>
          <w:tab w:leader="none" w:pos="901"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Defaulting Lender Cure</w:t>
      </w:r>
      <w:r>
        <w:rPr>
          <w:rFonts w:ascii="Arial" w:cs="Arial" w:eastAsia="Arial" w:hAnsi="Arial"/>
          <w:sz w:val="12"/>
          <w:szCs w:val="12"/>
          <w:color w:val="auto"/>
        </w:rPr>
        <w:t>. If the Applicable Borrower, the Applicable Administrative Agent, the Applicable Swing Line Lenders and the Applicable Issuing Banks agree in writing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2"/>
          <w:szCs w:val="12"/>
          <w:i w:val="1"/>
          <w:iCs w:val="1"/>
          <w:color w:val="auto"/>
        </w:rPr>
        <w:t>provided further</w:t>
      </w:r>
      <w:r>
        <w:rPr>
          <w:rFonts w:ascii="Arial" w:cs="Arial" w:eastAsia="Arial" w:hAnsi="Arial"/>
          <w:sz w:val="12"/>
          <w:szCs w:val="1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5" w:right="219" w:bottom="1440" w:gutter="0" w:footer="0" w:header="0"/>
        </w:sectPr>
      </w:pPr>
    </w:p>
    <w:bookmarkStart w:id="141" w:name="page142"/>
    <w:bookmarkEnd w:id="141"/>
    <w:p>
      <w:pPr>
        <w:jc w:val="both"/>
        <w:ind w:firstLine="532"/>
        <w:spacing w:after="0" w:line="251" w:lineRule="auto"/>
        <w:tabs>
          <w:tab w:leader="none" w:pos="885" w:val="left"/>
        </w:tabs>
        <w:numPr>
          <w:ilvl w:val="0"/>
          <w:numId w:val="101"/>
        </w:numPr>
        <w:rPr>
          <w:rFonts w:ascii="Arial" w:cs="Arial" w:eastAsia="Arial" w:hAnsi="Arial"/>
          <w:sz w:val="15"/>
          <w:szCs w:val="15"/>
          <w:color w:val="auto"/>
        </w:rPr>
      </w:pPr>
      <w:r>
        <w:rPr>
          <w:rFonts w:ascii="Arial" w:cs="Arial" w:eastAsia="Arial" w:hAnsi="Arial"/>
          <w:sz w:val="15"/>
          <w:szCs w:val="15"/>
          <w:i w:val="1"/>
          <w:iCs w:val="1"/>
          <w:color w:val="auto"/>
        </w:rPr>
        <w:t>New Swing Line Loans/Letters of Credit</w:t>
      </w:r>
      <w:r>
        <w:rPr>
          <w:rFonts w:ascii="Arial" w:cs="Arial" w:eastAsia="Arial" w:hAnsi="Arial"/>
          <w:sz w:val="15"/>
          <w:szCs w:val="15"/>
          <w:color w:val="auto"/>
        </w:rPr>
        <w:t>. So long as any Lender is a Defaulting Lender, (i) the applicable Swing Line Lender shall not be required to fund any Swing Line Loans</w:t>
      </w:r>
      <w:r>
        <w:rPr>
          <w:rFonts w:ascii="Arial" w:cs="Arial" w:eastAsia="Arial" w:hAnsi="Arial"/>
          <w:sz w:val="15"/>
          <w:szCs w:val="15"/>
          <w:i w:val="1"/>
          <w:iCs w:val="1"/>
          <w:color w:val="auto"/>
        </w:rPr>
        <w:t xml:space="preserve"> </w:t>
      </w:r>
      <w:r>
        <w:rPr>
          <w:rFonts w:ascii="Arial" w:cs="Arial" w:eastAsia="Arial" w:hAnsi="Arial"/>
          <w:sz w:val="15"/>
          <w:szCs w:val="15"/>
          <w:color w:val="auto"/>
        </w:rPr>
        <w:t>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58" w:lineRule="exact"/>
        <w:rPr>
          <w:rFonts w:ascii="Arial" w:cs="Arial" w:eastAsia="Arial" w:hAnsi="Arial"/>
          <w:sz w:val="15"/>
          <w:szCs w:val="15"/>
          <w:color w:val="auto"/>
        </w:rPr>
      </w:pPr>
    </w:p>
    <w:p>
      <w:pPr>
        <w:jc w:val="both"/>
        <w:ind w:firstLine="532"/>
        <w:spacing w:after="0" w:line="277" w:lineRule="auto"/>
        <w:tabs>
          <w:tab w:leader="none" w:pos="898" w:val="left"/>
        </w:tabs>
        <w:numPr>
          <w:ilvl w:val="0"/>
          <w:numId w:val="101"/>
        </w:numPr>
        <w:rPr>
          <w:rFonts w:ascii="Arial" w:cs="Arial" w:eastAsia="Arial" w:hAnsi="Arial"/>
          <w:sz w:val="14"/>
          <w:szCs w:val="14"/>
          <w:color w:val="auto"/>
        </w:rPr>
      </w:pPr>
      <w:r>
        <w:rPr>
          <w:rFonts w:ascii="Arial" w:cs="Arial" w:eastAsia="Arial" w:hAnsi="Arial"/>
          <w:sz w:val="14"/>
          <w:szCs w:val="14"/>
          <w:i w:val="1"/>
          <w:iCs w:val="1"/>
          <w:color w:val="auto"/>
        </w:rPr>
        <w:t>Termination of Defaulting Lender Revolving Commitment</w:t>
      </w:r>
      <w:r>
        <w:rPr>
          <w:rFonts w:ascii="Arial" w:cs="Arial" w:eastAsia="Arial" w:hAnsi="Arial"/>
          <w:sz w:val="14"/>
          <w:szCs w:val="14"/>
          <w:color w:val="auto"/>
        </w:rPr>
        <w:t>. A Borrower may terminate the unused amount of the Revolving Commitment of a Defaulting Lender upon not less than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three (3) Business Days’ prior notice to the Applicable Administrative Agent (which will promptly notify the Revolving Lenders of the same Class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termination will not be deemed to be a waiver or release of any claim a Borrower, an Administrative Agent, an Issuing Bank or any Lender may have against such Defaulting Lender.</w:t>
      </w:r>
    </w:p>
    <w:p>
      <w:pPr>
        <w:spacing w:after="0" w:line="13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2.25</w:t>
      </w:r>
      <w:r>
        <w:rPr>
          <w:sz w:val="20"/>
          <w:szCs w:val="20"/>
          <w:color w:val="auto"/>
        </w:rPr>
        <w:tab/>
      </w:r>
      <w:r>
        <w:rPr>
          <w:rFonts w:ascii="Arial" w:cs="Arial" w:eastAsia="Arial" w:hAnsi="Arial"/>
          <w:sz w:val="12"/>
          <w:szCs w:val="12"/>
          <w:b w:val="1"/>
          <w:bCs w:val="1"/>
          <w:i w:val="1"/>
          <w:iCs w:val="1"/>
          <w:color w:val="auto"/>
        </w:rPr>
        <w:t>Incremental Revolving Credit Increase</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51" w:lineRule="auto"/>
        <w:tabs>
          <w:tab w:leader="none" w:pos="863"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 any time after the Funding Date, any Borrower may by written notice to the Applicable Administrative Agent elect to request the establishment of one or more increases in one or more of the Revolving Commitments (an “</w:t>
      </w:r>
      <w:r>
        <w:rPr>
          <w:rFonts w:ascii="Arial" w:cs="Arial" w:eastAsia="Arial" w:hAnsi="Arial"/>
          <w:sz w:val="15"/>
          <w:szCs w:val="15"/>
          <w:i w:val="1"/>
          <w:iCs w:val="1"/>
          <w:color w:val="auto"/>
        </w:rPr>
        <w:t>Incremental Revolving Commitment</w:t>
      </w:r>
      <w:r>
        <w:rPr>
          <w:rFonts w:ascii="Arial" w:cs="Arial" w:eastAsia="Arial" w:hAnsi="Arial"/>
          <w:sz w:val="15"/>
          <w:szCs w:val="15"/>
          <w:color w:val="auto"/>
        </w:rPr>
        <w:t>”) to make incremental Revolving Credit Loans (any Revolving Credit Loans made pursuant to such Incremental Revolving Commitments, the “</w:t>
      </w:r>
      <w:r>
        <w:rPr>
          <w:rFonts w:ascii="Arial" w:cs="Arial" w:eastAsia="Arial" w:hAnsi="Arial"/>
          <w:sz w:val="15"/>
          <w:szCs w:val="15"/>
          <w:i w:val="1"/>
          <w:iCs w:val="1"/>
          <w:color w:val="auto"/>
        </w:rPr>
        <w:t>Incremental Revolving Credit Increase</w:t>
      </w:r>
      <w:r>
        <w:rPr>
          <w:rFonts w:ascii="Arial" w:cs="Arial" w:eastAsia="Arial" w:hAnsi="Arial"/>
          <w:sz w:val="15"/>
          <w:szCs w:val="15"/>
          <w:color w:val="auto"/>
        </w:rPr>
        <w:t>”);</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(1) the aggregate amount for all such Incremental Revolving Commitments shall not exceed $200,000,000 and (2) the aggregate amount for each Incremental Revolving Commitment</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be less than a minimum principal amount of $25,000,000 or, if less, the remaining amount permitted pursuant to the foregoing clause (1). Each such notice shall specify the date (each, an “</w:t>
      </w:r>
      <w:r>
        <w:rPr>
          <w:rFonts w:ascii="Arial" w:cs="Arial" w:eastAsia="Arial" w:hAnsi="Arial"/>
          <w:sz w:val="14"/>
          <w:szCs w:val="14"/>
          <w:i w:val="1"/>
          <w:iCs w:val="1"/>
          <w:color w:val="auto"/>
        </w:rPr>
        <w:t>Increased Amount Date</w:t>
      </w:r>
      <w:r>
        <w:rPr>
          <w:rFonts w:ascii="Arial" w:cs="Arial" w:eastAsia="Arial" w:hAnsi="Arial"/>
          <w:sz w:val="14"/>
          <w:szCs w:val="14"/>
          <w:color w:val="auto"/>
        </w:rPr>
        <w:t>”)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Arial" w:cs="Arial" w:eastAsia="Arial" w:hAnsi="Arial"/>
          <w:sz w:val="14"/>
          <w:szCs w:val="14"/>
          <w:i w:val="1"/>
          <w:iCs w:val="1"/>
          <w:color w:val="auto"/>
        </w:rPr>
        <w:t>Incremental Lender</w:t>
      </w:r>
      <w:r>
        <w:rPr>
          <w:rFonts w:ascii="Arial" w:cs="Arial" w:eastAsia="Arial" w:hAnsi="Arial"/>
          <w:sz w:val="14"/>
          <w:szCs w:val="14"/>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42" w:name="page143"/>
    <w:bookmarkEnd w:id="142"/>
    <w:p>
      <w:pPr>
        <w:ind w:firstLine="517"/>
        <w:spacing w:after="0" w:line="259" w:lineRule="auto"/>
        <w:tabs>
          <w:tab w:leader="none" w:pos="92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52" w:lineRule="exact"/>
        <w:rPr>
          <w:rFonts w:ascii="Arial" w:cs="Arial" w:eastAsia="Arial" w:hAnsi="Arial"/>
          <w:sz w:val="15"/>
          <w:szCs w:val="15"/>
          <w:color w:val="auto"/>
        </w:rPr>
      </w:pPr>
    </w:p>
    <w:p>
      <w:pPr>
        <w:jc w:val="both"/>
        <w:ind w:firstLine="517"/>
        <w:spacing w:after="0" w:line="247" w:lineRule="auto"/>
        <w:tabs>
          <w:tab w:leader="none" w:pos="94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Applicable Borrower shall have delivered to the Administrative Agent (which shall promptly make such information available to the Lenders in accordance with its customary practice) a Compliance Certificate demonstrating that the Borrower will be in compliance on a pro forma basis (using the criteria therefor described in Section 6.04(i)) with the financial covenants set forth in Sections 6.10 and 6.11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61" w:lineRule="exact"/>
        <w:rPr>
          <w:rFonts w:ascii="Arial" w:cs="Arial" w:eastAsia="Arial" w:hAnsi="Arial"/>
          <w:sz w:val="15"/>
          <w:szCs w:val="15"/>
          <w:color w:val="auto"/>
        </w:rPr>
      </w:pPr>
    </w:p>
    <w:p>
      <w:pPr>
        <w:ind w:firstLine="517"/>
        <w:spacing w:after="0" w:line="259" w:lineRule="auto"/>
        <w:tabs>
          <w:tab w:leader="none" w:pos="91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52" w:lineRule="exact"/>
        <w:rPr>
          <w:rFonts w:ascii="Arial" w:cs="Arial" w:eastAsia="Arial" w:hAnsi="Arial"/>
          <w:sz w:val="15"/>
          <w:szCs w:val="15"/>
          <w:color w:val="auto"/>
        </w:rPr>
      </w:pPr>
    </w:p>
    <w:p>
      <w:pPr>
        <w:ind w:firstLine="517"/>
        <w:spacing w:after="0" w:line="259" w:lineRule="auto"/>
        <w:tabs>
          <w:tab w:leader="none" w:pos="94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52" w:lineRule="exact"/>
        <w:rPr>
          <w:rFonts w:ascii="Arial" w:cs="Arial" w:eastAsia="Arial" w:hAnsi="Arial"/>
          <w:sz w:val="15"/>
          <w:szCs w:val="15"/>
          <w:color w:val="auto"/>
        </w:rPr>
      </w:pPr>
    </w:p>
    <w:p>
      <w:pPr>
        <w:ind w:left="880" w:hanging="363"/>
        <w:spacing w:after="0"/>
        <w:tabs>
          <w:tab w:leader="none" w:pos="8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the case of each Incremental Revolving Commitment (the terms of which shall be set forth the relevant Lender Joinder Agreement):</w:t>
      </w:r>
    </w:p>
    <w:p>
      <w:pPr>
        <w:spacing w:after="0" w:line="177" w:lineRule="exact"/>
        <w:rPr>
          <w:rFonts w:ascii="Arial" w:cs="Arial" w:eastAsia="Arial" w:hAnsi="Arial"/>
          <w:sz w:val="15"/>
          <w:szCs w:val="15"/>
          <w:color w:val="auto"/>
        </w:rPr>
      </w:pPr>
    </w:p>
    <w:p>
      <w:pPr>
        <w:jc w:val="both"/>
        <w:ind w:firstLine="1041"/>
        <w:spacing w:after="0" w:line="343" w:lineRule="auto"/>
        <w:tabs>
          <w:tab w:leader="none" w:pos="1407" w:val="left"/>
        </w:tabs>
        <w:numPr>
          <w:ilvl w:val="1"/>
          <w:numId w:val="103"/>
        </w:numPr>
        <w:rPr>
          <w:rFonts w:ascii="Arial" w:cs="Arial" w:eastAsia="Arial" w:hAnsi="Arial"/>
          <w:sz w:val="12"/>
          <w:szCs w:val="12"/>
          <w:color w:val="auto"/>
        </w:rPr>
      </w:pPr>
      <w:r>
        <w:rPr>
          <w:rFonts w:ascii="Arial" w:cs="Arial" w:eastAsia="Arial" w:hAnsi="Arial"/>
          <w:sz w:val="12"/>
          <w:szCs w:val="12"/>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07" w:lineRule="exact"/>
        <w:rPr>
          <w:rFonts w:ascii="Arial" w:cs="Arial" w:eastAsia="Arial" w:hAnsi="Arial"/>
          <w:sz w:val="12"/>
          <w:szCs w:val="12"/>
          <w:color w:val="auto"/>
        </w:rPr>
      </w:pPr>
    </w:p>
    <w:p>
      <w:pPr>
        <w:jc w:val="both"/>
        <w:ind w:firstLine="1041"/>
        <w:spacing w:after="0" w:line="269" w:lineRule="auto"/>
        <w:tabs>
          <w:tab w:leader="none" w:pos="1423"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the outstanding Revolving Credit Loans and Applicable Pro Rata Percentages of Swingline Loans and L/C Obligations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344"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60960</wp:posOffset>
            </wp:positionV>
            <wp:extent cx="7292340" cy="33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0"/>
          </w:cols>
          <w:pgMar w:left="760" w:top="500" w:right="219" w:bottom="1440" w:gutter="0" w:footer="0" w:header="0"/>
        </w:sectPr>
      </w:pPr>
    </w:p>
    <w:bookmarkStart w:id="143" w:name="page144"/>
    <w:bookmarkEnd w:id="143"/>
    <w:p>
      <w:pPr>
        <w:jc w:val="both"/>
        <w:ind w:left="540" w:firstLine="1041"/>
        <w:spacing w:after="0" w:line="251" w:lineRule="auto"/>
        <w:tabs>
          <w:tab w:leader="none" w:pos="1958" w:val="left"/>
        </w:tabs>
        <w:numPr>
          <w:ilvl w:val="2"/>
          <w:numId w:val="104"/>
        </w:numPr>
        <w:rPr>
          <w:rFonts w:ascii="Arial" w:cs="Arial" w:eastAsia="Arial" w:hAnsi="Arial"/>
          <w:sz w:val="15"/>
          <w:szCs w:val="15"/>
          <w:color w:val="auto"/>
        </w:rPr>
      </w:pPr>
      <w:r>
        <w:rPr>
          <w:rFonts w:ascii="Arial" w:cs="Arial" w:eastAsia="Arial" w:hAnsi="Arial"/>
          <w:sz w:val="15"/>
          <w:szCs w:val="15"/>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158" w:lineRule="exact"/>
        <w:rPr>
          <w:rFonts w:ascii="Arial" w:cs="Arial" w:eastAsia="Arial" w:hAnsi="Arial"/>
          <w:sz w:val="15"/>
          <w:szCs w:val="15"/>
          <w:color w:val="auto"/>
        </w:rPr>
      </w:pPr>
    </w:p>
    <w:p>
      <w:pPr>
        <w:jc w:val="both"/>
        <w:ind w:left="540" w:firstLine="517"/>
        <w:spacing w:after="0" w:line="277" w:lineRule="auto"/>
        <w:tabs>
          <w:tab w:leader="none" w:pos="1479"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w:t>
      </w:r>
    </w:p>
    <w:p>
      <w:pPr>
        <w:spacing w:after="0" w:line="141" w:lineRule="exact"/>
        <w:rPr>
          <w:rFonts w:ascii="Arial" w:cs="Arial" w:eastAsia="Arial" w:hAnsi="Arial"/>
          <w:sz w:val="14"/>
          <w:szCs w:val="14"/>
          <w:color w:val="auto"/>
        </w:rPr>
      </w:pPr>
    </w:p>
    <w:p>
      <w:pPr>
        <w:jc w:val="both"/>
        <w:ind w:left="540" w:firstLine="517"/>
        <w:spacing w:after="0" w:line="343" w:lineRule="auto"/>
        <w:tabs>
          <w:tab w:leader="none" w:pos="1477" w:val="left"/>
        </w:tabs>
        <w:numPr>
          <w:ilvl w:val="1"/>
          <w:numId w:val="105"/>
        </w:numPr>
        <w:rPr>
          <w:rFonts w:ascii="Arial" w:cs="Arial" w:eastAsia="Arial" w:hAnsi="Arial"/>
          <w:sz w:val="12"/>
          <w:szCs w:val="12"/>
          <w:color w:val="auto"/>
        </w:rPr>
      </w:pPr>
      <w:r>
        <w:rPr>
          <w:rFonts w:ascii="Arial" w:cs="Arial" w:eastAsia="Arial" w:hAnsi="Arial"/>
          <w:sz w:val="12"/>
          <w:szCs w:val="12"/>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07" w:lineRule="exact"/>
        <w:rPr>
          <w:rFonts w:ascii="Arial" w:cs="Arial" w:eastAsia="Arial" w:hAnsi="Arial"/>
          <w:sz w:val="12"/>
          <w:szCs w:val="12"/>
          <w:color w:val="auto"/>
        </w:rPr>
      </w:pPr>
    </w:p>
    <w:p>
      <w:pPr>
        <w:jc w:val="both"/>
        <w:ind w:left="540" w:firstLine="517"/>
        <w:spacing w:after="0" w:line="251" w:lineRule="auto"/>
        <w:tabs>
          <w:tab w:leader="none" w:pos="144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58" w:lineRule="exact"/>
        <w:rPr>
          <w:rFonts w:ascii="Arial" w:cs="Arial" w:eastAsia="Arial" w:hAnsi="Arial"/>
          <w:sz w:val="15"/>
          <w:szCs w:val="15"/>
          <w:color w:val="auto"/>
        </w:rPr>
      </w:pPr>
    </w:p>
    <w:p>
      <w:pPr>
        <w:ind w:firstLine="532"/>
        <w:spacing w:after="0" w:line="259" w:lineRule="auto"/>
        <w:tabs>
          <w:tab w:leader="none" w:pos="97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Incremental Lenders shall be included in any determination of the Required U.S. Lenders, the Required Canadian Lenders or the Required Australian Lenders, and the Incremental Lenders will not constitute a separate voting class for any purposes under this Agreement.</w:t>
      </w:r>
    </w:p>
    <w:p>
      <w:pPr>
        <w:spacing w:after="0" w:line="152" w:lineRule="exact"/>
        <w:rPr>
          <w:rFonts w:ascii="Arial" w:cs="Arial" w:eastAsia="Arial" w:hAnsi="Arial"/>
          <w:sz w:val="15"/>
          <w:szCs w:val="15"/>
          <w:color w:val="auto"/>
        </w:rPr>
      </w:pPr>
    </w:p>
    <w:p>
      <w:pPr>
        <w:ind w:firstLine="532"/>
        <w:spacing w:after="0" w:line="259" w:lineRule="auto"/>
        <w:tabs>
          <w:tab w:leader="none" w:pos="87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52" w:lineRule="exact"/>
        <w:rPr>
          <w:rFonts w:ascii="Arial" w:cs="Arial" w:eastAsia="Arial" w:hAnsi="Arial"/>
          <w:sz w:val="15"/>
          <w:szCs w:val="15"/>
          <w:color w:val="auto"/>
        </w:rPr>
      </w:pPr>
    </w:p>
    <w:p>
      <w:pPr>
        <w:ind w:firstLine="532"/>
        <w:spacing w:after="0" w:line="259" w:lineRule="auto"/>
        <w:tabs>
          <w:tab w:leader="none" w:pos="90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81" w:lineRule="exact"/>
        <w:rPr>
          <w:sz w:val="20"/>
          <w:szCs w:val="20"/>
          <w:color w:val="auto"/>
        </w:rPr>
      </w:pPr>
    </w:p>
    <w:p>
      <w:pPr>
        <w:ind w:left="4780"/>
        <w:spacing w:after="0"/>
        <w:rPr>
          <w:sz w:val="20"/>
          <w:szCs w:val="20"/>
          <w:color w:val="auto"/>
        </w:rPr>
      </w:pPr>
      <w:r>
        <w:rPr>
          <w:rFonts w:ascii="Arial" w:cs="Arial" w:eastAsia="Arial" w:hAnsi="Arial"/>
          <w:sz w:val="15"/>
          <w:szCs w:val="15"/>
          <w:b w:val="1"/>
          <w:bCs w:val="1"/>
          <w:i w:val="1"/>
          <w:iCs w:val="1"/>
          <w:color w:val="auto"/>
        </w:rPr>
        <w:t>Representations and Warranties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Borrower represents and warrants to the Agents, the Issuing Banks and each of the Lenders that: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44" w:name="page145"/>
    <w:bookmarkEnd w:id="144"/>
    <w:p>
      <w:pPr>
        <w:jc w:val="both"/>
        <w:ind w:firstLine="525"/>
        <w:spacing w:after="0" w:line="270" w:lineRule="auto"/>
        <w:rPr>
          <w:sz w:val="20"/>
          <w:szCs w:val="20"/>
          <w:color w:val="auto"/>
        </w:rPr>
      </w:pPr>
      <w:r>
        <w:rPr>
          <w:rFonts w:ascii="Arial" w:cs="Arial" w:eastAsia="Arial" w:hAnsi="Arial"/>
          <w:sz w:val="14"/>
          <w:szCs w:val="14"/>
          <w:b w:val="1"/>
          <w:bCs w:val="1"/>
          <w:color w:val="auto"/>
        </w:rPr>
        <w:t xml:space="preserve">SECTION 3.01 </w:t>
      </w:r>
      <w:r>
        <w:rPr>
          <w:rFonts w:ascii="Arial" w:cs="Arial" w:eastAsia="Arial" w:hAnsi="Arial"/>
          <w:sz w:val="14"/>
          <w:szCs w:val="14"/>
          <w:b w:val="1"/>
          <w:bCs w:val="1"/>
          <w:i w:val="1"/>
          <w:iCs w:val="1"/>
          <w:color w:val="auto"/>
        </w:rPr>
        <w:t>Organization; Powers</w:t>
      </w:r>
      <w:r>
        <w:rPr>
          <w:rFonts w:ascii="Arial" w:cs="Arial" w:eastAsia="Arial" w:hAnsi="Arial"/>
          <w:sz w:val="14"/>
          <w:szCs w:val="14"/>
          <w:color w:val="auto"/>
        </w:rPr>
        <w:t>. Each Borrower and each of its respective Subsidiaries (a) is duly organized, validly existing and in good standing under the laws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the Spin Documents and each other agreement or instrument contemplated hereby or thereby to which it is or will be a party and, in the case of the Borrowers, to borrow hereunder.</w:t>
      </w:r>
    </w:p>
    <w:p>
      <w:pPr>
        <w:spacing w:after="0" w:line="187"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4"/>
          <w:szCs w:val="14"/>
          <w:b w:val="1"/>
          <w:bCs w:val="1"/>
          <w:color w:val="auto"/>
        </w:rPr>
        <w:t xml:space="preserve">SECTION 3.02 </w:t>
      </w:r>
      <w:r>
        <w:rPr>
          <w:rFonts w:ascii="Arial" w:cs="Arial" w:eastAsia="Arial" w:hAnsi="Arial"/>
          <w:sz w:val="14"/>
          <w:szCs w:val="14"/>
          <w:b w:val="1"/>
          <w:bCs w:val="1"/>
          <w:i w:val="1"/>
          <w:iCs w:val="1"/>
          <w:color w:val="auto"/>
        </w:rPr>
        <w:t>Authorization</w:t>
      </w:r>
      <w:r>
        <w:rPr>
          <w:rFonts w:ascii="Arial" w:cs="Arial" w:eastAsia="Arial" w:hAnsi="Arial"/>
          <w:sz w:val="14"/>
          <w:szCs w:val="14"/>
          <w:color w:val="auto"/>
        </w:rPr>
        <w:t>. The execution, delivery and performance by each Loan Party of each of the Loan Documents and the Spin Documents to which it is a party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consummation of the Transactions (i) have been (or will have been on, prior to or substantially contemporaneously with the Funding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92" w:lineRule="exact"/>
        <w:rPr>
          <w:sz w:val="20"/>
          <w:szCs w:val="20"/>
          <w:color w:val="auto"/>
        </w:rPr>
      </w:pPr>
    </w:p>
    <w:p>
      <w:pPr>
        <w:jc w:val="both"/>
        <w:ind w:firstLine="525"/>
        <w:spacing w:after="0" w:line="332" w:lineRule="auto"/>
        <w:rPr>
          <w:sz w:val="20"/>
          <w:szCs w:val="20"/>
          <w:color w:val="auto"/>
        </w:rPr>
      </w:pPr>
      <w:r>
        <w:rPr>
          <w:rFonts w:ascii="Arial" w:cs="Arial" w:eastAsia="Arial" w:hAnsi="Arial"/>
          <w:sz w:val="12"/>
          <w:szCs w:val="12"/>
          <w:b w:val="1"/>
          <w:bCs w:val="1"/>
          <w:color w:val="auto"/>
        </w:rPr>
        <w:t xml:space="preserve">SECTION 3.03 </w:t>
      </w:r>
      <w:r>
        <w:rPr>
          <w:rFonts w:ascii="Arial" w:cs="Arial" w:eastAsia="Arial" w:hAnsi="Arial"/>
          <w:sz w:val="12"/>
          <w:szCs w:val="12"/>
          <w:b w:val="1"/>
          <w:bCs w:val="1"/>
          <w:i w:val="1"/>
          <w:iCs w:val="1"/>
          <w:color w:val="auto"/>
        </w:rPr>
        <w:t>Enforceability</w:t>
      </w:r>
      <w:r>
        <w:rPr>
          <w:rFonts w:ascii="Arial" w:cs="Arial" w:eastAsia="Arial" w:hAnsi="Arial"/>
          <w:sz w:val="12"/>
          <w:szCs w:val="12"/>
          <w:color w:val="auto"/>
        </w:rPr>
        <w:t>. This Agreement has been (or will have been on or prior to the Closing Date) duly executed and delivered by the Borrowers and constitutes, and each</w:t>
      </w:r>
      <w:r>
        <w:rPr>
          <w:rFonts w:ascii="Arial" w:cs="Arial" w:eastAsia="Arial" w:hAnsi="Arial"/>
          <w:sz w:val="12"/>
          <w:szCs w:val="12"/>
          <w:b w:val="1"/>
          <w:bCs w:val="1"/>
          <w:color w:val="auto"/>
        </w:rPr>
        <w:t xml:space="preserve"> </w:t>
      </w:r>
      <w:r>
        <w:rPr>
          <w:rFonts w:ascii="Arial" w:cs="Arial" w:eastAsia="Arial" w:hAnsi="Arial"/>
          <w:sz w:val="12"/>
          <w:szCs w:val="12"/>
          <w:color w:val="auto"/>
        </w:rPr>
        <w:t>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54" w:lineRule="exact"/>
        <w:rPr>
          <w:sz w:val="20"/>
          <w:szCs w:val="20"/>
          <w:color w:val="auto"/>
        </w:rPr>
      </w:pPr>
    </w:p>
    <w:p>
      <w:pPr>
        <w:jc w:val="both"/>
        <w:ind w:firstLine="525"/>
        <w:spacing w:after="0" w:line="318" w:lineRule="auto"/>
        <w:rPr>
          <w:sz w:val="20"/>
          <w:szCs w:val="20"/>
          <w:color w:val="auto"/>
        </w:rPr>
      </w:pPr>
      <w:r>
        <w:rPr>
          <w:rFonts w:ascii="Arial" w:cs="Arial" w:eastAsia="Arial" w:hAnsi="Arial"/>
          <w:sz w:val="12"/>
          <w:szCs w:val="12"/>
          <w:b w:val="1"/>
          <w:bCs w:val="1"/>
          <w:color w:val="auto"/>
        </w:rPr>
        <w:t xml:space="preserve">SECTION 3.04 </w:t>
      </w:r>
      <w:r>
        <w:rPr>
          <w:rFonts w:ascii="Arial" w:cs="Arial" w:eastAsia="Arial" w:hAnsi="Arial"/>
          <w:sz w:val="12"/>
          <w:szCs w:val="12"/>
          <w:b w:val="1"/>
          <w:bCs w:val="1"/>
          <w:i w:val="1"/>
          <w:iCs w:val="1"/>
          <w:color w:val="auto"/>
        </w:rPr>
        <w:t>Governmental Approvals</w:t>
      </w:r>
      <w:r>
        <w:rPr>
          <w:rFonts w:ascii="Arial" w:cs="Arial" w:eastAsia="Arial" w:hAnsi="Arial"/>
          <w:sz w:val="12"/>
          <w:szCs w:val="12"/>
          <w:color w:val="auto"/>
        </w:rPr>
        <w:t>. (a) No authorization, action, exemption, consent or approval of, registration, notice or filing with or any other action by any Governmental</w:t>
      </w:r>
      <w:r>
        <w:rPr>
          <w:rFonts w:ascii="Arial" w:cs="Arial" w:eastAsia="Arial" w:hAnsi="Arial"/>
          <w:sz w:val="12"/>
          <w:szCs w:val="12"/>
          <w:b w:val="1"/>
          <w:bCs w:val="1"/>
          <w:color w:val="auto"/>
        </w:rPr>
        <w:t xml:space="preserve"> </w:t>
      </w:r>
      <w:r>
        <w:rPr>
          <w:rFonts w:ascii="Arial" w:cs="Arial" w:eastAsia="Arial" w:hAnsi="Arial"/>
          <w:sz w:val="12"/>
          <w:szCs w:val="12"/>
          <w:color w:val="auto"/>
        </w:rPr>
        <w:t>Authority is necessary or will be required in connection with the Loan Documents, the Spin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and other filings and filing for Australian mortgage stamp duty payments to perfect Liens created under the Security Documents, (ii) those which will have been, or, in the case of filings relating to the consummation of the Spin-Off, substantially contemporaneously with the initial funding of Loans on the Funding Date will be, made or obtained and be in full force and effect on or prior to or substantially contemporaneously with the Funding Date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45" w:name="page146"/>
    <w:bookmarkEnd w:id="145"/>
    <w:p>
      <w:pPr>
        <w:jc w:val="both"/>
        <w:ind w:firstLine="525"/>
        <w:spacing w:after="0" w:line="248" w:lineRule="auto"/>
        <w:rPr>
          <w:sz w:val="20"/>
          <w:szCs w:val="20"/>
          <w:color w:val="auto"/>
        </w:rPr>
      </w:pPr>
      <w:r>
        <w:rPr>
          <w:rFonts w:ascii="Arial" w:cs="Arial" w:eastAsia="Arial" w:hAnsi="Arial"/>
          <w:sz w:val="15"/>
          <w:szCs w:val="15"/>
          <w:b w:val="1"/>
          <w:bCs w:val="1"/>
          <w:color w:val="auto"/>
        </w:rPr>
        <w:t xml:space="preserve">SECTION 3.05 </w:t>
      </w:r>
      <w:r>
        <w:rPr>
          <w:rFonts w:ascii="Arial" w:cs="Arial" w:eastAsia="Arial" w:hAnsi="Arial"/>
          <w:sz w:val="15"/>
          <w:szCs w:val="15"/>
          <w:b w:val="1"/>
          <w:bCs w:val="1"/>
          <w:i w:val="1"/>
          <w:iCs w:val="1"/>
          <w:color w:val="auto"/>
        </w:rPr>
        <w:t>Financial Statements</w:t>
      </w:r>
      <w:r>
        <w:rPr>
          <w:rFonts w:ascii="Arial" w:cs="Arial" w:eastAsia="Arial" w:hAnsi="Arial"/>
          <w:sz w:val="15"/>
          <w:szCs w:val="15"/>
          <w:color w:val="auto"/>
        </w:rPr>
        <w:t>. The U.S. Borrower has heretofore furnished to the Lenders the audited combined balance sheets and related combined statements of income,</w:t>
      </w:r>
      <w:r>
        <w:rPr>
          <w:rFonts w:ascii="Arial" w:cs="Arial" w:eastAsia="Arial" w:hAnsi="Arial"/>
          <w:sz w:val="15"/>
          <w:szCs w:val="15"/>
          <w:b w:val="1"/>
          <w:bCs w:val="1"/>
          <w:color w:val="auto"/>
        </w:rPr>
        <w:t xml:space="preserve"> </w:t>
      </w:r>
      <w:r>
        <w:rPr>
          <w:rFonts w:ascii="Arial" w:cs="Arial" w:eastAsia="Arial" w:hAnsi="Arial"/>
          <w:sz w:val="15"/>
          <w:szCs w:val="15"/>
          <w:color w:val="auto"/>
        </w:rPr>
        <w:t>comprehensive income, changes in net investment, and cash flows of the accommodations business of Oil States, as of and for the year ended December 31, 2013. Such financial statements in each case present fairly, in all material respects, the financial condition of the accommodations business of Oil States, as of such date and for such period. Such financial statements and the notes thereto, disclose all material liabilities, direct or contingent, of the accommodations business of Oil States, as of the date thereof. Such financial statements were prepared in accordance with GAAP.</w:t>
      </w:r>
    </w:p>
    <w:p>
      <w:pPr>
        <w:spacing w:after="0" w:line="202"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3.06 </w:t>
      </w:r>
      <w:r>
        <w:rPr>
          <w:rFonts w:ascii="Arial" w:cs="Arial" w:eastAsia="Arial" w:hAnsi="Arial"/>
          <w:sz w:val="15"/>
          <w:szCs w:val="15"/>
          <w:b w:val="1"/>
          <w:bCs w:val="1"/>
          <w:i w:val="1"/>
          <w:iCs w:val="1"/>
          <w:color w:val="auto"/>
        </w:rPr>
        <w:t>No Material Adverse Change</w:t>
      </w:r>
      <w:r>
        <w:rPr>
          <w:rFonts w:ascii="Arial" w:cs="Arial" w:eastAsia="Arial" w:hAnsi="Arial"/>
          <w:sz w:val="15"/>
          <w:szCs w:val="15"/>
          <w:color w:val="auto"/>
        </w:rPr>
        <w:t>. Since December 31, 2013, there has been no material adverse effect on the business, assets, operations or condition (financial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of the Borrowers and the Subsidiaries, taken as a whole.</w:t>
      </w:r>
    </w:p>
    <w:p>
      <w:pPr>
        <w:spacing w:after="0" w:line="189"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3.07 </w:t>
      </w:r>
      <w:r>
        <w:rPr>
          <w:rFonts w:ascii="Arial" w:cs="Arial" w:eastAsia="Arial" w:hAnsi="Arial"/>
          <w:sz w:val="15"/>
          <w:szCs w:val="15"/>
          <w:b w:val="1"/>
          <w:bCs w:val="1"/>
          <w:i w:val="1"/>
          <w:iCs w:val="1"/>
          <w:color w:val="auto"/>
        </w:rPr>
        <w:t>Title to Properties; Possession Under Leases and Licenses</w:t>
      </w:r>
      <w:r>
        <w:rPr>
          <w:rFonts w:ascii="Arial" w:cs="Arial" w:eastAsia="Arial" w:hAnsi="Arial"/>
          <w:sz w:val="15"/>
          <w:szCs w:val="15"/>
          <w:color w:val="auto"/>
        </w:rPr>
        <w:t>. (a) Each of the Borrowers and the other Loan Parties has good and indefeasible title to, or valid leases or</w:t>
      </w:r>
      <w:r>
        <w:rPr>
          <w:rFonts w:ascii="Arial" w:cs="Arial" w:eastAsia="Arial" w:hAnsi="Arial"/>
          <w:sz w:val="15"/>
          <w:szCs w:val="15"/>
          <w:b w:val="1"/>
          <w:bCs w:val="1"/>
          <w:color w:val="auto"/>
        </w:rPr>
        <w:t xml:space="preserve"> </w:t>
      </w:r>
      <w:r>
        <w:rPr>
          <w:rFonts w:ascii="Arial" w:cs="Arial" w:eastAsia="Arial" w:hAnsi="Arial"/>
          <w:sz w:val="15"/>
          <w:szCs w:val="15"/>
          <w:color w:val="auto"/>
        </w:rPr>
        <w:t>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w:t>
      </w:r>
    </w:p>
    <w:p>
      <w:pPr>
        <w:spacing w:after="0" w:line="203" w:lineRule="exact"/>
        <w:rPr>
          <w:sz w:val="20"/>
          <w:szCs w:val="20"/>
          <w:color w:val="auto"/>
        </w:rPr>
      </w:pPr>
    </w:p>
    <w:p>
      <w:pPr>
        <w:jc w:val="both"/>
        <w:ind w:firstLine="532"/>
        <w:spacing w:after="0" w:line="248" w:lineRule="auto"/>
        <w:tabs>
          <w:tab w:leader="none" w:pos="88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Each of the Borrowers and the Subsidiaries that are Loan Parties has complied with all material obligations under all leases and material licenses to access, use and occupy property to which it is a party and all such leases and licenses are in full force and effect of the Effective Date except where the failure to so comply could not reasonably be expected to have a Material Adverse Effect. Each of the Borrowers and the Subsidiaries enjoys peaceful and undisturbed possession under all leases and licenses as of the Effective Date except where the failure could not reasonably be expected to have a Material Adverse Effect.</w:t>
      </w:r>
    </w:p>
    <w:p>
      <w:pPr>
        <w:spacing w:after="0" w:line="157"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3.08 </w:t>
      </w:r>
      <w:r>
        <w:rPr>
          <w:rFonts w:ascii="Arial" w:cs="Arial" w:eastAsia="Arial" w:hAnsi="Arial"/>
          <w:sz w:val="15"/>
          <w:szCs w:val="15"/>
          <w:b w:val="1"/>
          <w:bCs w:val="1"/>
          <w:i w:val="1"/>
          <w:iCs w:val="1"/>
          <w:color w:val="auto"/>
        </w:rPr>
        <w:t>Subsidiaries</w:t>
      </w:r>
      <w:r>
        <w:rPr>
          <w:rFonts w:ascii="Arial" w:cs="Arial" w:eastAsia="Arial" w:hAnsi="Arial"/>
          <w:sz w:val="15"/>
          <w:szCs w:val="15"/>
          <w:color w:val="auto"/>
        </w:rPr>
        <w:t>. Schedule 3.08 sets forth as of the Funding Date a list of all Subsidiaries and Special Purpose Business Entities and, as to each such Subsidiary, the</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of formation, the outstanding Equity Interests therein and the percentage ownership interest of each class of such Equity Interests owned by the U.S. Borrower and its Subsidiaries therein. The Equity Interests indicated as owned by the U.S. Borrower and its Subsidiaries on Schedule 3.08 are owned by the Borrowers, directly or indirectly, free and clear of all Liens (other than Liens permitted by Section 6.02).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46" w:name="page147"/>
    <w:bookmarkEnd w:id="146"/>
    <w:p>
      <w:pPr>
        <w:jc w:val="both"/>
        <w:ind w:firstLine="525"/>
        <w:spacing w:after="0" w:line="273" w:lineRule="auto"/>
        <w:rPr>
          <w:sz w:val="20"/>
          <w:szCs w:val="20"/>
          <w:color w:val="auto"/>
        </w:rPr>
      </w:pPr>
      <w:r>
        <w:rPr>
          <w:rFonts w:ascii="Arial" w:cs="Arial" w:eastAsia="Arial" w:hAnsi="Arial"/>
          <w:sz w:val="14"/>
          <w:szCs w:val="14"/>
          <w:b w:val="1"/>
          <w:bCs w:val="1"/>
          <w:color w:val="auto"/>
        </w:rPr>
        <w:t xml:space="preserve">SECTION 3.09 </w:t>
      </w:r>
      <w:r>
        <w:rPr>
          <w:rFonts w:ascii="Arial" w:cs="Arial" w:eastAsia="Arial" w:hAnsi="Arial"/>
          <w:sz w:val="14"/>
          <w:szCs w:val="14"/>
          <w:b w:val="1"/>
          <w:bCs w:val="1"/>
          <w:i w:val="1"/>
          <w:iCs w:val="1"/>
          <w:color w:val="auto"/>
        </w:rPr>
        <w:t>Litigation; Compliance with Laws</w:t>
      </w:r>
      <w:r>
        <w:rPr>
          <w:rFonts w:ascii="Arial" w:cs="Arial" w:eastAsia="Arial" w:hAnsi="Arial"/>
          <w:sz w:val="14"/>
          <w:szCs w:val="14"/>
          <w:color w:val="auto"/>
        </w:rPr>
        <w:t>. (a) Except as set forth on Schedule 3.09, there are no actions, suits, proceedings, claims or disputes at law, in equity, in arbitration,</w:t>
      </w:r>
      <w:r>
        <w:rPr>
          <w:rFonts w:ascii="Arial" w:cs="Arial" w:eastAsia="Arial" w:hAnsi="Arial"/>
          <w:sz w:val="14"/>
          <w:szCs w:val="14"/>
          <w:b w:val="1"/>
          <w:bCs w:val="1"/>
          <w:color w:val="auto"/>
        </w:rPr>
        <w:t xml:space="preserve"> </w:t>
      </w:r>
      <w:r>
        <w:rPr>
          <w:rFonts w:ascii="Arial" w:cs="Arial" w:eastAsia="Arial" w:hAnsi="Arial"/>
          <w:sz w:val="14"/>
          <w:szCs w:val="14"/>
          <w:color w:val="auto"/>
        </w:rPr>
        <w:t>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9" w:lineRule="exact"/>
        <w:rPr>
          <w:sz w:val="20"/>
          <w:szCs w:val="20"/>
          <w:color w:val="auto"/>
        </w:rPr>
      </w:pPr>
    </w:p>
    <w:p>
      <w:pPr>
        <w:ind w:firstLine="532"/>
        <w:spacing w:after="0" w:line="259" w:lineRule="auto"/>
        <w:tabs>
          <w:tab w:leader="none" w:pos="9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Since the Closing Date, there has been no adverse change in the status or financial effect on the U.S. Borrower and the Subsidiaries of the matters disclosed on Schedule 3.09 that, individually or in the aggregate, has resulted in, or materially increased the likelihood of, a Material Adverse Effect.</w:t>
      </w:r>
    </w:p>
    <w:p>
      <w:pPr>
        <w:spacing w:after="0" w:line="152" w:lineRule="exact"/>
        <w:rPr>
          <w:rFonts w:ascii="Arial" w:cs="Arial" w:eastAsia="Arial" w:hAnsi="Arial"/>
          <w:sz w:val="15"/>
          <w:szCs w:val="15"/>
          <w:color w:val="auto"/>
        </w:rPr>
      </w:pPr>
    </w:p>
    <w:p>
      <w:pPr>
        <w:jc w:val="both"/>
        <w:ind w:firstLine="532"/>
        <w:spacing w:after="0" w:line="248" w:lineRule="auto"/>
        <w:tabs>
          <w:tab w:leader="none" w:pos="89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57"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3.10 </w:t>
      </w:r>
      <w:r>
        <w:rPr>
          <w:rFonts w:ascii="Arial" w:cs="Arial" w:eastAsia="Arial" w:hAnsi="Arial"/>
          <w:sz w:val="15"/>
          <w:szCs w:val="15"/>
          <w:b w:val="1"/>
          <w:bCs w:val="1"/>
          <w:i w:val="1"/>
          <w:iCs w:val="1"/>
          <w:color w:val="auto"/>
        </w:rPr>
        <w:t>Agreements</w:t>
      </w:r>
      <w:r>
        <w:rPr>
          <w:rFonts w:ascii="Arial" w:cs="Arial" w:eastAsia="Arial" w:hAnsi="Arial"/>
          <w:sz w:val="15"/>
          <w:szCs w:val="15"/>
          <w:color w:val="auto"/>
        </w:rPr>
        <w:t>. No Borrower nor any of the Subsidiaries is in default in any manner under any provision of any indenture or other agreement or instrument, where such</w:t>
      </w:r>
      <w:r>
        <w:rPr>
          <w:rFonts w:ascii="Arial" w:cs="Arial" w:eastAsia="Arial" w:hAnsi="Arial"/>
          <w:sz w:val="15"/>
          <w:szCs w:val="15"/>
          <w:b w:val="1"/>
          <w:bCs w:val="1"/>
          <w:color w:val="auto"/>
        </w:rPr>
        <w:t xml:space="preserve"> </w:t>
      </w:r>
      <w:r>
        <w:rPr>
          <w:rFonts w:ascii="Arial" w:cs="Arial" w:eastAsia="Arial" w:hAnsi="Arial"/>
          <w:sz w:val="15"/>
          <w:szCs w:val="15"/>
          <w:color w:val="auto"/>
        </w:rPr>
        <w:t>default has resulted in, or could, either individually or in the aggregate, reasonably be expected to result in a Material Adverse Effect.</w:t>
      </w:r>
    </w:p>
    <w:p>
      <w:pPr>
        <w:spacing w:after="0" w:line="189"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3.11 </w:t>
      </w:r>
      <w:r>
        <w:rPr>
          <w:rFonts w:ascii="Arial" w:cs="Arial" w:eastAsia="Arial" w:hAnsi="Arial"/>
          <w:sz w:val="15"/>
          <w:szCs w:val="15"/>
          <w:b w:val="1"/>
          <w:bCs w:val="1"/>
          <w:i w:val="1"/>
          <w:iCs w:val="1"/>
          <w:color w:val="auto"/>
        </w:rPr>
        <w:t>Federal Reserve Regulations</w:t>
      </w:r>
      <w:r>
        <w:rPr>
          <w:rFonts w:ascii="Arial" w:cs="Arial" w:eastAsia="Arial" w:hAnsi="Arial"/>
          <w:sz w:val="15"/>
          <w:szCs w:val="15"/>
          <w:color w:val="auto"/>
        </w:rPr>
        <w:t>. (a) None of the Loan Parties is engaged principally, or as one of its important activities, in the business of extending credit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 of buying or carrying Margin Stock.</w:t>
      </w:r>
    </w:p>
    <w:p>
      <w:pPr>
        <w:spacing w:after="0" w:line="193" w:lineRule="exact"/>
        <w:rPr>
          <w:sz w:val="20"/>
          <w:szCs w:val="20"/>
          <w:color w:val="auto"/>
        </w:rPr>
      </w:pPr>
    </w:p>
    <w:p>
      <w:pPr>
        <w:ind w:firstLine="532"/>
        <w:spacing w:after="0" w:line="259" w:lineRule="auto"/>
        <w:tabs>
          <w:tab w:leader="none" w:pos="9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No part of the proceeds of any Loan or any Letter of Credit will be used, whether directly or indirectly, and whether immediately, incidentally or ultimately, for any purpose that entails a violation of, or that is inconsistent with, the provisions of the regulations of the Board, including Regulations T, U or X.</w:t>
      </w:r>
    </w:p>
    <w:p>
      <w:pPr>
        <w:spacing w:after="0" w:line="148"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3.12 </w:t>
      </w:r>
      <w:r>
        <w:rPr>
          <w:rFonts w:ascii="Arial" w:cs="Arial" w:eastAsia="Arial" w:hAnsi="Arial"/>
          <w:sz w:val="15"/>
          <w:szCs w:val="15"/>
          <w:b w:val="1"/>
          <w:bCs w:val="1"/>
          <w:i w:val="1"/>
          <w:iCs w:val="1"/>
          <w:color w:val="auto"/>
        </w:rPr>
        <w:t>Investment Company Act</w:t>
      </w:r>
      <w:r>
        <w:rPr>
          <w:rFonts w:ascii="Arial" w:cs="Arial" w:eastAsia="Arial" w:hAnsi="Arial"/>
          <w:sz w:val="15"/>
          <w:szCs w:val="15"/>
          <w:color w:val="auto"/>
        </w:rPr>
        <w:t>. Neither the U.S. Borrower nor any Subsidiary is or is required to be registered as an “investment company” as defined in, or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 under, the Investment Company Act of 1940.</w:t>
      </w:r>
    </w:p>
    <w:p>
      <w:pPr>
        <w:spacing w:after="0" w:line="189"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b w:val="1"/>
          <w:bCs w:val="1"/>
          <w:color w:val="auto"/>
        </w:rPr>
        <w:t>SECTION 3.13</w:t>
      </w:r>
      <w:r>
        <w:rPr>
          <w:sz w:val="20"/>
          <w:szCs w:val="20"/>
          <w:color w:val="auto"/>
        </w:rPr>
        <w:tab/>
      </w:r>
      <w:r>
        <w:rPr>
          <w:rFonts w:ascii="Arial" w:cs="Arial" w:eastAsia="Arial" w:hAnsi="Arial"/>
          <w:sz w:val="12"/>
          <w:szCs w:val="12"/>
          <w:b w:val="1"/>
          <w:bCs w:val="1"/>
          <w:i w:val="1"/>
          <w:iCs w:val="1"/>
          <w:color w:val="auto"/>
        </w:rPr>
        <w:t>Use of Proceeds</w:t>
      </w:r>
      <w:r>
        <w:rPr>
          <w:rFonts w:ascii="Arial" w:cs="Arial" w:eastAsia="Arial" w:hAnsi="Arial"/>
          <w:sz w:val="12"/>
          <w:szCs w:val="12"/>
          <w:color w:val="auto"/>
        </w:rPr>
        <w:t>. The Borrowers will use the proceeds of the Loans and will request the issuance of Letters of Credit (a) to consummate the Refinancing Transactions,</w:t>
      </w:r>
    </w:p>
    <w:p>
      <w:pPr>
        <w:spacing w:after="0" w:line="15" w:lineRule="exact"/>
        <w:rPr>
          <w:sz w:val="20"/>
          <w:szCs w:val="20"/>
          <w:color w:val="auto"/>
        </w:rPr>
      </w:pPr>
    </w:p>
    <w:p>
      <w:pPr>
        <w:ind w:firstLine="7"/>
        <w:spacing w:after="0" w:line="246" w:lineRule="auto"/>
        <w:tabs>
          <w:tab w:leader="none" w:pos="20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make a one-time cash distribution to Oil States in connection with the Spin-Off, (c) to pay a portion of the fees, commissions and expenses associated with the Transactions and (d) to provide working capital and for other general corporate purposes of the U.S. Borrower and its Subsidiaries.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47" w:name="page148"/>
    <w:bookmarkEnd w:id="147"/>
    <w:p>
      <w:pPr>
        <w:jc w:val="both"/>
        <w:ind w:firstLine="525"/>
        <w:spacing w:after="0" w:line="332" w:lineRule="auto"/>
        <w:rPr>
          <w:sz w:val="20"/>
          <w:szCs w:val="20"/>
          <w:color w:val="auto"/>
        </w:rPr>
      </w:pPr>
      <w:r>
        <w:rPr>
          <w:rFonts w:ascii="Arial" w:cs="Arial" w:eastAsia="Arial" w:hAnsi="Arial"/>
          <w:sz w:val="12"/>
          <w:szCs w:val="12"/>
          <w:b w:val="1"/>
          <w:bCs w:val="1"/>
          <w:color w:val="auto"/>
        </w:rPr>
        <w:t xml:space="preserve">SECTION 3.14 </w:t>
      </w:r>
      <w:r>
        <w:rPr>
          <w:rFonts w:ascii="Arial" w:cs="Arial" w:eastAsia="Arial" w:hAnsi="Arial"/>
          <w:sz w:val="12"/>
          <w:szCs w:val="12"/>
          <w:b w:val="1"/>
          <w:bCs w:val="1"/>
          <w:i w:val="1"/>
          <w:iCs w:val="1"/>
          <w:color w:val="auto"/>
        </w:rPr>
        <w:t>Tax Returns</w:t>
      </w:r>
      <w:r>
        <w:rPr>
          <w:rFonts w:ascii="Arial" w:cs="Arial" w:eastAsia="Arial" w:hAnsi="Arial"/>
          <w:sz w:val="12"/>
          <w:szCs w:val="12"/>
          <w:color w:val="auto"/>
        </w:rPr>
        <w:t>. Each of the Borrowers and the Subsidiaries has filed or caused to be filed all federal, state, provincial, local and foreign Tax returns or materials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Canadian GAAP or Australian GAAP, as the case may be. There is no proposed tax assessment against any Borrower or any Subsidiary thereof that could reasonably be expected to have a Material Adverse Effect.</w:t>
      </w:r>
    </w:p>
    <w:p>
      <w:pPr>
        <w:spacing w:after="0" w:line="154"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b w:val="1"/>
          <w:bCs w:val="1"/>
          <w:color w:val="auto"/>
        </w:rPr>
        <w:t xml:space="preserve">SECTION 3.15 </w:t>
      </w:r>
      <w:r>
        <w:rPr>
          <w:rFonts w:ascii="Arial" w:cs="Arial" w:eastAsia="Arial" w:hAnsi="Arial"/>
          <w:sz w:val="15"/>
          <w:szCs w:val="15"/>
          <w:b w:val="1"/>
          <w:bCs w:val="1"/>
          <w:i w:val="1"/>
          <w:iCs w:val="1"/>
          <w:color w:val="auto"/>
        </w:rPr>
        <w:t>No Material Misstatements</w:t>
      </w:r>
      <w:r>
        <w:rPr>
          <w:rFonts w:ascii="Arial" w:cs="Arial" w:eastAsia="Arial" w:hAnsi="Arial"/>
          <w:sz w:val="15"/>
          <w:szCs w:val="15"/>
          <w:color w:val="auto"/>
        </w:rPr>
        <w:t>. None of (a) the Confidential Information Memorandum or (b) any other information, report, financial statement, exhibit or schedule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furnished by or on behalf of the U.S.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203"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b w:val="1"/>
          <w:bCs w:val="1"/>
          <w:color w:val="auto"/>
        </w:rPr>
        <w:t xml:space="preserve">SECTION 3.16 </w:t>
      </w:r>
      <w:r>
        <w:rPr>
          <w:rFonts w:ascii="Arial" w:cs="Arial" w:eastAsia="Arial" w:hAnsi="Arial"/>
          <w:sz w:val="15"/>
          <w:szCs w:val="15"/>
          <w:b w:val="1"/>
          <w:bCs w:val="1"/>
          <w:i w:val="1"/>
          <w:iCs w:val="1"/>
          <w:color w:val="auto"/>
        </w:rPr>
        <w:t>Employee Benefit Plans</w:t>
      </w:r>
      <w:r>
        <w:rPr>
          <w:rFonts w:ascii="Arial" w:cs="Arial" w:eastAsia="Arial" w:hAnsi="Arial"/>
          <w:sz w:val="15"/>
          <w:szCs w:val="15"/>
          <w:color w:val="auto"/>
        </w:rPr>
        <w:t>. (a) Each of the Borrowers and its ERISA Affiliates is in compliance in all material respects with the applicable provisions of ERISA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or any of its ERISA Affiliates that could reasonably be expected to have a Material Adverse Effect. Except as disclosed in Schedule 3.16(a), the present value of all benefit liabilities under each Plan (based on those assumptions used for purposes of Financial Accounting Standards No. 87) did not, as of the last annual valuation preceding the Closing Date, exceed the fair market value of the assets of such Plan.</w:t>
      </w:r>
    </w:p>
    <w:p>
      <w:pPr>
        <w:spacing w:after="0" w:line="207" w:lineRule="exact"/>
        <w:rPr>
          <w:sz w:val="20"/>
          <w:szCs w:val="20"/>
          <w:color w:val="auto"/>
        </w:rPr>
      </w:pPr>
    </w:p>
    <w:p>
      <w:pPr>
        <w:jc w:val="both"/>
        <w:ind w:firstLine="532"/>
        <w:spacing w:after="0" w:line="264" w:lineRule="auto"/>
        <w:tabs>
          <w:tab w:leader="none" w:pos="89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Schedule 3.16(b) sets forth all Canadian Benefit Plans (other than, for greater certainty, universal plans created by and to which the Canadian Borrowers are obligated to contribute by statute) and Canadian Pension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Canadian Parent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Canadian Parent and the Canadian Subsidiaries to the Canadian Pension Plans or the Canadian Benefit Plans have been made on a timely basis in accordance with the terms of such plans and all applicable laws. There have been no improper withdrawals or applications of the assets of the Canadian Pension Plans or the Canadian Benefit Plans. Except as disclosed in Schedule 3.16(b), each of the Canadian Pension Plans and the Canadian Benefit Plans is fully funded on a solvency basis and going concern basis (using actuarial methods and assumptions which are consistent with the valuations last filed with the applicable Governmental Authorities and which are consistent with Canadian GAAP).</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48" w:name="page149"/>
    <w:bookmarkEnd w:id="148"/>
    <w:p>
      <w:pPr>
        <w:ind w:firstLine="532"/>
        <w:spacing w:after="0" w:line="383" w:lineRule="auto"/>
        <w:tabs>
          <w:tab w:leader="none" w:pos="875" w:val="left"/>
        </w:tabs>
        <w:numPr>
          <w:ilvl w:val="0"/>
          <w:numId w:val="112"/>
        </w:numPr>
        <w:rPr>
          <w:rFonts w:ascii="Arial" w:cs="Arial" w:eastAsia="Arial" w:hAnsi="Arial"/>
          <w:sz w:val="12"/>
          <w:szCs w:val="12"/>
          <w:color w:val="auto"/>
        </w:rPr>
      </w:pPr>
      <w:r>
        <w:rPr>
          <w:rFonts w:ascii="Arial" w:cs="Arial" w:eastAsia="Arial" w:hAnsi="Arial"/>
          <w:sz w:val="12"/>
          <w:szCs w:val="12"/>
          <w:color w:val="auto"/>
        </w:rPr>
        <w:t>With respect to each scheme or arrangement mandated by a government other than the United States or Canada (a “</w:t>
      </w:r>
      <w:r>
        <w:rPr>
          <w:rFonts w:ascii="Arial" w:cs="Arial" w:eastAsia="Arial" w:hAnsi="Arial"/>
          <w:sz w:val="12"/>
          <w:szCs w:val="12"/>
          <w:u w:val="single" w:color="auto"/>
          <w:color w:val="auto"/>
        </w:rPr>
        <w:t>Foreign Government Scheme or Arrangement</w:t>
      </w:r>
      <w:r>
        <w:rPr>
          <w:rFonts w:ascii="Arial" w:cs="Arial" w:eastAsia="Arial" w:hAnsi="Arial"/>
          <w:sz w:val="12"/>
          <w:szCs w:val="12"/>
          <w:color w:val="auto"/>
        </w:rPr>
        <w:t>”) and with respect to each employee benefit plan maintained or contributed to by any Loan Party or any Subsidiary of any Loan Party that is not subject to United States or Canadian law (a “</w:t>
      </w:r>
      <w:r>
        <w:rPr>
          <w:rFonts w:ascii="Arial" w:cs="Arial" w:eastAsia="Arial" w:hAnsi="Arial"/>
          <w:sz w:val="12"/>
          <w:szCs w:val="12"/>
          <w:u w:val="single" w:color="auto"/>
          <w:color w:val="auto"/>
        </w:rPr>
        <w:t>Foreign Plan</w:t>
      </w:r>
      <w:r>
        <w:rPr>
          <w:rFonts w:ascii="Arial" w:cs="Arial" w:eastAsia="Arial" w:hAnsi="Arial"/>
          <w:sz w:val="12"/>
          <w:szCs w:val="12"/>
          <w:color w:val="auto"/>
        </w:rPr>
        <w:t>”):</w:t>
      </w:r>
    </w:p>
    <w:p>
      <w:pPr>
        <w:spacing w:after="0" w:line="84" w:lineRule="exact"/>
        <w:rPr>
          <w:rFonts w:ascii="Arial" w:cs="Arial" w:eastAsia="Arial" w:hAnsi="Arial"/>
          <w:sz w:val="12"/>
          <w:szCs w:val="12"/>
          <w:color w:val="auto"/>
        </w:rPr>
      </w:pPr>
    </w:p>
    <w:p>
      <w:pPr>
        <w:ind w:left="540" w:firstLine="517"/>
        <w:spacing w:after="0" w:line="294" w:lineRule="auto"/>
        <w:tabs>
          <w:tab w:leader="none" w:pos="1405" w:val="left"/>
        </w:tabs>
        <w:numPr>
          <w:ilvl w:val="1"/>
          <w:numId w:val="112"/>
        </w:numPr>
        <w:rPr>
          <w:rFonts w:ascii="Arial" w:cs="Arial" w:eastAsia="Arial" w:hAnsi="Arial"/>
          <w:sz w:val="14"/>
          <w:szCs w:val="14"/>
          <w:color w:val="auto"/>
        </w:rPr>
      </w:pPr>
      <w:r>
        <w:rPr>
          <w:rFonts w:ascii="Arial" w:cs="Arial" w:eastAsia="Arial" w:hAnsi="Arial"/>
          <w:sz w:val="14"/>
          <w:szCs w:val="14"/>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30" w:lineRule="exact"/>
        <w:rPr>
          <w:rFonts w:ascii="Arial" w:cs="Arial" w:eastAsia="Arial" w:hAnsi="Arial"/>
          <w:sz w:val="14"/>
          <w:szCs w:val="14"/>
          <w:color w:val="auto"/>
        </w:rPr>
      </w:pPr>
    </w:p>
    <w:p>
      <w:pPr>
        <w:jc w:val="both"/>
        <w:ind w:left="540" w:firstLine="517"/>
        <w:spacing w:after="0" w:line="271" w:lineRule="auto"/>
        <w:tabs>
          <w:tab w:leader="none" w:pos="1448"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47" w:lineRule="exact"/>
        <w:rPr>
          <w:rFonts w:ascii="Arial" w:cs="Arial" w:eastAsia="Arial" w:hAnsi="Arial"/>
          <w:sz w:val="14"/>
          <w:szCs w:val="14"/>
          <w:color w:val="auto"/>
        </w:rPr>
      </w:pPr>
    </w:p>
    <w:p>
      <w:pPr>
        <w:ind w:left="540" w:firstLine="517"/>
        <w:spacing w:after="0" w:line="259" w:lineRule="auto"/>
        <w:tabs>
          <w:tab w:leader="none" w:pos="1493"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48"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 xml:space="preserve">SECTION 3.17 </w:t>
      </w:r>
      <w:r>
        <w:rPr>
          <w:rFonts w:ascii="Arial" w:cs="Arial" w:eastAsia="Arial" w:hAnsi="Arial"/>
          <w:sz w:val="15"/>
          <w:szCs w:val="15"/>
          <w:b w:val="1"/>
          <w:bCs w:val="1"/>
          <w:i w:val="1"/>
          <w:iCs w:val="1"/>
          <w:color w:val="auto"/>
        </w:rPr>
        <w:t>Environmental Matters</w:t>
      </w:r>
      <w:r>
        <w:rPr>
          <w:rFonts w:ascii="Arial" w:cs="Arial" w:eastAsia="Arial" w:hAnsi="Arial"/>
          <w:sz w:val="15"/>
          <w:szCs w:val="15"/>
          <w:color w:val="auto"/>
        </w:rPr>
        <w:t>. (a) Except as set forth in Schedule 3.17 and except with respect to any other matters that, individually or in the aggregate, could not</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206" w:lineRule="exact"/>
        <w:rPr>
          <w:sz w:val="20"/>
          <w:szCs w:val="20"/>
          <w:color w:val="auto"/>
        </w:rPr>
      </w:pPr>
    </w:p>
    <w:p>
      <w:pPr>
        <w:ind w:firstLine="532"/>
        <w:spacing w:after="0" w:line="259" w:lineRule="auto"/>
        <w:tabs>
          <w:tab w:leader="none" w:pos="8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49" w:name="page150"/>
    <w:bookmarkEnd w:id="149"/>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3.18 </w:t>
      </w:r>
      <w:r>
        <w:rPr>
          <w:rFonts w:ascii="Arial" w:cs="Arial" w:eastAsia="Arial" w:hAnsi="Arial"/>
          <w:sz w:val="15"/>
          <w:szCs w:val="15"/>
          <w:b w:val="1"/>
          <w:bCs w:val="1"/>
          <w:i w:val="1"/>
          <w:iCs w:val="1"/>
          <w:color w:val="auto"/>
        </w:rPr>
        <w:t>Insurance</w:t>
      </w:r>
      <w:r>
        <w:rPr>
          <w:rFonts w:ascii="Arial" w:cs="Arial" w:eastAsia="Arial" w:hAnsi="Arial"/>
          <w:sz w:val="15"/>
          <w:szCs w:val="15"/>
          <w:color w:val="auto"/>
        </w:rPr>
        <w:t>. Each of the Borrowers and each Subsidiary is insured by insurance providers that it reasonably considers to be financially sound (including captive</w:t>
      </w:r>
      <w:r>
        <w:rPr>
          <w:rFonts w:ascii="Arial" w:cs="Arial" w:eastAsia="Arial" w:hAnsi="Arial"/>
          <w:sz w:val="15"/>
          <w:szCs w:val="15"/>
          <w:b w:val="1"/>
          <w:bCs w:val="1"/>
          <w:color w:val="auto"/>
        </w:rPr>
        <w:t xml:space="preserve"> </w:t>
      </w:r>
      <w:r>
        <w:rPr>
          <w:rFonts w:ascii="Arial" w:cs="Arial" w:eastAsia="Arial" w:hAnsi="Arial"/>
          <w:sz w:val="15"/>
          <w:szCs w:val="15"/>
          <w:color w:val="auto"/>
        </w:rPr>
        <w:t>insurance companies, or through self-insurance), in such amounts, with such deductibles and covering such risks and liabilities as are consistent with past practices and is in compliance with the requirements to Section 5.02.</w:t>
      </w:r>
    </w:p>
    <w:p>
      <w:pPr>
        <w:spacing w:after="0" w:line="198" w:lineRule="exact"/>
        <w:rPr>
          <w:sz w:val="20"/>
          <w:szCs w:val="20"/>
          <w:color w:val="auto"/>
        </w:rPr>
      </w:pPr>
    </w:p>
    <w:p>
      <w:pPr>
        <w:jc w:val="both"/>
        <w:ind w:firstLine="525"/>
        <w:spacing w:after="0" w:line="321" w:lineRule="auto"/>
        <w:rPr>
          <w:sz w:val="20"/>
          <w:szCs w:val="20"/>
          <w:color w:val="auto"/>
        </w:rPr>
      </w:pPr>
      <w:r>
        <w:rPr>
          <w:rFonts w:ascii="Arial" w:cs="Arial" w:eastAsia="Arial" w:hAnsi="Arial"/>
          <w:sz w:val="12"/>
          <w:szCs w:val="12"/>
          <w:b w:val="1"/>
          <w:bCs w:val="1"/>
          <w:color w:val="auto"/>
        </w:rPr>
        <w:t xml:space="preserve">SECTION 3.19 </w:t>
      </w:r>
      <w:r>
        <w:rPr>
          <w:rFonts w:ascii="Arial" w:cs="Arial" w:eastAsia="Arial" w:hAnsi="Arial"/>
          <w:sz w:val="12"/>
          <w:szCs w:val="12"/>
          <w:b w:val="1"/>
          <w:bCs w:val="1"/>
          <w:i w:val="1"/>
          <w:iCs w:val="1"/>
          <w:color w:val="auto"/>
        </w:rPr>
        <w:t>Security Documents</w:t>
      </w:r>
      <w:r>
        <w:rPr>
          <w:rFonts w:ascii="Arial" w:cs="Arial" w:eastAsia="Arial" w:hAnsi="Arial"/>
          <w:sz w:val="12"/>
          <w:szCs w:val="12"/>
          <w:color w:val="auto"/>
        </w:rPr>
        <w:t>. (a) Each Pledge Agreement is effective to create in favor of the Applicable Collateral Agent, for the ratable benefit of the Secured Parties referred</w:t>
      </w:r>
      <w:r>
        <w:rPr>
          <w:rFonts w:ascii="Arial" w:cs="Arial" w:eastAsia="Arial" w:hAnsi="Arial"/>
          <w:sz w:val="12"/>
          <w:szCs w:val="12"/>
          <w:b w:val="1"/>
          <w:bCs w:val="1"/>
          <w:color w:val="auto"/>
        </w:rPr>
        <w:t xml:space="preserve"> </w:t>
      </w:r>
      <w:r>
        <w:rPr>
          <w:rFonts w:ascii="Arial" w:cs="Arial" w:eastAsia="Arial" w:hAnsi="Arial"/>
          <w:sz w:val="12"/>
          <w:szCs w:val="12"/>
          <w:color w:val="auto"/>
        </w:rPr>
        <w:t>to therein, a legal, valid and enforceable security interest in the Collateral (as defined in such Pledge Agreement) and, when such Collateral (to the extent such Collateral constitutes an instrument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64" w:lineRule="exact"/>
        <w:rPr>
          <w:sz w:val="20"/>
          <w:szCs w:val="20"/>
          <w:color w:val="auto"/>
        </w:rPr>
      </w:pPr>
    </w:p>
    <w:p>
      <w:pPr>
        <w:jc w:val="both"/>
        <w:ind w:firstLine="532"/>
        <w:spacing w:after="0" w:line="245" w:lineRule="auto"/>
        <w:tabs>
          <w:tab w:leader="none" w:pos="921" w:val="left"/>
        </w:tabs>
        <w:numPr>
          <w:ilvl w:val="0"/>
          <w:numId w:val="114"/>
        </w:numPr>
        <w:rPr>
          <w:rFonts w:ascii="Arial" w:cs="Arial" w:eastAsia="Arial" w:hAnsi="Arial"/>
          <w:sz w:val="15"/>
          <w:szCs w:val="15"/>
          <w:color w:val="auto"/>
        </w:rPr>
      </w:pPr>
      <w:r>
        <w:rPr>
          <w:rFonts w:ascii="Arial" w:cs="Arial" w:eastAsia="Arial" w:hAnsi="Arial"/>
          <w:sz w:val="15"/>
          <w:szCs w:val="15"/>
          <w:color w:val="auto"/>
        </w:rPr>
        <w:t>Each of the Security Agreements is (subject to payment of any applicable mortgage duty in relation to security over assets located in New South Wales, Australia) is effective to create in favor of the Applicable Collateral Agent, for the ratable benefit of the Secured Parties referred to therein, a legal, valid and enforceable security interest in the Collateral (as defined in such Security Agreement) and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66" w:lineRule="exact"/>
        <w:rPr>
          <w:rFonts w:ascii="Arial" w:cs="Arial" w:eastAsia="Arial" w:hAnsi="Arial"/>
          <w:sz w:val="15"/>
          <w:szCs w:val="15"/>
          <w:color w:val="auto"/>
        </w:rPr>
      </w:pPr>
    </w:p>
    <w:p>
      <w:pPr>
        <w:jc w:val="both"/>
        <w:ind w:firstLine="532"/>
        <w:spacing w:after="0" w:line="343" w:lineRule="auto"/>
        <w:tabs>
          <w:tab w:leader="none" w:pos="871" w:val="left"/>
        </w:tabs>
        <w:numPr>
          <w:ilvl w:val="0"/>
          <w:numId w:val="114"/>
        </w:numPr>
        <w:rPr>
          <w:rFonts w:ascii="Arial" w:cs="Arial" w:eastAsia="Arial" w:hAnsi="Arial"/>
          <w:sz w:val="12"/>
          <w:szCs w:val="12"/>
          <w:color w:val="auto"/>
        </w:rPr>
      </w:pPr>
      <w:r>
        <w:rPr>
          <w:rFonts w:ascii="Arial" w:cs="Arial" w:eastAsia="Arial" w:hAnsi="Arial"/>
          <w:sz w:val="12"/>
          <w:szCs w:val="12"/>
          <w:color w:val="auto"/>
        </w:rPr>
        <w:t>Each of the Security Agreements set forth, as of the Closing Date, (a) the exact legal name of each Loan Party as it appears in its articles or certificate of incorporation (or equivalent organizational document), the state of its incorporation or formation and the organizational identification number (or a specific designation that one does not exist) issued by its jurisdiction of incorporation or formation and (b) each other legal name any Loan Party has had at any time during the five years preceding the Closing Date, together with the date of the relevant change.</w:t>
      </w:r>
    </w:p>
    <w:p>
      <w:pPr>
        <w:spacing w:after="0" w:line="104"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3.20 </w:t>
      </w:r>
      <w:r>
        <w:rPr>
          <w:rFonts w:ascii="Arial" w:cs="Arial" w:eastAsia="Arial" w:hAnsi="Arial"/>
          <w:sz w:val="15"/>
          <w:szCs w:val="15"/>
          <w:b w:val="1"/>
          <w:bCs w:val="1"/>
          <w:i w:val="1"/>
          <w:iCs w:val="1"/>
          <w:color w:val="auto"/>
        </w:rPr>
        <w:t>Intellectual Property</w:t>
      </w:r>
      <w:r>
        <w:rPr>
          <w:rFonts w:ascii="Arial" w:cs="Arial" w:eastAsia="Arial" w:hAnsi="Arial"/>
          <w:sz w:val="15"/>
          <w:szCs w:val="15"/>
          <w:color w:val="auto"/>
        </w:rPr>
        <w:t>. The U.S. Borrower and each of its Subsidiaries own or are licensed or otherwise have the legal right to use all of the patents, trademarks,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50" w:name="page151"/>
    <w:bookmarkEnd w:id="150"/>
    <w:p>
      <w:pPr>
        <w:jc w:val="both"/>
        <w:ind w:firstLine="525"/>
        <w:spacing w:after="0" w:line="268" w:lineRule="auto"/>
        <w:rPr>
          <w:sz w:val="20"/>
          <w:szCs w:val="20"/>
          <w:color w:val="auto"/>
        </w:rPr>
      </w:pPr>
      <w:r>
        <w:rPr>
          <w:rFonts w:ascii="Arial" w:cs="Arial" w:eastAsia="Arial" w:hAnsi="Arial"/>
          <w:sz w:val="14"/>
          <w:szCs w:val="14"/>
          <w:b w:val="1"/>
          <w:bCs w:val="1"/>
          <w:color w:val="auto"/>
        </w:rPr>
        <w:t xml:space="preserve">SECTION 3.21 </w:t>
      </w:r>
      <w:r>
        <w:rPr>
          <w:rFonts w:ascii="Arial" w:cs="Arial" w:eastAsia="Arial" w:hAnsi="Arial"/>
          <w:sz w:val="14"/>
          <w:szCs w:val="14"/>
          <w:b w:val="1"/>
          <w:bCs w:val="1"/>
          <w:i w:val="1"/>
          <w:iCs w:val="1"/>
          <w:color w:val="auto"/>
        </w:rPr>
        <w:t>Labor Matters</w:t>
      </w:r>
      <w:r>
        <w:rPr>
          <w:rFonts w:ascii="Arial" w:cs="Arial" w:eastAsia="Arial" w:hAnsi="Arial"/>
          <w:sz w:val="14"/>
          <w:szCs w:val="14"/>
          <w:color w:val="auto"/>
        </w:rPr>
        <w:t>. As of the Closing Date, there are no strikes, lockouts or slowdowns against the U.S. Borrower or any Subsidiary pending or, to the knowledge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Borrowers, threatened. The hours worked by and payments made to employees of the Borrowers and the Subsidiaries have not been in violation of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189"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3.22 </w:t>
      </w:r>
      <w:r>
        <w:rPr>
          <w:rFonts w:ascii="Arial" w:cs="Arial" w:eastAsia="Arial" w:hAnsi="Arial"/>
          <w:sz w:val="15"/>
          <w:szCs w:val="15"/>
          <w:b w:val="1"/>
          <w:bCs w:val="1"/>
          <w:i w:val="1"/>
          <w:iCs w:val="1"/>
          <w:color w:val="auto"/>
        </w:rPr>
        <w:t>Solvency</w:t>
      </w:r>
      <w:r>
        <w:rPr>
          <w:rFonts w:ascii="Arial" w:cs="Arial" w:eastAsia="Arial" w:hAnsi="Arial"/>
          <w:sz w:val="15"/>
          <w:szCs w:val="15"/>
          <w:color w:val="auto"/>
        </w:rPr>
        <w:t>. Immediately following the making of each Loan and the giving of each of the Guarantee Agreements and after giving effect to the application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proceeds of each Loan, the U.S. Borrower and its subsidiaries on a consolidated basis will be Solvent.</w:t>
      </w:r>
    </w:p>
    <w:p>
      <w:pPr>
        <w:spacing w:after="0" w:line="189" w:lineRule="exact"/>
        <w:rPr>
          <w:sz w:val="20"/>
          <w:szCs w:val="20"/>
          <w:color w:val="auto"/>
        </w:rPr>
      </w:pPr>
    </w:p>
    <w:p>
      <w:pPr>
        <w:jc w:val="both"/>
        <w:ind w:firstLine="525"/>
        <w:spacing w:after="0" w:line="347" w:lineRule="auto"/>
        <w:rPr>
          <w:sz w:val="20"/>
          <w:szCs w:val="20"/>
          <w:color w:val="auto"/>
        </w:rPr>
      </w:pPr>
      <w:r>
        <w:rPr>
          <w:rFonts w:ascii="Arial" w:cs="Arial" w:eastAsia="Arial" w:hAnsi="Arial"/>
          <w:sz w:val="12"/>
          <w:szCs w:val="12"/>
          <w:b w:val="1"/>
          <w:bCs w:val="1"/>
          <w:color w:val="auto"/>
        </w:rPr>
        <w:t xml:space="preserve">SECTION 3.23 </w:t>
      </w:r>
      <w:r>
        <w:rPr>
          <w:rFonts w:ascii="Arial" w:cs="Arial" w:eastAsia="Arial" w:hAnsi="Arial"/>
          <w:sz w:val="12"/>
          <w:szCs w:val="12"/>
          <w:b w:val="1"/>
          <w:bCs w:val="1"/>
          <w:i w:val="1"/>
          <w:iCs w:val="1"/>
          <w:color w:val="auto"/>
        </w:rPr>
        <w:t>Anti-Corruption Laws</w:t>
      </w:r>
      <w:r>
        <w:rPr>
          <w:rFonts w:ascii="Arial" w:cs="Arial" w:eastAsia="Arial" w:hAnsi="Arial"/>
          <w:sz w:val="12"/>
          <w:szCs w:val="12"/>
          <w:color w:val="auto"/>
        </w:rPr>
        <w:t>. None of the U.S. Borrower and its subsidiaries nor, to the knowledge of the Loan Parties, any director or officer acting on behalf of any the</w:t>
      </w:r>
      <w:r>
        <w:rPr>
          <w:rFonts w:ascii="Arial" w:cs="Arial" w:eastAsia="Arial" w:hAnsi="Arial"/>
          <w:sz w:val="12"/>
          <w:szCs w:val="12"/>
          <w:b w:val="1"/>
          <w:bCs w:val="1"/>
          <w:color w:val="auto"/>
        </w:rPr>
        <w:t xml:space="preserve"> </w:t>
      </w:r>
      <w:r>
        <w:rPr>
          <w:rFonts w:ascii="Arial" w:cs="Arial" w:eastAsia="Arial" w:hAnsi="Arial"/>
          <w:sz w:val="12"/>
          <w:szCs w:val="12"/>
          <w:color w:val="auto"/>
        </w:rPr>
        <w:t>U.S. Borrower or any of its subsidiary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45"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3.24 </w:t>
      </w:r>
      <w:r>
        <w:rPr>
          <w:rFonts w:ascii="Arial" w:cs="Arial" w:eastAsia="Arial" w:hAnsi="Arial"/>
          <w:sz w:val="15"/>
          <w:szCs w:val="15"/>
          <w:b w:val="1"/>
          <w:bCs w:val="1"/>
          <w:i w:val="1"/>
          <w:iCs w:val="1"/>
          <w:color w:val="auto"/>
        </w:rPr>
        <w:t>Anti-Money Laundering Laws</w:t>
      </w:r>
      <w:r>
        <w:rPr>
          <w:rFonts w:ascii="Arial" w:cs="Arial" w:eastAsia="Arial" w:hAnsi="Arial"/>
          <w:sz w:val="15"/>
          <w:szCs w:val="15"/>
          <w:color w:val="auto"/>
        </w:rPr>
        <w:t>. The operations of the U.S. Borrower and each subsidiary are and have been conducted at all times in compliance with Anti-Money</w:t>
      </w:r>
      <w:r>
        <w:rPr>
          <w:rFonts w:ascii="Arial" w:cs="Arial" w:eastAsia="Arial" w:hAnsi="Arial"/>
          <w:sz w:val="15"/>
          <w:szCs w:val="15"/>
          <w:b w:val="1"/>
          <w:bCs w:val="1"/>
          <w:color w:val="auto"/>
        </w:rPr>
        <w:t xml:space="preserve"> </w:t>
      </w:r>
      <w:r>
        <w:rPr>
          <w:rFonts w:ascii="Arial" w:cs="Arial" w:eastAsia="Arial" w:hAnsi="Arial"/>
          <w:sz w:val="15"/>
          <w:szCs w:val="15"/>
          <w:color w:val="auto"/>
        </w:rPr>
        <w:t>Laundering Laws in all material respects and no action, suit or proceeding by or before any court or Governmental Agency or any arbitrator involving the U.S. Borrower or any of its subsidiary with respect to Anti-Money Laundering Laws is pending and no such actions, suits or proceedings have been threatened.</w:t>
      </w:r>
    </w:p>
    <w:p>
      <w:pPr>
        <w:spacing w:after="0" w:line="198"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3.25 </w:t>
      </w:r>
      <w:r>
        <w:rPr>
          <w:rFonts w:ascii="Arial" w:cs="Arial" w:eastAsia="Arial" w:hAnsi="Arial"/>
          <w:sz w:val="14"/>
          <w:szCs w:val="14"/>
          <w:b w:val="1"/>
          <w:bCs w:val="1"/>
          <w:i w:val="1"/>
          <w:iCs w:val="1"/>
          <w:color w:val="auto"/>
        </w:rPr>
        <w:t>Foreign Assets Control Regulations, etc</w:t>
      </w:r>
      <w:r>
        <w:rPr>
          <w:rFonts w:ascii="Arial" w:cs="Arial" w:eastAsia="Arial" w:hAnsi="Arial"/>
          <w:sz w:val="14"/>
          <w:szCs w:val="14"/>
          <w:color w:val="auto"/>
        </w:rPr>
        <w:t>. (a) The U.S. Borrower and the Subsidiaries are in compliance the FCPA and the Currency and Foreign Transactions</w:t>
      </w:r>
      <w:r>
        <w:rPr>
          <w:rFonts w:ascii="Arial" w:cs="Arial" w:eastAsia="Arial" w:hAnsi="Arial"/>
          <w:sz w:val="14"/>
          <w:szCs w:val="14"/>
          <w:b w:val="1"/>
          <w:bCs w:val="1"/>
          <w:color w:val="auto"/>
        </w:rPr>
        <w:t xml:space="preserve"> </w:t>
      </w:r>
      <w:r>
        <w:rPr>
          <w:rFonts w:ascii="Arial" w:cs="Arial" w:eastAsia="Arial" w:hAnsi="Arial"/>
          <w:sz w:val="14"/>
          <w:szCs w:val="14"/>
          <w:color w:val="auto"/>
        </w:rPr>
        <w:t>Reporting Act of 1970 and, (b) to the knowledge of the Loan Parties, no director, officer or employee of the U.S. Borrower and the Subsidiaries is the target of any United States sanctions administered by OFAC, in each case where such violation or sanctions could, individually or in the aggregate, reasonably be expected to have a Material Adverse Effect.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5"/>
          <w:szCs w:val="15"/>
          <w:b w:val="1"/>
          <w:bCs w:val="1"/>
          <w:color w:val="auto"/>
        </w:rPr>
        <w:t>ARTICLE IV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Conditions to Closing and Funding</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obligations of the Lenders to make Loans and of the Issuing Banks to issue Letters of Credit hereunder are subject to the satisfaction of the following conditions:</w:t>
      </w:r>
    </w:p>
    <w:p>
      <w:pPr>
        <w:spacing w:after="0" w:line="173"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4.01 </w:t>
      </w:r>
      <w:r>
        <w:rPr>
          <w:rFonts w:ascii="Arial" w:cs="Arial" w:eastAsia="Arial" w:hAnsi="Arial"/>
          <w:sz w:val="15"/>
          <w:szCs w:val="15"/>
          <w:b w:val="1"/>
          <w:bCs w:val="1"/>
          <w:i w:val="1"/>
          <w:iCs w:val="1"/>
          <w:color w:val="auto"/>
        </w:rPr>
        <w:t>Conditions to All Credit Events</w:t>
      </w:r>
      <w:r>
        <w:rPr>
          <w:rFonts w:ascii="Arial" w:cs="Arial" w:eastAsia="Arial" w:hAnsi="Arial"/>
          <w:sz w:val="15"/>
          <w:szCs w:val="15"/>
          <w:color w:val="auto"/>
        </w:rPr>
        <w:t>. On the date of each Borrowing, and on the date of each issuance, amendment, extension or renewal of a Letter of Credit (each such</w:t>
      </w:r>
      <w:r>
        <w:rPr>
          <w:rFonts w:ascii="Arial" w:cs="Arial" w:eastAsia="Arial" w:hAnsi="Arial"/>
          <w:sz w:val="15"/>
          <w:szCs w:val="15"/>
          <w:b w:val="1"/>
          <w:bCs w:val="1"/>
          <w:color w:val="auto"/>
        </w:rPr>
        <w:t xml:space="preserve"> </w:t>
      </w:r>
      <w:r>
        <w:rPr>
          <w:rFonts w:ascii="Arial" w:cs="Arial" w:eastAsia="Arial" w:hAnsi="Arial"/>
          <w:sz w:val="15"/>
          <w:szCs w:val="15"/>
          <w:color w:val="auto"/>
        </w:rPr>
        <w:t>event being called a “</w:t>
      </w:r>
      <w:r>
        <w:rPr>
          <w:rFonts w:ascii="Arial" w:cs="Arial" w:eastAsia="Arial" w:hAnsi="Arial"/>
          <w:sz w:val="15"/>
          <w:szCs w:val="15"/>
          <w:i w:val="1"/>
          <w:iCs w:val="1"/>
          <w:color w:val="auto"/>
        </w:rPr>
        <w:t>Credit Event</w:t>
      </w:r>
      <w:r>
        <w:rPr>
          <w:rFonts w:ascii="Arial" w:cs="Arial" w:eastAsia="Arial" w:hAnsi="Arial"/>
          <w:sz w:val="15"/>
          <w:szCs w:val="15"/>
          <w:color w:val="auto"/>
        </w:rPr>
        <w:t>”):</w:t>
      </w:r>
    </w:p>
    <w:p>
      <w:pPr>
        <w:spacing w:after="0" w:line="193" w:lineRule="exact"/>
        <w:rPr>
          <w:sz w:val="20"/>
          <w:szCs w:val="20"/>
          <w:color w:val="auto"/>
        </w:rPr>
      </w:pPr>
    </w:p>
    <w:p>
      <w:pPr>
        <w:jc w:val="both"/>
        <w:ind w:firstLine="532"/>
        <w:spacing w:after="0" w:line="271" w:lineRule="auto"/>
        <w:tabs>
          <w:tab w:leader="none" w:pos="89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47" w:lineRule="exact"/>
        <w:rPr>
          <w:rFonts w:ascii="Arial" w:cs="Arial" w:eastAsia="Arial" w:hAnsi="Arial"/>
          <w:sz w:val="14"/>
          <w:szCs w:val="14"/>
          <w:color w:val="auto"/>
        </w:rPr>
      </w:pPr>
    </w:p>
    <w:p>
      <w:pPr>
        <w:jc w:val="both"/>
        <w:ind w:firstLine="532"/>
        <w:spacing w:after="0" w:line="269" w:lineRule="auto"/>
        <w:tabs>
          <w:tab w:leader="none" w:pos="89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representations and warranties set forth in Article III hereof and in each other Loan Document shall be true and correct in all material respects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46" w:lineRule="exact"/>
        <w:rPr>
          <w:rFonts w:ascii="Arial" w:cs="Arial" w:eastAsia="Arial" w:hAnsi="Arial"/>
          <w:sz w:val="14"/>
          <w:szCs w:val="14"/>
          <w:color w:val="auto"/>
        </w:rPr>
      </w:pPr>
    </w:p>
    <w:p>
      <w:pPr>
        <w:ind w:firstLine="532"/>
        <w:spacing w:after="0" w:line="259" w:lineRule="auto"/>
        <w:tabs>
          <w:tab w:leader="none" w:pos="90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With respect to Australian Revolving Borrowings only the Australian Administrative Agent shall have received, on behalf of themselves, the Lenders and the Issuing Banks:</w:t>
      </w:r>
    </w:p>
    <w:p>
      <w:pPr>
        <w:spacing w:after="0" w:line="188" w:lineRule="exact"/>
        <w:rPr>
          <w:rFonts w:ascii="Arial" w:cs="Arial" w:eastAsia="Arial" w:hAnsi="Arial"/>
          <w:sz w:val="14"/>
          <w:szCs w:val="14"/>
          <w:color w:val="auto"/>
        </w:rPr>
      </w:pPr>
    </w:p>
    <w:p>
      <w:pPr>
        <w:jc w:val="both"/>
        <w:ind w:left="540" w:firstLine="517"/>
        <w:spacing w:after="0" w:line="269" w:lineRule="auto"/>
        <w:tabs>
          <w:tab w:leader="none" w:pos="1392" w:val="left"/>
        </w:tabs>
        <w:numPr>
          <w:ilvl w:val="1"/>
          <w:numId w:val="115"/>
        </w:numPr>
        <w:rPr>
          <w:rFonts w:ascii="Arial" w:cs="Arial" w:eastAsia="Arial" w:hAnsi="Arial"/>
          <w:sz w:val="14"/>
          <w:szCs w:val="14"/>
          <w:color w:val="auto"/>
        </w:rPr>
      </w:pPr>
      <w:r>
        <w:rPr>
          <w:rFonts w:ascii="Arial" w:cs="Arial" w:eastAsia="Arial" w:hAnsi="Arial"/>
          <w:sz w:val="14"/>
          <w:szCs w:val="14"/>
          <w:color w:val="auto"/>
        </w:rPr>
        <w:t>evidence satisfactory to the Administrative Agent that the financial assistance shareholder approval process provided for in section 260B of the Australian Corporations Act allowing the Australian Borrower and the Australian Subsidiary Guarantors to enter into this Agreement and any other Loan Document has been completed (“</w:t>
      </w:r>
      <w:r>
        <w:rPr>
          <w:rFonts w:ascii="Arial" w:cs="Arial" w:eastAsia="Arial" w:hAnsi="Arial"/>
          <w:sz w:val="14"/>
          <w:szCs w:val="14"/>
          <w:i w:val="1"/>
          <w:iCs w:val="1"/>
          <w:color w:val="auto"/>
        </w:rPr>
        <w:t>Whitewash</w:t>
      </w:r>
      <w:r>
        <w:rPr>
          <w:rFonts w:ascii="Arial" w:cs="Arial" w:eastAsia="Arial" w:hAnsi="Arial"/>
          <w:sz w:val="14"/>
          <w:szCs w:val="14"/>
          <w:color w:val="auto"/>
        </w:rPr>
        <w:t>”), including (i) receiving copies of all corporate authorizations, notices of meeting, explanatory statements and any other documents, forms or certificates that relate to the Whitewash process (all in form and substance reasonably satisfactory to the Administrative Agent); and (ii) evidence that all requisite forms have been lodged with the Australian Securities and Investments Commission and the 14 day statutory standstill period referred to in section 260B(6) of the Australian Corporations Act has elapsed;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52" w:name="page153"/>
    <w:bookmarkEnd w:id="152"/>
    <w:p>
      <w:pPr>
        <w:jc w:val="both"/>
        <w:ind w:left="540" w:firstLine="517"/>
        <w:spacing w:after="0" w:line="324" w:lineRule="auto"/>
        <w:tabs>
          <w:tab w:leader="none" w:pos="1465"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Australian Security Deed, duly executed by the Australian Loan Parties party thereto and, subject to Section 5.10, any other duly executed documents required by or law or reasonably requested by the Australian Collateral Agent to enable the Australian Collateral Agent to stamp and register the Australian Security Deed or any security interest arising under it with any Governmental Authority, in each case, necessary to create in favor of the Applicable Collateral Agent for the benefit of the Secured Parties a valid, legal and perfected first-priority Lien on the Collateral (subject to any Lien expressly permitted by Section 6.02) described in the Australian Security Deed (which, for the avoidance of doubt, shall exclude any property or assets the granting of a Lien on which would result in material adverse tax consequences to the U.S. Borrower or any Subsidiary).</w:t>
      </w:r>
    </w:p>
    <w:p>
      <w:pPr>
        <w:spacing w:after="0" w:line="118"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Each Credit Event shall be deemed to constitute a representation and warranty by the Borrowers on the date of such Credit Event as to the matters specified in paragraphs (b) and (c) of this Section 4.01.</w:t>
      </w:r>
    </w:p>
    <w:p>
      <w:pPr>
        <w:spacing w:after="0" w:line="14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4.02</w:t>
      </w:r>
      <w:r>
        <w:rPr>
          <w:sz w:val="20"/>
          <w:szCs w:val="20"/>
          <w:color w:val="auto"/>
        </w:rPr>
        <w:tab/>
      </w:r>
      <w:r>
        <w:rPr>
          <w:rFonts w:ascii="Arial" w:cs="Arial" w:eastAsia="Arial" w:hAnsi="Arial"/>
          <w:sz w:val="12"/>
          <w:szCs w:val="12"/>
          <w:b w:val="1"/>
          <w:bCs w:val="1"/>
          <w:i w:val="1"/>
          <w:iCs w:val="1"/>
          <w:color w:val="auto"/>
        </w:rPr>
        <w:t>Conditions to Closing</w:t>
      </w:r>
      <w:r>
        <w:rPr>
          <w:rFonts w:ascii="Arial" w:cs="Arial" w:eastAsia="Arial" w:hAnsi="Arial"/>
          <w:sz w:val="12"/>
          <w:szCs w:val="12"/>
          <w:color w:val="auto"/>
        </w:rPr>
        <w:t>. On or before the Closing Date, the Administrative Agents shall have received, on behalf of themselves, the Lenders and the Issuing Banks:</w:t>
      </w:r>
    </w:p>
    <w:p>
      <w:pPr>
        <w:spacing w:after="0" w:line="225" w:lineRule="exact"/>
        <w:rPr>
          <w:sz w:val="20"/>
          <w:szCs w:val="20"/>
          <w:color w:val="auto"/>
        </w:rPr>
      </w:pPr>
    </w:p>
    <w:p>
      <w:pPr>
        <w:ind w:left="880" w:hanging="348"/>
        <w:spacing w:after="0"/>
        <w:tabs>
          <w:tab w:leader="none" w:pos="88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this Agreement, executed by the Borrowers, the Lenders and each of the other parties hereto, and all attached Exhibits and Schedules;</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any Note requested by a Lender pursuant to Section 2.04 payable to such requesting Lender;</w:t>
      </w:r>
    </w:p>
    <w:p>
      <w:pPr>
        <w:spacing w:after="0" w:line="177" w:lineRule="exact"/>
        <w:rPr>
          <w:rFonts w:ascii="Arial" w:cs="Arial" w:eastAsia="Arial" w:hAnsi="Arial"/>
          <w:sz w:val="15"/>
          <w:szCs w:val="15"/>
          <w:color w:val="auto"/>
        </w:rPr>
      </w:pPr>
    </w:p>
    <w:p>
      <w:pPr>
        <w:jc w:val="both"/>
        <w:ind w:firstLine="532"/>
        <w:spacing w:after="0" w:line="247" w:lineRule="auto"/>
        <w:tabs>
          <w:tab w:leader="none" w:pos="894" w:val="left"/>
        </w:tabs>
        <w:numPr>
          <w:ilvl w:val="1"/>
          <w:numId w:val="117"/>
        </w:numPr>
        <w:rPr>
          <w:rFonts w:ascii="Arial" w:cs="Arial" w:eastAsia="Arial" w:hAnsi="Arial"/>
          <w:sz w:val="15"/>
          <w:szCs w:val="15"/>
          <w:color w:val="auto"/>
        </w:rPr>
      </w:pPr>
      <w:r>
        <w:rPr>
          <w:rFonts w:ascii="Arial" w:cs="Arial" w:eastAsia="Arial" w:hAnsi="Arial"/>
          <w:sz w:val="15"/>
          <w:szCs w:val="15"/>
          <w:color w:val="auto"/>
        </w:rPr>
        <w:t>a favorable written opinion of each of (1) Simpson Thacher &amp; Bartlett LLP, U.S. counsel for the Borrowers, substantially to the effect set forth in Exhibit F-1, (2) Dentons Canada LLP, Canadian counsel to the Canadian Borrowers, substantially to the effect set forth in Exhibit F-2, and (3) Arnold Bloch Leibler, Australian counsel to the Australian Secured Parties, substantially to the effect set forth in Exhibit F-3, in each case (A) dated as of the Closing Date, (B) addressed to the Administrative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61" w:lineRule="exact"/>
        <w:rPr>
          <w:rFonts w:ascii="Arial" w:cs="Arial" w:eastAsia="Arial" w:hAnsi="Arial"/>
          <w:sz w:val="15"/>
          <w:szCs w:val="15"/>
          <w:color w:val="auto"/>
        </w:rPr>
      </w:pPr>
    </w:p>
    <w:p>
      <w:pPr>
        <w:ind w:firstLine="532"/>
        <w:spacing w:after="0" w:line="259" w:lineRule="auto"/>
        <w:tabs>
          <w:tab w:leader="none" w:pos="884" w:val="left"/>
        </w:tabs>
        <w:numPr>
          <w:ilvl w:val="1"/>
          <w:numId w:val="117"/>
        </w:numPr>
        <w:rPr>
          <w:rFonts w:ascii="Arial" w:cs="Arial" w:eastAsia="Arial" w:hAnsi="Arial"/>
          <w:sz w:val="15"/>
          <w:szCs w:val="15"/>
          <w:color w:val="auto"/>
        </w:rPr>
      </w:pPr>
      <w:r>
        <w:rPr>
          <w:rFonts w:ascii="Arial" w:cs="Arial" w:eastAsia="Arial" w:hAnsi="Arial"/>
          <w:sz w:val="15"/>
          <w:szCs w:val="15"/>
          <w:color w:val="auto"/>
        </w:rPr>
        <w:t>a certificate as to the good standing or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52" w:lineRule="exact"/>
        <w:rPr>
          <w:rFonts w:ascii="Arial" w:cs="Arial" w:eastAsia="Arial" w:hAnsi="Arial"/>
          <w:sz w:val="15"/>
          <w:szCs w:val="15"/>
          <w:color w:val="auto"/>
        </w:rPr>
      </w:pPr>
    </w:p>
    <w:p>
      <w:pPr>
        <w:jc w:val="both"/>
        <w:ind w:firstLine="532"/>
        <w:spacing w:after="0" w:line="306" w:lineRule="auto"/>
        <w:tabs>
          <w:tab w:leader="none" w:pos="962"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 certificate of the Secretary, Assistant Secretary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w:t>
      </w:r>
    </w:p>
    <w:p>
      <w:pPr>
        <w:spacing w:after="0" w:line="2" w:lineRule="exact"/>
        <w:rPr>
          <w:rFonts w:ascii="Arial" w:cs="Arial" w:eastAsia="Arial" w:hAnsi="Arial"/>
          <w:sz w:val="12"/>
          <w:szCs w:val="12"/>
          <w:color w:val="auto"/>
        </w:rPr>
      </w:pPr>
    </w:p>
    <w:p>
      <w:pPr>
        <w:ind w:left="220" w:hanging="213"/>
        <w:spacing w:after="0"/>
        <w:tabs>
          <w:tab w:leader="none" w:pos="2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as to the incumbency and specimen signature of each officer executing any Loan Document or any other document delivered in connection herewith on behalf of such Loan Party;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53" w:name="page154"/>
    <w:bookmarkEnd w:id="153"/>
    <w:p>
      <w:pPr>
        <w:jc w:val="both"/>
        <w:ind w:firstLine="532"/>
        <w:spacing w:after="0" w:line="247" w:lineRule="auto"/>
        <w:tabs>
          <w:tab w:leader="none" w:pos="87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 certificate, dated the Closing Date and signed by a Financial Officer of the U.S. Borrower, certifying (1) compliance with the conditions precedent set forth in Section 4.01(b) and (c), and (2) based on the U.S. Borrower’s projections, in each case after giving pro forma effect (using the criteria therefor described in Section 6.04(i)) to the initial Borrowing contemplated hereunder, the Spin-Off, the Refinancing Transactions and the other transactions contemplated hereby, that (A) the U.S. Borrower and its subsidiaries, taken as a whole, will be Solvent on the Funding Date and (B) the U.S. Borrower and its subsidiaries will be in pro forma compliance (using the criteria therefor described in Section 6.04(i)) with Sections 6.10 and 6.11 as of Funding Date;</w:t>
      </w:r>
    </w:p>
    <w:p>
      <w:pPr>
        <w:spacing w:after="0" w:line="161" w:lineRule="exact"/>
        <w:rPr>
          <w:rFonts w:ascii="Arial" w:cs="Arial" w:eastAsia="Arial" w:hAnsi="Arial"/>
          <w:sz w:val="15"/>
          <w:szCs w:val="15"/>
          <w:color w:val="auto"/>
        </w:rPr>
      </w:pPr>
    </w:p>
    <w:p>
      <w:pPr>
        <w:jc w:val="both"/>
        <w:ind w:firstLine="532"/>
        <w:spacing w:after="0" w:line="267" w:lineRule="auto"/>
        <w:tabs>
          <w:tab w:leader="none" w:pos="94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U.S. Pledge Agreement duly executed by the parties thereto and pledging (i) all the outstanding Equity Interests of each Material Subsidiary of the U.S. Borrower that is a Domestic Subsidiary (other than any Domestic Subsidiary that is a subsidiary of a Foreign Subsidiary or a Domestic Subsidiary that is a FSHCO) and (ii) 65% of the voting Equity Interests and 100% of the nonvoting Equity Interests (if any) of each Material Subsidiary of the U.S. Borrower that is a first-tier Foreign Subsidiary directly owned by the U.S. Borrower, shall have been duly and validly pledged thereunder to the U.S. Collateral Agent for the ratable benefit of the Secured Parties,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149" w:lineRule="exact"/>
        <w:rPr>
          <w:rFonts w:ascii="Arial" w:cs="Arial" w:eastAsia="Arial" w:hAnsi="Arial"/>
          <w:sz w:val="14"/>
          <w:szCs w:val="14"/>
          <w:color w:val="auto"/>
        </w:rPr>
      </w:pPr>
    </w:p>
    <w:p>
      <w:pPr>
        <w:jc w:val="both"/>
        <w:ind w:firstLine="532"/>
        <w:spacing w:after="0" w:line="267" w:lineRule="auto"/>
        <w:tabs>
          <w:tab w:leader="none" w:pos="94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Canadian Pledge Agreement, duly executed by the parties thereto, and all the outstanding Equity Interests of the Canadian Parent, the Australian Borrower, certain of their Subsidiaries, as of the Closing Date shall have been duly and validly pledged thereunder to the Canadian Collateral Agent for the ratable benefit of the Canadian Secured Parties or to the Australian Collateral Agent for the ratable benefit of the Australian Secured Parties (as applicable), together with certificates, if any, representing such Equity Interests, accompanied by instruments of transfer and stock powers endorsed in blank, shall be in the actual possession of the Canadian Collateral Agent or Australian Collateral Agent and, if required, the delivery of the applicable financing statements registered at the applicable personal property registry in Canada or the PPS Register in Australia necessary to create a valid, legal and perfected first-priority Lien on the Collateral described therein (subject to any Lien expressly permitted by Section 6.02);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54" w:name="page155"/>
    <w:bookmarkEnd w:id="154"/>
    <w:p>
      <w:pPr>
        <w:jc w:val="both"/>
        <w:ind w:firstLine="532"/>
        <w:spacing w:after="0" w:line="247" w:lineRule="auto"/>
        <w:tabs>
          <w:tab w:leader="none" w:pos="858"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61" w:lineRule="exact"/>
        <w:rPr>
          <w:rFonts w:ascii="Arial" w:cs="Arial" w:eastAsia="Arial" w:hAnsi="Arial"/>
          <w:sz w:val="15"/>
          <w:szCs w:val="15"/>
          <w:color w:val="auto"/>
        </w:rPr>
      </w:pPr>
    </w:p>
    <w:p>
      <w:pPr>
        <w:ind w:left="880" w:hanging="348"/>
        <w:spacing w:after="0"/>
        <w:tabs>
          <w:tab w:leader="none" w:pos="88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the results of (i) a search of the Uniform Commercial Code filings, (ii) searches of filings at the applicable provincial or territorial personal property security registries in Canada or</w:t>
      </w:r>
    </w:p>
    <w:p>
      <w:pPr>
        <w:spacing w:after="0" w:line="45" w:lineRule="exact"/>
        <w:rPr>
          <w:rFonts w:ascii="Arial" w:cs="Arial" w:eastAsia="Arial" w:hAnsi="Arial"/>
          <w:sz w:val="12"/>
          <w:szCs w:val="12"/>
          <w:color w:val="auto"/>
        </w:rPr>
      </w:pPr>
    </w:p>
    <w:p>
      <w:pPr>
        <w:jc w:val="both"/>
        <w:ind w:firstLine="7"/>
        <w:spacing w:after="0" w:line="264" w:lineRule="auto"/>
        <w:tabs>
          <w:tab w:leader="none" w:pos="27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searches obtained from the Australian Securities &amp; Investments Commission and organization grantor searches of the PPS Register, as applicable (made with respect to each of the Loan Parties in the state (or other jurisdiction) within the U.S., Canada or Australia in which such person is organized, and the other jurisdictions in which Uniform Commercial Code filings (or equivalent PPSA (Alberta) or equivalent personal property security legislation of applicable provinces or territories in Canada, Australian Securities &amp; Investments Commission or PPS Register filings)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52" w:lineRule="exact"/>
        <w:rPr>
          <w:rFonts w:ascii="Arial" w:cs="Arial" w:eastAsia="Arial" w:hAnsi="Arial"/>
          <w:sz w:val="14"/>
          <w:szCs w:val="14"/>
          <w:color w:val="auto"/>
        </w:rPr>
      </w:pPr>
    </w:p>
    <w:p>
      <w:pPr>
        <w:ind w:left="880" w:hanging="348"/>
        <w:spacing w:after="0"/>
        <w:tabs>
          <w:tab w:leader="none" w:pos="88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[reserved];</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(i) the U.S. Guarantee Agreement, duly executed by the parties thereto and (ii) the Canadian Guarantee Agreement, duly executed by the parties thereto, except for any Australian</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Loan Party;</w:t>
      </w:r>
    </w:p>
    <w:p>
      <w:pPr>
        <w:spacing w:after="0" w:line="168" w:lineRule="exact"/>
        <w:rPr>
          <w:rFonts w:ascii="Arial" w:cs="Arial" w:eastAsia="Arial" w:hAnsi="Arial"/>
          <w:sz w:val="12"/>
          <w:szCs w:val="12"/>
          <w:color w:val="auto"/>
        </w:rPr>
      </w:pPr>
    </w:p>
    <w:p>
      <w:pPr>
        <w:ind w:left="920" w:hanging="388"/>
        <w:spacing w:after="0"/>
        <w:tabs>
          <w:tab w:leader="none" w:pos="9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a copy of, or a certificate as to coverage under, the insurance policies required by Section 5.02;</w:t>
      </w:r>
    </w:p>
    <w:p>
      <w:pPr>
        <w:spacing w:after="0" w:line="177" w:lineRule="exact"/>
        <w:rPr>
          <w:rFonts w:ascii="Arial" w:cs="Arial" w:eastAsia="Arial" w:hAnsi="Arial"/>
          <w:sz w:val="15"/>
          <w:szCs w:val="15"/>
          <w:color w:val="auto"/>
        </w:rPr>
      </w:pPr>
    </w:p>
    <w:p>
      <w:pPr>
        <w:ind w:firstLine="532"/>
        <w:spacing w:after="0" w:line="259" w:lineRule="auto"/>
        <w:tabs>
          <w:tab w:leader="none" w:pos="929" w:val="left"/>
        </w:tabs>
        <w:numPr>
          <w:ilvl w:val="1"/>
          <w:numId w:val="121"/>
        </w:numPr>
        <w:rPr>
          <w:rFonts w:ascii="Arial" w:cs="Arial" w:eastAsia="Arial" w:hAnsi="Arial"/>
          <w:sz w:val="15"/>
          <w:szCs w:val="15"/>
          <w:color w:val="auto"/>
        </w:rPr>
      </w:pPr>
      <w:r>
        <w:rPr>
          <w:rFonts w:ascii="Arial" w:cs="Arial" w:eastAsia="Arial" w:hAnsi="Arial"/>
          <w:sz w:val="15"/>
          <w:szCs w:val="15"/>
          <w:color w:val="auto"/>
        </w:rPr>
        <w:t>projections prepared by management of the U.S. Borrower of balance sheets, income and cash flow statements of the U.S. Borrower and its subsidiaries for the five year period through December 31, 2018; and</w:t>
      </w:r>
    </w:p>
    <w:p>
      <w:pPr>
        <w:spacing w:after="0" w:line="152" w:lineRule="exact"/>
        <w:rPr>
          <w:rFonts w:ascii="Arial" w:cs="Arial" w:eastAsia="Arial" w:hAnsi="Arial"/>
          <w:sz w:val="15"/>
          <w:szCs w:val="15"/>
          <w:color w:val="auto"/>
        </w:rPr>
      </w:pPr>
    </w:p>
    <w:p>
      <w:pPr>
        <w:jc w:val="both"/>
        <w:ind w:firstLine="532"/>
        <w:spacing w:after="0" w:line="251" w:lineRule="auto"/>
        <w:tabs>
          <w:tab w:leader="none" w:pos="904" w:val="left"/>
        </w:tabs>
        <w:numPr>
          <w:ilvl w:val="1"/>
          <w:numId w:val="121"/>
        </w:numPr>
        <w:rPr>
          <w:rFonts w:ascii="Arial" w:cs="Arial" w:eastAsia="Arial" w:hAnsi="Arial"/>
          <w:sz w:val="15"/>
          <w:szCs w:val="15"/>
          <w:color w:val="auto"/>
        </w:rPr>
      </w:pPr>
      <w:r>
        <w:rPr>
          <w:rFonts w:ascii="Arial" w:cs="Arial" w:eastAsia="Arial" w:hAnsi="Arial"/>
          <w:sz w:val="15"/>
          <w:szCs w:val="15"/>
          <w:color w:val="auto"/>
        </w:rPr>
        <w:t>all documentation and other information that the Administrative Agents, the Lead Arrangers and the Lender shall have requested in order to comply with its respective obligations under applicable “know your customer” and anti-money laundering rules and regulations, including the Patriot Act, in each case to the extent such documentation and other information shall have been requested reasonably in advance of the Closing Date.</w:t>
      </w:r>
    </w:p>
    <w:p>
      <w:pPr>
        <w:spacing w:after="0" w:line="15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4.03</w:t>
      </w:r>
      <w:r>
        <w:rPr>
          <w:sz w:val="20"/>
          <w:szCs w:val="20"/>
          <w:color w:val="auto"/>
        </w:rPr>
        <w:tab/>
      </w:r>
      <w:r>
        <w:rPr>
          <w:rFonts w:ascii="Arial" w:cs="Arial" w:eastAsia="Arial" w:hAnsi="Arial"/>
          <w:sz w:val="12"/>
          <w:szCs w:val="12"/>
          <w:b w:val="1"/>
          <w:bCs w:val="1"/>
          <w:i w:val="1"/>
          <w:iCs w:val="1"/>
          <w:color w:val="auto"/>
        </w:rPr>
        <w:t>Conditions to Funding</w:t>
      </w:r>
      <w:r>
        <w:rPr>
          <w:rFonts w:ascii="Arial" w:cs="Arial" w:eastAsia="Arial" w:hAnsi="Arial"/>
          <w:sz w:val="12"/>
          <w:szCs w:val="12"/>
          <w:color w:val="auto"/>
        </w:rPr>
        <w:t>.</w:t>
      </w:r>
    </w:p>
    <w:p>
      <w:pPr>
        <w:spacing w:after="0" w:line="225" w:lineRule="exact"/>
        <w:rPr>
          <w:sz w:val="20"/>
          <w:szCs w:val="20"/>
          <w:color w:val="auto"/>
        </w:rPr>
      </w:pPr>
    </w:p>
    <w:p>
      <w:pPr>
        <w:ind w:firstLine="532"/>
        <w:spacing w:after="0" w:line="259" w:lineRule="auto"/>
        <w:tabs>
          <w:tab w:leader="none" w:pos="87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On or before the Funding Date, the Administrative Agents shall have received, in addition to documents and information required pursuant to Section 4.02, on behalf of themselves, the Lenders and the Issuing Banks: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55" w:name="page156"/>
    <w:bookmarkEnd w:id="155"/>
    <w:p>
      <w:pPr>
        <w:ind w:left="540" w:firstLine="517"/>
        <w:spacing w:after="0" w:line="259" w:lineRule="auto"/>
        <w:tabs>
          <w:tab w:leader="none" w:pos="156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copies of all Spin Documents and any financial statements required to be included in the Form 10, together with all amendments, supplements, waivers or other modifications thereto, in each case certified by a Responsible Officer of the U.S. Borrower as true, correct and complete; and</w:t>
      </w:r>
    </w:p>
    <w:p>
      <w:pPr>
        <w:spacing w:after="0" w:line="152" w:lineRule="exact"/>
        <w:rPr>
          <w:rFonts w:ascii="Arial" w:cs="Arial" w:eastAsia="Arial" w:hAnsi="Arial"/>
          <w:sz w:val="15"/>
          <w:szCs w:val="15"/>
          <w:color w:val="auto"/>
        </w:rPr>
      </w:pPr>
    </w:p>
    <w:p>
      <w:pPr>
        <w:jc w:val="both"/>
        <w:ind w:left="540" w:firstLine="517"/>
        <w:spacing w:after="0" w:line="315" w:lineRule="auto"/>
        <w:tabs>
          <w:tab w:leader="none" w:pos="1543"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 certificate, dated the Funding Date and signed by a Financial Officer of the U.S. Borrower, certifying (1) compliance with the conditions precedent set forth in Section 4.01(b) and (c); (2) that (A) the SEC shall have declared effective the Form 10 under the Securities Exchange Act of 1934, no stop order suspending the effectiveness of the Form 10 shall be in effect and no proceedings for such purpose shall be pending before or threatened by the SEC, (B) any required actions and filing with regard to state securities and blue sky laws of the United States (and any comparable laws under any foreign jurisdiction) will have been taken and, where applicable, have become effective or been accepted, (C) the U.S. Borrower’s common stock will have been authorized for listing on the NYSE or another national securities exchange, subject to official notice of issuance, and (D) any government approvals and other material consents necessary to consummate the Spin-Off will have been obtained and be in full force and effect and (3) that, substantially contemporaneously with the initial funding and the related cash distribution, Oil States will have obtained the consent of the holders of a majority in aggregate principal amount of each of its then outstanding $400.0 million 5-1/8% Senior Notes due 2023 and its then outstanding $600.0 million 6.5% Senior Notes due 2019 to effect an amendment to each related indenture to permit the distribution of the issued and outstanding shares of common stock of the U.S. Borrower or otherwise consent to such distribution.</w:t>
      </w:r>
    </w:p>
    <w:p>
      <w:pPr>
        <w:spacing w:after="0" w:line="299" w:lineRule="exact"/>
        <w:rPr>
          <w:rFonts w:ascii="Arial" w:cs="Arial" w:eastAsia="Arial" w:hAnsi="Arial"/>
          <w:sz w:val="12"/>
          <w:szCs w:val="12"/>
          <w:color w:val="auto"/>
        </w:rPr>
      </w:pPr>
    </w:p>
    <w:p>
      <w:pPr>
        <w:jc w:val="both"/>
        <w:ind w:firstLine="532"/>
        <w:spacing w:after="0" w:line="251" w:lineRule="auto"/>
        <w:tabs>
          <w:tab w:leader="none" w:pos="87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As of the Funding Date, no temporary restraining order, preliminary or permanent injunction or other order issued by any court of competent jurisdiction or Governmental Authority or other legal restraint or prohibition preventing the Spin-Off is in effect, and no steps have been taken by any Governmental Authority to effect any of the above, in either case, that provides the U.S. Borrower with the right to terminate its obligations under the Separation Agreement as a result thereof.</w:t>
      </w:r>
    </w:p>
    <w:p>
      <w:pPr>
        <w:spacing w:after="0" w:line="158" w:lineRule="exact"/>
        <w:rPr>
          <w:rFonts w:ascii="Arial" w:cs="Arial" w:eastAsia="Arial" w:hAnsi="Arial"/>
          <w:sz w:val="15"/>
          <w:szCs w:val="15"/>
          <w:color w:val="auto"/>
        </w:rPr>
      </w:pPr>
    </w:p>
    <w:p>
      <w:pPr>
        <w:jc w:val="both"/>
        <w:ind w:firstLine="532"/>
        <w:spacing w:after="0" w:line="251" w:lineRule="auto"/>
        <w:tabs>
          <w:tab w:leader="none" w:pos="893" w:val="left"/>
        </w:tabs>
        <w:numPr>
          <w:ilvl w:val="0"/>
          <w:numId w:val="124"/>
        </w:numPr>
        <w:rPr>
          <w:rFonts w:ascii="Arial" w:cs="Arial" w:eastAsia="Arial" w:hAnsi="Arial"/>
          <w:sz w:val="15"/>
          <w:szCs w:val="15"/>
          <w:color w:val="auto"/>
        </w:rPr>
      </w:pPr>
      <w:r>
        <w:rPr>
          <w:rFonts w:ascii="Arial" w:cs="Arial" w:eastAsia="Arial" w:hAnsi="Arial"/>
          <w:sz w:val="15"/>
          <w:szCs w:val="15"/>
          <w:color w:val="auto"/>
        </w:rPr>
        <w:t>Substantially concurrently with the initial Credit Event, the (i) guarantees by the U.S. Borrower and its subsidiaries and (ii) liens on the assets and equipment of the U.S. Borrower and its subsidiaries granted under or in connection with the Existing OSI Credit Agreement or the Existing MAC Group Credit Agreement shall have been released, and the Existing MAC Group Credit Agreement shall have been terminated.</w:t>
      </w:r>
    </w:p>
    <w:p>
      <w:pPr>
        <w:spacing w:after="0" w:line="158" w:lineRule="exact"/>
        <w:rPr>
          <w:rFonts w:ascii="Arial" w:cs="Arial" w:eastAsia="Arial" w:hAnsi="Arial"/>
          <w:sz w:val="15"/>
          <w:szCs w:val="15"/>
          <w:color w:val="auto"/>
        </w:rPr>
      </w:pPr>
    </w:p>
    <w:p>
      <w:pPr>
        <w:jc w:val="both"/>
        <w:ind w:firstLine="532"/>
        <w:spacing w:after="0" w:line="251" w:lineRule="auto"/>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On or before the Funding Date, the Administrative Agents and the Lead Arrangers shall have received all Fees and other amounts due and payable on or prior to the Closing Date, including, to the extent invoiced, reimbursement or payment of all out-of-pocket expenses (including, without limitation, the reasonable fees, charges and disbursements of counsel for the Agents) required to be reimbursed or paid by the Borrowers hereunder or under any other Loan Document.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56" w:name="page157"/>
    <w:bookmarkEnd w:id="156"/>
    <w:p>
      <w:pPr>
        <w:ind w:left="880" w:hanging="348"/>
        <w:spacing w:after="0"/>
        <w:tabs>
          <w:tab w:leader="none" w:pos="8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Funding Date shall have occurred (i) on or prior to July 15, 2014 and (ii) within five Business Days of the Closing Date.</w:t>
      </w:r>
    </w:p>
    <w:p>
      <w:pPr>
        <w:spacing w:after="0" w:line="173" w:lineRule="exact"/>
        <w:rPr>
          <w:rFonts w:ascii="Arial" w:cs="Arial" w:eastAsia="Arial" w:hAnsi="Arial"/>
          <w:sz w:val="15"/>
          <w:szCs w:val="15"/>
          <w:color w:val="auto"/>
        </w:rPr>
      </w:pPr>
    </w:p>
    <w:p>
      <w:pPr>
        <w:ind w:left="5340"/>
        <w:spacing w:after="0"/>
        <w:rPr>
          <w:rFonts w:ascii="Arial" w:cs="Arial" w:eastAsia="Arial" w:hAnsi="Arial"/>
          <w:sz w:val="15"/>
          <w:szCs w:val="15"/>
          <w:color w:val="auto"/>
        </w:rPr>
      </w:pPr>
      <w:r>
        <w:rPr>
          <w:rFonts w:ascii="Arial" w:cs="Arial" w:eastAsia="Arial" w:hAnsi="Arial"/>
          <w:sz w:val="15"/>
          <w:szCs w:val="15"/>
          <w:b w:val="1"/>
          <w:bCs w:val="1"/>
          <w:color w:val="auto"/>
        </w:rPr>
        <w:t>ARTICLE 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Affirmative Covenants</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57"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5.01 </w:t>
      </w:r>
      <w:r>
        <w:rPr>
          <w:rFonts w:ascii="Arial" w:cs="Arial" w:eastAsia="Arial" w:hAnsi="Arial"/>
          <w:sz w:val="14"/>
          <w:szCs w:val="14"/>
          <w:b w:val="1"/>
          <w:bCs w:val="1"/>
          <w:i w:val="1"/>
          <w:iCs w:val="1"/>
          <w:color w:val="auto"/>
        </w:rPr>
        <w:t>Existence; Businesses and Properties</w:t>
      </w:r>
      <w:r>
        <w:rPr>
          <w:rFonts w:ascii="Arial" w:cs="Arial" w:eastAsia="Arial" w:hAnsi="Arial"/>
          <w:sz w:val="14"/>
          <w:szCs w:val="14"/>
          <w:color w:val="auto"/>
        </w:rPr>
        <w:t>. (a) Do or cause to be done all things necessary to preserve, renew and keep in full force and effect its legal existence and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84" w:lineRule="exact"/>
        <w:rPr>
          <w:sz w:val="20"/>
          <w:szCs w:val="20"/>
          <w:color w:val="auto"/>
        </w:rPr>
      </w:pPr>
    </w:p>
    <w:p>
      <w:pPr>
        <w:ind w:firstLine="532"/>
        <w:spacing w:after="0" w:line="259" w:lineRule="auto"/>
        <w:tabs>
          <w:tab w:leader="none" w:pos="933" w:val="left"/>
        </w:tabs>
        <w:numPr>
          <w:ilvl w:val="0"/>
          <w:numId w:val="126"/>
        </w:numPr>
        <w:rPr>
          <w:rFonts w:ascii="Arial" w:cs="Arial" w:eastAsia="Arial" w:hAnsi="Arial"/>
          <w:sz w:val="15"/>
          <w:szCs w:val="15"/>
          <w:color w:val="auto"/>
        </w:rPr>
      </w:pPr>
      <w:r>
        <w:rPr>
          <w:rFonts w:ascii="Arial" w:cs="Arial" w:eastAsia="Arial" w:hAnsi="Arial"/>
          <w:sz w:val="15"/>
          <w:szCs w:val="15"/>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52" w:lineRule="exact"/>
        <w:rPr>
          <w:rFonts w:ascii="Arial" w:cs="Arial" w:eastAsia="Arial" w:hAnsi="Arial"/>
          <w:sz w:val="15"/>
          <w:szCs w:val="15"/>
          <w:color w:val="auto"/>
        </w:rPr>
      </w:pPr>
    </w:p>
    <w:p>
      <w:pPr>
        <w:jc w:val="both"/>
        <w:ind w:firstLine="532"/>
        <w:spacing w:after="0" w:line="317" w:lineRule="auto"/>
        <w:tabs>
          <w:tab w:leader="none" w:pos="966" w:val="left"/>
        </w:tabs>
        <w:numPr>
          <w:ilvl w:val="0"/>
          <w:numId w:val="126"/>
        </w:numPr>
        <w:rPr>
          <w:rFonts w:ascii="Arial" w:cs="Arial" w:eastAsia="Arial" w:hAnsi="Arial"/>
          <w:sz w:val="12"/>
          <w:szCs w:val="12"/>
          <w:color w:val="auto"/>
        </w:rPr>
      </w:pPr>
      <w:r>
        <w:rPr>
          <w:rFonts w:ascii="Arial" w:cs="Arial" w:eastAsia="Arial" w:hAnsi="Arial"/>
          <w:sz w:val="12"/>
          <w:szCs w:val="12"/>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119"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5.02 </w:t>
      </w:r>
      <w:r>
        <w:rPr>
          <w:rFonts w:ascii="Arial" w:cs="Arial" w:eastAsia="Arial" w:hAnsi="Arial"/>
          <w:sz w:val="15"/>
          <w:szCs w:val="15"/>
          <w:b w:val="1"/>
          <w:bCs w:val="1"/>
          <w:i w:val="1"/>
          <w:iCs w:val="1"/>
          <w:color w:val="auto"/>
        </w:rPr>
        <w:t>Insurance</w:t>
      </w:r>
      <w:r>
        <w:rPr>
          <w:rFonts w:ascii="Arial" w:cs="Arial" w:eastAsia="Arial" w:hAnsi="Arial"/>
          <w:sz w:val="15"/>
          <w:szCs w:val="15"/>
          <w:color w:val="auto"/>
        </w:rPr>
        <w:t>. (a) Maintain insurance with insurance providers that it reasonably considers to be financially sound (including captive insurance companies, or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self-insurance), in such amounts, with such deductibles and covering such risks and liabilities as are consistent with past practices.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57" w:name="page158"/>
    <w:bookmarkEnd w:id="157"/>
    <w:p>
      <w:pPr>
        <w:jc w:val="both"/>
        <w:ind w:firstLine="532"/>
        <w:spacing w:after="0" w:line="313" w:lineRule="auto"/>
        <w:tabs>
          <w:tab w:leader="none" w:pos="89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Cause all such policies (other than policies relating to public liability, third party claims or workers’ compensation) covering any Collateral to be endorsed or otherwise amended to include a customary lender’s loss payable endorsement or name the Applicable Collateral Agent as loss payee as their interests may appear, in form and substance reasonably satisfactory to the Collateral Agents (or with respect to insurance policies covering the Australian Loan Parties to note the interests of the Applicable Collateral Agent), which endorsement shall provide that, from and after the Funding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(i) by reason of nonpayment of premium upon not less than 10 days’ prior written notice thereof by the insurer to the Applicable Administrative Agent and the Applicable Collateral Agent (giving such Agents the right to cure defaults in the payment of premiums), or (ii) for any other reason upon not less than 30 days’ prior written notice thereof by the insurer to the Agents; deliver to the Applicable Administrative Agent and the Applicable Collateral Agent, evidence of the insurance maintained pursuant to paragraph (a) above; cause all liability insurance policies maintained by any Loan Party to name the Collateral Agents as an additional insured (or with respect to insurance policies covering the Australian Loan Parties to note the interests of the Applicable Collateral Agent).</w:t>
      </w:r>
    </w:p>
    <w:p>
      <w:pPr>
        <w:spacing w:after="0" w:line="300" w:lineRule="exact"/>
        <w:rPr>
          <w:sz w:val="20"/>
          <w:szCs w:val="20"/>
          <w:color w:val="auto"/>
        </w:rPr>
      </w:pPr>
    </w:p>
    <w:p>
      <w:pPr>
        <w:jc w:val="both"/>
        <w:ind w:firstLine="525"/>
        <w:spacing w:after="0" w:line="321" w:lineRule="auto"/>
        <w:rPr>
          <w:sz w:val="20"/>
          <w:szCs w:val="20"/>
          <w:color w:val="auto"/>
        </w:rPr>
      </w:pPr>
      <w:r>
        <w:rPr>
          <w:rFonts w:ascii="Arial" w:cs="Arial" w:eastAsia="Arial" w:hAnsi="Arial"/>
          <w:sz w:val="12"/>
          <w:szCs w:val="12"/>
          <w:b w:val="1"/>
          <w:bCs w:val="1"/>
          <w:color w:val="auto"/>
        </w:rPr>
        <w:t xml:space="preserve">SECTION 5.03 </w:t>
      </w:r>
      <w:r>
        <w:rPr>
          <w:rFonts w:ascii="Arial" w:cs="Arial" w:eastAsia="Arial" w:hAnsi="Arial"/>
          <w:sz w:val="12"/>
          <w:szCs w:val="12"/>
          <w:b w:val="1"/>
          <w:bCs w:val="1"/>
          <w:i w:val="1"/>
          <w:iCs w:val="1"/>
          <w:color w:val="auto"/>
        </w:rPr>
        <w:t>Obligations and Taxes</w:t>
      </w:r>
      <w:r>
        <w:rPr>
          <w:rFonts w:ascii="Arial" w:cs="Arial" w:eastAsia="Arial" w:hAnsi="Arial"/>
          <w:sz w:val="12"/>
          <w:szCs w:val="12"/>
          <w:color w:val="auto"/>
        </w:rPr>
        <w:t>. Pay its Indebtedness and other obligations promptly and in accordance with their terms and pay and discharge promptly when due all Taxes,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Canadian GAAP or Australian GAAP, as the case may be, and such contest operates to suspend collection of the contested obligation, tax, assessment or charge and enforcement of a Lien.</w:t>
      </w:r>
    </w:p>
    <w:p>
      <w:pPr>
        <w:spacing w:after="0" w:line="16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5.04</w:t>
      </w:r>
      <w:r>
        <w:rPr>
          <w:sz w:val="20"/>
          <w:szCs w:val="20"/>
          <w:color w:val="auto"/>
        </w:rPr>
        <w:tab/>
      </w:r>
      <w:r>
        <w:rPr>
          <w:rFonts w:ascii="Arial" w:cs="Arial" w:eastAsia="Arial" w:hAnsi="Arial"/>
          <w:sz w:val="12"/>
          <w:szCs w:val="12"/>
          <w:b w:val="1"/>
          <w:bCs w:val="1"/>
          <w:i w:val="1"/>
          <w:iCs w:val="1"/>
          <w:color w:val="auto"/>
        </w:rPr>
        <w:t>Financial Statements, Reports, etc</w:t>
      </w:r>
      <w:r>
        <w:rPr>
          <w:rFonts w:ascii="Arial" w:cs="Arial" w:eastAsia="Arial" w:hAnsi="Arial"/>
          <w:sz w:val="12"/>
          <w:szCs w:val="12"/>
          <w:color w:val="auto"/>
        </w:rPr>
        <w:t>. Furnish to the Administrative Agent and, in the case of Section 5.04(f) or (g), the applicable Lender:</w:t>
      </w:r>
    </w:p>
    <w:p>
      <w:pPr>
        <w:spacing w:after="0" w:line="225" w:lineRule="exact"/>
        <w:rPr>
          <w:sz w:val="20"/>
          <w:szCs w:val="20"/>
          <w:color w:val="auto"/>
        </w:rPr>
      </w:pPr>
    </w:p>
    <w:p>
      <w:pPr>
        <w:jc w:val="both"/>
        <w:ind w:firstLine="532"/>
        <w:spacing w:after="0" w:line="317" w:lineRule="auto"/>
        <w:tabs>
          <w:tab w:leader="none" w:pos="87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within five Business Days after the date in each fiscal year on which the U.S. Borrower is required to file its Annual Report on Form 10-K with the SEC (or would be required if the U.S. Borrower is no longer required to file regular and periodic reports with the SEC), in each case without giving effect to any extension thereof, the audited consolidated balance sheet and related consolidated statements of income, stockholders’ equity and comprehensive income and cash flows of the U.S.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U.S. Borrower and its consolidated subsidiaries on a consolidated basis in accordance with GAAP;</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58" w:name="page159"/>
    <w:bookmarkEnd w:id="158"/>
    <w:p>
      <w:pPr>
        <w:jc w:val="both"/>
        <w:ind w:firstLine="532"/>
        <w:spacing w:after="0" w:line="320" w:lineRule="auto"/>
        <w:tabs>
          <w:tab w:leader="none" w:pos="892"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within five Business Days after each date in each fiscal year on which the U.S. Borrower is required to file a Quarterly Report on Form 10-Q with the SEC (or would be required if the U.S. Borrower is no longer required to file regular and periodic reports with the SEC), in each case without giving effect to any extension thereof, the unaudited consolidated balance sheets and related condensed statements of operations and cash flows of the U.S.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U.S. Borrower and its consolidated subsidiaries on a consolidated basis in accordance with GAAP, subject to normal year-end audit adjustments and the absence of footnotes;</w:t>
      </w:r>
    </w:p>
    <w:p>
      <w:pPr>
        <w:spacing w:after="0" w:line="120" w:lineRule="exact"/>
        <w:rPr>
          <w:rFonts w:ascii="Arial" w:cs="Arial" w:eastAsia="Arial" w:hAnsi="Arial"/>
          <w:sz w:val="12"/>
          <w:szCs w:val="12"/>
          <w:color w:val="auto"/>
        </w:rPr>
      </w:pPr>
    </w:p>
    <w:p>
      <w:pPr>
        <w:jc w:val="both"/>
        <w:ind w:firstLine="532"/>
        <w:spacing w:after="0" w:line="248" w:lineRule="auto"/>
        <w:tabs>
          <w:tab w:leader="none" w:pos="88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concurrently with any delivery of financial statements under paragraph (a) or (b) above, a certificate in the form of Exhibit G (a “</w:t>
      </w:r>
      <w:r>
        <w:rPr>
          <w:rFonts w:ascii="Arial" w:cs="Arial" w:eastAsia="Arial" w:hAnsi="Arial"/>
          <w:sz w:val="15"/>
          <w:szCs w:val="15"/>
          <w:i w:val="1"/>
          <w:iCs w:val="1"/>
          <w:color w:val="auto"/>
        </w:rPr>
        <w:t>Compliance Certificate</w:t>
      </w:r>
      <w:r>
        <w:rPr>
          <w:rFonts w:ascii="Arial" w:cs="Arial" w:eastAsia="Arial" w:hAnsi="Arial"/>
          <w:sz w:val="15"/>
          <w:szCs w:val="15"/>
          <w:color w:val="auto"/>
        </w:rPr>
        <w:t>”)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covenants contained in Sections 6.10 and 6.11;</w:t>
      </w:r>
    </w:p>
    <w:p>
      <w:pPr>
        <w:spacing w:after="0" w:line="161" w:lineRule="exact"/>
        <w:rPr>
          <w:rFonts w:ascii="Arial" w:cs="Arial" w:eastAsia="Arial" w:hAnsi="Arial"/>
          <w:sz w:val="15"/>
          <w:szCs w:val="15"/>
          <w:color w:val="auto"/>
        </w:rPr>
      </w:pPr>
    </w:p>
    <w:p>
      <w:pPr>
        <w:jc w:val="both"/>
        <w:ind w:firstLine="532"/>
        <w:spacing w:after="0" w:line="251" w:lineRule="auto"/>
        <w:tabs>
          <w:tab w:leader="none" w:pos="884"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promptly upon receipt thereof, copies of any audit or other reports delivered to the board of directors of the U.S. Borrower (or the audit committee of such board) by an independent registered public accounting firm in connection with such firm’s audit of the consolidated financial statements of the U.S. Borrower if such reports identify material weaknesses in internal controls over financial reporting of the U.S. Borrower;</w:t>
      </w:r>
    </w:p>
    <w:p>
      <w:pPr>
        <w:spacing w:after="0" w:line="158" w:lineRule="exact"/>
        <w:rPr>
          <w:rFonts w:ascii="Arial" w:cs="Arial" w:eastAsia="Arial" w:hAnsi="Arial"/>
          <w:sz w:val="15"/>
          <w:szCs w:val="15"/>
          <w:color w:val="auto"/>
        </w:rPr>
      </w:pPr>
    </w:p>
    <w:p>
      <w:pPr>
        <w:jc w:val="both"/>
        <w:ind w:firstLine="532"/>
        <w:spacing w:after="0" w:line="251" w:lineRule="auto"/>
        <w:tabs>
          <w:tab w:leader="none" w:pos="86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promptly after the same become publicly available, copies of all periodic and other reports, proxy statements and other materials (other than filings under Section 16 of the Securities Exchange Act of 1934) filed by the U.S.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58" w:lineRule="exact"/>
        <w:rPr>
          <w:rFonts w:ascii="Arial" w:cs="Arial" w:eastAsia="Arial" w:hAnsi="Arial"/>
          <w:sz w:val="15"/>
          <w:szCs w:val="15"/>
          <w:color w:val="auto"/>
        </w:rPr>
      </w:pPr>
    </w:p>
    <w:p>
      <w:pPr>
        <w:ind w:firstLine="532"/>
        <w:spacing w:after="0" w:line="259" w:lineRule="auto"/>
        <w:tabs>
          <w:tab w:leader="none" w:pos="89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59" w:name="page160"/>
    <w:bookmarkEnd w:id="159"/>
    <w:p>
      <w:pPr>
        <w:ind w:left="880" w:hanging="348"/>
        <w:spacing w:after="0"/>
        <w:tabs>
          <w:tab w:leader="none" w:pos="8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promptly, following a request by any Lender, an updated organizational chart of the U.S. Borrower and its subsidiaries; and</w:t>
      </w:r>
    </w:p>
    <w:p>
      <w:pPr>
        <w:spacing w:after="0" w:line="177" w:lineRule="exact"/>
        <w:rPr>
          <w:rFonts w:ascii="Arial" w:cs="Arial" w:eastAsia="Arial" w:hAnsi="Arial"/>
          <w:sz w:val="15"/>
          <w:szCs w:val="15"/>
          <w:color w:val="auto"/>
        </w:rPr>
      </w:pPr>
    </w:p>
    <w:p>
      <w:pPr>
        <w:ind w:firstLine="532"/>
        <w:spacing w:after="0" w:line="259" w:lineRule="auto"/>
        <w:tabs>
          <w:tab w:leader="none" w:pos="92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52" w:lineRule="exact"/>
        <w:rPr>
          <w:sz w:val="20"/>
          <w:szCs w:val="20"/>
          <w:color w:val="auto"/>
        </w:rPr>
      </w:pPr>
    </w:p>
    <w:p>
      <w:pPr>
        <w:jc w:val="both"/>
        <w:ind w:firstLine="525"/>
        <w:spacing w:after="0" w:line="317" w:lineRule="auto"/>
        <w:rPr>
          <w:sz w:val="20"/>
          <w:szCs w:val="20"/>
          <w:color w:val="auto"/>
        </w:rPr>
      </w:pPr>
      <w:r>
        <w:rPr>
          <w:rFonts w:ascii="Arial" w:cs="Arial" w:eastAsia="Arial" w:hAnsi="Arial"/>
          <w:sz w:val="12"/>
          <w:szCs w:val="12"/>
          <w:color w:val="auto"/>
        </w:rPr>
        <w:t>Documents required to be delivered pursuant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U.S. Borrower’s website on the Internet at www.civeo.com, (ii) shall be available on the website of the SEC at http://www.sec.gov or (iii) shall have been posted on the U.S.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U.S. Borrower with any such request for delivery, and each Lender shall be solely responsible for requesting delivery to it or maintaining its copies of such documents.</w:t>
      </w:r>
    </w:p>
    <w:p>
      <w:pPr>
        <w:spacing w:after="0" w:line="123" w:lineRule="exact"/>
        <w:rPr>
          <w:sz w:val="20"/>
          <w:szCs w:val="20"/>
          <w:color w:val="auto"/>
        </w:rPr>
      </w:pPr>
    </w:p>
    <w:p>
      <w:pPr>
        <w:jc w:val="both"/>
        <w:ind w:firstLine="525"/>
        <w:spacing w:after="0" w:line="315" w:lineRule="auto"/>
        <w:rPr>
          <w:sz w:val="20"/>
          <w:szCs w:val="20"/>
          <w:color w:val="auto"/>
        </w:rPr>
      </w:pPr>
      <w:r>
        <w:rPr>
          <w:rFonts w:ascii="Arial" w:cs="Arial" w:eastAsia="Arial" w:hAnsi="Arial"/>
          <w:sz w:val="12"/>
          <w:szCs w:val="12"/>
          <w:color w:val="auto"/>
        </w:rPr>
        <w:t>The U.S. Borrower hereby acknowledges that (a) the Agents will make available to the Lenders and the Issuing Banks materials and/or information provided by or on behalf of the Loan Parties hereunder (collectively, the “</w:t>
      </w:r>
      <w:r>
        <w:rPr>
          <w:rFonts w:ascii="Arial" w:cs="Arial" w:eastAsia="Arial" w:hAnsi="Arial"/>
          <w:sz w:val="12"/>
          <w:szCs w:val="12"/>
          <w:i w:val="1"/>
          <w:iCs w:val="1"/>
          <w:color w:val="auto"/>
        </w:rPr>
        <w:t>Borrower Materials</w:t>
      </w:r>
      <w:r>
        <w:rPr>
          <w:rFonts w:ascii="Arial" w:cs="Arial" w:eastAsia="Arial" w:hAnsi="Arial"/>
          <w:sz w:val="12"/>
          <w:szCs w:val="12"/>
          <w:color w:val="auto"/>
        </w:rPr>
        <w:t>”) by posting the Borrower Materials on SyndTrak or another similar electronic system (the “</w:t>
      </w:r>
      <w:r>
        <w:rPr>
          <w:rFonts w:ascii="Arial" w:cs="Arial" w:eastAsia="Arial" w:hAnsi="Arial"/>
          <w:sz w:val="12"/>
          <w:szCs w:val="12"/>
          <w:i w:val="1"/>
          <w:iCs w:val="1"/>
          <w:color w:val="auto"/>
        </w:rPr>
        <w:t>Platform</w:t>
      </w:r>
      <w:r>
        <w:rPr>
          <w:rFonts w:ascii="Arial" w:cs="Arial" w:eastAsia="Arial" w:hAnsi="Arial"/>
          <w:sz w:val="12"/>
          <w:szCs w:val="12"/>
          <w:color w:val="auto"/>
        </w:rPr>
        <w:t>”) and (b) certain of the Lenders may be “public-side” Lenders (i.e., Lenders that do not wish to receive material non-public information with respect to any Loan Party or its securities) (each, a “</w:t>
      </w:r>
      <w:r>
        <w:rPr>
          <w:rFonts w:ascii="Arial" w:cs="Arial" w:eastAsia="Arial" w:hAnsi="Arial"/>
          <w:sz w:val="12"/>
          <w:szCs w:val="12"/>
          <w:i w:val="1"/>
          <w:iCs w:val="1"/>
          <w:color w:val="auto"/>
        </w:rPr>
        <w:t>Public Lender</w:t>
      </w:r>
      <w:r>
        <w:rPr>
          <w:rFonts w:ascii="Arial" w:cs="Arial" w:eastAsia="Arial" w:hAnsi="Arial"/>
          <w:sz w:val="12"/>
          <w:szCs w:val="12"/>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(provided, however, that to the extent such Borrower Materials constitute Information, they shall be treated as set forth in Section 9.16).</w:t>
      </w:r>
    </w:p>
    <w:p>
      <w:pPr>
        <w:spacing w:after="0" w:line="29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5.05</w:t>
      </w:r>
      <w:r>
        <w:rPr>
          <w:sz w:val="20"/>
          <w:szCs w:val="20"/>
          <w:color w:val="auto"/>
        </w:rPr>
        <w:tab/>
      </w:r>
      <w:r>
        <w:rPr>
          <w:rFonts w:ascii="Arial" w:cs="Arial" w:eastAsia="Arial" w:hAnsi="Arial"/>
          <w:sz w:val="12"/>
          <w:szCs w:val="12"/>
          <w:b w:val="1"/>
          <w:bCs w:val="1"/>
          <w:i w:val="1"/>
          <w:iCs w:val="1"/>
          <w:color w:val="auto"/>
        </w:rPr>
        <w:t>Litigation and Other Notices</w:t>
      </w:r>
      <w:r>
        <w:rPr>
          <w:rFonts w:ascii="Arial" w:cs="Arial" w:eastAsia="Arial" w:hAnsi="Arial"/>
          <w:sz w:val="12"/>
          <w:szCs w:val="12"/>
          <w:color w:val="auto"/>
        </w:rPr>
        <w:t>. Upon obtaining knowledge thereof, furnish to the Administrative Agents prompt written notice of the following: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60" w:name="page161"/>
    <w:bookmarkEnd w:id="160"/>
    <w:p>
      <w:pPr>
        <w:ind w:left="880" w:hanging="348"/>
        <w:spacing w:after="0"/>
        <w:tabs>
          <w:tab w:leader="none" w:pos="8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any Event of Default or Default, specifying the nature and extent thereof and the corrective action (if any) taken or proposed to be taken with respect thereto;</w:t>
      </w:r>
    </w:p>
    <w:p>
      <w:pPr>
        <w:spacing w:after="0" w:line="177" w:lineRule="exact"/>
        <w:rPr>
          <w:rFonts w:ascii="Arial" w:cs="Arial" w:eastAsia="Arial" w:hAnsi="Arial"/>
          <w:sz w:val="15"/>
          <w:szCs w:val="15"/>
          <w:color w:val="auto"/>
        </w:rPr>
      </w:pPr>
    </w:p>
    <w:p>
      <w:pPr>
        <w:ind w:firstLine="532"/>
        <w:spacing w:after="0" w:line="259" w:lineRule="auto"/>
        <w:tabs>
          <w:tab w:leader="none" w:pos="885"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52" w:lineRule="exact"/>
        <w:rPr>
          <w:rFonts w:ascii="Arial" w:cs="Arial" w:eastAsia="Arial" w:hAnsi="Arial"/>
          <w:sz w:val="15"/>
          <w:szCs w:val="15"/>
          <w:color w:val="auto"/>
        </w:rPr>
      </w:pPr>
    </w:p>
    <w:p>
      <w:pPr>
        <w:ind w:firstLine="532"/>
        <w:spacing w:after="0" w:line="259" w:lineRule="auto"/>
        <w:tabs>
          <w:tab w:leader="none" w:pos="86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occurrence of any ERISA Event or analogous event with respect to a Canadian Pension Plan or Canadian Benefit Plan that, alone or together with any other such events that have occurred, could reasonably be expected to result in a Material Adverse Effect;</w:t>
      </w:r>
    </w:p>
    <w:p>
      <w:pPr>
        <w:spacing w:after="0" w:line="152" w:lineRule="exact"/>
        <w:rPr>
          <w:rFonts w:ascii="Arial" w:cs="Arial" w:eastAsia="Arial" w:hAnsi="Arial"/>
          <w:sz w:val="15"/>
          <w:szCs w:val="15"/>
          <w:color w:val="auto"/>
        </w:rPr>
      </w:pPr>
    </w:p>
    <w:p>
      <w:pPr>
        <w:jc w:val="both"/>
        <w:ind w:firstLine="532"/>
        <w:spacing w:after="0" w:line="267" w:lineRule="auto"/>
        <w:tabs>
          <w:tab w:leader="none" w:pos="97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U.S. Borrower or its Subsidiaries therefor, (ii) alleging liability for any material action or omission on the part of the U.S. Borrower or any of its Subsidiaries in connection with any Release of Hazardous Material, (iii) providing any written notice of potential responsibility or liability under any Environmental Law, or (iv) concerning the filing of a Lien other than a Permitted Lien upon, against or in connection with the U.S. Borrower or any of its Subsidiaries, or any of their leased or owned material property, wherever located, in each of cases (i) through (iv) that, individually or in the aggregate, could reasonably be expected to result in a liability (to the extent not covered by insurance) of the U.S. Borrower or any of its Subsidiaries in an aggregate amount exceeding $25,000,000; or</w:t>
      </w:r>
    </w:p>
    <w:p>
      <w:pPr>
        <w:spacing w:after="0" w:line="149" w:lineRule="exact"/>
        <w:rPr>
          <w:rFonts w:ascii="Arial" w:cs="Arial" w:eastAsia="Arial" w:hAnsi="Arial"/>
          <w:sz w:val="14"/>
          <w:szCs w:val="14"/>
          <w:color w:val="auto"/>
        </w:rPr>
      </w:pPr>
    </w:p>
    <w:p>
      <w:pPr>
        <w:ind w:left="880" w:hanging="348"/>
        <w:spacing w:after="0"/>
        <w:tabs>
          <w:tab w:leader="none" w:pos="8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any development that has resulted in, or could reasonably be expected to result in, a Material Adverse Effect.</w:t>
      </w:r>
    </w:p>
    <w:p>
      <w:pPr>
        <w:spacing w:after="0" w:line="173"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5.06 </w:t>
      </w:r>
      <w:r>
        <w:rPr>
          <w:rFonts w:ascii="Arial" w:cs="Arial" w:eastAsia="Arial" w:hAnsi="Arial"/>
          <w:sz w:val="15"/>
          <w:szCs w:val="15"/>
          <w:b w:val="1"/>
          <w:bCs w:val="1"/>
          <w:i w:val="1"/>
          <w:iCs w:val="1"/>
          <w:color w:val="auto"/>
        </w:rPr>
        <w:t>Information Regarding Collateral</w:t>
      </w:r>
      <w:r>
        <w:rPr>
          <w:rFonts w:ascii="Arial" w:cs="Arial" w:eastAsia="Arial" w:hAnsi="Arial"/>
          <w:sz w:val="15"/>
          <w:szCs w:val="15"/>
          <w:color w:val="auto"/>
        </w:rPr>
        <w:t>. Furnish to the Administrative Agent prompt (and in any event within 30 days) written notice (a) of any change in the legal name,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corporate structure, jurisdiction of organization or formation or organizational identification number within 30 days after the occurrence thereof; and (b) if any material portion of the Collateral is expropriated, damaged or destroyed.</w:t>
      </w:r>
    </w:p>
    <w:p>
      <w:pPr>
        <w:spacing w:after="0" w:line="198"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b w:val="1"/>
          <w:bCs w:val="1"/>
          <w:color w:val="auto"/>
        </w:rPr>
        <w:t xml:space="preserve">SECTION 5.07 </w:t>
      </w:r>
      <w:r>
        <w:rPr>
          <w:rFonts w:ascii="Arial" w:cs="Arial" w:eastAsia="Arial" w:hAnsi="Arial"/>
          <w:sz w:val="14"/>
          <w:szCs w:val="14"/>
          <w:b w:val="1"/>
          <w:bCs w:val="1"/>
          <w:i w:val="1"/>
          <w:iCs w:val="1"/>
          <w:color w:val="auto"/>
        </w:rPr>
        <w:t>Maintaining Records; Access to Properties and Inspections</w:t>
      </w:r>
      <w:r>
        <w:rPr>
          <w:rFonts w:ascii="Arial" w:cs="Arial" w:eastAsia="Arial" w:hAnsi="Arial"/>
          <w:sz w:val="14"/>
          <w:szCs w:val="14"/>
          <w:color w:val="auto"/>
        </w:rPr>
        <w:t>. Keep proper books of record and account in which full, true and correct entries in conformity with GAAP</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U.S. Borrower and at such reasonable times during normal business hours and as often as may be reasonably desired, upon reasonable advance notice to the applicable Loan Party or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61" w:name="page162"/>
    <w:bookmarkEnd w:id="161"/>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5.08</w:t>
      </w:r>
      <w:r>
        <w:rPr>
          <w:sz w:val="20"/>
          <w:szCs w:val="20"/>
          <w:color w:val="auto"/>
        </w:rPr>
        <w:tab/>
      </w:r>
      <w:r>
        <w:rPr>
          <w:rFonts w:ascii="Arial" w:cs="Arial" w:eastAsia="Arial" w:hAnsi="Arial"/>
          <w:sz w:val="12"/>
          <w:szCs w:val="12"/>
          <w:b w:val="1"/>
          <w:bCs w:val="1"/>
          <w:i w:val="1"/>
          <w:iCs w:val="1"/>
          <w:color w:val="auto"/>
        </w:rPr>
        <w:t>Use of Proceeds</w:t>
      </w:r>
      <w:r>
        <w:rPr>
          <w:rFonts w:ascii="Arial" w:cs="Arial" w:eastAsia="Arial" w:hAnsi="Arial"/>
          <w:sz w:val="12"/>
          <w:szCs w:val="12"/>
          <w:color w:val="auto"/>
        </w:rPr>
        <w:t>. Use the proceeds of the Loans and request the issuance of Letters of Credit only for the purposes set forth in Section 3.13.</w:t>
      </w:r>
    </w:p>
    <w:p>
      <w:pPr>
        <w:spacing w:after="0" w:line="221" w:lineRule="exact"/>
        <w:rPr>
          <w:sz w:val="20"/>
          <w:szCs w:val="20"/>
          <w:color w:val="auto"/>
        </w:rPr>
      </w:pPr>
    </w:p>
    <w:p>
      <w:pPr>
        <w:jc w:val="both"/>
        <w:ind w:firstLine="525"/>
        <w:spacing w:after="0" w:line="332" w:lineRule="auto"/>
        <w:rPr>
          <w:sz w:val="20"/>
          <w:szCs w:val="20"/>
          <w:color w:val="auto"/>
        </w:rPr>
      </w:pPr>
      <w:r>
        <w:rPr>
          <w:rFonts w:ascii="Arial" w:cs="Arial" w:eastAsia="Arial" w:hAnsi="Arial"/>
          <w:sz w:val="12"/>
          <w:szCs w:val="12"/>
          <w:b w:val="1"/>
          <w:bCs w:val="1"/>
          <w:color w:val="auto"/>
        </w:rPr>
        <w:t xml:space="preserve">SECTION 5.09 </w:t>
      </w:r>
      <w:r>
        <w:rPr>
          <w:rFonts w:ascii="Arial" w:cs="Arial" w:eastAsia="Arial" w:hAnsi="Arial"/>
          <w:sz w:val="12"/>
          <w:szCs w:val="12"/>
          <w:b w:val="1"/>
          <w:bCs w:val="1"/>
          <w:i w:val="1"/>
          <w:iCs w:val="1"/>
          <w:color w:val="auto"/>
        </w:rPr>
        <w:t>Further Assurances</w:t>
      </w:r>
      <w:r>
        <w:rPr>
          <w:rFonts w:ascii="Arial" w:cs="Arial" w:eastAsia="Arial" w:hAnsi="Arial"/>
          <w:sz w:val="12"/>
          <w:szCs w:val="12"/>
          <w:color w:val="auto"/>
        </w:rPr>
        <w:t>. At its sole cost and expense, (a) execute any and all further documents, financing statements, agreements and instruments, and take all further</w:t>
      </w:r>
      <w:r>
        <w:rPr>
          <w:rFonts w:ascii="Arial" w:cs="Arial" w:eastAsia="Arial" w:hAnsi="Arial"/>
          <w:sz w:val="12"/>
          <w:szCs w:val="12"/>
          <w:b w:val="1"/>
          <w:bCs w:val="1"/>
          <w:color w:val="auto"/>
        </w:rPr>
        <w:t xml:space="preserve"> </w:t>
      </w:r>
      <w:r>
        <w:rPr>
          <w:rFonts w:ascii="Arial" w:cs="Arial" w:eastAsia="Arial" w:hAnsi="Arial"/>
          <w:sz w:val="12"/>
          <w:szCs w:val="12"/>
          <w:color w:val="auto"/>
        </w:rPr>
        <w:t>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58" w:lineRule="exact"/>
        <w:rPr>
          <w:sz w:val="20"/>
          <w:szCs w:val="20"/>
          <w:color w:val="auto"/>
        </w:rPr>
      </w:pPr>
    </w:p>
    <w:p>
      <w:pPr>
        <w:jc w:val="both"/>
        <w:ind w:firstLine="532"/>
        <w:spacing w:after="0" w:line="330" w:lineRule="auto"/>
        <w:tabs>
          <w:tab w:leader="none" w:pos="907" w:val="left"/>
        </w:tabs>
        <w:numPr>
          <w:ilvl w:val="1"/>
          <w:numId w:val="132"/>
        </w:numPr>
        <w:rPr>
          <w:rFonts w:ascii="Arial" w:cs="Arial" w:eastAsia="Arial" w:hAnsi="Arial"/>
          <w:sz w:val="12"/>
          <w:szCs w:val="12"/>
          <w:color w:val="auto"/>
        </w:rPr>
      </w:pPr>
      <w:r>
        <w:rPr>
          <w:rFonts w:ascii="Arial" w:cs="Arial" w:eastAsia="Arial" w:hAnsi="Arial"/>
          <w:sz w:val="12"/>
          <w:szCs w:val="12"/>
          <w:color w:val="auto"/>
        </w:rPr>
        <w:t>Cause any subsequently acquired or organized Domestic Subsidiary (other than a Domestic Subsidiary that is a Subsidiary of a Foreign Subsidiary or a FSHCO) that is a Material Subsidiary or any Domestic Subsidiary (other than a Domestic Subsidiary that is a Subsidiary of a Foreign Subsidiary or a FSHCO) that was not a Material Subsidiary that subsequently becomes a Material Subsidiary, to execute a supplement making it a party to the U.S. Subsidiary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15" w:lineRule="exact"/>
        <w:rPr>
          <w:rFonts w:ascii="Arial" w:cs="Arial" w:eastAsia="Arial" w:hAnsi="Arial"/>
          <w:sz w:val="12"/>
          <w:szCs w:val="12"/>
          <w:color w:val="auto"/>
        </w:rPr>
      </w:pPr>
    </w:p>
    <w:p>
      <w:pPr>
        <w:jc w:val="both"/>
        <w:ind w:firstLine="532"/>
        <w:spacing w:after="0" w:line="277" w:lineRule="auto"/>
        <w:tabs>
          <w:tab w:leader="none" w:pos="906" w:val="left"/>
        </w:tabs>
        <w:numPr>
          <w:ilvl w:val="1"/>
          <w:numId w:val="132"/>
        </w:numPr>
        <w:rPr>
          <w:rFonts w:ascii="Arial" w:cs="Arial" w:eastAsia="Arial" w:hAnsi="Arial"/>
          <w:sz w:val="14"/>
          <w:szCs w:val="14"/>
          <w:color w:val="auto"/>
        </w:rPr>
      </w:pPr>
      <w:r>
        <w:rPr>
          <w:rFonts w:ascii="Arial" w:cs="Arial" w:eastAsia="Arial" w:hAnsi="Arial"/>
          <w:sz w:val="14"/>
          <w:szCs w:val="14"/>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p>
    <w:p>
      <w:pPr>
        <w:spacing w:after="0" w:line="141" w:lineRule="exact"/>
        <w:rPr>
          <w:rFonts w:ascii="Arial" w:cs="Arial" w:eastAsia="Arial" w:hAnsi="Arial"/>
          <w:sz w:val="14"/>
          <w:szCs w:val="14"/>
          <w:color w:val="auto"/>
        </w:rPr>
      </w:pPr>
    </w:p>
    <w:p>
      <w:pPr>
        <w:jc w:val="both"/>
        <w:ind w:firstLine="532"/>
        <w:spacing w:after="0" w:line="277" w:lineRule="auto"/>
        <w:tabs>
          <w:tab w:leader="none" w:pos="878" w:val="left"/>
        </w:tabs>
        <w:numPr>
          <w:ilvl w:val="1"/>
          <w:numId w:val="132"/>
        </w:numPr>
        <w:rPr>
          <w:rFonts w:ascii="Arial" w:cs="Arial" w:eastAsia="Arial" w:hAnsi="Arial"/>
          <w:sz w:val="14"/>
          <w:szCs w:val="14"/>
          <w:color w:val="auto"/>
        </w:rPr>
      </w:pPr>
      <w:r>
        <w:rPr>
          <w:rFonts w:ascii="Arial" w:cs="Arial" w:eastAsia="Arial" w:hAnsi="Arial"/>
          <w:sz w:val="14"/>
          <w:szCs w:val="14"/>
          <w:color w:val="auto"/>
        </w:rPr>
        <w:t>Cause any subsequently acquired or organized Australian Subsidiary that is a wholly-owned Material Subsidiary or any Australian Subsidiary that was not a Material Subsidiary that subsequently becomes a Material Subsidiary to execute a supplement to the Australian Guarantee Agreement and each applicable Australian Security Document, in each case within thirty (30) days (or such longer period as may be agreed to by the Administrative Agent) after such acquisition, organization or change in status.</w:t>
      </w:r>
    </w:p>
    <w:p>
      <w:pPr>
        <w:spacing w:after="0" w:line="141" w:lineRule="exact"/>
        <w:rPr>
          <w:rFonts w:ascii="Arial" w:cs="Arial" w:eastAsia="Arial" w:hAnsi="Arial"/>
          <w:sz w:val="14"/>
          <w:szCs w:val="14"/>
          <w:color w:val="auto"/>
        </w:rPr>
      </w:pPr>
    </w:p>
    <w:p>
      <w:pPr>
        <w:jc w:val="both"/>
        <w:ind w:firstLine="532"/>
        <w:spacing w:after="0" w:line="311" w:lineRule="auto"/>
        <w:tabs>
          <w:tab w:leader="none" w:pos="892" w:val="left"/>
        </w:tabs>
        <w:numPr>
          <w:ilvl w:val="1"/>
          <w:numId w:val="132"/>
        </w:numPr>
        <w:rPr>
          <w:rFonts w:ascii="Arial" w:cs="Arial" w:eastAsia="Arial" w:hAnsi="Arial"/>
          <w:sz w:val="12"/>
          <w:szCs w:val="12"/>
          <w:color w:val="auto"/>
        </w:rPr>
      </w:pPr>
      <w:r>
        <w:rPr>
          <w:rFonts w:ascii="Arial" w:cs="Arial" w:eastAsia="Arial" w:hAnsi="Arial"/>
          <w:sz w:val="12"/>
          <w:szCs w:val="12"/>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the Obligations of the U.S. Borrower shall be secured by substantially all the material personal property of the U.S. Borrower and the U.S. Subsidiary Guarantors located in the United States (provided that 100% of the Equity Interests of Material Subsidiaries that are Domestic Subsidiaries (other than a Domestic Subsidiary that is a Subsidiary of a Foreign Subsidiary or a Domestic Subsidiary that is a FSHCO) and no more than 65% of the Equity Interests in Material Subsidiaries that are first-tier Foreign Subsidiaries and that are directly owned by the U.S. Borrower shall be pledged in support of the Obligations of the U.S. Borrower), and the Obligations of the Canadian Borrowers and the Australian Borrowers shall be secured by (A) the Collateral securing the U.S. Term Loan Facility and the U.S. Revolving Credit Facility and (B) substantially all the material personal property of the Canadian Borrowers and the Canadian Subsidiary Guarantors and the Australian Borrower and the Australian Subsidiary Guarantors (including personal property which, individually, has an estimated market value in excess of U.S.$1,000,000; 100% of the Equity Interests of Material Subsidiaries of the U.S. Borrower; 100% of the Equity Interests of the Canadian Borrowers and the Australian Borrower; 100% of the Equity Interests of certain subsidiaries of the Canadian Borrowers; and 100% of the Equity Interests of certain subsidiaries of the Australian Borrower).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w:t>
      </w:r>
    </w:p>
    <w:p>
      <w:pPr>
        <w:spacing w:after="0" w:line="136" w:lineRule="exact"/>
        <w:rPr>
          <w:rFonts w:ascii="Arial" w:cs="Arial" w:eastAsia="Arial" w:hAnsi="Arial"/>
          <w:sz w:val="12"/>
          <w:szCs w:val="12"/>
          <w:color w:val="auto"/>
        </w:rPr>
      </w:pPr>
    </w:p>
    <w:p>
      <w:pPr>
        <w:jc w:val="both"/>
        <w:ind w:firstLine="7"/>
        <w:spacing w:after="0" w:line="244" w:lineRule="auto"/>
        <w:tabs>
          <w:tab w:leader="none" w:pos="19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U.S. Borrower or any Subsidiary.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62" w:name="page163"/>
    <w:bookmarkEnd w:id="162"/>
    <w:p>
      <w:pPr>
        <w:jc w:val="both"/>
        <w:ind w:firstLine="532"/>
        <w:spacing w:after="0" w:line="277" w:lineRule="auto"/>
        <w:tabs>
          <w:tab w:leader="none" w:pos="93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Within three Business Days following the Funding Date, the Administrative Agent shall have received evidence reasonably satisfactory to it that the Spin-Off shall have been consummated pursuant to and in accordance with the provisions of the Separation Agreement without giving effect to any waiver or modification of any provision thereof that is materially adverse to the interest of the Lenders and that is not approved by the Administrative Agent (such consent not to be unreasonably withheld or delayed).</w:t>
      </w:r>
    </w:p>
    <w:p>
      <w:pPr>
        <w:spacing w:after="0" w:line="14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b w:val="1"/>
          <w:bCs w:val="1"/>
          <w:i w:val="1"/>
          <w:iCs w:val="1"/>
          <w:color w:val="auto"/>
        </w:rPr>
        <w:t>Mortgage Duty</w:t>
      </w:r>
      <w:r>
        <w:rPr>
          <w:rFonts w:ascii="Arial" w:cs="Arial" w:eastAsia="Arial" w:hAnsi="Arial"/>
          <w:sz w:val="15"/>
          <w:szCs w:val="15"/>
          <w:color w:val="auto"/>
        </w:rPr>
        <w:t>. The Australian Borrower will ensure that, within 45 days of the Funding Date or such extended time as the Australian Collateral Agent shall permit in its sole discretion, the Australian Collateral Agent shall have received (a) a multi-jurisdictional mortgage statement signed on behalf of each Australian Loan Party where any of the Collateral the subject of the Australian Security Deed is situated or taken under the Duties Act 1997 (NSW) to be situated in New South Wales, Australia, and (b) cleared funds sufficient to pay any duty payable as determined on the basis of the multi-jurisdictional mortgage statement.</w:t>
      </w:r>
    </w:p>
    <w:p>
      <w:pPr>
        <w:spacing w:after="0" w:line="16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b w:val="1"/>
          <w:bCs w:val="1"/>
          <w:i w:val="1"/>
          <w:iCs w:val="1"/>
          <w:color w:val="auto"/>
        </w:rPr>
        <w:t>Actions Following Whitewash</w:t>
      </w:r>
      <w:r>
        <w:rPr>
          <w:rFonts w:ascii="Arial" w:cs="Arial" w:eastAsia="Arial" w:hAnsi="Arial"/>
          <w:sz w:val="15"/>
          <w:szCs w:val="15"/>
          <w:color w:val="auto"/>
        </w:rPr>
        <w:t>. Following satisfaction of the condition in Section 4.01(d)(i), the Australian Loan Parties will use commercially reasonable efforts to promptly execute the Australian Guarantee Agreement and the Canadian Guarantee Agreement, to the extent that they are parties thereto.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5"/>
          <w:szCs w:val="15"/>
          <w:b w:val="1"/>
          <w:bCs w:val="1"/>
          <w:color w:val="auto"/>
        </w:rPr>
        <w:t>ARTICLE VI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Negative Covenants</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0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6.01</w:t>
      </w:r>
      <w:r>
        <w:rPr>
          <w:sz w:val="20"/>
          <w:szCs w:val="20"/>
          <w:color w:val="auto"/>
        </w:rPr>
        <w:tab/>
      </w:r>
      <w:r>
        <w:rPr>
          <w:rFonts w:ascii="Arial" w:cs="Arial" w:eastAsia="Arial" w:hAnsi="Arial"/>
          <w:sz w:val="12"/>
          <w:szCs w:val="12"/>
          <w:b w:val="1"/>
          <w:bCs w:val="1"/>
          <w:i w:val="1"/>
          <w:iCs w:val="1"/>
          <w:color w:val="auto"/>
        </w:rPr>
        <w:t>Indebtedness</w:t>
      </w:r>
      <w:r>
        <w:rPr>
          <w:rFonts w:ascii="Arial" w:cs="Arial" w:eastAsia="Arial" w:hAnsi="Arial"/>
          <w:sz w:val="12"/>
          <w:szCs w:val="12"/>
          <w:color w:val="auto"/>
        </w:rPr>
        <w:t>. On or after the Closing Date, incur, create, assume or permit to exist any Indebtedness, except:</w:t>
      </w:r>
    </w:p>
    <w:p>
      <w:pPr>
        <w:spacing w:after="0" w:line="225" w:lineRule="exact"/>
        <w:rPr>
          <w:sz w:val="20"/>
          <w:szCs w:val="20"/>
          <w:color w:val="auto"/>
        </w:rPr>
      </w:pPr>
    </w:p>
    <w:p>
      <w:pPr>
        <w:jc w:val="both"/>
        <w:ind w:firstLine="532"/>
        <w:spacing w:after="0" w:line="277" w:lineRule="auto"/>
        <w:tabs>
          <w:tab w:leader="none" w:pos="87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Indebtedness existing on the date hereof and set forth in Schedule 6.01, and any extensions, renewals or replacements of such Indebtedness to the extent the principal amount of such Indebtedness is not increased, neither the final maturity nor the weighted average life to maturity of such Indebtedness is decreased, such Indebtedness, if subordinated to the Obligations, remains so subordinated on terms not less favorable to the Lenders and the original obligors in respect of such Indebtedness remain the only obligors thereon;</w:t>
      </w:r>
    </w:p>
    <w:p>
      <w:pPr>
        <w:spacing w:after="0" w:line="141" w:lineRule="exact"/>
        <w:rPr>
          <w:rFonts w:ascii="Arial" w:cs="Arial" w:eastAsia="Arial" w:hAnsi="Arial"/>
          <w:sz w:val="14"/>
          <w:szCs w:val="14"/>
          <w:color w:val="auto"/>
        </w:rPr>
      </w:pPr>
    </w:p>
    <w:p>
      <w:pPr>
        <w:ind w:left="880" w:hanging="348"/>
        <w:spacing w:after="0"/>
        <w:tabs>
          <w:tab w:leader="none" w:pos="8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Indebtedness created hereunder and under the other Loan Documents;</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intercompany Indebtedness of the Borrowers and the Subsidiaries to the extent permitted by Sections 6.04(a), (f), (g), (k) and (l);</w:t>
      </w:r>
    </w:p>
    <w:p>
      <w:pPr>
        <w:spacing w:after="0" w:line="177" w:lineRule="exact"/>
        <w:rPr>
          <w:rFonts w:ascii="Arial" w:cs="Arial" w:eastAsia="Arial" w:hAnsi="Arial"/>
          <w:sz w:val="15"/>
          <w:szCs w:val="15"/>
          <w:color w:val="auto"/>
        </w:rPr>
      </w:pPr>
    </w:p>
    <w:p>
      <w:pPr>
        <w:ind w:firstLine="532"/>
        <w:spacing w:after="0" w:line="259" w:lineRule="auto"/>
        <w:tabs>
          <w:tab w:leader="none" w:pos="90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52" w:lineRule="exact"/>
        <w:rPr>
          <w:rFonts w:ascii="Arial" w:cs="Arial" w:eastAsia="Arial" w:hAnsi="Arial"/>
          <w:sz w:val="15"/>
          <w:szCs w:val="15"/>
          <w:color w:val="auto"/>
        </w:rPr>
      </w:pPr>
    </w:p>
    <w:p>
      <w:pPr>
        <w:jc w:val="both"/>
        <w:ind w:firstLine="532"/>
        <w:spacing w:after="0" w:line="271" w:lineRule="auto"/>
        <w:tabs>
          <w:tab w:leader="none" w:pos="87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unsecured Indebtedness issued by the U.S. Borrower and guarantees thereof by the U.S. Subsidiary Guarantors;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as of the date of issuance,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effect (using the criteria therefor described in Section 6.04(i)) to such transaction as if such transaction had occurred as of the first day of such period;</w:t>
      </w:r>
    </w:p>
    <w:p>
      <w:pPr>
        <w:spacing w:after="0" w:line="147" w:lineRule="exact"/>
        <w:rPr>
          <w:rFonts w:ascii="Arial" w:cs="Arial" w:eastAsia="Arial" w:hAnsi="Arial"/>
          <w:sz w:val="14"/>
          <w:szCs w:val="14"/>
          <w:color w:val="auto"/>
        </w:rPr>
      </w:pPr>
    </w:p>
    <w:p>
      <w:pPr>
        <w:jc w:val="both"/>
        <w:ind w:firstLine="532"/>
        <w:spacing w:after="0" w:line="247" w:lineRule="auto"/>
        <w:tabs>
          <w:tab w:leader="none" w:pos="86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secured Indebtedness of the U.S. Borrower and guarantees thereof by the U.S. Subsidiary Guarantors not otherwise permitted under this Section 6.01;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as of the date of incurrence, (i) the Liens securing such Debt are permitted under Section 6.02(j) and (ii)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effect (using the criteria therefor described in Section 6.04(i)) to such transaction as if such transaction had occurred as of the first day of such period;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64" w:name="page165"/>
    <w:bookmarkEnd w:id="164"/>
    <w:p>
      <w:pPr>
        <w:ind w:firstLine="532"/>
        <w:spacing w:after="0" w:line="259" w:lineRule="auto"/>
        <w:tabs>
          <w:tab w:leader="none" w:pos="9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Indebtedness of the Subsidiaries and guaranties thereunder by the U.S. Borrower in an aggregate principal amount not to exceed when incurred 5% of the U.S. Borrower’s Consolidated Net Worth calculated as of the most recent fiscal quarter for which financial statements are available.</w:t>
      </w:r>
    </w:p>
    <w:p>
      <w:pPr>
        <w:spacing w:after="0" w:line="148"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6.02 </w:t>
      </w:r>
      <w:r>
        <w:rPr>
          <w:rFonts w:ascii="Arial" w:cs="Arial" w:eastAsia="Arial" w:hAnsi="Arial"/>
          <w:sz w:val="15"/>
          <w:szCs w:val="15"/>
          <w:b w:val="1"/>
          <w:bCs w:val="1"/>
          <w:i w:val="1"/>
          <w:iCs w:val="1"/>
          <w:color w:val="auto"/>
        </w:rPr>
        <w:t>Liens</w:t>
      </w:r>
      <w:r>
        <w:rPr>
          <w:rFonts w:ascii="Arial" w:cs="Arial" w:eastAsia="Arial" w:hAnsi="Arial"/>
          <w:sz w:val="15"/>
          <w:szCs w:val="15"/>
          <w:color w:val="auto"/>
        </w:rPr>
        <w:t>. On or after the Closing Date, create, incur, assume or permit to exist any Lien on any property or assets (including stock or other securities of any person,</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any Subsidiary) now owned or hereafter acquired by it or on any income or revenues or rights in respect of any thereof, except:</w:t>
      </w:r>
    </w:p>
    <w:p>
      <w:pPr>
        <w:spacing w:after="0" w:line="193" w:lineRule="exact"/>
        <w:rPr>
          <w:sz w:val="20"/>
          <w:szCs w:val="20"/>
          <w:color w:val="auto"/>
        </w:rPr>
      </w:pPr>
    </w:p>
    <w:p>
      <w:pPr>
        <w:ind w:firstLine="532"/>
        <w:spacing w:after="0" w:line="259" w:lineRule="auto"/>
        <w:tabs>
          <w:tab w:leader="none" w:pos="88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Liens existing on the Closing Date and set forth in Schedule 6.02;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Liens shall secure only those obligations which they secure on the date hereof and extensions, renewals and replacements thereof permitted hereunder;</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any Lien created under the Loan Documents;</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Liens for taxes not yet due or which are being contested in compliance with Section 5.03;</w:t>
      </w:r>
    </w:p>
    <w:p>
      <w:pPr>
        <w:spacing w:after="0" w:line="177" w:lineRule="exact"/>
        <w:rPr>
          <w:rFonts w:ascii="Arial" w:cs="Arial" w:eastAsia="Arial" w:hAnsi="Arial"/>
          <w:sz w:val="15"/>
          <w:szCs w:val="15"/>
          <w:color w:val="auto"/>
        </w:rPr>
      </w:pPr>
    </w:p>
    <w:p>
      <w:pPr>
        <w:ind w:firstLine="532"/>
        <w:spacing w:after="0" w:line="259" w:lineRule="auto"/>
        <w:tabs>
          <w:tab w:leader="none" w:pos="95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52" w:lineRule="exact"/>
        <w:rPr>
          <w:rFonts w:ascii="Arial" w:cs="Arial" w:eastAsia="Arial" w:hAnsi="Arial"/>
          <w:sz w:val="15"/>
          <w:szCs w:val="15"/>
          <w:color w:val="auto"/>
        </w:rPr>
      </w:pPr>
    </w:p>
    <w:p>
      <w:pPr>
        <w:ind w:firstLine="532"/>
        <w:spacing w:after="0" w:line="259" w:lineRule="auto"/>
        <w:tabs>
          <w:tab w:leader="none" w:pos="96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Liens (other than any Lien imposed by ERISA), pledges and deposits made in the ordinary course of business in compliance with workmen’s compensation, unemployment insurance and other social security laws or regulations;</w:t>
      </w:r>
    </w:p>
    <w:p>
      <w:pPr>
        <w:spacing w:after="0" w:line="152" w:lineRule="exact"/>
        <w:rPr>
          <w:rFonts w:ascii="Arial" w:cs="Arial" w:eastAsia="Arial" w:hAnsi="Arial"/>
          <w:sz w:val="15"/>
          <w:szCs w:val="15"/>
          <w:color w:val="auto"/>
        </w:rPr>
      </w:pPr>
    </w:p>
    <w:p>
      <w:pPr>
        <w:ind w:firstLine="532"/>
        <w:spacing w:after="0" w:line="259" w:lineRule="auto"/>
        <w:tabs>
          <w:tab w:leader="none" w:pos="86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52" w:lineRule="exact"/>
        <w:rPr>
          <w:rFonts w:ascii="Arial" w:cs="Arial" w:eastAsia="Arial" w:hAnsi="Arial"/>
          <w:sz w:val="15"/>
          <w:szCs w:val="15"/>
          <w:color w:val="auto"/>
        </w:rPr>
      </w:pPr>
    </w:p>
    <w:p>
      <w:pPr>
        <w:jc w:val="both"/>
        <w:ind w:firstLine="532"/>
        <w:spacing w:after="0" w:line="251" w:lineRule="auto"/>
        <w:tabs>
          <w:tab w:leader="none" w:pos="884" w:val="left"/>
        </w:tabs>
        <w:numPr>
          <w:ilvl w:val="0"/>
          <w:numId w:val="137"/>
        </w:numPr>
        <w:rPr>
          <w:rFonts w:ascii="Arial" w:cs="Arial" w:eastAsia="Arial" w:hAnsi="Arial"/>
          <w:sz w:val="15"/>
          <w:szCs w:val="15"/>
          <w:color w:val="auto"/>
        </w:rPr>
      </w:pPr>
      <w:r>
        <w:rPr>
          <w:rFonts w:ascii="Arial" w:cs="Arial" w:eastAsia="Arial" w:hAnsi="Arial"/>
          <w:sz w:val="15"/>
          <w:szCs w:val="15"/>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58" w:lineRule="exact"/>
        <w:rPr>
          <w:rFonts w:ascii="Arial" w:cs="Arial" w:eastAsia="Arial" w:hAnsi="Arial"/>
          <w:sz w:val="15"/>
          <w:szCs w:val="15"/>
          <w:color w:val="auto"/>
        </w:rPr>
      </w:pPr>
    </w:p>
    <w:p>
      <w:pPr>
        <w:jc w:val="both"/>
        <w:ind w:firstLine="532"/>
        <w:spacing w:after="0" w:line="251" w:lineRule="auto"/>
        <w:tabs>
          <w:tab w:leader="none" w:pos="89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amount of all such judgments or awards (and any cash and the fair market value of any property subject to such Liens) does not exceed U.S.$10,000,000 at any time outstanding;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65" w:name="page166"/>
    <w:bookmarkEnd w:id="165"/>
    <w:p>
      <w:pPr>
        <w:ind w:left="900" w:hanging="368"/>
        <w:spacing w:after="0"/>
        <w:tabs>
          <w:tab w:leader="none" w:pos="90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Liens on certain general intangibles of the Canadian Parent in favor of 3045843 Nova Scotia Company to secure certain intercompany debt of the Canadian Parent permitted by</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Section 6.04;</w:t>
      </w:r>
    </w:p>
    <w:p>
      <w:pPr>
        <w:spacing w:after="0" w:line="168" w:lineRule="exact"/>
        <w:rPr>
          <w:rFonts w:ascii="Arial" w:cs="Arial" w:eastAsia="Arial" w:hAnsi="Arial"/>
          <w:sz w:val="12"/>
          <w:szCs w:val="12"/>
          <w:color w:val="auto"/>
        </w:rPr>
      </w:pPr>
    </w:p>
    <w:p>
      <w:pPr>
        <w:jc w:val="both"/>
        <w:ind w:firstLine="532"/>
        <w:spacing w:after="0" w:line="330" w:lineRule="auto"/>
        <w:tabs>
          <w:tab w:leader="none" w:pos="897" w:val="left"/>
        </w:tabs>
        <w:numPr>
          <w:ilvl w:val="0"/>
          <w:numId w:val="138"/>
        </w:numPr>
        <w:rPr>
          <w:rFonts w:ascii="Arial" w:cs="Arial" w:eastAsia="Arial" w:hAnsi="Arial"/>
          <w:sz w:val="12"/>
          <w:szCs w:val="12"/>
          <w:color w:val="auto"/>
        </w:rPr>
      </w:pPr>
      <w:r>
        <w:rPr>
          <w:rFonts w:ascii="Arial" w:cs="Arial" w:eastAsia="Arial" w:hAnsi="Arial"/>
          <w:sz w:val="12"/>
          <w:szCs w:val="12"/>
          <w:color w:val="auto"/>
        </w:rPr>
        <w:t xml:space="preserve">purchase money security interests in real property, improvements thereto or equipment hereafter acquired (or, in the case of improvements, constructed) by the Borrowers or any Subsidiary;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equipment at the time of such acquisition (or construction) and (iv) such security interests do not apply to any other property or assets of the Borrowers or any Subsidiary;</w:t>
      </w:r>
    </w:p>
    <w:p>
      <w:pPr>
        <w:spacing w:after="0" w:line="115" w:lineRule="exact"/>
        <w:rPr>
          <w:rFonts w:ascii="Arial" w:cs="Arial" w:eastAsia="Arial" w:hAnsi="Arial"/>
          <w:sz w:val="12"/>
          <w:szCs w:val="12"/>
          <w:color w:val="auto"/>
        </w:rPr>
      </w:pPr>
    </w:p>
    <w:p>
      <w:pPr>
        <w:ind w:firstLine="532"/>
        <w:spacing w:after="0" w:line="294" w:lineRule="auto"/>
        <w:tabs>
          <w:tab w:leader="none" w:pos="9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Liens on Equity Interests in a Special Purpose Business Entity incurred for the purpose of providing independent financing for such Special Purpose Business Entity; </w:t>
      </w:r>
      <w:r>
        <w:rPr>
          <w:rFonts w:ascii="Arial" w:cs="Arial" w:eastAsia="Arial" w:hAnsi="Arial"/>
          <w:sz w:val="14"/>
          <w:szCs w:val="14"/>
          <w:i w:val="1"/>
          <w:iCs w:val="1"/>
          <w:color w:val="auto"/>
        </w:rPr>
        <w:t>provided</w:t>
      </w:r>
      <w:r>
        <w:rPr>
          <w:rFonts w:ascii="Arial" w:cs="Arial" w:eastAsia="Arial" w:hAnsi="Arial"/>
          <w:sz w:val="14"/>
          <w:szCs w:val="14"/>
          <w:color w:val="auto"/>
        </w:rPr>
        <w:t>, however, that such Liens are non-recourse as to the Canadian Parent or any of its Subsidiaries holding any Equity Interests in such Special Purpose Business Entity;</w:t>
      </w:r>
    </w:p>
    <w:p>
      <w:pPr>
        <w:spacing w:after="0" w:line="130" w:lineRule="exact"/>
        <w:rPr>
          <w:rFonts w:ascii="Arial" w:cs="Arial" w:eastAsia="Arial" w:hAnsi="Arial"/>
          <w:sz w:val="14"/>
          <w:szCs w:val="14"/>
          <w:color w:val="auto"/>
        </w:rPr>
      </w:pPr>
    </w:p>
    <w:p>
      <w:pPr>
        <w:jc w:val="both"/>
        <w:ind w:firstLine="532"/>
        <w:spacing w:after="0" w:line="271" w:lineRule="auto"/>
        <w:tabs>
          <w:tab w:leader="none" w:pos="84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Liens securing Indebtedness and not otherwise permitted under this Section 6.02;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principal amount of all Debt secured by such Liens does not exceed 5% of the U.S. Borrower’s Consolidated Net Worth calculated on the date of incurrence as of the most recent fiscal quarter for which financial statements are available;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the aggregate principal amount of all Debt secured by such Liens on the assets of the U.S. Borrower and its Domestic Subsidiaries shall not exceed $10,000,000 in the aggregate;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no Lien on any Collateral of any Borrower or any of their Subsidiaries shall be permitted by this Section 6.02(l);</w:t>
      </w:r>
    </w:p>
    <w:p>
      <w:pPr>
        <w:spacing w:after="0" w:line="147" w:lineRule="exact"/>
        <w:rPr>
          <w:rFonts w:ascii="Arial" w:cs="Arial" w:eastAsia="Arial" w:hAnsi="Arial"/>
          <w:sz w:val="14"/>
          <w:szCs w:val="14"/>
          <w:color w:val="auto"/>
        </w:rPr>
      </w:pPr>
    </w:p>
    <w:p>
      <w:pPr>
        <w:ind w:firstLine="532"/>
        <w:spacing w:after="0" w:line="259" w:lineRule="auto"/>
        <w:tabs>
          <w:tab w:leader="none" w:pos="91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52" w:lineRule="exact"/>
        <w:rPr>
          <w:rFonts w:ascii="Arial" w:cs="Arial" w:eastAsia="Arial" w:hAnsi="Arial"/>
          <w:sz w:val="15"/>
          <w:szCs w:val="15"/>
          <w:color w:val="auto"/>
        </w:rPr>
      </w:pPr>
    </w:p>
    <w:p>
      <w:pPr>
        <w:jc w:val="both"/>
        <w:ind w:firstLine="532"/>
        <w:spacing w:after="0" w:line="251" w:lineRule="auto"/>
        <w:tabs>
          <w:tab w:leader="none" w:pos="921"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 and</w:t>
      </w:r>
    </w:p>
    <w:p>
      <w:pPr>
        <w:spacing w:after="0" w:line="158" w:lineRule="exact"/>
        <w:rPr>
          <w:rFonts w:ascii="Arial" w:cs="Arial" w:eastAsia="Arial" w:hAnsi="Arial"/>
          <w:sz w:val="15"/>
          <w:szCs w:val="15"/>
          <w:color w:val="auto"/>
        </w:rPr>
      </w:pPr>
    </w:p>
    <w:p>
      <w:pPr>
        <w:jc w:val="both"/>
        <w:ind w:firstLine="532"/>
        <w:spacing w:after="0" w:line="251" w:lineRule="auto"/>
        <w:tabs>
          <w:tab w:leader="none" w:pos="89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with respect to the Australian Borrower or any Australian Subsidiary, any Lien over goods and products, or documents of title to goods and products (including under any retention of title arrangement) each arising in the ordinary course of business where that Lien secures only the acquisition cost or selling price (and other amounts incidental to those amounts) of such goods and products.</w:t>
      </w:r>
    </w:p>
    <w:p>
      <w:pPr>
        <w:spacing w:after="0" w:line="154"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6.03 </w:t>
      </w:r>
      <w:r>
        <w:rPr>
          <w:rFonts w:ascii="Arial" w:cs="Arial" w:eastAsia="Arial" w:hAnsi="Arial"/>
          <w:sz w:val="14"/>
          <w:szCs w:val="14"/>
          <w:b w:val="1"/>
          <w:bCs w:val="1"/>
          <w:i w:val="1"/>
          <w:iCs w:val="1"/>
          <w:color w:val="auto"/>
        </w:rPr>
        <w:t>Sale and Lease-Back Transactions</w:t>
      </w:r>
      <w:r>
        <w:rPr>
          <w:rFonts w:ascii="Arial" w:cs="Arial" w:eastAsia="Arial" w:hAnsi="Arial"/>
          <w:sz w:val="14"/>
          <w:szCs w:val="14"/>
          <w:color w:val="auto"/>
        </w:rPr>
        <w:t>. Enter into any arrangement, directly or indirectly, with any person whereby it shall sell or transfer any property, real or personal,</w:t>
      </w:r>
      <w:r>
        <w:rPr>
          <w:rFonts w:ascii="Arial" w:cs="Arial" w:eastAsia="Arial" w:hAnsi="Arial"/>
          <w:sz w:val="14"/>
          <w:szCs w:val="14"/>
          <w:b w:val="1"/>
          <w:bCs w:val="1"/>
          <w:color w:val="auto"/>
        </w:rPr>
        <w:t xml:space="preserve"> </w:t>
      </w:r>
      <w:r>
        <w:rPr>
          <w:rFonts w:ascii="Arial" w:cs="Arial" w:eastAsia="Arial" w:hAnsi="Arial"/>
          <w:sz w:val="14"/>
          <w:szCs w:val="14"/>
          <w:color w:val="auto"/>
        </w:rPr>
        <w:t>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66" w:name="page167"/>
    <w:bookmarkEnd w:id="166"/>
    <w:p>
      <w:pPr>
        <w:ind w:firstLine="525"/>
        <w:spacing w:after="0" w:line="264" w:lineRule="auto"/>
        <w:rPr>
          <w:sz w:val="20"/>
          <w:szCs w:val="20"/>
          <w:color w:val="auto"/>
        </w:rPr>
      </w:pPr>
      <w:r>
        <w:rPr>
          <w:rFonts w:ascii="Arial" w:cs="Arial" w:eastAsia="Arial" w:hAnsi="Arial"/>
          <w:sz w:val="15"/>
          <w:szCs w:val="15"/>
          <w:b w:val="1"/>
          <w:bCs w:val="1"/>
          <w:color w:val="auto"/>
        </w:rPr>
        <w:t xml:space="preserve">SECTION 6.04 </w:t>
      </w:r>
      <w:r>
        <w:rPr>
          <w:rFonts w:ascii="Arial" w:cs="Arial" w:eastAsia="Arial" w:hAnsi="Arial"/>
          <w:sz w:val="15"/>
          <w:szCs w:val="15"/>
          <w:b w:val="1"/>
          <w:bCs w:val="1"/>
          <w:i w:val="1"/>
          <w:iCs w:val="1"/>
          <w:color w:val="auto"/>
        </w:rPr>
        <w:t>Investments, Loans and Advances</w:t>
      </w:r>
      <w:r>
        <w:rPr>
          <w:rFonts w:ascii="Arial" w:cs="Arial" w:eastAsia="Arial" w:hAnsi="Arial"/>
          <w:sz w:val="15"/>
          <w:szCs w:val="15"/>
          <w:color w:val="auto"/>
        </w:rPr>
        <w:t>. Purchase, hold or acquire any Equity Interests, evidences of indebtedness or other securities of, make or permit to exist any loans or</w:t>
      </w:r>
      <w:r>
        <w:rPr>
          <w:rFonts w:ascii="Arial" w:cs="Arial" w:eastAsia="Arial" w:hAnsi="Arial"/>
          <w:sz w:val="15"/>
          <w:szCs w:val="15"/>
          <w:b w:val="1"/>
          <w:bCs w:val="1"/>
          <w:color w:val="auto"/>
        </w:rPr>
        <w:t xml:space="preserve"> </w:t>
      </w:r>
      <w:r>
        <w:rPr>
          <w:rFonts w:ascii="Arial" w:cs="Arial" w:eastAsia="Arial" w:hAnsi="Arial"/>
          <w:sz w:val="15"/>
          <w:szCs w:val="15"/>
          <w:color w:val="auto"/>
        </w:rPr>
        <w:t>advances to, or make or permit to exist any investment or any other interest in, any other person (referred to herein as an “</w:t>
      </w:r>
      <w:r>
        <w:rPr>
          <w:rFonts w:ascii="Arial" w:cs="Arial" w:eastAsia="Arial" w:hAnsi="Arial"/>
          <w:sz w:val="15"/>
          <w:szCs w:val="15"/>
          <w:i w:val="1"/>
          <w:iCs w:val="1"/>
          <w:color w:val="auto"/>
        </w:rPr>
        <w:t>Investment</w:t>
      </w:r>
      <w:r>
        <w:rPr>
          <w:rFonts w:ascii="Arial" w:cs="Arial" w:eastAsia="Arial" w:hAnsi="Arial"/>
          <w:sz w:val="15"/>
          <w:szCs w:val="15"/>
          <w:color w:val="auto"/>
        </w:rPr>
        <w:t>”), except:</w:t>
      </w:r>
    </w:p>
    <w:p>
      <w:pPr>
        <w:spacing w:after="0" w:line="193" w:lineRule="exact"/>
        <w:rPr>
          <w:sz w:val="20"/>
          <w:szCs w:val="20"/>
          <w:color w:val="auto"/>
        </w:rPr>
      </w:pPr>
    </w:p>
    <w:p>
      <w:pPr>
        <w:ind w:left="880" w:hanging="348"/>
        <w:spacing w:after="0"/>
        <w:tabs>
          <w:tab w:leader="none" w:pos="8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Investments of the U.S. Borrower and its Subsidiaries in existence on the Closing Date and set forth on Schedule 6.04;</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Permitted Investments;</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accounts receivable owing to the Borrowers or any of the Subsidiaries arising from sales of inventory or the provision of services in the ordinary course of business;</w:t>
      </w:r>
    </w:p>
    <w:p>
      <w:pPr>
        <w:spacing w:after="0" w:line="188" w:lineRule="exact"/>
        <w:rPr>
          <w:rFonts w:ascii="Arial" w:cs="Arial" w:eastAsia="Arial" w:hAnsi="Arial"/>
          <w:sz w:val="14"/>
          <w:szCs w:val="14"/>
          <w:color w:val="auto"/>
        </w:rPr>
      </w:pPr>
    </w:p>
    <w:p>
      <w:pPr>
        <w:ind w:firstLine="532"/>
        <w:spacing w:after="0" w:line="259" w:lineRule="auto"/>
        <w:tabs>
          <w:tab w:leader="none" w:pos="88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52" w:lineRule="exact"/>
        <w:rPr>
          <w:rFonts w:ascii="Arial" w:cs="Arial" w:eastAsia="Arial" w:hAnsi="Arial"/>
          <w:sz w:val="15"/>
          <w:szCs w:val="15"/>
          <w:color w:val="auto"/>
        </w:rPr>
      </w:pPr>
    </w:p>
    <w:p>
      <w:pPr>
        <w:jc w:val="both"/>
        <w:ind w:firstLine="532"/>
        <w:spacing w:after="0" w:line="251" w:lineRule="auto"/>
        <w:tabs>
          <w:tab w:leader="none" w:pos="871"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Borrower or such Subsidiary, as the case may be, has paid no new consideration (other than forgiveness of Indebtedness) therefor;</w:t>
      </w:r>
    </w:p>
    <w:p>
      <w:pPr>
        <w:spacing w:after="0" w:line="158" w:lineRule="exact"/>
        <w:rPr>
          <w:rFonts w:ascii="Arial" w:cs="Arial" w:eastAsia="Arial" w:hAnsi="Arial"/>
          <w:sz w:val="15"/>
          <w:szCs w:val="15"/>
          <w:color w:val="auto"/>
        </w:rPr>
      </w:pPr>
    </w:p>
    <w:p>
      <w:pPr>
        <w:ind w:left="860" w:hanging="328"/>
        <w:spacing w:after="0"/>
        <w:tabs>
          <w:tab w:leader="none" w:pos="8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Investments of a Loan Party in or to another Loan Party;</w:t>
      </w:r>
    </w:p>
    <w:p>
      <w:pPr>
        <w:spacing w:after="0" w:line="177" w:lineRule="exact"/>
        <w:rPr>
          <w:rFonts w:ascii="Arial" w:cs="Arial" w:eastAsia="Arial" w:hAnsi="Arial"/>
          <w:sz w:val="15"/>
          <w:szCs w:val="15"/>
          <w:color w:val="auto"/>
        </w:rPr>
      </w:pPr>
    </w:p>
    <w:p>
      <w:pPr>
        <w:ind w:firstLine="532"/>
        <w:spacing w:after="0" w:line="259" w:lineRule="auto"/>
        <w:tabs>
          <w:tab w:leader="none" w:pos="8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U.S. Borrower may make intercompany loans and advances to 3045843 Nova Scotia Company provided that the proceeds of such loans and advances are subsequently loaned or advanced, directly or indirectly, to a Canadian Borrower or a Canadian Subsidiary Guarantor;</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Borrowers may enter into Hedging Agreements to the extent permitted by Section 6.12;</w:t>
      </w:r>
    </w:p>
    <w:p>
      <w:pPr>
        <w:spacing w:after="0" w:line="177" w:lineRule="exact"/>
        <w:rPr>
          <w:rFonts w:ascii="Arial" w:cs="Arial" w:eastAsia="Arial" w:hAnsi="Arial"/>
          <w:sz w:val="15"/>
          <w:szCs w:val="15"/>
          <w:color w:val="auto"/>
        </w:rPr>
      </w:pPr>
    </w:p>
    <w:p>
      <w:pPr>
        <w:jc w:val="both"/>
        <w:ind w:firstLine="532"/>
        <w:spacing w:after="0" w:line="251" w:lineRule="auto"/>
        <w:tabs>
          <w:tab w:leader="none" w:pos="856"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U.S. Borrower and its Subsidiaries may acquire all or substantially all the assets of a person or line of business of such person, or Equity Interests of a person that would become a wholly owned Subsidiary (in each case referred to herein as the “</w:t>
      </w:r>
      <w:r>
        <w:rPr>
          <w:rFonts w:ascii="Arial" w:cs="Arial" w:eastAsia="Arial" w:hAnsi="Arial"/>
          <w:sz w:val="15"/>
          <w:szCs w:val="15"/>
          <w:i w:val="1"/>
          <w:iCs w:val="1"/>
          <w:color w:val="auto"/>
        </w:rPr>
        <w:t>Acquired Entity</w:t>
      </w:r>
      <w:r>
        <w:rPr>
          <w:rFonts w:ascii="Arial" w:cs="Arial" w:eastAsia="Arial" w:hAnsi="Arial"/>
          <w:sz w:val="15"/>
          <w:szCs w:val="15"/>
          <w:color w:val="auto"/>
        </w:rPr>
        <w:t>”); provided that (any acquisition of an Acquired Entity meeting all the criteria of this Section 6.04(i) being referred to herein as a “</w:t>
      </w:r>
      <w:r>
        <w:rPr>
          <w:rFonts w:ascii="Arial" w:cs="Arial" w:eastAsia="Arial" w:hAnsi="Arial"/>
          <w:sz w:val="15"/>
          <w:szCs w:val="15"/>
          <w:i w:val="1"/>
          <w:iCs w:val="1"/>
          <w:color w:val="auto"/>
        </w:rPr>
        <w:t>Permitted Acquisition</w:t>
      </w:r>
      <w:r>
        <w:rPr>
          <w:rFonts w:ascii="Arial" w:cs="Arial" w:eastAsia="Arial" w:hAnsi="Arial"/>
          <w:sz w:val="15"/>
          <w:szCs w:val="15"/>
          <w:color w:val="auto"/>
        </w:rPr>
        <w:t>”) at the time of such transaction:</w:t>
      </w:r>
    </w:p>
    <w:p>
      <w:pPr>
        <w:spacing w:after="0" w:line="158" w:lineRule="exact"/>
        <w:rPr>
          <w:rFonts w:ascii="Arial" w:cs="Arial" w:eastAsia="Arial" w:hAnsi="Arial"/>
          <w:sz w:val="15"/>
          <w:szCs w:val="15"/>
          <w:color w:val="auto"/>
        </w:rPr>
      </w:pPr>
    </w:p>
    <w:p>
      <w:pPr>
        <w:ind w:left="1380" w:hanging="323"/>
        <w:spacing w:after="0"/>
        <w:tabs>
          <w:tab w:leader="none" w:pos="138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both before and after giving effect thereto, no Event of Default or Default shall have occurred and be continuing;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67" w:name="page168"/>
    <w:bookmarkEnd w:id="167"/>
    <w:p>
      <w:pPr>
        <w:jc w:val="both"/>
        <w:ind w:left="540" w:firstLine="517"/>
        <w:spacing w:after="0" w:line="247" w:lineRule="auto"/>
        <w:tabs>
          <w:tab w:leader="none" w:pos="1498"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occurring during or after such period) as if such transaction had occurred as of the first day of such period;</w:t>
      </w:r>
    </w:p>
    <w:p>
      <w:pPr>
        <w:spacing w:after="0" w:line="161" w:lineRule="exact"/>
        <w:rPr>
          <w:rFonts w:ascii="Arial" w:cs="Arial" w:eastAsia="Arial" w:hAnsi="Arial"/>
          <w:sz w:val="15"/>
          <w:szCs w:val="15"/>
          <w:color w:val="auto"/>
        </w:rPr>
      </w:pPr>
    </w:p>
    <w:p>
      <w:pPr>
        <w:ind w:left="1460" w:hanging="403"/>
        <w:spacing w:after="0"/>
        <w:tabs>
          <w:tab w:leader="none" w:pos="14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after giving effect to such acquisition, there must be at least U.S.$25,000,000 of the Revolving Commitments unused and available;</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 </w:t>
      </w:r>
      <w:r>
        <w:rPr>
          <w:rFonts w:ascii="Arial" w:cs="Arial" w:eastAsia="Arial" w:hAnsi="Arial"/>
          <w:sz w:val="14"/>
          <w:szCs w:val="14"/>
          <w:color w:val="auto"/>
        </w:rPr>
        <w:t>that all pro forma calculations required to be made pursuant to this Section 6.04(i) shall (A)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30" w:lineRule="exact"/>
        <w:rPr>
          <w:sz w:val="20"/>
          <w:szCs w:val="20"/>
          <w:color w:val="auto"/>
        </w:rPr>
      </w:pPr>
    </w:p>
    <w:p>
      <w:pPr>
        <w:ind w:left="860" w:hanging="328"/>
        <w:spacing w:after="0"/>
        <w:tabs>
          <w:tab w:leader="none" w:pos="8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Investments consisting of non-cash proceeds of Asset Sales;</w:t>
      </w:r>
    </w:p>
    <w:p>
      <w:pPr>
        <w:spacing w:after="0" w:line="177" w:lineRule="exact"/>
        <w:rPr>
          <w:rFonts w:ascii="Arial" w:cs="Arial" w:eastAsia="Arial" w:hAnsi="Arial"/>
          <w:sz w:val="15"/>
          <w:szCs w:val="15"/>
          <w:color w:val="auto"/>
        </w:rPr>
      </w:pPr>
    </w:p>
    <w:p>
      <w:pPr>
        <w:ind w:left="880" w:hanging="348"/>
        <w:spacing w:after="0"/>
        <w:tabs>
          <w:tab w:leader="none" w:pos="8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Investments by a Subsidiary that is not a Loan Party in or to a Loan Party; and</w:t>
      </w:r>
    </w:p>
    <w:p>
      <w:pPr>
        <w:spacing w:after="0" w:line="177" w:lineRule="exact"/>
        <w:rPr>
          <w:rFonts w:ascii="Arial" w:cs="Arial" w:eastAsia="Arial" w:hAnsi="Arial"/>
          <w:sz w:val="15"/>
          <w:szCs w:val="15"/>
          <w:color w:val="auto"/>
        </w:rPr>
      </w:pPr>
    </w:p>
    <w:p>
      <w:pPr>
        <w:ind w:firstLine="532"/>
        <w:spacing w:after="0" w:line="259" w:lineRule="auto"/>
        <w:tabs>
          <w:tab w:leader="none" w:pos="88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other Investments, without duplication, in an aggregate amount (valued at cost or outstanding principal amount, as the case may be) not greater than 7.5% of the U.S. Borrower’s Consolidated Net Worth calculated on the date of such Investment as of the most recent fiscal quarter for which financial statements are available.</w:t>
      </w:r>
    </w:p>
    <w:p>
      <w:pPr>
        <w:spacing w:after="0" w:line="148" w:lineRule="exact"/>
        <w:rPr>
          <w:sz w:val="20"/>
          <w:szCs w:val="20"/>
          <w:color w:val="auto"/>
        </w:rPr>
      </w:pPr>
    </w:p>
    <w:p>
      <w:pPr>
        <w:jc w:val="both"/>
        <w:ind w:firstLine="525"/>
        <w:spacing w:after="0" w:line="306" w:lineRule="auto"/>
        <w:rPr>
          <w:sz w:val="20"/>
          <w:szCs w:val="20"/>
          <w:color w:val="auto"/>
        </w:rPr>
      </w:pPr>
      <w:r>
        <w:rPr>
          <w:rFonts w:ascii="Arial" w:cs="Arial" w:eastAsia="Arial" w:hAnsi="Arial"/>
          <w:sz w:val="12"/>
          <w:szCs w:val="12"/>
          <w:b w:val="1"/>
          <w:bCs w:val="1"/>
          <w:color w:val="auto"/>
        </w:rPr>
        <w:t xml:space="preserve">SECTION 6.05 </w:t>
      </w:r>
      <w:r>
        <w:rPr>
          <w:rFonts w:ascii="Arial" w:cs="Arial" w:eastAsia="Arial" w:hAnsi="Arial"/>
          <w:sz w:val="12"/>
          <w:szCs w:val="12"/>
          <w:b w:val="1"/>
          <w:bCs w:val="1"/>
          <w:i w:val="1"/>
          <w:iCs w:val="1"/>
          <w:color w:val="auto"/>
        </w:rPr>
        <w:t>Mergers, Consolidations, Sales of Assets and Acquisitions</w:t>
      </w:r>
      <w:r>
        <w:rPr>
          <w:rFonts w:ascii="Arial" w:cs="Arial" w:eastAsia="Arial" w:hAnsi="Arial"/>
          <w:sz w:val="12"/>
          <w:szCs w:val="12"/>
          <w:color w:val="auto"/>
        </w:rPr>
        <w:t>. (a) Merge, amalgamate or consolidate with or into any other person, or permit any other person to merge,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U.S. Borrower may merge, amalgamate or consolidate with any person provided that (i) no Change in Control occurs and (ii) immediately after giving effect to any such proposed transaction no Default or Event of Default would exist, and (iii) the U.S. Borrower is the surviving entity, (b) the U.S. Borrower may merge or amalgamate with any of its wholly owned Subsidiaries, provided that immediately after giving effect to any such proposed transaction no Default would exist and the U.S.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p>
      <w:pPr>
        <w:spacing w:after="0" w:line="4" w:lineRule="exact"/>
        <w:rPr>
          <w:sz w:val="20"/>
          <w:szCs w:val="20"/>
          <w:color w:val="auto"/>
        </w:rPr>
      </w:pPr>
    </w:p>
    <w:p>
      <w:pPr>
        <w:jc w:val="both"/>
        <w:ind w:firstLine="7"/>
        <w:spacing w:after="0" w:line="244" w:lineRule="auto"/>
        <w:tabs>
          <w:tab w:leader="none" w:pos="19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requirements of Section 6.04(i) are met with respect to such merger described in this clause (c) and (ii) if any such merger described in this clause (c) shall involve a Loan Party, the surviving entity of such merger shall be or become a Loan Party and (d) any Subsidiary of the U.S. Borrower may liquidate or dissolve if the U.S. Borrower determines in good faith that such liquidation or dissolution is in the best interests of the U.S. Borrower and is not materially disadvantageous to the Lenders.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68" w:name="page169"/>
    <w:bookmarkEnd w:id="168"/>
    <w:p>
      <w:pPr>
        <w:jc w:val="both"/>
        <w:ind w:firstLine="532"/>
        <w:spacing w:after="0" w:line="277" w:lineRule="auto"/>
        <w:tabs>
          <w:tab w:leader="none" w:pos="973" w:val="left"/>
        </w:tabs>
        <w:numPr>
          <w:ilvl w:val="0"/>
          <w:numId w:val="143"/>
        </w:numPr>
        <w:rPr>
          <w:rFonts w:ascii="Arial" w:cs="Arial" w:eastAsia="Arial" w:hAnsi="Arial"/>
          <w:sz w:val="14"/>
          <w:szCs w:val="14"/>
          <w:color w:val="auto"/>
        </w:rPr>
      </w:pPr>
      <w:r>
        <w:rPr>
          <w:rFonts w:ascii="Arial" w:cs="Arial" w:eastAsia="Arial" w:hAnsi="Arial"/>
          <w:sz w:val="14"/>
          <w:szCs w:val="14"/>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138" w:lineRule="exact"/>
        <w:rPr>
          <w:sz w:val="20"/>
          <w:szCs w:val="20"/>
          <w:color w:val="auto"/>
        </w:rPr>
      </w:pPr>
    </w:p>
    <w:p>
      <w:pPr>
        <w:jc w:val="both"/>
        <w:ind w:firstLine="525"/>
        <w:spacing w:after="0" w:line="312" w:lineRule="auto"/>
        <w:rPr>
          <w:sz w:val="20"/>
          <w:szCs w:val="20"/>
          <w:color w:val="auto"/>
        </w:rPr>
      </w:pPr>
      <w:r>
        <w:rPr>
          <w:rFonts w:ascii="Arial" w:cs="Arial" w:eastAsia="Arial" w:hAnsi="Arial"/>
          <w:sz w:val="12"/>
          <w:szCs w:val="12"/>
          <w:b w:val="1"/>
          <w:bCs w:val="1"/>
          <w:color w:val="auto"/>
        </w:rPr>
        <w:t xml:space="preserve">SECTION 6.06 </w:t>
      </w:r>
      <w:r>
        <w:rPr>
          <w:rFonts w:ascii="Arial" w:cs="Arial" w:eastAsia="Arial" w:hAnsi="Arial"/>
          <w:sz w:val="12"/>
          <w:szCs w:val="12"/>
          <w:b w:val="1"/>
          <w:bCs w:val="1"/>
          <w:i w:val="1"/>
          <w:iCs w:val="1"/>
          <w:color w:val="auto"/>
        </w:rPr>
        <w:t>Restricted Payments; Restrictive Agreements</w:t>
      </w:r>
      <w:r>
        <w:rPr>
          <w:rFonts w:ascii="Arial" w:cs="Arial" w:eastAsia="Arial" w:hAnsi="Arial"/>
          <w:sz w:val="12"/>
          <w:szCs w:val="12"/>
          <w:color w:val="auto"/>
        </w:rPr>
        <w:t>. (a) Declare or make, or agree to declare or make, directly or indirectly, any Restricted Payment (including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any Synthetic Purchase Agreement), or incur any obligation (contingent or otherwise) to do so;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 any Subsidiary may declare and pay dividends or make other distributions ratably to its equity holders of a given class, (ii) so long as no Event of Default or Default shall have occurred and be continuing or would result therefrom, the U.S. Borrower may repurchase its Equity Interests owned by employees of the U.S. Borrower or the Subsidiaries or make payments to employees of the U.S.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(iii) so long as (A) no Event of Default or Default shall have occurred and be continuing or result therefrom, (B) at least U.S.$25,000,000 of the Revolving Commitments is unused and available after giving effect to such Restricted Payment, and (C) the U.S.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U.S. Borrower and, with respect to the Exchangeable Shares, PTI Holdco (with funds advanced by the U.S. Borrower) may make Restricted Payments in any amount and (iv) the U.S. Borrower may make a one-time distribution to Oil States on the Funding Date in an amount not to exceed U.S.$850,000,000.</w:t>
      </w:r>
    </w:p>
    <w:p>
      <w:pPr>
        <w:spacing w:after="0" w:line="348" w:lineRule="exact"/>
        <w:rPr>
          <w:sz w:val="20"/>
          <w:szCs w:val="20"/>
          <w:color w:val="auto"/>
        </w:rPr>
      </w:pPr>
    </w:p>
    <w:p>
      <w:pPr>
        <w:jc w:val="both"/>
        <w:ind w:firstLine="532"/>
        <w:spacing w:after="0" w:line="264" w:lineRule="auto"/>
        <w:tabs>
          <w:tab w:leader="none" w:pos="89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Enter into, incur or permit to exist any agreement or other arrangement that prohibits, restricts or imposes any condition upon (i) the ability of the U.S.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U.S. Borrower or any other Subsidiary or to Guarantee Indebtedness of the U.S. Borrower or any other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restrictions and conditions apply only to the Subsidiary that is to be sold and such sale is permitted hereunder, (C) the foregoing shall not apply to restrictions and conditions imposed on any Foreign Subsidiary (other than the Canadian Borrowers,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clause (ii) of the foregoing (solely as it relates to dividends) shall not apply to the restrictions on PTI Holdco required by the terms of the Exchangeable Shares as in effect on the date hereof.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69" w:name="page170"/>
    <w:bookmarkEnd w:id="169"/>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6.07 </w:t>
      </w:r>
      <w:r>
        <w:rPr>
          <w:rFonts w:ascii="Arial" w:cs="Arial" w:eastAsia="Arial" w:hAnsi="Arial"/>
          <w:sz w:val="15"/>
          <w:szCs w:val="15"/>
          <w:b w:val="1"/>
          <w:bCs w:val="1"/>
          <w:i w:val="1"/>
          <w:iCs w:val="1"/>
          <w:color w:val="auto"/>
        </w:rPr>
        <w:t>Transactions with Affiliates</w:t>
      </w:r>
      <w:r>
        <w:rPr>
          <w:rFonts w:ascii="Arial" w:cs="Arial" w:eastAsia="Arial" w:hAnsi="Arial"/>
          <w:sz w:val="15"/>
          <w:szCs w:val="15"/>
          <w:color w:val="auto"/>
        </w:rPr>
        <w:t>. Except for transactions by or among Loan Parties, transactions under the Spin Documents and transactions expressly permitted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99"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6.08 </w:t>
      </w:r>
      <w:r>
        <w:rPr>
          <w:rFonts w:ascii="Arial" w:cs="Arial" w:eastAsia="Arial" w:hAnsi="Arial"/>
          <w:sz w:val="15"/>
          <w:szCs w:val="15"/>
          <w:b w:val="1"/>
          <w:bCs w:val="1"/>
          <w:i w:val="1"/>
          <w:iCs w:val="1"/>
          <w:color w:val="auto"/>
        </w:rPr>
        <w:t>Business of Borrowers and Subsidiaries</w:t>
      </w:r>
      <w:r>
        <w:rPr>
          <w:rFonts w:ascii="Arial" w:cs="Arial" w:eastAsia="Arial" w:hAnsi="Arial"/>
          <w:sz w:val="15"/>
          <w:szCs w:val="15"/>
          <w:color w:val="auto"/>
        </w:rPr>
        <w:t>. Engage at any time in any business or business activity other than providing products and services to the energy industry,</w:t>
      </w:r>
      <w:r>
        <w:rPr>
          <w:rFonts w:ascii="Arial" w:cs="Arial" w:eastAsia="Arial" w:hAnsi="Arial"/>
          <w:sz w:val="15"/>
          <w:szCs w:val="15"/>
          <w:b w:val="1"/>
          <w:bCs w:val="1"/>
          <w:color w:val="auto"/>
        </w:rPr>
        <w:t xml:space="preserve"> </w:t>
      </w:r>
      <w:r>
        <w:rPr>
          <w:rFonts w:ascii="Arial" w:cs="Arial" w:eastAsia="Arial" w:hAnsi="Arial"/>
          <w:sz w:val="15"/>
          <w:szCs w:val="15"/>
          <w:color w:val="auto"/>
        </w:rPr>
        <w:t>accommodations and business activities reasonably incidental thereto.</w:t>
      </w:r>
    </w:p>
    <w:p>
      <w:pPr>
        <w:spacing w:after="0" w:line="189"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6.09 </w:t>
      </w:r>
      <w:r>
        <w:rPr>
          <w:rFonts w:ascii="Arial" w:cs="Arial" w:eastAsia="Arial" w:hAnsi="Arial"/>
          <w:sz w:val="15"/>
          <w:szCs w:val="15"/>
          <w:b w:val="1"/>
          <w:bCs w:val="1"/>
          <w:i w:val="1"/>
          <w:iCs w:val="1"/>
          <w:color w:val="auto"/>
        </w:rPr>
        <w:t>Other Indebtedness and Agreements</w:t>
      </w:r>
      <w:r>
        <w:rPr>
          <w:rFonts w:ascii="Arial" w:cs="Arial" w:eastAsia="Arial" w:hAnsi="Arial"/>
          <w:sz w:val="15"/>
          <w:szCs w:val="15"/>
          <w:color w:val="auto"/>
        </w:rPr>
        <w:t>. (a) Permit any waiver, supplement, modification, amendment, termination or release of any indenture, instrument or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202" w:lineRule="exact"/>
        <w:rPr>
          <w:sz w:val="20"/>
          <w:szCs w:val="20"/>
          <w:color w:val="auto"/>
        </w:rPr>
      </w:pPr>
    </w:p>
    <w:p>
      <w:pPr>
        <w:jc w:val="both"/>
        <w:ind w:firstLine="532"/>
        <w:spacing w:after="0" w:line="247" w:lineRule="auto"/>
        <w:tabs>
          <w:tab w:leader="none" w:pos="89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U.S. Borrower could make a Restricted Payment pursuant to Section 6.06(a) or (ii) to the extent any Subordinated Indebtedness is repaid with the proceeds of a refinancing of such Subordinated Indebtedness permitted under Section 6.01(a) or Section 6.01(e).</w:t>
      </w:r>
    </w:p>
    <w:p>
      <w:pPr>
        <w:spacing w:after="0" w:line="158"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6.10 </w:t>
      </w:r>
      <w:r>
        <w:rPr>
          <w:rFonts w:ascii="Arial" w:cs="Arial" w:eastAsia="Arial" w:hAnsi="Arial"/>
          <w:sz w:val="15"/>
          <w:szCs w:val="15"/>
          <w:b w:val="1"/>
          <w:bCs w:val="1"/>
          <w:i w:val="1"/>
          <w:iCs w:val="1"/>
          <w:color w:val="auto"/>
        </w:rPr>
        <w:t>Interest Coverage Ratio</w:t>
      </w:r>
      <w:r>
        <w:rPr>
          <w:rFonts w:ascii="Arial" w:cs="Arial" w:eastAsia="Arial" w:hAnsi="Arial"/>
          <w:sz w:val="15"/>
          <w:szCs w:val="15"/>
          <w:color w:val="auto"/>
        </w:rPr>
        <w:t>. Permit the Interest Coverage Ratio for any period of four consecutive fiscal quarters of the U.S. Borrower, in each case taken as one</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period, to be less than 3.0 to 1.0.</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70" w:name="page171"/>
    <w:bookmarkEnd w:id="170"/>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6.11 </w:t>
      </w:r>
      <w:r>
        <w:rPr>
          <w:rFonts w:ascii="Arial" w:cs="Arial" w:eastAsia="Arial" w:hAnsi="Arial"/>
          <w:sz w:val="15"/>
          <w:szCs w:val="15"/>
          <w:b w:val="1"/>
          <w:bCs w:val="1"/>
          <w:i w:val="1"/>
          <w:iCs w:val="1"/>
          <w:color w:val="auto"/>
        </w:rPr>
        <w:t>Maximum Leverage Ratio</w:t>
      </w:r>
      <w:r>
        <w:rPr>
          <w:rFonts w:ascii="Arial" w:cs="Arial" w:eastAsia="Arial" w:hAnsi="Arial"/>
          <w:sz w:val="15"/>
          <w:szCs w:val="15"/>
          <w:color w:val="auto"/>
        </w:rPr>
        <w:t>. Permit the Leverage Ratio for any period of four consecutive fiscal quarters of the U.S. Borrower, in each case taken as one accounting</w:t>
      </w:r>
      <w:r>
        <w:rPr>
          <w:rFonts w:ascii="Arial" w:cs="Arial" w:eastAsia="Arial" w:hAnsi="Arial"/>
          <w:sz w:val="15"/>
          <w:szCs w:val="15"/>
          <w:b w:val="1"/>
          <w:bCs w:val="1"/>
          <w:color w:val="auto"/>
        </w:rPr>
        <w:t xml:space="preserve"> </w:t>
      </w:r>
      <w:r>
        <w:rPr>
          <w:rFonts w:ascii="Arial" w:cs="Arial" w:eastAsia="Arial" w:hAnsi="Arial"/>
          <w:sz w:val="15"/>
          <w:szCs w:val="15"/>
          <w:color w:val="auto"/>
        </w:rPr>
        <w:t>period, to be greater than 3.50 to 1.0.</w:t>
      </w:r>
    </w:p>
    <w:p>
      <w:pPr>
        <w:spacing w:after="0" w:line="145"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6.12 </w:t>
      </w:r>
      <w:r>
        <w:rPr>
          <w:rFonts w:ascii="Arial" w:cs="Arial" w:eastAsia="Arial" w:hAnsi="Arial"/>
          <w:sz w:val="15"/>
          <w:szCs w:val="15"/>
          <w:b w:val="1"/>
          <w:bCs w:val="1"/>
          <w:i w:val="1"/>
          <w:iCs w:val="1"/>
          <w:color w:val="auto"/>
        </w:rPr>
        <w:t>Hedging Agreements</w:t>
      </w:r>
      <w:r>
        <w:rPr>
          <w:rFonts w:ascii="Arial" w:cs="Arial" w:eastAsia="Arial" w:hAnsi="Arial"/>
          <w:sz w:val="15"/>
          <w:szCs w:val="15"/>
          <w:color w:val="auto"/>
        </w:rPr>
        <w:t>. Enter into any Hedging Agreement, other than Hedging Agreements entered into in the ordinary course of business to hedge or mitigate risks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a Borrower or any Subsidiary is exposed in the conduct of its business or the management of its liabilities.</w:t>
      </w:r>
    </w:p>
    <w:p>
      <w:pPr>
        <w:spacing w:after="0" w:line="189" w:lineRule="exact"/>
        <w:rPr>
          <w:sz w:val="20"/>
          <w:szCs w:val="20"/>
          <w:color w:val="auto"/>
        </w:rPr>
      </w:pPr>
    </w:p>
    <w:p>
      <w:pPr>
        <w:jc w:val="both"/>
        <w:ind w:firstLine="525"/>
        <w:spacing w:after="0" w:line="313" w:lineRule="auto"/>
        <w:rPr>
          <w:sz w:val="20"/>
          <w:szCs w:val="20"/>
          <w:color w:val="auto"/>
        </w:rPr>
      </w:pPr>
      <w:r>
        <w:rPr>
          <w:rFonts w:ascii="Arial" w:cs="Arial" w:eastAsia="Arial" w:hAnsi="Arial"/>
          <w:sz w:val="12"/>
          <w:szCs w:val="12"/>
          <w:b w:val="1"/>
          <w:bCs w:val="1"/>
          <w:color w:val="auto"/>
        </w:rPr>
        <w:t xml:space="preserve">SECTION 6.13 </w:t>
      </w:r>
      <w:r>
        <w:rPr>
          <w:rFonts w:ascii="Arial" w:cs="Arial" w:eastAsia="Arial" w:hAnsi="Arial"/>
          <w:sz w:val="12"/>
          <w:szCs w:val="12"/>
          <w:b w:val="1"/>
          <w:bCs w:val="1"/>
          <w:i w:val="1"/>
          <w:iCs w:val="1"/>
          <w:color w:val="auto"/>
        </w:rPr>
        <w:t>Pension Plans</w:t>
      </w:r>
      <w:r>
        <w:rPr>
          <w:rFonts w:ascii="Arial" w:cs="Arial" w:eastAsia="Arial" w:hAnsi="Arial"/>
          <w:sz w:val="12"/>
          <w:szCs w:val="12"/>
          <w:color w:val="auto"/>
        </w:rPr>
        <w:t>. (a) Terminate, in whole or in part, or initiate the termination of, in whole or in part, any Canadian Pension Plan so as to result in any liability to the</w:t>
      </w:r>
      <w:r>
        <w:rPr>
          <w:rFonts w:ascii="Arial" w:cs="Arial" w:eastAsia="Arial" w:hAnsi="Arial"/>
          <w:sz w:val="12"/>
          <w:szCs w:val="12"/>
          <w:b w:val="1"/>
          <w:bCs w:val="1"/>
          <w:color w:val="auto"/>
        </w:rPr>
        <w:t xml:space="preserve"> </w:t>
      </w:r>
      <w:r>
        <w:rPr>
          <w:rFonts w:ascii="Arial" w:cs="Arial" w:eastAsia="Arial" w:hAnsi="Arial"/>
          <w:sz w:val="12"/>
          <w:szCs w:val="12"/>
          <w:color w:val="auto"/>
        </w:rPr>
        <w:t>Canadian Parent or its applicable Canadian Subsidiary which could reasonably be expected to have a Material Adverse Effect; (b) permit to exist any event or condition in respect of any Canadian Pension Plan which presents the risk of liability of the Canadian Parent which could reasonably be expected to have a Material Adverse Effect; (c) enter into any new Canadian Pension Plan or Canadian Benefit Plan or modify any such existing plans so as to increase its obligations thereunder which could result in any liability to the Canadian Parent or any of its Canadian Subsidiaries and which could reasonably be expected to have a Material Adverse Effect; (d) permit their unfunded obligations and liabilities under Canadian Pension Plans to remain unfunded, other than in accordance with applicable law; (e) engage in any transactions which result in a fine or penalty against the Canadian Parent in excess of C$10,000,000 in respect of any Canadian Pension Plan or Canadian Benefit Plan which fine or penalty has not been paid within 30 days of final assessment unless (i) such fine or penalty is being contested in good faith by appropriate proceedings, (ii) the Canadian Parent has set aside on its books adequate reserves with respect thereto in accordance with Canadian GAAP and (iii) such contest does not operate to suspend collection of the contested fine or penalty; or (f) fail to make a required contribution under any Canadian Pension Plan or Canadian Benefit Plan which would result in the imposition of a Lien upon the assets of the Canadian Parent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342"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6.14 </w:t>
      </w:r>
      <w:r>
        <w:rPr>
          <w:rFonts w:ascii="Arial" w:cs="Arial" w:eastAsia="Arial" w:hAnsi="Arial"/>
          <w:sz w:val="15"/>
          <w:szCs w:val="15"/>
          <w:b w:val="1"/>
          <w:bCs w:val="1"/>
          <w:i w:val="1"/>
          <w:iCs w:val="1"/>
          <w:color w:val="auto"/>
        </w:rPr>
        <w:t>Amendment of the Spin Documents</w:t>
      </w:r>
      <w:r>
        <w:rPr>
          <w:rFonts w:ascii="Arial" w:cs="Arial" w:eastAsia="Arial" w:hAnsi="Arial"/>
          <w:sz w:val="15"/>
          <w:szCs w:val="15"/>
          <w:color w:val="auto"/>
        </w:rPr>
        <w:t>. Permit any supplement, amendment or other modification of, or any waiver under, the Spin Documents in a manner that is</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materially adverse to the interests of the Lenders.</w:t>
      </w:r>
    </w:p>
    <w:p>
      <w:pPr>
        <w:spacing w:after="0" w:line="189" w:lineRule="exact"/>
        <w:rPr>
          <w:sz w:val="20"/>
          <w:szCs w:val="20"/>
          <w:color w:val="auto"/>
        </w:rPr>
      </w:pPr>
    </w:p>
    <w:p>
      <w:pPr>
        <w:jc w:val="both"/>
        <w:ind w:firstLine="525"/>
        <w:spacing w:after="0" w:line="250" w:lineRule="auto"/>
        <w:rPr>
          <w:sz w:val="20"/>
          <w:szCs w:val="20"/>
          <w:color w:val="auto"/>
        </w:rPr>
      </w:pPr>
      <w:r>
        <w:rPr>
          <w:rFonts w:ascii="Arial" w:cs="Arial" w:eastAsia="Arial" w:hAnsi="Arial"/>
          <w:sz w:val="15"/>
          <w:szCs w:val="15"/>
          <w:b w:val="1"/>
          <w:bCs w:val="1"/>
          <w:color w:val="auto"/>
        </w:rPr>
        <w:t xml:space="preserve">SECTION 6.15 </w:t>
      </w:r>
      <w:r>
        <w:rPr>
          <w:rFonts w:ascii="Arial" w:cs="Arial" w:eastAsia="Arial" w:hAnsi="Arial"/>
          <w:sz w:val="15"/>
          <w:szCs w:val="15"/>
          <w:b w:val="1"/>
          <w:bCs w:val="1"/>
          <w:i w:val="1"/>
          <w:iCs w:val="1"/>
          <w:color w:val="auto"/>
        </w:rPr>
        <w:t>Sanction Laws and Regulations</w:t>
      </w:r>
      <w:r>
        <w:rPr>
          <w:rFonts w:ascii="Arial" w:cs="Arial" w:eastAsia="Arial" w:hAnsi="Arial"/>
          <w:sz w:val="15"/>
          <w:szCs w:val="15"/>
          <w:color w:val="auto"/>
        </w:rPr>
        <w:t>. (a) Use the proceeds of the facilities under the Loan Documents, or lend, contribute or otherwise make available such proceeds to any</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or any Subsidiary, joint venture partner or other person or entity for the purpose of (i) funding any activities or business of or with any Designated Person, or in any country or territory that at the time of such funding is the subject of any sanctions under any Sanctions Laws and Regulations, or (ii) causing a violation of any Sanctions Laws and Regulations by any party to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71" w:name="page172"/>
    <w:bookmarkEnd w:id="171"/>
    <w:p>
      <w:pPr>
        <w:ind w:firstLine="532"/>
        <w:spacing w:after="0" w:line="259" w:lineRule="auto"/>
        <w:tabs>
          <w:tab w:leader="none" w:pos="9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w:t>
      </w:r>
    </w:p>
    <w:p>
      <w:pPr>
        <w:spacing w:after="0" w:line="14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6.16</w:t>
      </w:r>
      <w:r>
        <w:rPr>
          <w:sz w:val="20"/>
          <w:szCs w:val="20"/>
          <w:color w:val="auto"/>
        </w:rPr>
        <w:tab/>
      </w:r>
      <w:r>
        <w:rPr>
          <w:rFonts w:ascii="Arial" w:cs="Arial" w:eastAsia="Arial" w:hAnsi="Arial"/>
          <w:sz w:val="12"/>
          <w:szCs w:val="12"/>
          <w:b w:val="1"/>
          <w:bCs w:val="1"/>
          <w:i w:val="1"/>
          <w:iCs w:val="1"/>
          <w:color w:val="auto"/>
        </w:rPr>
        <w:t>Anti-Corruption Laws</w:t>
      </w:r>
      <w:r>
        <w:rPr>
          <w:rFonts w:ascii="Arial" w:cs="Arial" w:eastAsia="Arial" w:hAnsi="Arial"/>
          <w:sz w:val="12"/>
          <w:szCs w:val="12"/>
          <w:color w:val="auto"/>
        </w:rPr>
        <w:t>. Violate the laws or regulations described in Section 3.23 in such a manner as to result in a Material Adverse Effect.</w:t>
      </w:r>
    </w:p>
    <w:p>
      <w:pPr>
        <w:spacing w:after="0" w:line="221"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6.17 </w:t>
      </w:r>
      <w:r>
        <w:rPr>
          <w:rFonts w:ascii="Arial" w:cs="Arial" w:eastAsia="Arial" w:hAnsi="Arial"/>
          <w:sz w:val="15"/>
          <w:szCs w:val="15"/>
          <w:b w:val="1"/>
          <w:bCs w:val="1"/>
          <w:i w:val="1"/>
          <w:iCs w:val="1"/>
          <w:color w:val="auto"/>
        </w:rPr>
        <w:t>Cross-Guarantee</w:t>
      </w:r>
      <w:r>
        <w:rPr>
          <w:rFonts w:ascii="Arial" w:cs="Arial" w:eastAsia="Arial" w:hAnsi="Arial"/>
          <w:sz w:val="15"/>
          <w:szCs w:val="15"/>
          <w:color w:val="auto"/>
        </w:rPr>
        <w:t>. No Loan Party shall enter into a deed of cross-guarantee for the purposes of ASIC Class Order CO 98/1418 other than with PTI Holdings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1 Pty Limited and its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Events of Default</w:t>
      </w:r>
    </w:p>
    <w:p>
      <w:pPr>
        <w:spacing w:after="0" w:line="17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7.01</w:t>
      </w:r>
      <w:r>
        <w:rPr>
          <w:sz w:val="20"/>
          <w:szCs w:val="20"/>
          <w:color w:val="auto"/>
        </w:rPr>
        <w:tab/>
      </w:r>
      <w:r>
        <w:rPr>
          <w:rFonts w:ascii="Arial" w:cs="Arial" w:eastAsia="Arial" w:hAnsi="Arial"/>
          <w:sz w:val="12"/>
          <w:szCs w:val="12"/>
          <w:b w:val="1"/>
          <w:bCs w:val="1"/>
          <w:i w:val="1"/>
          <w:iCs w:val="1"/>
          <w:color w:val="auto"/>
        </w:rPr>
        <w:t>Events of Default</w:t>
      </w:r>
      <w:r>
        <w:rPr>
          <w:rFonts w:ascii="Arial" w:cs="Arial" w:eastAsia="Arial" w:hAnsi="Arial"/>
          <w:sz w:val="12"/>
          <w:szCs w:val="12"/>
          <w:color w:val="auto"/>
        </w:rPr>
        <w:t>. In case of the happening of any of the following events (“</w:t>
      </w:r>
      <w:r>
        <w:rPr>
          <w:rFonts w:ascii="Arial" w:cs="Arial" w:eastAsia="Arial" w:hAnsi="Arial"/>
          <w:sz w:val="12"/>
          <w:szCs w:val="12"/>
          <w:i w:val="1"/>
          <w:iCs w:val="1"/>
          <w:color w:val="auto"/>
        </w:rPr>
        <w:t>Events of Default</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330" w:lineRule="auto"/>
        <w:tabs>
          <w:tab w:leader="none" w:pos="988" w:val="left"/>
        </w:tabs>
        <w:numPr>
          <w:ilvl w:val="1"/>
          <w:numId w:val="147"/>
        </w:numPr>
        <w:rPr>
          <w:rFonts w:ascii="Arial" w:cs="Arial" w:eastAsia="Arial" w:hAnsi="Arial"/>
          <w:sz w:val="12"/>
          <w:szCs w:val="12"/>
          <w:color w:val="auto"/>
        </w:rPr>
      </w:pPr>
      <w:r>
        <w:rPr>
          <w:rFonts w:ascii="Arial" w:cs="Arial" w:eastAsia="Arial" w:hAnsi="Arial"/>
          <w:sz w:val="12"/>
          <w:szCs w:val="12"/>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15" w:lineRule="exact"/>
        <w:rPr>
          <w:rFonts w:ascii="Arial" w:cs="Arial" w:eastAsia="Arial" w:hAnsi="Arial"/>
          <w:sz w:val="12"/>
          <w:szCs w:val="12"/>
          <w:color w:val="auto"/>
        </w:rPr>
      </w:pPr>
    </w:p>
    <w:p>
      <w:pPr>
        <w:ind w:firstLine="532"/>
        <w:spacing w:after="0" w:line="259" w:lineRule="auto"/>
        <w:tabs>
          <w:tab w:leader="none" w:pos="881" w:val="left"/>
        </w:tabs>
        <w:numPr>
          <w:ilvl w:val="1"/>
          <w:numId w:val="147"/>
        </w:numPr>
        <w:rPr>
          <w:rFonts w:ascii="Arial" w:cs="Arial" w:eastAsia="Arial" w:hAnsi="Arial"/>
          <w:sz w:val="15"/>
          <w:szCs w:val="15"/>
          <w:color w:val="auto"/>
        </w:rPr>
      </w:pPr>
      <w:r>
        <w:rPr>
          <w:rFonts w:ascii="Arial" w:cs="Arial" w:eastAsia="Arial" w:hAnsi="Arial"/>
          <w:sz w:val="15"/>
          <w:szCs w:val="15"/>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default shall be made in the payment in the applicable currency of any interest on any Loan or any Fee or L/C Disbursement or any other amount (other than an amount referred to in</w:t>
      </w:r>
    </w:p>
    <w:p>
      <w:pPr>
        <w:spacing w:after="0" w:line="45" w:lineRule="exact"/>
        <w:rPr>
          <w:rFonts w:ascii="Arial" w:cs="Arial" w:eastAsia="Arial" w:hAnsi="Arial"/>
          <w:sz w:val="12"/>
          <w:szCs w:val="12"/>
          <w:color w:val="auto"/>
        </w:rPr>
      </w:pPr>
    </w:p>
    <w:p>
      <w:pPr>
        <w:ind w:left="220" w:hanging="213"/>
        <w:spacing w:after="0"/>
        <w:tabs>
          <w:tab w:leader="none" w:pos="2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above) due under any Loan Document, when and as the same shall become due and payable, and such default shall continue unremedied for a period of three Business Days;</w:t>
      </w:r>
    </w:p>
    <w:p>
      <w:pPr>
        <w:spacing w:after="0" w:line="179" w:lineRule="exact"/>
        <w:rPr>
          <w:rFonts w:ascii="Arial" w:cs="Arial" w:eastAsia="Arial" w:hAnsi="Arial"/>
          <w:sz w:val="14"/>
          <w:szCs w:val="14"/>
          <w:color w:val="auto"/>
        </w:rPr>
      </w:pPr>
    </w:p>
    <w:p>
      <w:pPr>
        <w:ind w:left="900" w:hanging="368"/>
        <w:spacing w:after="0"/>
        <w:tabs>
          <w:tab w:leader="none" w:pos="90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default shall be made in the due observance or performance by a Borrower or any Subsidiary of any covenant, condition or agreement contained in Section 5.01(a), 5.05(a), 5.08 or</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in Article VI;</w:t>
      </w:r>
    </w:p>
    <w:p>
      <w:pPr>
        <w:spacing w:after="0" w:line="168" w:lineRule="exact"/>
        <w:rPr>
          <w:rFonts w:ascii="Arial" w:cs="Arial" w:eastAsia="Arial" w:hAnsi="Arial"/>
          <w:sz w:val="12"/>
          <w:szCs w:val="12"/>
          <w:color w:val="auto"/>
        </w:rPr>
      </w:pPr>
    </w:p>
    <w:p>
      <w:pPr>
        <w:jc w:val="both"/>
        <w:ind w:firstLine="532"/>
        <w:spacing w:after="0" w:line="251" w:lineRule="auto"/>
        <w:tabs>
          <w:tab w:leader="none" w:pos="887" w:val="left"/>
        </w:tabs>
        <w:numPr>
          <w:ilvl w:val="1"/>
          <w:numId w:val="148"/>
        </w:numPr>
        <w:rPr>
          <w:rFonts w:ascii="Arial" w:cs="Arial" w:eastAsia="Arial" w:hAnsi="Arial"/>
          <w:sz w:val="15"/>
          <w:szCs w:val="15"/>
          <w:color w:val="auto"/>
        </w:rPr>
      </w:pPr>
      <w:r>
        <w:rPr>
          <w:rFonts w:ascii="Arial" w:cs="Arial" w:eastAsia="Arial" w:hAnsi="Arial"/>
          <w:sz w:val="15"/>
          <w:szCs w:val="15"/>
          <w:color w:val="auto"/>
        </w:rPr>
        <w:t>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U.S. Borrower or (ii) any Responsible Officer of the U.S. Borrower obtains actual knowledge thereof;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72" w:name="page173"/>
    <w:bookmarkEnd w:id="172"/>
    <w:p>
      <w:pPr>
        <w:jc w:val="both"/>
        <w:ind w:firstLine="532"/>
        <w:spacing w:after="0" w:line="269" w:lineRule="auto"/>
        <w:tabs>
          <w:tab w:leader="none" w:pos="887"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clause (ii) shall not apply to secured Indebtedness that becomes due as a result of the voluntary sale or transfer of the property or assets securing such Indebtedness;</w:t>
      </w:r>
    </w:p>
    <w:p>
      <w:pPr>
        <w:spacing w:after="0" w:line="146" w:lineRule="exact"/>
        <w:rPr>
          <w:rFonts w:ascii="Arial" w:cs="Arial" w:eastAsia="Arial" w:hAnsi="Arial"/>
          <w:sz w:val="14"/>
          <w:szCs w:val="14"/>
          <w:color w:val="auto"/>
        </w:rPr>
      </w:pPr>
    </w:p>
    <w:p>
      <w:pPr>
        <w:jc w:val="both"/>
        <w:ind w:firstLine="532"/>
        <w:spacing w:after="0" w:line="247" w:lineRule="auto"/>
        <w:tabs>
          <w:tab w:leader="none" w:pos="881"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61" w:lineRule="exact"/>
        <w:rPr>
          <w:rFonts w:ascii="Arial" w:cs="Arial" w:eastAsia="Arial" w:hAnsi="Arial"/>
          <w:sz w:val="15"/>
          <w:szCs w:val="15"/>
          <w:color w:val="auto"/>
        </w:rPr>
      </w:pPr>
    </w:p>
    <w:p>
      <w:pPr>
        <w:jc w:val="both"/>
        <w:ind w:firstLine="532"/>
        <w:spacing w:after="0" w:line="317" w:lineRule="auto"/>
        <w:tabs>
          <w:tab w:leader="none" w:pos="955"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or (C) fail under section 459F(1) of the Australian Corporations Act to comply with a statutory demand,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23" w:lineRule="exact"/>
        <w:rPr>
          <w:rFonts w:ascii="Arial" w:cs="Arial" w:eastAsia="Arial" w:hAnsi="Arial"/>
          <w:sz w:val="12"/>
          <w:szCs w:val="12"/>
          <w:color w:val="auto"/>
        </w:rPr>
      </w:pPr>
    </w:p>
    <w:p>
      <w:pPr>
        <w:jc w:val="both"/>
        <w:ind w:firstLine="532"/>
        <w:spacing w:after="0" w:line="277" w:lineRule="auto"/>
        <w:tabs>
          <w:tab w:leader="none" w:pos="849" w:val="left"/>
        </w:tabs>
        <w:numPr>
          <w:ilvl w:val="0"/>
          <w:numId w:val="149"/>
        </w:numPr>
        <w:rPr>
          <w:rFonts w:ascii="Arial" w:cs="Arial" w:eastAsia="Arial" w:hAnsi="Arial"/>
          <w:sz w:val="14"/>
          <w:szCs w:val="14"/>
          <w:color w:val="auto"/>
        </w:rPr>
      </w:pPr>
      <w:r>
        <w:rPr>
          <w:rFonts w:ascii="Arial" w:cs="Arial" w:eastAsia="Arial" w:hAnsi="Arial"/>
          <w:sz w:val="14"/>
          <w:szCs w:val="14"/>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41" w:lineRule="exact"/>
        <w:rPr>
          <w:rFonts w:ascii="Arial" w:cs="Arial" w:eastAsia="Arial" w:hAnsi="Arial"/>
          <w:sz w:val="14"/>
          <w:szCs w:val="14"/>
          <w:color w:val="auto"/>
        </w:rPr>
      </w:pPr>
    </w:p>
    <w:p>
      <w:pPr>
        <w:ind w:firstLine="532"/>
        <w:spacing w:after="0" w:line="259" w:lineRule="auto"/>
        <w:tabs>
          <w:tab w:leader="none" w:pos="86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73" w:name="page174"/>
    <w:bookmarkEnd w:id="173"/>
    <w:p>
      <w:pPr>
        <w:ind w:firstLine="532"/>
        <w:spacing w:after="0" w:line="383" w:lineRule="auto"/>
        <w:tabs>
          <w:tab w:leader="none" w:pos="92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84" w:lineRule="exact"/>
        <w:rPr>
          <w:rFonts w:ascii="Arial" w:cs="Arial" w:eastAsia="Arial" w:hAnsi="Arial"/>
          <w:sz w:val="12"/>
          <w:szCs w:val="12"/>
          <w:color w:val="auto"/>
        </w:rPr>
      </w:pPr>
    </w:p>
    <w:p>
      <w:pPr>
        <w:jc w:val="both"/>
        <w:ind w:firstLine="532"/>
        <w:spacing w:after="0" w:line="248" w:lineRule="auto"/>
        <w:tabs>
          <w:tab w:leader="none" w:pos="85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61" w:lineRule="exact"/>
        <w:rPr>
          <w:rFonts w:ascii="Arial" w:cs="Arial" w:eastAsia="Arial" w:hAnsi="Arial"/>
          <w:sz w:val="15"/>
          <w:szCs w:val="15"/>
          <w:color w:val="auto"/>
        </w:rPr>
      </w:pPr>
    </w:p>
    <w:p>
      <w:pPr>
        <w:ind w:left="920" w:hanging="388"/>
        <w:spacing w:after="0"/>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there shall have occurred a Change in Control.</w:t>
      </w:r>
    </w:p>
    <w:p>
      <w:pPr>
        <w:spacing w:after="0" w:line="173" w:lineRule="exact"/>
        <w:rPr>
          <w:sz w:val="20"/>
          <w:szCs w:val="20"/>
          <w:color w:val="auto"/>
        </w:rPr>
      </w:pPr>
    </w:p>
    <w:p>
      <w:pPr>
        <w:ind w:firstLine="525"/>
        <w:spacing w:after="0" w:line="264" w:lineRule="auto"/>
        <w:rPr>
          <w:sz w:val="20"/>
          <w:szCs w:val="20"/>
          <w:color w:val="auto"/>
        </w:rPr>
      </w:pPr>
      <w:r>
        <w:rPr>
          <w:rFonts w:ascii="Arial" w:cs="Arial" w:eastAsia="Arial" w:hAnsi="Arial"/>
          <w:sz w:val="15"/>
          <w:szCs w:val="15"/>
          <w:b w:val="1"/>
          <w:bCs w:val="1"/>
          <w:color w:val="auto"/>
        </w:rPr>
        <w:t xml:space="preserve">SECTION 7.02 </w:t>
      </w:r>
      <w:r>
        <w:rPr>
          <w:rFonts w:ascii="Arial" w:cs="Arial" w:eastAsia="Arial" w:hAnsi="Arial"/>
          <w:sz w:val="15"/>
          <w:szCs w:val="15"/>
          <w:b w:val="1"/>
          <w:bCs w:val="1"/>
          <w:i w:val="1"/>
          <w:iCs w:val="1"/>
          <w:color w:val="auto"/>
        </w:rPr>
        <w:t>Optional Acceleration of Maturity</w:t>
      </w:r>
      <w:r>
        <w:rPr>
          <w:rFonts w:ascii="Arial" w:cs="Arial" w:eastAsia="Arial" w:hAnsi="Arial"/>
          <w:sz w:val="15"/>
          <w:szCs w:val="15"/>
          <w:color w:val="auto"/>
        </w:rPr>
        <w:t>. If any Event of Default (other than an Event of Default pursuant to Section 7.01(g) or (h)) shall have occurred and be continuing,</w:t>
      </w:r>
      <w:r>
        <w:rPr>
          <w:rFonts w:ascii="Arial" w:cs="Arial" w:eastAsia="Arial" w:hAnsi="Arial"/>
          <w:sz w:val="15"/>
          <w:szCs w:val="15"/>
          <w:b w:val="1"/>
          <w:bCs w:val="1"/>
          <w:color w:val="auto"/>
        </w:rPr>
        <w:t xml:space="preserve"> </w:t>
      </w:r>
      <w:r>
        <w:rPr>
          <w:rFonts w:ascii="Arial" w:cs="Arial" w:eastAsia="Arial" w:hAnsi="Arial"/>
          <w:sz w:val="15"/>
          <w:szCs w:val="15"/>
          <w:color w:val="auto"/>
        </w:rPr>
        <w:t>then, and in any such event:</w:t>
      </w:r>
    </w:p>
    <w:p>
      <w:pPr>
        <w:spacing w:after="0" w:line="193" w:lineRule="exact"/>
        <w:rPr>
          <w:sz w:val="20"/>
          <w:szCs w:val="20"/>
          <w:color w:val="auto"/>
        </w:rPr>
      </w:pPr>
    </w:p>
    <w:p>
      <w:pPr>
        <w:jc w:val="both"/>
        <w:ind w:firstLine="532"/>
        <w:spacing w:after="0" w:line="267" w:lineRule="auto"/>
        <w:tabs>
          <w:tab w:leader="none" w:pos="884"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Administrative Agent (i) shall at the request, or may, with the consent, of the Required Revolving Lenders, by notice to the U.S.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U.S.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49" w:lineRule="exact"/>
        <w:rPr>
          <w:rFonts w:ascii="Arial" w:cs="Arial" w:eastAsia="Arial" w:hAnsi="Arial"/>
          <w:sz w:val="14"/>
          <w:szCs w:val="14"/>
          <w:color w:val="auto"/>
        </w:rPr>
      </w:pPr>
    </w:p>
    <w:p>
      <w:pPr>
        <w:ind w:firstLine="532"/>
        <w:spacing w:after="0" w:line="259" w:lineRule="auto"/>
        <w:tabs>
          <w:tab w:leader="none" w:pos="947"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Borrowers shall, on demand of any Administrative Agent at the request or with the consent of the Required Revolving Lenders, Cash Collateralize the Letters of Credit in accordance with Section 2.21(k); and</w:t>
      </w:r>
    </w:p>
    <w:p>
      <w:pPr>
        <w:spacing w:after="0" w:line="152" w:lineRule="exact"/>
        <w:rPr>
          <w:rFonts w:ascii="Arial" w:cs="Arial" w:eastAsia="Arial" w:hAnsi="Arial"/>
          <w:sz w:val="15"/>
          <w:szCs w:val="15"/>
          <w:color w:val="auto"/>
        </w:rPr>
      </w:pPr>
    </w:p>
    <w:p>
      <w:pPr>
        <w:ind w:firstLine="532"/>
        <w:spacing w:after="0" w:line="259" w:lineRule="auto"/>
        <w:tabs>
          <w:tab w:leader="none" w:pos="87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4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7.03</w:t>
      </w:r>
      <w:r>
        <w:rPr>
          <w:sz w:val="20"/>
          <w:szCs w:val="20"/>
          <w:color w:val="auto"/>
        </w:rPr>
        <w:tab/>
      </w:r>
      <w:r>
        <w:rPr>
          <w:rFonts w:ascii="Arial" w:cs="Arial" w:eastAsia="Arial" w:hAnsi="Arial"/>
          <w:sz w:val="12"/>
          <w:szCs w:val="12"/>
          <w:b w:val="1"/>
          <w:bCs w:val="1"/>
          <w:i w:val="1"/>
          <w:iCs w:val="1"/>
          <w:color w:val="auto"/>
        </w:rPr>
        <w:t>Automatic Acceleration of Maturity</w:t>
      </w:r>
      <w:r>
        <w:rPr>
          <w:rFonts w:ascii="Arial" w:cs="Arial" w:eastAsia="Arial" w:hAnsi="Arial"/>
          <w:sz w:val="12"/>
          <w:szCs w:val="12"/>
          <w:color w:val="auto"/>
        </w:rPr>
        <w:t>. If any Event of Default pursuant to Section 7.01(g) or (h) shall occur:</w:t>
      </w:r>
    </w:p>
    <w:p>
      <w:pPr>
        <w:spacing w:after="0" w:line="225" w:lineRule="exact"/>
        <w:rPr>
          <w:sz w:val="20"/>
          <w:szCs w:val="20"/>
          <w:color w:val="auto"/>
        </w:rPr>
      </w:pPr>
    </w:p>
    <w:p>
      <w:pPr>
        <w:jc w:val="both"/>
        <w:ind w:firstLine="532"/>
        <w:spacing w:after="0" w:line="271" w:lineRule="auto"/>
        <w:tabs>
          <w:tab w:leader="none" w:pos="925"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74" w:name="page175"/>
    <w:bookmarkEnd w:id="174"/>
    <w:p>
      <w:pPr>
        <w:ind w:left="880" w:hanging="348"/>
        <w:spacing w:after="0"/>
        <w:tabs>
          <w:tab w:leader="none" w:pos="88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Borrowers shall Cash Collateralize the Letters of Credit in accordance with Section 2.21(k); and</w:t>
      </w:r>
    </w:p>
    <w:p>
      <w:pPr>
        <w:spacing w:after="0" w:line="177" w:lineRule="exact"/>
        <w:rPr>
          <w:rFonts w:ascii="Arial" w:cs="Arial" w:eastAsia="Arial" w:hAnsi="Arial"/>
          <w:sz w:val="15"/>
          <w:szCs w:val="15"/>
          <w:color w:val="auto"/>
        </w:rPr>
      </w:pPr>
    </w:p>
    <w:p>
      <w:pPr>
        <w:ind w:firstLine="532"/>
        <w:spacing w:after="0" w:line="259" w:lineRule="auto"/>
        <w:tabs>
          <w:tab w:leader="none" w:pos="951"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4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7.04</w:t>
      </w:r>
      <w:r>
        <w:rPr>
          <w:sz w:val="20"/>
          <w:szCs w:val="20"/>
          <w:color w:val="auto"/>
        </w:rPr>
        <w:tab/>
      </w:r>
      <w:r>
        <w:rPr>
          <w:rFonts w:ascii="Arial" w:cs="Arial" w:eastAsia="Arial" w:hAnsi="Arial"/>
          <w:sz w:val="12"/>
          <w:szCs w:val="12"/>
          <w:b w:val="1"/>
          <w:bCs w:val="1"/>
          <w:i w:val="1"/>
          <w:iCs w:val="1"/>
          <w:color w:val="auto"/>
        </w:rPr>
        <w:t>Non-exclusivity of Remedies</w:t>
      </w:r>
    </w:p>
    <w:p>
      <w:pPr>
        <w:spacing w:after="0" w:line="15" w:lineRule="exact"/>
        <w:rPr>
          <w:sz w:val="20"/>
          <w:szCs w:val="20"/>
          <w:color w:val="auto"/>
        </w:rPr>
      </w:pPr>
    </w:p>
    <w:p>
      <w:pPr>
        <w:ind w:firstLine="7"/>
        <w:spacing w:after="0" w:line="246" w:lineRule="auto"/>
        <w:tabs>
          <w:tab w:leader="none" w:pos="77" w:val="left"/>
        </w:tabs>
        <w:numPr>
          <w:ilvl w:val="0"/>
          <w:numId w:val="154"/>
        </w:numPr>
        <w:rPr>
          <w:rFonts w:ascii="Arial" w:cs="Arial" w:eastAsia="Arial" w:hAnsi="Arial"/>
          <w:sz w:val="15"/>
          <w:szCs w:val="15"/>
          <w:color w:val="auto"/>
        </w:rPr>
      </w:pPr>
      <w:r>
        <w:rPr>
          <w:rFonts w:ascii="Arial" w:cs="Arial" w:eastAsia="Arial" w:hAnsi="Arial"/>
          <w:sz w:val="15"/>
          <w:szCs w:val="15"/>
          <w:color w:val="auto"/>
        </w:rPr>
        <w:t>No remedy conferred upon the Agents, the Issuing Banks and the Lenders is intended to be exclusive of any other remedy, and each remedy shall be cumulative of all other remedies existing by contract, at law, in equity, by statute or otherwise.</w:t>
      </w:r>
    </w:p>
    <w:p>
      <w:pPr>
        <w:spacing w:after="0" w:line="15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7.05</w:t>
      </w:r>
      <w:r>
        <w:rPr>
          <w:sz w:val="20"/>
          <w:szCs w:val="20"/>
          <w:color w:val="auto"/>
        </w:rPr>
        <w:tab/>
      </w:r>
      <w:r>
        <w:rPr>
          <w:rFonts w:ascii="Arial" w:cs="Arial" w:eastAsia="Arial" w:hAnsi="Arial"/>
          <w:sz w:val="12"/>
          <w:szCs w:val="12"/>
          <w:b w:val="1"/>
          <w:bCs w:val="1"/>
          <w:i w:val="1"/>
          <w:iCs w:val="1"/>
          <w:color w:val="auto"/>
        </w:rPr>
        <w:t>Application of Proceeds</w:t>
      </w:r>
    </w:p>
    <w:p>
      <w:pPr>
        <w:spacing w:after="0" w:line="15" w:lineRule="exact"/>
        <w:rPr>
          <w:sz w:val="20"/>
          <w:szCs w:val="20"/>
          <w:color w:val="auto"/>
        </w:rPr>
      </w:pPr>
    </w:p>
    <w:p>
      <w:pPr>
        <w:ind w:firstLine="7"/>
        <w:spacing w:after="0" w:line="281" w:lineRule="auto"/>
        <w:tabs>
          <w:tab w:leader="none" w:pos="83" w:val="left"/>
        </w:tabs>
        <w:numPr>
          <w:ilvl w:val="0"/>
          <w:numId w:val="155"/>
        </w:numPr>
        <w:rPr>
          <w:rFonts w:ascii="Arial" w:cs="Arial" w:eastAsia="Arial" w:hAnsi="Arial"/>
          <w:sz w:val="14"/>
          <w:szCs w:val="14"/>
          <w:color w:val="auto"/>
        </w:rPr>
      </w:pPr>
      <w:r>
        <w:rPr>
          <w:rFonts w:ascii="Arial" w:cs="Arial" w:eastAsia="Arial" w:hAnsi="Arial"/>
          <w:sz w:val="14"/>
          <w:szCs w:val="14"/>
          <w:color w:val="auto"/>
        </w:rPr>
        <w:t>From and during the continuance of any Event of Default, any monies or property actually received by an Agent pursuant to this Agreement or any other Loan Document, the exercise of any rights or remedies under any Security Document or any other agreement with any Loan Party which secures any of the Obligations, shall be applied in the following order:</w:t>
      </w:r>
    </w:p>
    <w:p>
      <w:pPr>
        <w:spacing w:after="0" w:line="138" w:lineRule="exact"/>
        <w:rPr>
          <w:rFonts w:ascii="Arial" w:cs="Arial" w:eastAsia="Arial" w:hAnsi="Arial"/>
          <w:sz w:val="14"/>
          <w:szCs w:val="14"/>
          <w:color w:val="auto"/>
        </w:rPr>
      </w:pPr>
    </w:p>
    <w:p>
      <w:pPr>
        <w:jc w:val="both"/>
        <w:ind w:firstLine="532"/>
        <w:spacing w:after="0" w:line="277" w:lineRule="auto"/>
        <w:tabs>
          <w:tab w:leader="none" w:pos="901" w:val="left"/>
        </w:tabs>
        <w:numPr>
          <w:ilvl w:val="1"/>
          <w:numId w:val="155"/>
        </w:numPr>
        <w:rPr>
          <w:rFonts w:ascii="Arial" w:cs="Arial" w:eastAsia="Arial" w:hAnsi="Arial"/>
          <w:sz w:val="14"/>
          <w:szCs w:val="14"/>
          <w:color w:val="auto"/>
        </w:rPr>
      </w:pPr>
      <w:r>
        <w:rPr>
          <w:rFonts w:ascii="Arial" w:cs="Arial" w:eastAsia="Arial" w:hAnsi="Arial"/>
          <w:sz w:val="14"/>
          <w:szCs w:val="14"/>
          <w:i w:val="1"/>
          <w:iCs w:val="1"/>
          <w:color w:val="auto"/>
        </w:rPr>
        <w:t>First</w:t>
      </w:r>
      <w:r>
        <w:rPr>
          <w:rFonts w:ascii="Arial" w:cs="Arial" w:eastAsia="Arial" w:hAnsi="Arial"/>
          <w:sz w:val="14"/>
          <w:szCs w:val="14"/>
          <w:color w:val="auto"/>
        </w:rPr>
        <w:t>, to payment of the reasonable expenses, liabilities, losses, costs, duties, fees, charges or other moneys whatsoever (together with interest payable thereon) as may have been</w:t>
      </w:r>
      <w:r>
        <w:rPr>
          <w:rFonts w:ascii="Arial" w:cs="Arial" w:eastAsia="Arial" w:hAnsi="Arial"/>
          <w:sz w:val="14"/>
          <w:szCs w:val="14"/>
          <w:i w:val="1"/>
          <w:iCs w:val="1"/>
          <w:color w:val="auto"/>
        </w:rPr>
        <w:t xml:space="preserve"> </w:t>
      </w:r>
      <w:r>
        <w:rPr>
          <w:rFonts w:ascii="Arial" w:cs="Arial" w:eastAsia="Arial" w:hAnsi="Arial"/>
          <w:sz w:val="14"/>
          <w:szCs w:val="14"/>
          <w:color w:val="auto"/>
        </w:rPr>
        <w:t>paid or incurred in, about or incidental to any sale or other realization of Collateral, including reasonable out-of-pocket expenses and indemnities, in each case for which any Agent or any Secured Party is to be reimbursed pursuant to this Agreement or any other Loan Document and that are then due and payable;</w:t>
      </w:r>
    </w:p>
    <w:p>
      <w:pPr>
        <w:spacing w:after="0" w:line="141" w:lineRule="exact"/>
        <w:rPr>
          <w:rFonts w:ascii="Arial" w:cs="Arial" w:eastAsia="Arial" w:hAnsi="Arial"/>
          <w:sz w:val="14"/>
          <w:szCs w:val="14"/>
          <w:color w:val="auto"/>
        </w:rPr>
      </w:pPr>
    </w:p>
    <w:p>
      <w:pPr>
        <w:ind w:firstLine="532"/>
        <w:spacing w:after="0" w:line="259" w:lineRule="auto"/>
        <w:tabs>
          <w:tab w:leader="none" w:pos="876" w:val="left"/>
        </w:tabs>
        <w:numPr>
          <w:ilvl w:val="1"/>
          <w:numId w:val="155"/>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ratable payment of accrued but unpaid Fees, Commitment Fees, and Issuing Bank Fees owing to the Issuing Banks and the Lenders in respect of the Loans and Letters</w:t>
      </w:r>
      <w:r>
        <w:rPr>
          <w:rFonts w:ascii="Arial" w:cs="Arial" w:eastAsia="Arial" w:hAnsi="Arial"/>
          <w:sz w:val="15"/>
          <w:szCs w:val="15"/>
          <w:i w:val="1"/>
          <w:iCs w:val="1"/>
          <w:color w:val="auto"/>
        </w:rPr>
        <w:t xml:space="preserve"> </w:t>
      </w:r>
      <w:r>
        <w:rPr>
          <w:rFonts w:ascii="Arial" w:cs="Arial" w:eastAsia="Arial" w:hAnsi="Arial"/>
          <w:sz w:val="15"/>
          <w:szCs w:val="15"/>
          <w:color w:val="auto"/>
        </w:rPr>
        <w:t>of Credit under this Agreement;</w:t>
      </w:r>
    </w:p>
    <w:p>
      <w:pPr>
        <w:spacing w:after="0" w:line="152" w:lineRule="exact"/>
        <w:rPr>
          <w:rFonts w:ascii="Arial" w:cs="Arial" w:eastAsia="Arial" w:hAnsi="Arial"/>
          <w:sz w:val="15"/>
          <w:szCs w:val="15"/>
          <w:color w:val="auto"/>
        </w:rPr>
      </w:pPr>
    </w:p>
    <w:p>
      <w:pPr>
        <w:ind w:firstLine="532"/>
        <w:spacing w:after="0" w:line="259" w:lineRule="auto"/>
        <w:tabs>
          <w:tab w:leader="none" w:pos="912" w:val="left"/>
        </w:tabs>
        <w:numPr>
          <w:ilvl w:val="1"/>
          <w:numId w:val="155"/>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ratable payment of accrued but unpaid interest on the Loans and any unpaid L/C Disbursements, the L/C Participation Fees and the Issuing Bank Fees then due and</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under this Agreement;</w:t>
      </w:r>
    </w:p>
    <w:p>
      <w:pPr>
        <w:spacing w:after="0" w:line="152" w:lineRule="exact"/>
        <w:rPr>
          <w:rFonts w:ascii="Arial" w:cs="Arial" w:eastAsia="Arial" w:hAnsi="Arial"/>
          <w:sz w:val="15"/>
          <w:szCs w:val="15"/>
          <w:color w:val="auto"/>
        </w:rPr>
      </w:pPr>
    </w:p>
    <w:p>
      <w:pPr>
        <w:jc w:val="both"/>
        <w:ind w:firstLine="532"/>
        <w:spacing w:after="0" w:line="251" w:lineRule="auto"/>
        <w:tabs>
          <w:tab w:leader="none" w:pos="964" w:val="left"/>
        </w:tabs>
        <w:numPr>
          <w:ilvl w:val="1"/>
          <w:numId w:val="155"/>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to the ratable payment of all outstanding principal of the Loans, L/C Disbursements, any Banking Services Obligations owing to any Lender or Affiliate thereof, all</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of the U.S. Borrower or its Subsidiaries owing to any Lender or Affiliate thereof party to any Hedging Agreement according to the unpaid termination amounts thereof, if any, then due and payable and to Cash Collateralize the Aggregate L/C Exposure in accordance with Section 2.21(i);</w:t>
      </w:r>
    </w:p>
    <w:p>
      <w:pPr>
        <w:spacing w:after="0" w:line="158" w:lineRule="exact"/>
        <w:rPr>
          <w:rFonts w:ascii="Arial" w:cs="Arial" w:eastAsia="Arial" w:hAnsi="Arial"/>
          <w:sz w:val="15"/>
          <w:szCs w:val="15"/>
          <w:color w:val="auto"/>
        </w:rPr>
      </w:pPr>
    </w:p>
    <w:p>
      <w:pPr>
        <w:ind w:left="880" w:hanging="348"/>
        <w:spacing w:after="0"/>
        <w:tabs>
          <w:tab w:leader="none" w:pos="880" w:val="left"/>
        </w:tabs>
        <w:numPr>
          <w:ilvl w:val="1"/>
          <w:numId w:val="155"/>
        </w:numPr>
        <w:rPr>
          <w:rFonts w:ascii="Arial" w:cs="Arial" w:eastAsia="Arial" w:hAnsi="Arial"/>
          <w:sz w:val="15"/>
          <w:szCs w:val="15"/>
          <w:color w:val="auto"/>
        </w:rPr>
      </w:pPr>
      <w:r>
        <w:rPr>
          <w:rFonts w:ascii="Arial" w:cs="Arial" w:eastAsia="Arial" w:hAnsi="Arial"/>
          <w:sz w:val="15"/>
          <w:szCs w:val="15"/>
          <w:i w:val="1"/>
          <w:iCs w:val="1"/>
          <w:color w:val="auto"/>
        </w:rPr>
        <w:t>Fifth</w:t>
      </w:r>
      <w:r>
        <w:rPr>
          <w:rFonts w:ascii="Arial" w:cs="Arial" w:eastAsia="Arial" w:hAnsi="Arial"/>
          <w:sz w:val="15"/>
          <w:szCs w:val="15"/>
          <w:color w:val="auto"/>
        </w:rPr>
        <w:t>, to the ratable payment of all obligations to Cash Collateralize the Aggregate L/C Exposure in accordance with Section 2.21(k);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75" w:name="page176"/>
    <w:bookmarkEnd w:id="175"/>
    <w:p>
      <w:pPr>
        <w:ind w:firstLine="532"/>
        <w:spacing w:after="0" w:line="259" w:lineRule="auto"/>
        <w:tabs>
          <w:tab w:leader="none" w:pos="896"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t>Sixth</w:t>
      </w:r>
      <w:r>
        <w:rPr>
          <w:rFonts w:ascii="Arial" w:cs="Arial" w:eastAsia="Arial" w:hAnsi="Arial"/>
          <w:sz w:val="15"/>
          <w:szCs w:val="15"/>
          <w:color w:val="auto"/>
        </w:rPr>
        <w:t>, ratably, according to the then unpaid amounts thereof, without preference or priority of any kind among them, to the ratable payment of all other Obligations then due and</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which relate to Loans and Letters of Credit and which are owing to the Agents, the Issuing Banks and the Lenders;</w:t>
      </w:r>
    </w:p>
    <w:p>
      <w:pPr>
        <w:spacing w:after="0" w:line="152" w:lineRule="exact"/>
        <w:rPr>
          <w:rFonts w:ascii="Arial" w:cs="Arial" w:eastAsia="Arial" w:hAnsi="Arial"/>
          <w:sz w:val="15"/>
          <w:szCs w:val="15"/>
          <w:color w:val="auto"/>
        </w:rPr>
      </w:pPr>
    </w:p>
    <w:p>
      <w:pPr>
        <w:ind w:left="880" w:hanging="348"/>
        <w:spacing w:after="0"/>
        <w:tabs>
          <w:tab w:leader="none" w:pos="880"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t>Seventh</w:t>
      </w:r>
      <w:r>
        <w:rPr>
          <w:rFonts w:ascii="Arial" w:cs="Arial" w:eastAsia="Arial" w:hAnsi="Arial"/>
          <w:sz w:val="15"/>
          <w:szCs w:val="15"/>
          <w:color w:val="auto"/>
        </w:rPr>
        <w:t>, to the ratable payment of any other outstanding Obligations then due and payable; and</w:t>
      </w:r>
    </w:p>
    <w:p>
      <w:pPr>
        <w:spacing w:after="0" w:line="177" w:lineRule="exact"/>
        <w:rPr>
          <w:rFonts w:ascii="Arial" w:cs="Arial" w:eastAsia="Arial" w:hAnsi="Arial"/>
          <w:sz w:val="15"/>
          <w:szCs w:val="15"/>
          <w:color w:val="auto"/>
        </w:rPr>
      </w:pPr>
    </w:p>
    <w:p>
      <w:pPr>
        <w:ind w:firstLine="532"/>
        <w:spacing w:after="0" w:line="259" w:lineRule="auto"/>
        <w:tabs>
          <w:tab w:leader="none" w:pos="909"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t>Eighth</w:t>
      </w:r>
      <w:r>
        <w:rPr>
          <w:rFonts w:ascii="Arial" w:cs="Arial" w:eastAsia="Arial" w:hAnsi="Arial"/>
          <w:sz w:val="15"/>
          <w:szCs w:val="15"/>
          <w:color w:val="auto"/>
        </w:rPr>
        <w:t>, any excess after payment in full of all Obligations shall be paid to the U.S. Borrower or any other Loan Party as appropriate or to such other person who may be lawfully</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receive such excess.</w:t>
      </w:r>
    </w:p>
    <w:p>
      <w:pPr>
        <w:spacing w:after="0" w:line="152" w:lineRule="exact"/>
        <w:rPr>
          <w:sz w:val="20"/>
          <w:szCs w:val="20"/>
          <w:color w:val="auto"/>
        </w:rPr>
      </w:pPr>
    </w:p>
    <w:p>
      <w:pPr>
        <w:jc w:val="both"/>
        <w:spacing w:after="0" w:line="383" w:lineRule="auto"/>
        <w:rPr>
          <w:sz w:val="20"/>
          <w:szCs w:val="20"/>
          <w:color w:val="auto"/>
        </w:rPr>
      </w:pPr>
      <w:r>
        <w:rPr>
          <w:rFonts w:ascii="Arial" w:cs="Arial" w:eastAsia="Arial" w:hAnsi="Arial"/>
          <w:sz w:val="12"/>
          <w:szCs w:val="12"/>
          <w:color w:val="auto"/>
        </w:rPr>
        <w:t>Notwithstanding the foregoing, Obligations arising under Hedging Agreements or Banking Services with a Lender or an Affiliate thereof shall be excluded from the application described above if the Administrative Agent has not received written notice thereof, together with such supporting documentation as the Administrative Agent may reasonably request, from the applicable Lender.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181" w:lineRule="exact"/>
        <w:rPr>
          <w:sz w:val="20"/>
          <w:szCs w:val="20"/>
          <w:color w:val="auto"/>
        </w:rPr>
      </w:pPr>
    </w:p>
    <w:p>
      <w:pPr>
        <w:jc w:val="right"/>
        <w:ind w:right="4300"/>
        <w:spacing w:after="0"/>
        <w:rPr>
          <w:sz w:val="20"/>
          <w:szCs w:val="20"/>
          <w:color w:val="auto"/>
        </w:rPr>
      </w:pPr>
      <w:r>
        <w:rPr>
          <w:rFonts w:ascii="Arial" w:cs="Arial" w:eastAsia="Arial" w:hAnsi="Arial"/>
          <w:sz w:val="15"/>
          <w:szCs w:val="15"/>
          <w:i w:val="1"/>
          <w:iCs w:val="1"/>
          <w:color w:val="auto"/>
        </w:rPr>
        <w:t>The Administrative Agents, the Collateral Agents,</w:t>
      </w:r>
    </w:p>
    <w:p>
      <w:pPr>
        <w:spacing w:after="0" w:line="11" w:lineRule="exact"/>
        <w:rPr>
          <w:sz w:val="20"/>
          <w:szCs w:val="20"/>
          <w:color w:val="auto"/>
        </w:rPr>
      </w:pPr>
    </w:p>
    <w:p>
      <w:pPr>
        <w:jc w:val="right"/>
        <w:ind w:right="4320"/>
        <w:spacing w:after="0"/>
        <w:rPr>
          <w:sz w:val="20"/>
          <w:szCs w:val="20"/>
          <w:color w:val="auto"/>
        </w:rPr>
      </w:pPr>
      <w:r>
        <w:rPr>
          <w:rFonts w:ascii="Arial" w:cs="Arial" w:eastAsia="Arial" w:hAnsi="Arial"/>
          <w:sz w:val="15"/>
          <w:szCs w:val="15"/>
          <w:b w:val="1"/>
          <w:bCs w:val="1"/>
          <w:i w:val="1"/>
          <w:iCs w:val="1"/>
          <w:color w:val="auto"/>
        </w:rPr>
        <w:t>the Issuing Banks and the Swing Line Lenders</w:t>
      </w:r>
    </w:p>
    <w:p>
      <w:pPr>
        <w:spacing w:after="0" w:line="164" w:lineRule="exact"/>
        <w:rPr>
          <w:sz w:val="20"/>
          <w:szCs w:val="20"/>
          <w:color w:val="auto"/>
        </w:rPr>
      </w:pPr>
    </w:p>
    <w:p>
      <w:pPr>
        <w:jc w:val="both"/>
        <w:ind w:firstLine="525"/>
        <w:spacing w:after="0" w:line="316" w:lineRule="auto"/>
        <w:rPr>
          <w:sz w:val="20"/>
          <w:szCs w:val="20"/>
          <w:color w:val="auto"/>
        </w:rPr>
      </w:pPr>
      <w:r>
        <w:rPr>
          <w:rFonts w:ascii="Arial" w:cs="Arial" w:eastAsia="Arial" w:hAnsi="Arial"/>
          <w:sz w:val="12"/>
          <w:szCs w:val="12"/>
          <w:b w:val="1"/>
          <w:bCs w:val="1"/>
          <w:color w:val="auto"/>
        </w:rPr>
        <w:t xml:space="preserve">SECTION 8.01 </w:t>
      </w:r>
      <w:r>
        <w:rPr>
          <w:rFonts w:ascii="Arial" w:cs="Arial" w:eastAsia="Arial" w:hAnsi="Arial"/>
          <w:sz w:val="12"/>
          <w:szCs w:val="12"/>
          <w:b w:val="1"/>
          <w:bCs w:val="1"/>
          <w:i w:val="1"/>
          <w:iCs w:val="1"/>
          <w:color w:val="auto"/>
        </w:rPr>
        <w:t>Appointment and Authority</w:t>
      </w:r>
      <w:r>
        <w:rPr>
          <w:rFonts w:ascii="Arial" w:cs="Arial" w:eastAsia="Arial" w:hAnsi="Arial"/>
          <w:sz w:val="12"/>
          <w:szCs w:val="12"/>
          <w:color w:val="auto"/>
        </w:rPr>
        <w:t>. Each of the Lenders, the Swing Line Lenders and the Issuing Banks hereby irrevocably appoints RBC to act on its behalf as the</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164" w:lineRule="exact"/>
        <w:rPr>
          <w:sz w:val="20"/>
          <w:szCs w:val="20"/>
          <w:color w:val="auto"/>
        </w:rPr>
      </w:pPr>
    </w:p>
    <w:p>
      <w:pPr>
        <w:jc w:val="both"/>
        <w:ind w:firstLine="525"/>
        <w:spacing w:after="0" w:line="325" w:lineRule="auto"/>
        <w:rPr>
          <w:sz w:val="20"/>
          <w:szCs w:val="20"/>
          <w:color w:val="auto"/>
        </w:rPr>
      </w:pPr>
      <w:r>
        <w:rPr>
          <w:rFonts w:ascii="Arial" w:cs="Arial" w:eastAsia="Arial" w:hAnsi="Arial"/>
          <w:sz w:val="12"/>
          <w:szCs w:val="12"/>
          <w:b w:val="1"/>
          <w:bCs w:val="1"/>
          <w:color w:val="auto"/>
        </w:rPr>
        <w:t xml:space="preserve">SECTION 8.02 </w:t>
      </w:r>
      <w:r>
        <w:rPr>
          <w:rFonts w:ascii="Arial" w:cs="Arial" w:eastAsia="Arial" w:hAnsi="Arial"/>
          <w:sz w:val="12"/>
          <w:szCs w:val="12"/>
          <w:b w:val="1"/>
          <w:bCs w:val="1"/>
          <w:i w:val="1"/>
          <w:iCs w:val="1"/>
          <w:color w:val="auto"/>
        </w:rPr>
        <w:t>Rights as a Lender</w:t>
      </w:r>
      <w:r>
        <w:rPr>
          <w:rFonts w:ascii="Arial" w:cs="Arial" w:eastAsia="Arial" w:hAnsi="Arial"/>
          <w:sz w:val="12"/>
          <w:szCs w:val="12"/>
          <w:color w:val="auto"/>
        </w:rPr>
        <w:t>. The person serving as an Agent or an Issuing Bank or a Swing Line Lender hereunder shall have the same rights and powers in its capacity as a</w:t>
      </w:r>
      <w:r>
        <w:rPr>
          <w:rFonts w:ascii="Arial" w:cs="Arial" w:eastAsia="Arial" w:hAnsi="Arial"/>
          <w:sz w:val="12"/>
          <w:szCs w:val="12"/>
          <w:b w:val="1"/>
          <w:bCs w:val="1"/>
          <w:color w:val="auto"/>
        </w:rPr>
        <w:t xml:space="preserve"> </w:t>
      </w:r>
      <w:r>
        <w:rPr>
          <w:rFonts w:ascii="Arial" w:cs="Arial" w:eastAsia="Arial" w:hAnsi="Arial"/>
          <w:sz w:val="12"/>
          <w:szCs w:val="12"/>
          <w:color w:val="auto"/>
        </w:rPr>
        <w:t>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76" w:name="page177"/>
    <w:bookmarkEnd w:id="176"/>
    <w:p>
      <w:pPr>
        <w:ind w:firstLine="525"/>
        <w:spacing w:after="0" w:line="264" w:lineRule="auto"/>
        <w:rPr>
          <w:sz w:val="20"/>
          <w:szCs w:val="20"/>
          <w:color w:val="auto"/>
        </w:rPr>
      </w:pPr>
      <w:r>
        <w:rPr>
          <w:rFonts w:ascii="Arial" w:cs="Arial" w:eastAsia="Arial" w:hAnsi="Arial"/>
          <w:sz w:val="15"/>
          <w:szCs w:val="15"/>
          <w:b w:val="1"/>
          <w:bCs w:val="1"/>
          <w:color w:val="auto"/>
        </w:rPr>
        <w:t xml:space="preserve">SECTION 8.03 </w:t>
      </w:r>
      <w:r>
        <w:rPr>
          <w:rFonts w:ascii="Arial" w:cs="Arial" w:eastAsia="Arial" w:hAnsi="Arial"/>
          <w:sz w:val="15"/>
          <w:szCs w:val="15"/>
          <w:b w:val="1"/>
          <w:bCs w:val="1"/>
          <w:i w:val="1"/>
          <w:iCs w:val="1"/>
          <w:color w:val="auto"/>
        </w:rPr>
        <w:t>Exculpatory Provisions</w:t>
      </w:r>
      <w:r>
        <w:rPr>
          <w:rFonts w:ascii="Arial" w:cs="Arial" w:eastAsia="Arial" w:hAnsi="Arial"/>
          <w:sz w:val="15"/>
          <w:szCs w:val="15"/>
          <w:color w:val="auto"/>
        </w:rPr>
        <w:t>. None of the Agents, Issuing Banks or the Swing Line Lenders shall have any duties or obligations except those expressly set forth herein and</w:t>
      </w:r>
      <w:r>
        <w:rPr>
          <w:rFonts w:ascii="Arial" w:cs="Arial" w:eastAsia="Arial" w:hAnsi="Arial"/>
          <w:sz w:val="15"/>
          <w:szCs w:val="15"/>
          <w:b w:val="1"/>
          <w:bCs w:val="1"/>
          <w:color w:val="auto"/>
        </w:rPr>
        <w:t xml:space="preserve"> </w:t>
      </w:r>
      <w:r>
        <w:rPr>
          <w:rFonts w:ascii="Arial" w:cs="Arial" w:eastAsia="Arial" w:hAnsi="Arial"/>
          <w:sz w:val="15"/>
          <w:szCs w:val="15"/>
          <w:color w:val="auto"/>
        </w:rPr>
        <w:t>in the other Loan Documents. Without limiting the generality of the foregoing, none of the Agents or the Issuing Banks:</w:t>
      </w:r>
    </w:p>
    <w:p>
      <w:pPr>
        <w:spacing w:after="0" w:line="193" w:lineRule="exact"/>
        <w:rPr>
          <w:sz w:val="20"/>
          <w:szCs w:val="20"/>
          <w:color w:val="auto"/>
        </w:rPr>
      </w:pPr>
    </w:p>
    <w:p>
      <w:pPr>
        <w:ind w:left="880" w:hanging="348"/>
        <w:spacing w:after="0"/>
        <w:tabs>
          <w:tab w:leader="none" w:pos="88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shall be subject to any fiduciary or other implied duties, regardless of whether a Default has occurred and is continuing;</w:t>
      </w:r>
    </w:p>
    <w:p>
      <w:pPr>
        <w:spacing w:after="0" w:line="177" w:lineRule="exact"/>
        <w:rPr>
          <w:rFonts w:ascii="Arial" w:cs="Arial" w:eastAsia="Arial" w:hAnsi="Arial"/>
          <w:sz w:val="15"/>
          <w:szCs w:val="15"/>
          <w:color w:val="auto"/>
        </w:rPr>
      </w:pPr>
    </w:p>
    <w:p>
      <w:pPr>
        <w:jc w:val="both"/>
        <w:ind w:firstLine="532"/>
        <w:spacing w:after="0" w:line="330" w:lineRule="auto"/>
        <w:tabs>
          <w:tab w:leader="none" w:pos="8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15" w:lineRule="exact"/>
        <w:rPr>
          <w:rFonts w:ascii="Arial" w:cs="Arial" w:eastAsia="Arial" w:hAnsi="Arial"/>
          <w:sz w:val="12"/>
          <w:szCs w:val="12"/>
          <w:color w:val="auto"/>
        </w:rPr>
      </w:pPr>
    </w:p>
    <w:p>
      <w:pPr>
        <w:jc w:val="both"/>
        <w:ind w:firstLine="532"/>
        <w:spacing w:after="0" w:line="251" w:lineRule="auto"/>
        <w:tabs>
          <w:tab w:leader="none" w:pos="893" w:val="left"/>
        </w:tabs>
        <w:numPr>
          <w:ilvl w:val="0"/>
          <w:numId w:val="157"/>
        </w:numPr>
        <w:rPr>
          <w:rFonts w:ascii="Arial" w:cs="Arial" w:eastAsia="Arial" w:hAnsi="Arial"/>
          <w:sz w:val="15"/>
          <w:szCs w:val="15"/>
          <w:color w:val="auto"/>
        </w:rPr>
      </w:pPr>
      <w:r>
        <w:rPr>
          <w:rFonts w:ascii="Arial" w:cs="Arial" w:eastAsia="Arial" w:hAnsi="Arial"/>
          <w:sz w:val="15"/>
          <w:szCs w:val="15"/>
          <w:color w:val="auto"/>
        </w:rPr>
        <w:t>shall, except as expressly set forth herein and in the other Loan Documents, have any duty to disclose, and shall not be liable for the failure to disclose, any information relating to the U.S. Borrower or any of its Affiliates or Subsidiaries that is communicated to or obtained by the person serving as Agent, Issuing Bank, Swing Line Lender or any of their respective Affiliates in any capacity.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 w:lineRule="exact"/>
        <w:rPr>
          <w:sz w:val="20"/>
          <w:szCs w:val="20"/>
          <w:color w:val="auto"/>
        </w:rPr>
      </w:pPr>
    </w:p>
    <w:p>
      <w:pPr>
        <w:jc w:val="both"/>
        <w:ind w:firstLine="7"/>
        <w:spacing w:after="0" w:line="267" w:lineRule="auto"/>
        <w:tabs>
          <w:tab w:leader="none" w:pos="264"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77" w:name="page178"/>
    <w:bookmarkEnd w:id="177"/>
    <w:p>
      <w:pPr>
        <w:jc w:val="both"/>
        <w:ind w:firstLine="525"/>
        <w:spacing w:after="0" w:line="265" w:lineRule="auto"/>
        <w:rPr>
          <w:sz w:val="20"/>
          <w:szCs w:val="20"/>
          <w:color w:val="auto"/>
        </w:rPr>
      </w:pPr>
      <w:r>
        <w:rPr>
          <w:rFonts w:ascii="Arial" w:cs="Arial" w:eastAsia="Arial" w:hAnsi="Arial"/>
          <w:sz w:val="14"/>
          <w:szCs w:val="14"/>
          <w:b w:val="1"/>
          <w:bCs w:val="1"/>
          <w:color w:val="auto"/>
        </w:rPr>
        <w:t xml:space="preserve">SECTION 8.04 </w:t>
      </w:r>
      <w:r>
        <w:rPr>
          <w:rFonts w:ascii="Arial" w:cs="Arial" w:eastAsia="Arial" w:hAnsi="Arial"/>
          <w:sz w:val="14"/>
          <w:szCs w:val="14"/>
          <w:b w:val="1"/>
          <w:bCs w:val="1"/>
          <w:i w:val="1"/>
          <w:iCs w:val="1"/>
          <w:color w:val="auto"/>
        </w:rPr>
        <w:t>Reliance by the Agents, the Issuing Banks and the Swing Line Lenders</w:t>
      </w:r>
      <w:r>
        <w:rPr>
          <w:rFonts w:ascii="Arial" w:cs="Arial" w:eastAsia="Arial" w:hAnsi="Arial"/>
          <w:sz w:val="14"/>
          <w:szCs w:val="14"/>
          <w:color w:val="auto"/>
        </w:rPr>
        <w:t>. Each of the Agents, Issuing Banks and the Swing Line Lenders shall be entitled to rely upon,</w:t>
      </w:r>
      <w:r>
        <w:rPr>
          <w:rFonts w:ascii="Arial" w:cs="Arial" w:eastAsia="Arial" w:hAnsi="Arial"/>
          <w:sz w:val="14"/>
          <w:szCs w:val="14"/>
          <w:b w:val="1"/>
          <w:bCs w:val="1"/>
          <w:color w:val="auto"/>
        </w:rPr>
        <w:t xml:space="preserve"> </w:t>
      </w:r>
      <w:r>
        <w:rPr>
          <w:rFonts w:ascii="Arial" w:cs="Arial" w:eastAsia="Arial" w:hAnsi="Arial"/>
          <w:sz w:val="14"/>
          <w:szCs w:val="14"/>
          <w:color w:val="auto"/>
        </w:rPr>
        <w:t>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4"/>
          <w:szCs w:val="14"/>
          <w:b w:val="1"/>
          <w:bCs w:val="1"/>
          <w:color w:val="auto"/>
        </w:rPr>
        <w:t xml:space="preserve">SECTION 8.05 </w:t>
      </w:r>
      <w:r>
        <w:rPr>
          <w:rFonts w:ascii="Arial" w:cs="Arial" w:eastAsia="Arial" w:hAnsi="Arial"/>
          <w:sz w:val="14"/>
          <w:szCs w:val="14"/>
          <w:b w:val="1"/>
          <w:bCs w:val="1"/>
          <w:i w:val="1"/>
          <w:iCs w:val="1"/>
          <w:color w:val="auto"/>
        </w:rPr>
        <w:t>Delegation of Duties</w:t>
      </w:r>
      <w:r>
        <w:rPr>
          <w:rFonts w:ascii="Arial" w:cs="Arial" w:eastAsia="Arial" w:hAnsi="Arial"/>
          <w:sz w:val="14"/>
          <w:szCs w:val="14"/>
          <w:color w:val="auto"/>
        </w:rPr>
        <w:t>. Each of the Agents may perform any and all of its duties and exercise its rights and powers hereunder or under any other Loan Document by or</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18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8.06</w:t>
      </w:r>
      <w:r>
        <w:rPr>
          <w:sz w:val="20"/>
          <w:szCs w:val="20"/>
          <w:color w:val="auto"/>
        </w:rPr>
        <w:tab/>
      </w:r>
      <w:r>
        <w:rPr>
          <w:rFonts w:ascii="Arial" w:cs="Arial" w:eastAsia="Arial" w:hAnsi="Arial"/>
          <w:sz w:val="12"/>
          <w:szCs w:val="12"/>
          <w:b w:val="1"/>
          <w:bCs w:val="1"/>
          <w:i w:val="1"/>
          <w:iCs w:val="1"/>
          <w:color w:val="auto"/>
        </w:rPr>
        <w:t>Resignation of an Agent or a Swing Line Lender</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309" w:lineRule="auto"/>
        <w:tabs>
          <w:tab w:leader="none" w:pos="887"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An Agent may resign at any time by giving prior written notice thereof to the Lenders and the U.S.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Canadian Borrowers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78" w:name="page179"/>
    <w:bookmarkEnd w:id="178"/>
    <w:p>
      <w:pPr>
        <w:jc w:val="both"/>
        <w:ind w:firstLine="532"/>
        <w:spacing w:after="0" w:line="264" w:lineRule="auto"/>
        <w:tabs>
          <w:tab w:leader="none" w:pos="878"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5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8.07</w:t>
      </w:r>
      <w:r>
        <w:rPr>
          <w:sz w:val="20"/>
          <w:szCs w:val="20"/>
          <w:color w:val="auto"/>
        </w:rPr>
        <w:tab/>
      </w:r>
      <w:r>
        <w:rPr>
          <w:rFonts w:ascii="Arial" w:cs="Arial" w:eastAsia="Arial" w:hAnsi="Arial"/>
          <w:sz w:val="12"/>
          <w:szCs w:val="12"/>
          <w:b w:val="1"/>
          <w:bCs w:val="1"/>
          <w:i w:val="1"/>
          <w:iCs w:val="1"/>
          <w:color w:val="auto"/>
        </w:rPr>
        <w:t>Non-Reliance on Agents and Other Lenders; Certain Acknowledgments</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65" w:lineRule="auto"/>
        <w:tabs>
          <w:tab w:leader="none" w:pos="89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79" w:name="page180"/>
    <w:bookmarkEnd w:id="179"/>
    <w:p>
      <w:pPr>
        <w:jc w:val="both"/>
        <w:ind w:firstLine="532"/>
        <w:spacing w:after="0" w:line="277" w:lineRule="auto"/>
        <w:tabs>
          <w:tab w:leader="none" w:pos="905"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Lender shall be deemed by delivering its signature page to this Agreement and making any Loan on the Funding Date to have consented to, approved or accepted each Loan Document and each other document or other matter referred to in Section 4.01, 4.02 or 4.03 required to be consented to or approved by or acceptable or satisfactory to the Agents, the Lead Arrangers or the Lenders and to have been satisfied with the satisfaction of all other conditions precedent required to be satisfied under Section 4.01, 4.02 or 4.03.</w:t>
      </w:r>
    </w:p>
    <w:p>
      <w:pPr>
        <w:spacing w:after="0" w:line="138" w:lineRule="exact"/>
        <w:rPr>
          <w:sz w:val="20"/>
          <w:szCs w:val="20"/>
          <w:color w:val="auto"/>
        </w:rPr>
      </w:pPr>
    </w:p>
    <w:p>
      <w:pPr>
        <w:jc w:val="both"/>
        <w:ind w:firstLine="525"/>
        <w:spacing w:after="0" w:line="312" w:lineRule="auto"/>
        <w:rPr>
          <w:sz w:val="20"/>
          <w:szCs w:val="20"/>
          <w:color w:val="auto"/>
        </w:rPr>
      </w:pPr>
      <w:r>
        <w:rPr>
          <w:rFonts w:ascii="Arial" w:cs="Arial" w:eastAsia="Arial" w:hAnsi="Arial"/>
          <w:sz w:val="12"/>
          <w:szCs w:val="12"/>
          <w:b w:val="1"/>
          <w:bCs w:val="1"/>
          <w:color w:val="auto"/>
        </w:rPr>
        <w:t xml:space="preserve">SECTION 8.08 </w:t>
      </w:r>
      <w:r>
        <w:rPr>
          <w:rFonts w:ascii="Arial" w:cs="Arial" w:eastAsia="Arial" w:hAnsi="Arial"/>
          <w:sz w:val="12"/>
          <w:szCs w:val="12"/>
          <w:b w:val="1"/>
          <w:bCs w:val="1"/>
          <w:i w:val="1"/>
          <w:iCs w:val="1"/>
          <w:color w:val="auto"/>
        </w:rPr>
        <w:t>Indemnification</w:t>
      </w:r>
      <w:r>
        <w:rPr>
          <w:rFonts w:ascii="Arial" w:cs="Arial" w:eastAsia="Arial" w:hAnsi="Arial"/>
          <w:sz w:val="12"/>
          <w:szCs w:val="12"/>
          <w:color w:val="auto"/>
        </w:rPr>
        <w:t>. The Lenders severally agree to indemnify upon demand the Agents, the Issuing Banks, the Swing Line Lenders and each Related Party of any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Arial" w:cs="Arial" w:eastAsia="Arial" w:hAnsi="Arial"/>
          <w:sz w:val="12"/>
          <w:szCs w:val="12"/>
          <w:i w:val="1"/>
          <w:iCs w:val="1"/>
          <w:color w:val="auto"/>
        </w:rPr>
        <w:t>provided further, however,</w:t>
      </w:r>
      <w:r>
        <w:rPr>
          <w:rFonts w:ascii="Arial" w:cs="Arial" w:eastAsia="Arial" w:hAnsi="Arial"/>
          <w:sz w:val="12"/>
          <w:szCs w:val="12"/>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34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8.09</w:t>
      </w:r>
      <w:r>
        <w:rPr>
          <w:sz w:val="20"/>
          <w:szCs w:val="20"/>
          <w:color w:val="auto"/>
        </w:rPr>
        <w:tab/>
      </w:r>
      <w:r>
        <w:rPr>
          <w:rFonts w:ascii="Arial" w:cs="Arial" w:eastAsia="Arial" w:hAnsi="Arial"/>
          <w:sz w:val="12"/>
          <w:szCs w:val="12"/>
          <w:b w:val="1"/>
          <w:bCs w:val="1"/>
          <w:i w:val="1"/>
          <w:iCs w:val="1"/>
          <w:color w:val="auto"/>
        </w:rPr>
        <w:t>Collateral and Guaranty Matters</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69" w:lineRule="auto"/>
        <w:tabs>
          <w:tab w:leader="none" w:pos="894" w:val="left"/>
        </w:tabs>
        <w:numPr>
          <w:ilvl w:val="0"/>
          <w:numId w:val="163"/>
        </w:numPr>
        <w:rPr>
          <w:rFonts w:ascii="Arial" w:cs="Arial" w:eastAsia="Arial" w:hAnsi="Arial"/>
          <w:sz w:val="14"/>
          <w:szCs w:val="14"/>
          <w:color w:val="auto"/>
        </w:rPr>
      </w:pPr>
      <w:r>
        <w:rPr>
          <w:rFonts w:ascii="Arial" w:cs="Arial" w:eastAsia="Arial" w:hAnsi="Arial"/>
          <w:sz w:val="14"/>
          <w:szCs w:val="14"/>
          <w:color w:val="auto"/>
        </w:rPr>
        <w:t>Each Lender (as a Lender and in its capacity as a potential provider of Banking Services or potential counterparty to a Hedging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80" w:name="page181"/>
    <w:bookmarkEnd w:id="180"/>
    <w:p>
      <w:pPr>
        <w:jc w:val="both"/>
        <w:ind w:firstLine="532"/>
        <w:spacing w:after="0" w:line="251" w:lineRule="auto"/>
        <w:tabs>
          <w:tab w:leader="none" w:pos="901" w:val="left"/>
        </w:tabs>
        <w:numPr>
          <w:ilvl w:val="0"/>
          <w:numId w:val="164"/>
        </w:numPr>
        <w:rPr>
          <w:rFonts w:ascii="Arial" w:cs="Arial" w:eastAsia="Arial" w:hAnsi="Arial"/>
          <w:sz w:val="15"/>
          <w:szCs w:val="15"/>
          <w:color w:val="auto"/>
        </w:rPr>
      </w:pPr>
      <w:r>
        <w:rPr>
          <w:rFonts w:ascii="Arial" w:cs="Arial" w:eastAsia="Arial" w:hAnsi="Arial"/>
          <w:sz w:val="15"/>
          <w:szCs w:val="15"/>
          <w:color w:val="auto"/>
        </w:rPr>
        <w:t>Each Lender (as a Lender and in its capacity as a potential provider of Banking Services or potential counterparty to a Hedging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58" w:lineRule="exact"/>
        <w:rPr>
          <w:rFonts w:ascii="Arial" w:cs="Arial" w:eastAsia="Arial" w:hAnsi="Arial"/>
          <w:sz w:val="15"/>
          <w:szCs w:val="15"/>
          <w:color w:val="auto"/>
        </w:rPr>
      </w:pPr>
    </w:p>
    <w:p>
      <w:pPr>
        <w:ind w:left="540" w:firstLine="517"/>
        <w:spacing w:after="0" w:line="259" w:lineRule="auto"/>
        <w:tabs>
          <w:tab w:leader="none" w:pos="1415"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release any Lien on any property granted to or held by the Collateral Agent under any Security Document (i) as provided in Section 6.03, Section 6.05, Section 9.20 or any Security Document or (ii) subject to Section 9.08, if approved, authorized or ratified in writing by the Required Lenders;</w:t>
      </w:r>
    </w:p>
    <w:p>
      <w:pPr>
        <w:spacing w:after="0" w:line="152" w:lineRule="exact"/>
        <w:rPr>
          <w:rFonts w:ascii="Arial" w:cs="Arial" w:eastAsia="Arial" w:hAnsi="Arial"/>
          <w:sz w:val="15"/>
          <w:szCs w:val="15"/>
          <w:color w:val="auto"/>
        </w:rPr>
      </w:pPr>
    </w:p>
    <w:p>
      <w:pPr>
        <w:ind w:left="540" w:firstLine="517"/>
        <w:spacing w:after="0" w:line="259" w:lineRule="auto"/>
        <w:tabs>
          <w:tab w:leader="none" w:pos="1438"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52" w:lineRule="exact"/>
        <w:rPr>
          <w:rFonts w:ascii="Arial" w:cs="Arial" w:eastAsia="Arial" w:hAnsi="Arial"/>
          <w:sz w:val="15"/>
          <w:szCs w:val="15"/>
          <w:color w:val="auto"/>
        </w:rPr>
      </w:pPr>
    </w:p>
    <w:p>
      <w:pPr>
        <w:ind w:left="540" w:firstLine="517"/>
        <w:spacing w:after="0" w:line="259" w:lineRule="auto"/>
        <w:tabs>
          <w:tab w:leader="none" w:pos="1537"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take any action in exigent circumstances as may be reasonably necessary to preserve any rights or privileges of the Secured Parties under the Loan Documents or applicable law; and</w:t>
      </w:r>
    </w:p>
    <w:p>
      <w:pPr>
        <w:spacing w:after="0" w:line="152" w:lineRule="exact"/>
        <w:rPr>
          <w:rFonts w:ascii="Arial" w:cs="Arial" w:eastAsia="Arial" w:hAnsi="Arial"/>
          <w:sz w:val="15"/>
          <w:szCs w:val="15"/>
          <w:color w:val="auto"/>
        </w:rPr>
      </w:pPr>
    </w:p>
    <w:p>
      <w:pPr>
        <w:ind w:left="540" w:firstLine="517"/>
        <w:spacing w:after="0" w:line="259" w:lineRule="auto"/>
        <w:tabs>
          <w:tab w:leader="none" w:pos="1476"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to subordinate any Lien on any property granted to or held by the Collateral Agent under any Loan Document to the holder of any Lien on such property that is permitted by Section 6.01(d), 6.01(f) or 6.01(g).</w:t>
      </w:r>
    </w:p>
    <w:p>
      <w:pPr>
        <w:spacing w:after="0" w:line="152" w:lineRule="exact"/>
        <w:rPr>
          <w:rFonts w:ascii="Arial" w:cs="Arial" w:eastAsia="Arial" w:hAnsi="Arial"/>
          <w:sz w:val="15"/>
          <w:szCs w:val="15"/>
          <w:color w:val="auto"/>
        </w:rPr>
      </w:pPr>
    </w:p>
    <w:p>
      <w:pPr>
        <w:ind w:firstLine="532"/>
        <w:spacing w:after="0" w:line="259" w:lineRule="auto"/>
        <w:tabs>
          <w:tab w:leader="none" w:pos="911" w:val="left"/>
        </w:tabs>
        <w:numPr>
          <w:ilvl w:val="0"/>
          <w:numId w:val="164"/>
        </w:numPr>
        <w:rPr>
          <w:rFonts w:ascii="Arial" w:cs="Arial" w:eastAsia="Arial" w:hAnsi="Arial"/>
          <w:sz w:val="15"/>
          <w:szCs w:val="15"/>
          <w:color w:val="auto"/>
        </w:rPr>
      </w:pPr>
      <w:r>
        <w:rPr>
          <w:rFonts w:ascii="Arial" w:cs="Arial" w:eastAsia="Arial" w:hAnsi="Arial"/>
          <w:sz w:val="15"/>
          <w:szCs w:val="15"/>
          <w:color w:val="auto"/>
        </w:rPr>
        <w:t>Upon the request of the Collateral Agent at any time, the Secured Parties will confirm in writing the Collateral Agent’s authority to release particular types or items of Collateral pursuant to this Section 8.09.</w:t>
      </w:r>
    </w:p>
    <w:p>
      <w:pPr>
        <w:spacing w:after="0" w:line="152" w:lineRule="exact"/>
        <w:rPr>
          <w:rFonts w:ascii="Arial" w:cs="Arial" w:eastAsia="Arial" w:hAnsi="Arial"/>
          <w:sz w:val="15"/>
          <w:szCs w:val="15"/>
          <w:color w:val="auto"/>
        </w:rPr>
      </w:pPr>
    </w:p>
    <w:p>
      <w:pPr>
        <w:jc w:val="both"/>
        <w:ind w:firstLine="532"/>
        <w:spacing w:after="0" w:line="315" w:lineRule="auto"/>
        <w:tabs>
          <w:tab w:leader="none" w:pos="904" w:val="left"/>
        </w:tabs>
        <w:numPr>
          <w:ilvl w:val="0"/>
          <w:numId w:val="164"/>
        </w:numPr>
        <w:rPr>
          <w:rFonts w:ascii="Arial" w:cs="Arial" w:eastAsia="Arial" w:hAnsi="Arial"/>
          <w:sz w:val="12"/>
          <w:szCs w:val="12"/>
          <w:color w:val="auto"/>
        </w:rPr>
      </w:pPr>
      <w:r>
        <w:rPr>
          <w:rFonts w:ascii="Arial" w:cs="Arial" w:eastAsia="Arial" w:hAnsi="Arial"/>
          <w:sz w:val="12"/>
          <w:szCs w:val="12"/>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81" w:name="page182"/>
    <w:bookmarkEnd w:id="181"/>
    <w:p>
      <w:pPr>
        <w:jc w:val="both"/>
        <w:ind w:firstLine="532"/>
        <w:spacing w:after="0" w:line="266" w:lineRule="auto"/>
        <w:tabs>
          <w:tab w:leader="none" w:pos="896"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U.S. Borrower or selected by an Agent in good faith.</w:t>
      </w:r>
    </w:p>
    <w:p>
      <w:pPr>
        <w:spacing w:after="0" w:line="146" w:lineRule="exact"/>
        <w:rPr>
          <w:sz w:val="20"/>
          <w:szCs w:val="20"/>
          <w:color w:val="auto"/>
        </w:rPr>
      </w:pPr>
    </w:p>
    <w:p>
      <w:pPr>
        <w:jc w:val="both"/>
        <w:ind w:firstLine="525"/>
        <w:spacing w:after="0" w:line="300" w:lineRule="auto"/>
        <w:rPr>
          <w:sz w:val="20"/>
          <w:szCs w:val="20"/>
          <w:color w:val="auto"/>
        </w:rPr>
      </w:pPr>
      <w:r>
        <w:rPr>
          <w:rFonts w:ascii="Arial" w:cs="Arial" w:eastAsia="Arial" w:hAnsi="Arial"/>
          <w:sz w:val="14"/>
          <w:szCs w:val="14"/>
          <w:b w:val="1"/>
          <w:bCs w:val="1"/>
          <w:color w:val="auto"/>
        </w:rPr>
        <w:t xml:space="preserve">SECTION 8.10 </w:t>
      </w:r>
      <w:r>
        <w:rPr>
          <w:rFonts w:ascii="Arial" w:cs="Arial" w:eastAsia="Arial" w:hAnsi="Arial"/>
          <w:sz w:val="14"/>
          <w:szCs w:val="14"/>
          <w:b w:val="1"/>
          <w:bCs w:val="1"/>
          <w:i w:val="1"/>
          <w:iCs w:val="1"/>
          <w:color w:val="auto"/>
        </w:rPr>
        <w:t>No Other Duties, etc</w:t>
      </w:r>
      <w:r>
        <w:rPr>
          <w:rFonts w:ascii="Arial" w:cs="Arial" w:eastAsia="Arial" w:hAnsi="Arial"/>
          <w:sz w:val="14"/>
          <w:szCs w:val="14"/>
          <w:color w:val="auto"/>
        </w:rPr>
        <w:t>. Anything herein to the contrary notwithstanding, the Lead Arranger and the Sole Bookrunner listed on the cover page hereof shall not have any</w:t>
      </w:r>
      <w:r>
        <w:rPr>
          <w:rFonts w:ascii="Arial" w:cs="Arial" w:eastAsia="Arial" w:hAnsi="Arial"/>
          <w:sz w:val="14"/>
          <w:szCs w:val="14"/>
          <w:b w:val="1"/>
          <w:bCs w:val="1"/>
          <w:color w:val="auto"/>
        </w:rPr>
        <w:t xml:space="preserve"> </w:t>
      </w:r>
      <w:r>
        <w:rPr>
          <w:rFonts w:ascii="Arial" w:cs="Arial" w:eastAsia="Arial" w:hAnsi="Arial"/>
          <w:sz w:val="14"/>
          <w:szCs w:val="14"/>
          <w:color w:val="auto"/>
        </w:rPr>
        <w:t>powers, duties or responsibilities under this Agreement or any of the other Loan Documents, except in its capacity, as applicable, as an Agent, a Lender or an Issuing Bank.</w:t>
      </w:r>
    </w:p>
    <w:p>
      <w:pPr>
        <w:spacing w:after="0" w:line="166"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8.11 </w:t>
      </w:r>
      <w:r>
        <w:rPr>
          <w:rFonts w:ascii="Arial" w:cs="Arial" w:eastAsia="Arial" w:hAnsi="Arial"/>
          <w:sz w:val="14"/>
          <w:szCs w:val="14"/>
          <w:b w:val="1"/>
          <w:bCs w:val="1"/>
          <w:i w:val="1"/>
          <w:iCs w:val="1"/>
          <w:color w:val="auto"/>
        </w:rPr>
        <w:t>Agents May File Proofs of Claim</w:t>
      </w:r>
      <w:r>
        <w:rPr>
          <w:rFonts w:ascii="Arial" w:cs="Arial" w:eastAsia="Arial" w:hAnsi="Arial"/>
          <w:sz w:val="14"/>
          <w:szCs w:val="14"/>
          <w:color w:val="auto"/>
        </w:rPr>
        <w:t>. In case of the pendency of any proceeding under any Insolvency Law or any other judicial proceeding relative to any Loan Party, the</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84" w:lineRule="exact"/>
        <w:rPr>
          <w:sz w:val="20"/>
          <w:szCs w:val="20"/>
          <w:color w:val="auto"/>
        </w:rPr>
      </w:pPr>
    </w:p>
    <w:p>
      <w:pPr>
        <w:jc w:val="both"/>
        <w:ind w:firstLine="532"/>
        <w:spacing w:after="0" w:line="247" w:lineRule="auto"/>
        <w:tabs>
          <w:tab w:leader="none" w:pos="931"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to file and prove a claim for the whole amount of the principal and interest owing and unpaid in respect of the Loans, L/C Disbursements and all other Obligations (other than obligations of the U.S. Borrower or its Subsidiaries owing to any Lender or Affiliate thereof party to any Hedging Agreement or any Banking Services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82" w:name="page183"/>
    <w:bookmarkEnd w:id="182"/>
    <w:p>
      <w:pPr>
        <w:ind w:left="880" w:hanging="348"/>
        <w:spacing w:after="0"/>
        <w:tabs>
          <w:tab w:leader="none" w:pos="8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Miscellaneous</w:t>
      </w:r>
    </w:p>
    <w:p>
      <w:pPr>
        <w:spacing w:after="0" w:line="17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9.01</w:t>
      </w:r>
      <w:r>
        <w:rPr>
          <w:sz w:val="20"/>
          <w:szCs w:val="20"/>
          <w:color w:val="auto"/>
        </w:rPr>
        <w:tab/>
      </w:r>
      <w:r>
        <w:rPr>
          <w:rFonts w:ascii="Arial" w:cs="Arial" w:eastAsia="Arial" w:hAnsi="Arial"/>
          <w:sz w:val="12"/>
          <w:szCs w:val="12"/>
          <w:b w:val="1"/>
          <w:bCs w:val="1"/>
          <w:i w:val="1"/>
          <w:iCs w:val="1"/>
          <w:color w:val="auto"/>
        </w:rPr>
        <w:t>Notices</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51" w:lineRule="auto"/>
        <w:tabs>
          <w:tab w:leader="none" w:pos="901"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 xml:space="preserve">Notices Generally. </w:t>
      </w:r>
      <w:r>
        <w:rPr>
          <w:rFonts w:ascii="Arial" w:cs="Arial" w:eastAsia="Arial" w:hAnsi="Arial"/>
          <w:sz w:val="15"/>
          <w:szCs w:val="15"/>
          <w:color w:val="auto"/>
        </w:rPr>
        <w:t>Except in the case of notices and other communications expressly permitted to be given by telephone (and except as provided in paragraph (b) below), notices</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58" w:lineRule="exact"/>
        <w:rPr>
          <w:rFonts w:ascii="Arial" w:cs="Arial" w:eastAsia="Arial" w:hAnsi="Arial"/>
          <w:sz w:val="15"/>
          <w:szCs w:val="15"/>
          <w:color w:val="auto"/>
        </w:rPr>
      </w:pPr>
    </w:p>
    <w:p>
      <w:pPr>
        <w:ind w:left="1380" w:hanging="323"/>
        <w:spacing w:after="0"/>
        <w:tabs>
          <w:tab w:leader="none" w:pos="1380" w:val="left"/>
        </w:tabs>
        <w:numPr>
          <w:ilvl w:val="1"/>
          <w:numId w:val="168"/>
        </w:numPr>
        <w:rPr>
          <w:rFonts w:ascii="Arial" w:cs="Arial" w:eastAsia="Arial" w:hAnsi="Arial"/>
          <w:sz w:val="12"/>
          <w:szCs w:val="12"/>
          <w:color w:val="auto"/>
        </w:rPr>
      </w:pPr>
      <w:r>
        <w:rPr>
          <w:rFonts w:ascii="Arial" w:cs="Arial" w:eastAsia="Arial" w:hAnsi="Arial"/>
          <w:sz w:val="12"/>
          <w:szCs w:val="12"/>
          <w:color w:val="auto"/>
        </w:rPr>
        <w:t>if to the U.S. Borrower, to it at Three Allen Center, 333 Clay Street, Suite 4980, Houston, Texas 77002, Attention of Chief Financial Officer (Fax No. (713) 651-0369);</w:t>
      </w:r>
    </w:p>
    <w:p>
      <w:pPr>
        <w:spacing w:after="0" w:line="211" w:lineRule="exact"/>
        <w:rPr>
          <w:rFonts w:ascii="Arial" w:cs="Arial" w:eastAsia="Arial" w:hAnsi="Arial"/>
          <w:sz w:val="12"/>
          <w:szCs w:val="12"/>
          <w:color w:val="auto"/>
        </w:rPr>
      </w:pPr>
    </w:p>
    <w:p>
      <w:pPr>
        <w:ind w:left="540" w:firstLine="517"/>
        <w:spacing w:after="0" w:line="259" w:lineRule="auto"/>
        <w:tabs>
          <w:tab w:leader="none" w:pos="1441"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if to either Canadian Borrower, to it at Civeo Canada Inc., at 3790 98th Street NW, Edmonton, Alberta T6E 6B4, Attention of Chief Financial Officer (Fax No. (780) 462-6784), with a copy to the U.S. Borrower at the address above;</w:t>
      </w:r>
    </w:p>
    <w:p>
      <w:pPr>
        <w:spacing w:after="0" w:line="152" w:lineRule="exact"/>
        <w:rPr>
          <w:rFonts w:ascii="Arial" w:cs="Arial" w:eastAsia="Arial" w:hAnsi="Arial"/>
          <w:sz w:val="15"/>
          <w:szCs w:val="15"/>
          <w:color w:val="auto"/>
        </w:rPr>
      </w:pPr>
    </w:p>
    <w:p>
      <w:pPr>
        <w:ind w:left="540" w:firstLine="517"/>
        <w:spacing w:after="0" w:line="259" w:lineRule="auto"/>
        <w:tabs>
          <w:tab w:leader="none" w:pos="1552"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if to the Australian Borrower, to it at Civeo Australia Pty Limited, c/o Civeo Corporation, Three Allen Center, 333 Clay Street, Suite 4980, Houston, Texas 77002, Attention of Chief Financial Officer (Fax No. (713) 462-6784);</w:t>
      </w:r>
    </w:p>
    <w:p>
      <w:pPr>
        <w:spacing w:after="0" w:line="152" w:lineRule="exact"/>
        <w:rPr>
          <w:rFonts w:ascii="Arial" w:cs="Arial" w:eastAsia="Arial" w:hAnsi="Arial"/>
          <w:sz w:val="15"/>
          <w:szCs w:val="15"/>
          <w:color w:val="auto"/>
        </w:rPr>
      </w:pPr>
    </w:p>
    <w:p>
      <w:pPr>
        <w:ind w:left="540" w:firstLine="517"/>
        <w:spacing w:after="0" w:line="259" w:lineRule="auto"/>
        <w:tabs>
          <w:tab w:leader="none" w:pos="1459"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if to the Administrative Agent or the U.S. Collateral Agent, to Royal Bank of Canada, at Three World Financial Center, 200 Vesey Street, New York, NY 10281-8098, with a copy to 3900 Williams Tower, 2800 Post Oak Blvd., Houston, Texas 77056, Attention: Jay Sartain;</w:t>
      </w:r>
    </w:p>
    <w:p>
      <w:pPr>
        <w:spacing w:after="0" w:line="152" w:lineRule="exact"/>
        <w:rPr>
          <w:rFonts w:ascii="Arial" w:cs="Arial" w:eastAsia="Arial" w:hAnsi="Arial"/>
          <w:sz w:val="15"/>
          <w:szCs w:val="15"/>
          <w:color w:val="auto"/>
        </w:rPr>
      </w:pPr>
    </w:p>
    <w:p>
      <w:pPr>
        <w:ind w:left="540" w:firstLine="517"/>
        <w:spacing w:after="0" w:line="259" w:lineRule="auto"/>
        <w:tabs>
          <w:tab w:leader="none" w:pos="1455"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if to the Canadian Administrative Agent or the Canadian Collateral Agent, to Royal Bank of Canada, at Three World Financial Center, 200 Vesey Street, New York, NY 10281-8098, with a copy to 3900 Williams Tower, 2800 Post Oak Blvd., Houston, Texas 77056, Attention: Jay Sartain;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83" w:name="page184"/>
    <w:bookmarkEnd w:id="183"/>
    <w:p>
      <w:pPr>
        <w:ind w:left="540" w:firstLine="517"/>
        <w:spacing w:after="0" w:line="259" w:lineRule="auto"/>
        <w:tabs>
          <w:tab w:leader="none" w:pos="1488"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if to the Australian Administrative Agent or the Australian Collateral Agent, to RBC Europe Limited, at RBC Europe Limited, Thames Court, One Queenhithe, London, EC4V 3DQ, United Kingdom, Attention: Manager Loans Agency, (Fax No. +44 20 7029 7914)</w:t>
      </w:r>
    </w:p>
    <w:p>
      <w:pPr>
        <w:spacing w:after="0" w:line="152" w:lineRule="exact"/>
        <w:rPr>
          <w:rFonts w:ascii="Arial" w:cs="Arial" w:eastAsia="Arial" w:hAnsi="Arial"/>
          <w:sz w:val="15"/>
          <w:szCs w:val="15"/>
          <w:color w:val="auto"/>
        </w:rPr>
      </w:pPr>
    </w:p>
    <w:p>
      <w:pPr>
        <w:ind w:left="1480" w:hanging="423"/>
        <w:spacing w:after="0"/>
        <w:tabs>
          <w:tab w:leader="none" w:pos="148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if to a Lender or an Issuing Bank, to it at its address (or fax number) set forth in its Administrative Questionnaire.</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provided that, any Lender shall be required only to provide notice of such change to the Applicable Borrower and the Applicable Administrative Agent.</w:t>
      </w:r>
    </w:p>
    <w:p>
      <w:pPr>
        <w:spacing w:after="0" w:line="162" w:lineRule="exact"/>
        <w:rPr>
          <w:sz w:val="20"/>
          <w:szCs w:val="20"/>
          <w:color w:val="auto"/>
        </w:rPr>
      </w:pPr>
    </w:p>
    <w:p>
      <w:pPr>
        <w:jc w:val="both"/>
        <w:ind w:firstLine="532"/>
        <w:spacing w:after="0" w:line="269" w:lineRule="auto"/>
        <w:tabs>
          <w:tab w:leader="none" w:pos="975" w:val="left"/>
        </w:tabs>
        <w:numPr>
          <w:ilvl w:val="0"/>
          <w:numId w:val="170"/>
        </w:numPr>
        <w:rPr>
          <w:rFonts w:ascii="Arial" w:cs="Arial" w:eastAsia="Arial" w:hAnsi="Arial"/>
          <w:sz w:val="14"/>
          <w:szCs w:val="14"/>
          <w:color w:val="auto"/>
        </w:rPr>
      </w:pPr>
      <w:r>
        <w:rPr>
          <w:rFonts w:ascii="Arial" w:cs="Arial" w:eastAsia="Arial" w:hAnsi="Arial"/>
          <w:sz w:val="14"/>
          <w:szCs w:val="14"/>
          <w:i w:val="1"/>
          <w:iCs w:val="1"/>
          <w:color w:val="auto"/>
        </w:rPr>
        <w:t>Electronic Communications</w:t>
      </w:r>
      <w:r>
        <w:rPr>
          <w:rFonts w:ascii="Arial" w:cs="Arial" w:eastAsia="Arial" w:hAnsi="Arial"/>
          <w:sz w:val="14"/>
          <w:szCs w:val="14"/>
          <w:color w:val="auto"/>
        </w:rPr>
        <w:t>. Notices and other communications to the Lenders and the Issuing Banks hereunder may be delivered or furnished by electronic communication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(including e-mail and Internet or intranet websites) pursuant to procedures approved by the Applicable Administrative Agent,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approval of such procedures may be limited to particular notices or communications.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7" w:lineRule="exact"/>
        <w:rPr>
          <w:sz w:val="20"/>
          <w:szCs w:val="20"/>
          <w:color w:val="auto"/>
        </w:rPr>
      </w:pPr>
    </w:p>
    <w:p>
      <w:pPr>
        <w:jc w:val="both"/>
        <w:ind w:firstLine="532"/>
        <w:spacing w:after="0" w:line="248" w:lineRule="auto"/>
        <w:tabs>
          <w:tab w:leader="none" w:pos="879"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Effectiveness of Facsimile Documents and Signatures</w:t>
      </w:r>
      <w:r>
        <w:rPr>
          <w:rFonts w:ascii="Arial" w:cs="Arial" w:eastAsia="Arial" w:hAnsi="Arial"/>
          <w:sz w:val="15"/>
          <w:szCs w:val="15"/>
          <w:color w:val="auto"/>
        </w:rPr>
        <w:t>. Loan Documents may be transmitted and/or signed by facsimile or in electronic (i.e., “pdf” or “tif”) format. The 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failure to request or deliver the same shall not limit the effectiveness of any facsimile document or signature.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84" w:name="page185"/>
    <w:bookmarkEnd w:id="184"/>
    <w:p>
      <w:pPr>
        <w:jc w:val="both"/>
        <w:ind w:firstLine="532"/>
        <w:spacing w:after="0" w:line="264" w:lineRule="auto"/>
        <w:tabs>
          <w:tab w:leader="none" w:pos="898"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The Platform</w:t>
      </w:r>
      <w:r>
        <w:rPr>
          <w:rFonts w:ascii="Arial" w:cs="Arial" w:eastAsia="Arial" w:hAnsi="Arial"/>
          <w:sz w:val="14"/>
          <w:szCs w:val="14"/>
          <w:color w:val="auto"/>
        </w:rPr>
        <w:t>. THE PLATFORM IS PROVIDED “AS IS” AND “AS AVAILABLE.” THE AGENT PARTIES (AS DEFINED BELOW) DO NOT WARRANT THE ACCURACY</w:t>
      </w:r>
      <w:r>
        <w:rPr>
          <w:rFonts w:ascii="Arial" w:cs="Arial" w:eastAsia="Arial" w:hAnsi="Arial"/>
          <w:sz w:val="14"/>
          <w:szCs w:val="14"/>
          <w:i w:val="1"/>
          <w:iCs w:val="1"/>
          <w:color w:val="auto"/>
        </w:rPr>
        <w:t xml:space="preserve"> </w:t>
      </w:r>
      <w:r>
        <w:rPr>
          <w:rFonts w:ascii="Arial" w:cs="Arial" w:eastAsia="Arial" w:hAnsi="Arial"/>
          <w:sz w:val="14"/>
          <w:szCs w:val="14"/>
          <w:color w:val="auto"/>
        </w:rPr>
        <w:t>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Arial" w:cs="Arial" w:eastAsia="Arial" w:hAnsi="Arial"/>
          <w:sz w:val="14"/>
          <w:szCs w:val="14"/>
          <w:u w:val="single" w:color="auto"/>
          <w:color w:val="auto"/>
        </w:rPr>
        <w:t>Agent Parties</w:t>
      </w:r>
      <w:r>
        <w:rPr>
          <w:rFonts w:ascii="Arial" w:cs="Arial" w:eastAsia="Arial" w:hAnsi="Arial"/>
          <w:sz w:val="14"/>
          <w:szCs w:val="14"/>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152" w:lineRule="exact"/>
        <w:rPr>
          <w:rFonts w:ascii="Arial" w:cs="Arial" w:eastAsia="Arial" w:hAnsi="Arial"/>
          <w:sz w:val="14"/>
          <w:szCs w:val="14"/>
          <w:color w:val="auto"/>
        </w:rPr>
      </w:pPr>
    </w:p>
    <w:p>
      <w:pPr>
        <w:jc w:val="both"/>
        <w:ind w:firstLine="532"/>
        <w:spacing w:after="0" w:line="267" w:lineRule="auto"/>
        <w:tabs>
          <w:tab w:leader="none" w:pos="923"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Reliance by Agents, Issuing Banks and Lenders</w:t>
      </w:r>
      <w:r>
        <w:rPr>
          <w:rFonts w:ascii="Arial" w:cs="Arial" w:eastAsia="Arial" w:hAnsi="Arial"/>
          <w:sz w:val="14"/>
          <w:szCs w:val="14"/>
          <w:color w:val="auto"/>
        </w:rPr>
        <w:t>. Each of the Agents, Issuing Banks and the Lenders shall be entitled to rely and act upon any notices (including telephonic and</w:t>
      </w:r>
      <w:r>
        <w:rPr>
          <w:rFonts w:ascii="Arial" w:cs="Arial" w:eastAsia="Arial" w:hAnsi="Arial"/>
          <w:sz w:val="14"/>
          <w:szCs w:val="14"/>
          <w:i w:val="1"/>
          <w:iCs w:val="1"/>
          <w:color w:val="auto"/>
        </w:rPr>
        <w:t xml:space="preserve"> </w:t>
      </w:r>
      <w:r>
        <w:rPr>
          <w:rFonts w:ascii="Arial" w:cs="Arial" w:eastAsia="Arial" w:hAnsi="Arial"/>
          <w:sz w:val="14"/>
          <w:szCs w:val="14"/>
          <w:color w:val="auto"/>
        </w:rPr>
        <w:t>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the Borrower. All telephonic notices to and other communications with any Agent, Issuing Bank or Lender may be recorded by such Agent, Issuing Bank or Lender, and each of the parties hereto hereby consents to such recording.</w:t>
      </w:r>
    </w:p>
    <w:p>
      <w:pPr>
        <w:spacing w:after="0" w:line="145" w:lineRule="exact"/>
        <w:rPr>
          <w:sz w:val="20"/>
          <w:szCs w:val="20"/>
          <w:color w:val="auto"/>
        </w:rPr>
      </w:pPr>
    </w:p>
    <w:p>
      <w:pPr>
        <w:jc w:val="both"/>
        <w:ind w:firstLine="525"/>
        <w:spacing w:after="0" w:line="318" w:lineRule="auto"/>
        <w:rPr>
          <w:sz w:val="20"/>
          <w:szCs w:val="20"/>
          <w:color w:val="auto"/>
        </w:rPr>
      </w:pPr>
      <w:r>
        <w:rPr>
          <w:rFonts w:ascii="Arial" w:cs="Arial" w:eastAsia="Arial" w:hAnsi="Arial"/>
          <w:sz w:val="12"/>
          <w:szCs w:val="12"/>
          <w:b w:val="1"/>
          <w:bCs w:val="1"/>
          <w:color w:val="auto"/>
        </w:rPr>
        <w:t xml:space="preserve">SECTION 9.02 </w:t>
      </w:r>
      <w:r>
        <w:rPr>
          <w:rFonts w:ascii="Arial" w:cs="Arial" w:eastAsia="Arial" w:hAnsi="Arial"/>
          <w:sz w:val="12"/>
          <w:szCs w:val="12"/>
          <w:b w:val="1"/>
          <w:bCs w:val="1"/>
          <w:i w:val="1"/>
          <w:iCs w:val="1"/>
          <w:color w:val="auto"/>
        </w:rPr>
        <w:t>Survival of Agreement</w:t>
      </w:r>
      <w:r>
        <w:rPr>
          <w:rFonts w:ascii="Arial" w:cs="Arial" w:eastAsia="Arial" w:hAnsi="Arial"/>
          <w:sz w:val="12"/>
          <w:szCs w:val="12"/>
          <w:color w:val="auto"/>
        </w:rPr>
        <w:t>. All covenants, agreements, representations and warranties made by a Borrower herein and in the certificates or other instruments prepared or</w:t>
      </w:r>
      <w:r>
        <w:rPr>
          <w:rFonts w:ascii="Arial" w:cs="Arial" w:eastAsia="Arial" w:hAnsi="Arial"/>
          <w:sz w:val="12"/>
          <w:szCs w:val="12"/>
          <w:b w:val="1"/>
          <w:bCs w:val="1"/>
          <w:color w:val="auto"/>
        </w:rPr>
        <w:t xml:space="preserve"> </w:t>
      </w:r>
      <w:r>
        <w:rPr>
          <w:rFonts w:ascii="Arial" w:cs="Arial" w:eastAsia="Arial" w:hAnsi="Arial"/>
          <w:sz w:val="12"/>
          <w:szCs w:val="12"/>
          <w:color w:val="auto"/>
        </w:rPr>
        <w:t>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85" w:name="page186"/>
    <w:bookmarkEnd w:id="185"/>
    <w:p>
      <w:pPr>
        <w:ind w:firstLine="525"/>
        <w:spacing w:after="0" w:line="264" w:lineRule="auto"/>
        <w:rPr>
          <w:sz w:val="20"/>
          <w:szCs w:val="20"/>
          <w:color w:val="auto"/>
        </w:rPr>
      </w:pPr>
      <w:r>
        <w:rPr>
          <w:rFonts w:ascii="Arial" w:cs="Arial" w:eastAsia="Arial" w:hAnsi="Arial"/>
          <w:sz w:val="15"/>
          <w:szCs w:val="15"/>
          <w:b w:val="1"/>
          <w:bCs w:val="1"/>
          <w:color w:val="auto"/>
        </w:rPr>
        <w:t xml:space="preserve">SECTION 9.03 </w:t>
      </w:r>
      <w:r>
        <w:rPr>
          <w:rFonts w:ascii="Arial" w:cs="Arial" w:eastAsia="Arial" w:hAnsi="Arial"/>
          <w:sz w:val="15"/>
          <w:szCs w:val="15"/>
          <w:b w:val="1"/>
          <w:bCs w:val="1"/>
          <w:i w:val="1"/>
          <w:iCs w:val="1"/>
          <w:color w:val="auto"/>
        </w:rPr>
        <w:t>Binding Effect</w:t>
      </w:r>
      <w:r>
        <w:rPr>
          <w:rFonts w:ascii="Arial" w:cs="Arial" w:eastAsia="Arial" w:hAnsi="Arial"/>
          <w:sz w:val="15"/>
          <w:szCs w:val="15"/>
          <w:color w:val="auto"/>
        </w:rPr>
        <w:t>. This Agreement shall become effective when it shall have been executed by the Borrowers and the Administrative Agent and when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shall have received counterparts hereof which, when taken together, bear the signatures of each of the other parties hereto.</w:t>
      </w:r>
    </w:p>
    <w:p>
      <w:pPr>
        <w:spacing w:after="0" w:line="18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9.04</w:t>
      </w:r>
      <w:r>
        <w:rPr>
          <w:sz w:val="20"/>
          <w:szCs w:val="20"/>
          <w:color w:val="auto"/>
        </w:rPr>
        <w:tab/>
      </w:r>
      <w:r>
        <w:rPr>
          <w:rFonts w:ascii="Arial" w:cs="Arial" w:eastAsia="Arial" w:hAnsi="Arial"/>
          <w:sz w:val="12"/>
          <w:szCs w:val="12"/>
          <w:b w:val="1"/>
          <w:bCs w:val="1"/>
          <w:i w:val="1"/>
          <w:iCs w:val="1"/>
          <w:color w:val="auto"/>
        </w:rPr>
        <w:t>Successors and Assigns</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265" w:lineRule="auto"/>
        <w:tabs>
          <w:tab w:leader="none" w:pos="934" w:val="left"/>
        </w:tabs>
        <w:numPr>
          <w:ilvl w:val="0"/>
          <w:numId w:val="173"/>
        </w:numPr>
        <w:rPr>
          <w:rFonts w:ascii="Arial" w:cs="Arial" w:eastAsia="Arial" w:hAnsi="Arial"/>
          <w:sz w:val="14"/>
          <w:szCs w:val="14"/>
          <w:color w:val="auto"/>
        </w:rPr>
      </w:pPr>
      <w:r>
        <w:rPr>
          <w:rFonts w:ascii="Arial" w:cs="Arial" w:eastAsia="Arial" w:hAnsi="Arial"/>
          <w:sz w:val="14"/>
          <w:szCs w:val="14"/>
          <w:i w:val="1"/>
          <w:iCs w:val="1"/>
          <w:color w:val="auto"/>
        </w:rPr>
        <w:t>Generally</w:t>
      </w:r>
      <w:r>
        <w:rPr>
          <w:rFonts w:ascii="Arial" w:cs="Arial" w:eastAsia="Arial" w:hAnsi="Arial"/>
          <w:sz w:val="14"/>
          <w:szCs w:val="14"/>
          <w:color w:val="auto"/>
        </w:rPr>
        <w:t>. The terms and provisions of this Agreement and the other Loan Documents shall be binding upon and inure to the benefit of the parties hereto and their respective</w:t>
      </w:r>
      <w:r>
        <w:rPr>
          <w:rFonts w:ascii="Arial" w:cs="Arial" w:eastAsia="Arial" w:hAnsi="Arial"/>
          <w:sz w:val="14"/>
          <w:szCs w:val="14"/>
          <w:i w:val="1"/>
          <w:iCs w:val="1"/>
          <w:color w:val="auto"/>
        </w:rPr>
        <w:t xml:space="preserve"> </w:t>
      </w:r>
      <w:r>
        <w:rPr>
          <w:rFonts w:ascii="Arial" w:cs="Arial" w:eastAsia="Arial" w:hAnsi="Arial"/>
          <w:sz w:val="14"/>
          <w:szCs w:val="14"/>
          <w:color w:val="auto"/>
        </w:rPr>
        <w:t>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51" w:lineRule="exact"/>
        <w:rPr>
          <w:rFonts w:ascii="Arial" w:cs="Arial" w:eastAsia="Arial" w:hAnsi="Arial"/>
          <w:sz w:val="14"/>
          <w:szCs w:val="14"/>
          <w:color w:val="auto"/>
        </w:rPr>
      </w:pPr>
    </w:p>
    <w:p>
      <w:pPr>
        <w:jc w:val="both"/>
        <w:ind w:firstLine="532"/>
        <w:spacing w:after="0" w:line="251" w:lineRule="auto"/>
        <w:tabs>
          <w:tab w:leader="none" w:pos="887"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Assignments by Lenders</w:t>
      </w:r>
      <w:r>
        <w:rPr>
          <w:rFonts w:ascii="Arial" w:cs="Arial" w:eastAsia="Arial" w:hAnsi="Arial"/>
          <w:sz w:val="15"/>
          <w:szCs w:val="15"/>
          <w:color w:val="auto"/>
        </w:rPr>
        <w:t>. Any Lender may at any time assign to one or more Eligible Assignees all or a portion of its rights and obligations under this Agreement (including all or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portion of its Commitments (including, for purposes of this Section 9.04(b), participations in Letters of Credit and Swing Line Loans) and the Loans at the time owing to it);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assignment shall be subject to the following conditions:</w:t>
      </w:r>
    </w:p>
    <w:p>
      <w:pPr>
        <w:spacing w:after="0" w:line="158" w:lineRule="exact"/>
        <w:rPr>
          <w:rFonts w:ascii="Arial" w:cs="Arial" w:eastAsia="Arial" w:hAnsi="Arial"/>
          <w:sz w:val="15"/>
          <w:szCs w:val="15"/>
          <w:color w:val="auto"/>
        </w:rPr>
      </w:pPr>
    </w:p>
    <w:p>
      <w:pPr>
        <w:ind w:left="1380" w:hanging="323"/>
        <w:spacing w:after="0"/>
        <w:tabs>
          <w:tab w:leader="none" w:pos="1380" w:val="left"/>
        </w:tabs>
        <w:numPr>
          <w:ilvl w:val="1"/>
          <w:numId w:val="173"/>
        </w:numPr>
        <w:rPr>
          <w:rFonts w:ascii="Arial" w:cs="Arial" w:eastAsia="Arial" w:hAnsi="Arial"/>
          <w:sz w:val="15"/>
          <w:szCs w:val="15"/>
          <w:color w:val="auto"/>
        </w:rPr>
      </w:pPr>
      <w:r>
        <w:rPr>
          <w:rFonts w:ascii="Arial" w:cs="Arial" w:eastAsia="Arial" w:hAnsi="Arial"/>
          <w:sz w:val="15"/>
          <w:szCs w:val="15"/>
          <w:i w:val="1"/>
          <w:iCs w:val="1"/>
          <w:color w:val="auto"/>
        </w:rPr>
        <w:t>Minimum Amounts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left="1060" w:firstLine="521"/>
        <w:spacing w:after="0" w:line="294" w:lineRule="auto"/>
        <w:tabs>
          <w:tab w:leader="none" w:pos="2025" w:val="left"/>
        </w:tabs>
        <w:numPr>
          <w:ilvl w:val="2"/>
          <w:numId w:val="173"/>
        </w:numPr>
        <w:rPr>
          <w:rFonts w:ascii="Arial" w:cs="Arial" w:eastAsia="Arial" w:hAnsi="Arial"/>
          <w:sz w:val="14"/>
          <w:szCs w:val="14"/>
          <w:color w:val="auto"/>
        </w:rPr>
      </w:pPr>
      <w:r>
        <w:rPr>
          <w:rFonts w:ascii="Arial" w:cs="Arial" w:eastAsia="Arial" w:hAnsi="Arial"/>
          <w:sz w:val="14"/>
          <w:szCs w:val="14"/>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30" w:lineRule="exact"/>
        <w:rPr>
          <w:rFonts w:ascii="Arial" w:cs="Arial" w:eastAsia="Arial" w:hAnsi="Arial"/>
          <w:sz w:val="14"/>
          <w:szCs w:val="14"/>
          <w:color w:val="auto"/>
        </w:rPr>
      </w:pPr>
    </w:p>
    <w:p>
      <w:pPr>
        <w:jc w:val="both"/>
        <w:ind w:left="1060" w:firstLine="521"/>
        <w:spacing w:after="0" w:line="317" w:lineRule="auto"/>
        <w:tabs>
          <w:tab w:leader="none" w:pos="2017" w:val="left"/>
        </w:tabs>
        <w:numPr>
          <w:ilvl w:val="2"/>
          <w:numId w:val="173"/>
        </w:numPr>
        <w:rPr>
          <w:rFonts w:ascii="Arial" w:cs="Arial" w:eastAsia="Arial" w:hAnsi="Arial"/>
          <w:sz w:val="12"/>
          <w:szCs w:val="12"/>
          <w:color w:val="auto"/>
        </w:rPr>
      </w:pPr>
      <w:r>
        <w:rPr>
          <w:rFonts w:ascii="Arial" w:cs="Arial" w:eastAsia="Arial" w:hAnsi="Arial"/>
          <w:sz w:val="12"/>
          <w:szCs w:val="12"/>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U.S. Borrower otherwise consents (each such consent not to be unreasonably withheld or delayed);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86" w:name="page187"/>
    <w:bookmarkEnd w:id="186"/>
    <w:p>
      <w:pPr>
        <w:jc w:val="both"/>
        <w:ind w:firstLine="517"/>
        <w:spacing w:after="0" w:line="251" w:lineRule="auto"/>
        <w:tabs>
          <w:tab w:leader="none" w:pos="95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Proportionate Amounts</w:t>
      </w:r>
      <w:r>
        <w:rPr>
          <w:rFonts w:ascii="Arial" w:cs="Arial" w:eastAsia="Arial" w:hAnsi="Arial"/>
          <w:sz w:val="15"/>
          <w:szCs w:val="15"/>
          <w:color w:val="auto"/>
        </w:rPr>
        <w:t>. Each partial assignment shall be made as an assignment of a proportionate part of all the assigning Lender’s rights and obligations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with respect to the Loan or the Commitment assigned and shall be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among the separate Facilities of such Lender, except that this clause (ii) shall not apply to the Applicable Swing Line Lender’s rights and obligations in respect of Swing Line Loans.</w:t>
      </w:r>
    </w:p>
    <w:p>
      <w:pPr>
        <w:spacing w:after="0" w:line="158" w:lineRule="exact"/>
        <w:rPr>
          <w:rFonts w:ascii="Arial" w:cs="Arial" w:eastAsia="Arial" w:hAnsi="Arial"/>
          <w:sz w:val="15"/>
          <w:szCs w:val="15"/>
          <w:color w:val="auto"/>
        </w:rPr>
      </w:pPr>
    </w:p>
    <w:p>
      <w:pPr>
        <w:ind w:left="920" w:hanging="403"/>
        <w:spacing w:after="0"/>
        <w:tabs>
          <w:tab w:leader="none" w:pos="920" w:val="left"/>
        </w:tabs>
        <w:numPr>
          <w:ilvl w:val="0"/>
          <w:numId w:val="174"/>
        </w:numPr>
        <w:rPr>
          <w:rFonts w:ascii="Arial" w:cs="Arial" w:eastAsia="Arial" w:hAnsi="Arial"/>
          <w:sz w:val="14"/>
          <w:szCs w:val="14"/>
          <w:color w:val="auto"/>
        </w:rPr>
      </w:pPr>
      <w:r>
        <w:rPr>
          <w:rFonts w:ascii="Arial" w:cs="Arial" w:eastAsia="Arial" w:hAnsi="Arial"/>
          <w:sz w:val="14"/>
          <w:szCs w:val="14"/>
          <w:i w:val="1"/>
          <w:iCs w:val="1"/>
          <w:color w:val="auto"/>
        </w:rPr>
        <w:t>Required Consents</w:t>
      </w:r>
      <w:r>
        <w:rPr>
          <w:rFonts w:ascii="Arial" w:cs="Arial" w:eastAsia="Arial" w:hAnsi="Arial"/>
          <w:sz w:val="14"/>
          <w:szCs w:val="14"/>
          <w:color w:val="auto"/>
        </w:rPr>
        <w:t>. No consent shall be required for any assignment except to the extent required by paragraph (b)(i)(B) of this Section and, in addition:</w:t>
      </w:r>
    </w:p>
    <w:p>
      <w:pPr>
        <w:spacing w:after="0" w:line="188" w:lineRule="exact"/>
        <w:rPr>
          <w:rFonts w:ascii="Arial" w:cs="Arial" w:eastAsia="Arial" w:hAnsi="Arial"/>
          <w:sz w:val="14"/>
          <w:szCs w:val="14"/>
          <w:color w:val="auto"/>
        </w:rPr>
      </w:pPr>
    </w:p>
    <w:p>
      <w:pPr>
        <w:jc w:val="both"/>
        <w:ind w:left="520" w:firstLine="521"/>
        <w:spacing w:after="0" w:line="324" w:lineRule="auto"/>
        <w:tabs>
          <w:tab w:leader="none" w:pos="1452" w:val="left"/>
        </w:tabs>
        <w:numPr>
          <w:ilvl w:val="1"/>
          <w:numId w:val="174"/>
        </w:numPr>
        <w:rPr>
          <w:rFonts w:ascii="Arial" w:cs="Arial" w:eastAsia="Arial" w:hAnsi="Arial"/>
          <w:sz w:val="12"/>
          <w:szCs w:val="12"/>
          <w:color w:val="auto"/>
        </w:rPr>
      </w:pPr>
      <w:r>
        <w:rPr>
          <w:rFonts w:ascii="Arial" w:cs="Arial" w:eastAsia="Arial" w:hAnsi="Arial"/>
          <w:sz w:val="12"/>
          <w:szCs w:val="12"/>
          <w:color w:val="auto"/>
        </w:rPr>
        <w:t xml:space="preserve">the consent of the U.S. Borrower (such consent not to be unreasonably withheld or delayed) shall be required for assignments in respect of the U.S. Revolving Credit Facility, Canadian Revolving Credit Facility or Australian Revolving Credit Facility, if such assignment is to a person that is not a Lender under the U.S. Revolving Credit Facility, Canadian Revolving Credit Facility or Australian Revolving Credit Facility, an Affiliate of such Lender or any Approved Fund with respect to such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consent shall be required if an Event of Default shall have occurred and is continuing;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the U.S. Borrower shall fail to respond to a request for consent to an assignment within ten (10) Business Days following receipt of such request, the U.S. Borrower shall be deemed to have given such consent.</w:t>
      </w:r>
    </w:p>
    <w:p>
      <w:pPr>
        <w:spacing w:after="0" w:line="117" w:lineRule="exact"/>
        <w:rPr>
          <w:rFonts w:ascii="Arial" w:cs="Arial" w:eastAsia="Arial" w:hAnsi="Arial"/>
          <w:sz w:val="12"/>
          <w:szCs w:val="12"/>
          <w:color w:val="auto"/>
        </w:rPr>
      </w:pPr>
    </w:p>
    <w:p>
      <w:pPr>
        <w:jc w:val="both"/>
        <w:ind w:left="520" w:firstLine="521"/>
        <w:spacing w:after="0" w:line="271" w:lineRule="auto"/>
        <w:tabs>
          <w:tab w:leader="none" w:pos="1464" w:val="left"/>
        </w:tabs>
        <w:numPr>
          <w:ilvl w:val="1"/>
          <w:numId w:val="174"/>
        </w:numPr>
        <w:rPr>
          <w:rFonts w:ascii="Arial" w:cs="Arial" w:eastAsia="Arial" w:hAnsi="Arial"/>
          <w:sz w:val="14"/>
          <w:szCs w:val="14"/>
          <w:color w:val="auto"/>
        </w:rPr>
      </w:pPr>
      <w:r>
        <w:rPr>
          <w:rFonts w:ascii="Arial" w:cs="Arial" w:eastAsia="Arial" w:hAnsi="Arial"/>
          <w:sz w:val="14"/>
          <w:szCs w:val="14"/>
          <w:color w:val="auto"/>
        </w:rPr>
        <w:t>the consent of the Applicable Administrative Agent (such consent not to be unreasonably withheld or delayed) shall be required (1) for assignments in respect of the U.S. Revolving Credit Facility, Canadian Revolving Credit Facility or Australian Revolving Credit Facility if such assignment is to a person that is not a Lender under the U.S. Revolving Credit Facility, Canadian Revolving Credit Facility or Australian Revolving Credit Facility, an Affiliate of such Lender or an Approved Fund with respect to such Lender or (2) for assignments of U.S. Term Commitments to a person who is not a Lender, an Affiliate of a Lender or an Approved Fund;</w:t>
      </w:r>
    </w:p>
    <w:p>
      <w:pPr>
        <w:spacing w:after="0" w:line="344"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60960</wp:posOffset>
            </wp:positionV>
            <wp:extent cx="7292340" cy="33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0"/>
          </w:cols>
          <w:pgMar w:left="760" w:top="501" w:right="219" w:bottom="1440" w:gutter="0" w:footer="0" w:header="0"/>
        </w:sectPr>
      </w:pPr>
    </w:p>
    <w:bookmarkStart w:id="187" w:name="page188"/>
    <w:bookmarkEnd w:id="187"/>
    <w:p>
      <w:pPr>
        <w:ind w:left="1060" w:firstLine="521"/>
        <w:spacing w:after="0" w:line="259" w:lineRule="auto"/>
        <w:tabs>
          <w:tab w:leader="none" w:pos="1987"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the consent of each Issuing Bank (such consent not to be unreasonably withheld or delayed) shall be required for any assignment in respect of the U.S. Revolving Credit Facility, Canadian Revolving Credit Facility or Australian Revolving Credit Facility; and</w:t>
      </w:r>
    </w:p>
    <w:p>
      <w:pPr>
        <w:spacing w:after="0" w:line="152" w:lineRule="exact"/>
        <w:rPr>
          <w:rFonts w:ascii="Arial" w:cs="Arial" w:eastAsia="Arial" w:hAnsi="Arial"/>
          <w:sz w:val="15"/>
          <w:szCs w:val="15"/>
          <w:color w:val="auto"/>
        </w:rPr>
      </w:pPr>
    </w:p>
    <w:p>
      <w:pPr>
        <w:ind w:left="1060" w:firstLine="521"/>
        <w:spacing w:after="0" w:line="259" w:lineRule="auto"/>
        <w:tabs>
          <w:tab w:leader="none" w:pos="1952"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152" w:lineRule="exact"/>
        <w:rPr>
          <w:rFonts w:ascii="Arial" w:cs="Arial" w:eastAsia="Arial" w:hAnsi="Arial"/>
          <w:sz w:val="15"/>
          <w:szCs w:val="15"/>
          <w:color w:val="auto"/>
        </w:rPr>
      </w:pPr>
    </w:p>
    <w:p>
      <w:pPr>
        <w:jc w:val="both"/>
        <w:ind w:left="540" w:firstLine="517"/>
        <w:spacing w:after="0" w:line="269" w:lineRule="auto"/>
        <w:tabs>
          <w:tab w:leader="none" w:pos="1501" w:val="left"/>
        </w:tabs>
        <w:numPr>
          <w:ilvl w:val="0"/>
          <w:numId w:val="176"/>
        </w:numPr>
        <w:rPr>
          <w:rFonts w:ascii="Arial" w:cs="Arial" w:eastAsia="Arial" w:hAnsi="Arial"/>
          <w:sz w:val="14"/>
          <w:szCs w:val="14"/>
          <w:color w:val="auto"/>
        </w:rPr>
      </w:pPr>
      <w:r>
        <w:rPr>
          <w:rFonts w:ascii="Arial" w:cs="Arial" w:eastAsia="Arial" w:hAnsi="Arial"/>
          <w:sz w:val="14"/>
          <w:szCs w:val="14"/>
          <w:i w:val="1"/>
          <w:iCs w:val="1"/>
          <w:color w:val="auto"/>
        </w:rPr>
        <w:t>Assignment and Acceptance</w:t>
      </w:r>
      <w:r>
        <w:rPr>
          <w:rFonts w:ascii="Arial" w:cs="Arial" w:eastAsia="Arial" w:hAnsi="Arial"/>
          <w:sz w:val="14"/>
          <w:szCs w:val="14"/>
          <w:color w:val="auto"/>
        </w:rPr>
        <w:t>. The parties to each assignment shall execute and deliver to the Applicable Administrative Agent an Assignment and Acceptance,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with a processing and recordation fee of $3,500;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Applicable Administrative Agent may, in its sole discretion, elect to waive such processing and recordation fee in the case of any assignment;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46" w:lineRule="exact"/>
        <w:rPr>
          <w:rFonts w:ascii="Arial" w:cs="Arial" w:eastAsia="Arial" w:hAnsi="Arial"/>
          <w:sz w:val="14"/>
          <w:szCs w:val="14"/>
          <w:color w:val="auto"/>
        </w:rPr>
      </w:pPr>
    </w:p>
    <w:p>
      <w:pPr>
        <w:ind w:left="1400" w:hanging="343"/>
        <w:spacing w:after="0"/>
        <w:tabs>
          <w:tab w:leader="none" w:pos="1400" w:val="left"/>
        </w:tabs>
        <w:numPr>
          <w:ilvl w:val="0"/>
          <w:numId w:val="176"/>
        </w:numPr>
        <w:rPr>
          <w:rFonts w:ascii="Arial" w:cs="Arial" w:eastAsia="Arial" w:hAnsi="Arial"/>
          <w:sz w:val="15"/>
          <w:szCs w:val="15"/>
          <w:color w:val="auto"/>
        </w:rPr>
      </w:pPr>
      <w:r>
        <w:rPr>
          <w:rFonts w:ascii="Arial" w:cs="Arial" w:eastAsia="Arial" w:hAnsi="Arial"/>
          <w:sz w:val="15"/>
          <w:szCs w:val="15"/>
          <w:i w:val="1"/>
          <w:iCs w:val="1"/>
          <w:color w:val="auto"/>
        </w:rPr>
        <w:t>No Assignment to Borrower</w:t>
      </w:r>
      <w:r>
        <w:rPr>
          <w:rFonts w:ascii="Arial" w:cs="Arial" w:eastAsia="Arial" w:hAnsi="Arial"/>
          <w:sz w:val="15"/>
          <w:szCs w:val="15"/>
          <w:color w:val="auto"/>
        </w:rPr>
        <w:t>. No such assignment shall be made to the U.S. Borrower or any of the U.S. Borrower’s Affiliates or Subsidiaries.</w:t>
      </w:r>
    </w:p>
    <w:p>
      <w:pPr>
        <w:spacing w:after="0" w:line="177" w:lineRule="exact"/>
        <w:rPr>
          <w:rFonts w:ascii="Arial" w:cs="Arial" w:eastAsia="Arial" w:hAnsi="Arial"/>
          <w:sz w:val="15"/>
          <w:szCs w:val="15"/>
          <w:color w:val="auto"/>
        </w:rPr>
      </w:pPr>
    </w:p>
    <w:p>
      <w:pPr>
        <w:ind w:left="1440" w:hanging="383"/>
        <w:spacing w:after="0"/>
        <w:tabs>
          <w:tab w:leader="none" w:pos="1440" w:val="left"/>
        </w:tabs>
        <w:numPr>
          <w:ilvl w:val="0"/>
          <w:numId w:val="176"/>
        </w:numPr>
        <w:rPr>
          <w:rFonts w:ascii="Arial" w:cs="Arial" w:eastAsia="Arial" w:hAnsi="Arial"/>
          <w:sz w:val="15"/>
          <w:szCs w:val="15"/>
          <w:color w:val="auto"/>
        </w:rPr>
      </w:pPr>
      <w:r>
        <w:rPr>
          <w:rFonts w:ascii="Arial" w:cs="Arial" w:eastAsia="Arial" w:hAnsi="Arial"/>
          <w:sz w:val="15"/>
          <w:szCs w:val="15"/>
          <w:i w:val="1"/>
          <w:iCs w:val="1"/>
          <w:color w:val="auto"/>
        </w:rPr>
        <w:t>No Assignment to Natural Persons</w:t>
      </w:r>
      <w:r>
        <w:rPr>
          <w:rFonts w:ascii="Arial" w:cs="Arial" w:eastAsia="Arial" w:hAnsi="Arial"/>
          <w:sz w:val="15"/>
          <w:szCs w:val="15"/>
          <w:color w:val="auto"/>
        </w:rPr>
        <w:t>. No such assignment shall be made to a natural person.</w:t>
      </w:r>
    </w:p>
    <w:p>
      <w:pPr>
        <w:spacing w:after="0" w:line="177" w:lineRule="exact"/>
        <w:rPr>
          <w:rFonts w:ascii="Arial" w:cs="Arial" w:eastAsia="Arial" w:hAnsi="Arial"/>
          <w:sz w:val="15"/>
          <w:szCs w:val="15"/>
          <w:color w:val="auto"/>
        </w:rPr>
      </w:pPr>
    </w:p>
    <w:p>
      <w:pPr>
        <w:ind w:left="540" w:firstLine="517"/>
        <w:spacing w:after="0" w:line="259" w:lineRule="auto"/>
        <w:tabs>
          <w:tab w:leader="none" w:pos="1552" w:val="left"/>
        </w:tabs>
        <w:numPr>
          <w:ilvl w:val="0"/>
          <w:numId w:val="176"/>
        </w:numPr>
        <w:rPr>
          <w:rFonts w:ascii="Arial" w:cs="Arial" w:eastAsia="Arial" w:hAnsi="Arial"/>
          <w:sz w:val="15"/>
          <w:szCs w:val="15"/>
          <w:color w:val="auto"/>
        </w:rPr>
      </w:pPr>
      <w:r>
        <w:rPr>
          <w:rFonts w:ascii="Arial" w:cs="Arial" w:eastAsia="Arial" w:hAnsi="Arial"/>
          <w:sz w:val="15"/>
          <w:szCs w:val="15"/>
          <w:i w:val="1"/>
          <w:iCs w:val="1"/>
          <w:color w:val="auto"/>
        </w:rPr>
        <w:t>Defaulting Lenders</w:t>
      </w:r>
      <w:r>
        <w:rPr>
          <w:rFonts w:ascii="Arial" w:cs="Arial" w:eastAsia="Arial" w:hAnsi="Arial"/>
          <w:sz w:val="15"/>
          <w:szCs w:val="15"/>
          <w:color w:val="auto"/>
        </w:rPr>
        <w:t>. No assignment shall be made to any Defaulting Lender or any of its Subsidiaries, or any person who, upon becoming a Lender hereunder, would</w:t>
      </w:r>
      <w:r>
        <w:rPr>
          <w:rFonts w:ascii="Arial" w:cs="Arial" w:eastAsia="Arial" w:hAnsi="Arial"/>
          <w:sz w:val="15"/>
          <w:szCs w:val="15"/>
          <w:i w:val="1"/>
          <w:iCs w:val="1"/>
          <w:color w:val="auto"/>
        </w:rPr>
        <w:t xml:space="preserve"> </w:t>
      </w:r>
      <w:r>
        <w:rPr>
          <w:rFonts w:ascii="Arial" w:cs="Arial" w:eastAsia="Arial" w:hAnsi="Arial"/>
          <w:sz w:val="15"/>
          <w:szCs w:val="15"/>
          <w:color w:val="auto"/>
        </w:rPr>
        <w:t>constitute any of the foregoing persons.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88" w:name="page189"/>
    <w:bookmarkEnd w:id="188"/>
    <w:p>
      <w:pPr>
        <w:jc w:val="both"/>
        <w:spacing w:after="0" w:line="264" w:lineRule="auto"/>
        <w:rPr>
          <w:sz w:val="20"/>
          <w:szCs w:val="20"/>
          <w:color w:val="auto"/>
        </w:rPr>
      </w:pPr>
      <w:r>
        <w:rPr>
          <w:rFonts w:ascii="Arial" w:cs="Arial" w:eastAsia="Arial" w:hAnsi="Arial"/>
          <w:sz w:val="14"/>
          <w:szCs w:val="14"/>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U.S.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5" w:lineRule="exact"/>
        <w:rPr>
          <w:sz w:val="20"/>
          <w:szCs w:val="20"/>
          <w:color w:val="auto"/>
        </w:rPr>
      </w:pPr>
    </w:p>
    <w:p>
      <w:pPr>
        <w:jc w:val="both"/>
        <w:ind w:firstLine="532"/>
        <w:spacing w:after="0" w:line="267" w:lineRule="auto"/>
        <w:tabs>
          <w:tab w:leader="none" w:pos="912" w:val="left"/>
        </w:tabs>
        <w:numPr>
          <w:ilvl w:val="0"/>
          <w:numId w:val="177"/>
        </w:numPr>
        <w:rPr>
          <w:rFonts w:ascii="Arial" w:cs="Arial" w:eastAsia="Arial" w:hAnsi="Arial"/>
          <w:sz w:val="14"/>
          <w:szCs w:val="14"/>
          <w:color w:val="auto"/>
        </w:rPr>
      </w:pPr>
      <w:r>
        <w:rPr>
          <w:rFonts w:ascii="Arial" w:cs="Arial" w:eastAsia="Arial" w:hAnsi="Arial"/>
          <w:sz w:val="14"/>
          <w:szCs w:val="14"/>
          <w:i w:val="1"/>
          <w:iCs w:val="1"/>
          <w:color w:val="auto"/>
        </w:rPr>
        <w:t>Register</w:t>
      </w:r>
      <w:r>
        <w:rPr>
          <w:rFonts w:ascii="Arial" w:cs="Arial" w:eastAsia="Arial" w:hAnsi="Arial"/>
          <w:sz w:val="14"/>
          <w:szCs w:val="14"/>
          <w:color w:val="auto"/>
        </w:rPr>
        <w:t>. The Applicable Administrative Agent shall maintain at its Applicable Lending Office a copy of each Assignment and Acceptance delivered to and accepted by it and a</w:t>
      </w:r>
      <w:r>
        <w:rPr>
          <w:rFonts w:ascii="Arial" w:cs="Arial" w:eastAsia="Arial" w:hAnsi="Arial"/>
          <w:sz w:val="14"/>
          <w:szCs w:val="14"/>
          <w:i w:val="1"/>
          <w:iCs w:val="1"/>
          <w:color w:val="auto"/>
        </w:rPr>
        <w:t xml:space="preserve"> </w:t>
      </w:r>
      <w:r>
        <w:rPr>
          <w:rFonts w:ascii="Arial" w:cs="Arial" w:eastAsia="Arial" w:hAnsi="Arial"/>
          <w:sz w:val="14"/>
          <w:szCs w:val="14"/>
          <w:color w:val="auto"/>
        </w:rPr>
        <w:t>register for the recordation of the names and addresses of the Lenders and the Commitments of, and principal amount of the Loans owing to, each Lender from time to time (the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U.S. Borrower or any Lender at any reasonable time and from time to time upon reasonable prior notice.</w:t>
      </w:r>
    </w:p>
    <w:p>
      <w:pPr>
        <w:spacing w:after="0" w:line="149" w:lineRule="exact"/>
        <w:rPr>
          <w:rFonts w:ascii="Arial" w:cs="Arial" w:eastAsia="Arial" w:hAnsi="Arial"/>
          <w:sz w:val="14"/>
          <w:szCs w:val="14"/>
          <w:color w:val="auto"/>
        </w:rPr>
      </w:pPr>
    </w:p>
    <w:p>
      <w:pPr>
        <w:jc w:val="both"/>
        <w:ind w:firstLine="532"/>
        <w:spacing w:after="0" w:line="309" w:lineRule="auto"/>
        <w:tabs>
          <w:tab w:leader="none" w:pos="887" w:val="left"/>
        </w:tabs>
        <w:numPr>
          <w:ilvl w:val="0"/>
          <w:numId w:val="177"/>
        </w:numPr>
        <w:rPr>
          <w:rFonts w:ascii="Arial" w:cs="Arial" w:eastAsia="Arial" w:hAnsi="Arial"/>
          <w:sz w:val="12"/>
          <w:szCs w:val="12"/>
          <w:color w:val="auto"/>
        </w:rPr>
      </w:pPr>
      <w:r>
        <w:rPr>
          <w:rFonts w:ascii="Arial" w:cs="Arial" w:eastAsia="Arial" w:hAnsi="Arial"/>
          <w:sz w:val="12"/>
          <w:szCs w:val="12"/>
          <w:i w:val="1"/>
          <w:iCs w:val="1"/>
          <w:color w:val="auto"/>
        </w:rPr>
        <w:t>Participations</w:t>
      </w:r>
      <w:r>
        <w:rPr>
          <w:rFonts w:ascii="Arial" w:cs="Arial" w:eastAsia="Arial" w:hAnsi="Arial"/>
          <w:sz w:val="12"/>
          <w:szCs w:val="12"/>
          <w:color w:val="auto"/>
        </w:rPr>
        <w:t>. Any Lender may at any time, without the consent of, or notice to, the U.S. Borrower or the Applicable Administrative Agent, sell participations to any person (other</w:t>
      </w:r>
      <w:r>
        <w:rPr>
          <w:rFonts w:ascii="Arial" w:cs="Arial" w:eastAsia="Arial" w:hAnsi="Arial"/>
          <w:sz w:val="12"/>
          <w:szCs w:val="12"/>
          <w:i w:val="1"/>
          <w:iCs w:val="1"/>
          <w:color w:val="auto"/>
        </w:rPr>
        <w:t xml:space="preserve"> </w:t>
      </w:r>
      <w:r>
        <w:rPr>
          <w:rFonts w:ascii="Arial" w:cs="Arial" w:eastAsia="Arial" w:hAnsi="Arial"/>
          <w:sz w:val="12"/>
          <w:szCs w:val="12"/>
          <w:color w:val="auto"/>
        </w:rPr>
        <w:t>than a natural person, a Defaulting Lender or the U.S. Borrower or any of the U.S. Borrower’s or a Defaulting Lender’s Affiliates or subsidiaries) (each, a “</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in all or a portion of such Lender’s rights and/or obligations under this Agreement (including all or a portion of its Commitment and/or the Loans (including such Lender’s participations in Letter of Credit Obligations and Swing Line Loans) owing to it);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such Lender’s obligations under this Agreement shall remain unchanged, (ii) such Lender shall remain solely responsible to the other parties hereto for the performance of such obligations and (iii) the U.S.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U.S. Borrower agrees that each Participant shall be entitled to the benefits of Sections 2.13, 2.14,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2"/>
          <w:szCs w:val="12"/>
          <w:i w:val="1"/>
          <w:iCs w:val="1"/>
          <w:color w:val="auto"/>
        </w:rPr>
        <w:t>Participant Register</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89" w:name="page190"/>
    <w:bookmarkEnd w:id="189"/>
    <w:p>
      <w:pPr>
        <w:jc w:val="both"/>
        <w:ind w:firstLine="532"/>
        <w:spacing w:after="0" w:line="248" w:lineRule="auto"/>
        <w:tabs>
          <w:tab w:leader="none" w:pos="921" w:val="left"/>
        </w:tabs>
        <w:numPr>
          <w:ilvl w:val="1"/>
          <w:numId w:val="178"/>
        </w:numPr>
        <w:rPr>
          <w:rFonts w:ascii="Arial" w:cs="Arial" w:eastAsia="Arial" w:hAnsi="Arial"/>
          <w:sz w:val="15"/>
          <w:szCs w:val="15"/>
          <w:color w:val="auto"/>
        </w:rPr>
      </w:pPr>
      <w:r>
        <w:rPr>
          <w:rFonts w:ascii="Arial" w:cs="Arial" w:eastAsia="Arial" w:hAnsi="Arial"/>
          <w:sz w:val="15"/>
          <w:szCs w:val="15"/>
          <w:color w:val="auto"/>
        </w:rPr>
        <w:t xml:space="preserve">A Participant shall not be entitled to receive any greater payment under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2.13 or 2.14 than the applicable Lender would have been entitled to receive with respect to the participation sold to such Participant, unless the sale of the participation to such Participant is made with the U.S. Borrower’ prior written consent. A Participant that would be a Foreign Lender if it were a Lender shall not be entitled to the benefits of Section 2.19 unless the U.S. Borrower is notified of the participation sold to such Participant and such Participant agrees, for the benefit of the U.S. Borrower, to comply with Section 2.19(f) and Section 2.19(g) as though it were a Lender.</w:t>
      </w:r>
    </w:p>
    <w:p>
      <w:pPr>
        <w:spacing w:after="0" w:line="161" w:lineRule="exact"/>
        <w:rPr>
          <w:rFonts w:ascii="Arial" w:cs="Arial" w:eastAsia="Arial" w:hAnsi="Arial"/>
          <w:sz w:val="15"/>
          <w:szCs w:val="15"/>
          <w:color w:val="auto"/>
        </w:rPr>
      </w:pPr>
    </w:p>
    <w:p>
      <w:pPr>
        <w:jc w:val="both"/>
        <w:ind w:firstLine="532"/>
        <w:spacing w:after="0" w:line="251" w:lineRule="auto"/>
        <w:tabs>
          <w:tab w:leader="none" w:pos="857" w:val="left"/>
        </w:tabs>
        <w:numPr>
          <w:ilvl w:val="1"/>
          <w:numId w:val="178"/>
        </w:numPr>
        <w:rPr>
          <w:rFonts w:ascii="Arial" w:cs="Arial" w:eastAsia="Arial" w:hAnsi="Arial"/>
          <w:sz w:val="15"/>
          <w:szCs w:val="15"/>
          <w:color w:val="auto"/>
        </w:rPr>
      </w:pPr>
      <w:r>
        <w:rPr>
          <w:rFonts w:ascii="Arial" w:cs="Arial" w:eastAsia="Arial" w:hAnsi="Arial"/>
          <w:sz w:val="15"/>
          <w:szCs w:val="15"/>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pledge or assignment shall release such Lender from any of its obligations hereunder or substitute any such pledgee or assignee for such Lender as a party hereto.</w:t>
      </w:r>
    </w:p>
    <w:p>
      <w:pPr>
        <w:spacing w:after="0" w:line="158" w:lineRule="exact"/>
        <w:rPr>
          <w:rFonts w:ascii="Arial" w:cs="Arial" w:eastAsia="Arial" w:hAnsi="Arial"/>
          <w:sz w:val="15"/>
          <w:szCs w:val="15"/>
          <w:color w:val="auto"/>
        </w:rPr>
      </w:pPr>
    </w:p>
    <w:p>
      <w:pPr>
        <w:jc w:val="both"/>
        <w:ind w:firstLine="532"/>
        <w:spacing w:after="0" w:line="307" w:lineRule="auto"/>
        <w:tabs>
          <w:tab w:leader="none" w:pos="887" w:val="left"/>
        </w:tabs>
        <w:numPr>
          <w:ilvl w:val="1"/>
          <w:numId w:val="178"/>
        </w:numPr>
        <w:rPr>
          <w:rFonts w:ascii="Arial" w:cs="Arial" w:eastAsia="Arial" w:hAnsi="Arial"/>
          <w:sz w:val="12"/>
          <w:szCs w:val="12"/>
          <w:color w:val="auto"/>
        </w:rPr>
      </w:pPr>
      <w:r>
        <w:rPr>
          <w:rFonts w:ascii="Arial" w:cs="Arial" w:eastAsia="Arial" w:hAnsi="Arial"/>
          <w:sz w:val="12"/>
          <w:szCs w:val="12"/>
          <w:color w:val="auto"/>
        </w:rPr>
        <w:t>Notwithstanding anything to the contrary contained herein, any Lender (a “</w:t>
      </w:r>
      <w:r>
        <w:rPr>
          <w:rFonts w:ascii="Arial" w:cs="Arial" w:eastAsia="Arial" w:hAnsi="Arial"/>
          <w:sz w:val="12"/>
          <w:szCs w:val="12"/>
          <w:u w:val="single" w:color="auto"/>
          <w:color w:val="auto"/>
        </w:rPr>
        <w:t>Granting Lender</w:t>
      </w:r>
      <w:r>
        <w:rPr>
          <w:rFonts w:ascii="Arial" w:cs="Arial" w:eastAsia="Arial" w:hAnsi="Arial"/>
          <w:sz w:val="12"/>
          <w:szCs w:val="12"/>
          <w:color w:val="auto"/>
        </w:rPr>
        <w:t>”) may grant to a special purpose funding vehicle identified as such in writing from time to time by the Granting Lender to the Applicable Administrative Agent and the U.S. Borrower (an “</w:t>
      </w:r>
      <w:r>
        <w:rPr>
          <w:rFonts w:ascii="Arial" w:cs="Arial" w:eastAsia="Arial" w:hAnsi="Arial"/>
          <w:sz w:val="12"/>
          <w:szCs w:val="12"/>
          <w:u w:val="single" w:color="auto"/>
          <w:color w:val="auto"/>
        </w:rPr>
        <w:t>SPC</w:t>
      </w:r>
      <w:r>
        <w:rPr>
          <w:rFonts w:ascii="Arial" w:cs="Arial" w:eastAsia="Arial" w:hAnsi="Arial"/>
          <w:sz w:val="12"/>
          <w:szCs w:val="12"/>
          <w:color w:val="auto"/>
        </w:rPr>
        <w:t xml:space="preserve">”) the option to provide all or any part of any Loan that such Granting Lender would otherwise be obligated to make pursuant to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w:t>
      </w:r>
    </w:p>
    <w:p>
      <w:pPr>
        <w:jc w:val="both"/>
        <w:ind w:firstLine="7"/>
        <w:spacing w:after="0" w:line="263" w:lineRule="auto"/>
        <w:tabs>
          <w:tab w:leader="none" w:pos="217" w:val="left"/>
        </w:tabs>
        <w:numPr>
          <w:ilvl w:val="0"/>
          <w:numId w:val="179"/>
        </w:numPr>
        <w:rPr>
          <w:rFonts w:ascii="Arial" w:cs="Arial" w:eastAsia="Arial" w:hAnsi="Arial"/>
          <w:sz w:val="14"/>
          <w:szCs w:val="14"/>
          <w:color w:val="auto"/>
        </w:rPr>
      </w:pPr>
      <w:r>
        <w:rPr>
          <w:rFonts w:ascii="Arial" w:cs="Arial" w:eastAsia="Arial" w:hAnsi="Arial"/>
          <w:sz w:val="14"/>
          <w:szCs w:val="14"/>
          <w:color w:val="auto"/>
        </w:rPr>
        <w:t>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U.S.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90" w:name="page191"/>
    <w:bookmarkEnd w:id="190"/>
    <w:p>
      <w:pPr>
        <w:jc w:val="both"/>
        <w:ind w:firstLine="532"/>
        <w:spacing w:after="0" w:line="247" w:lineRule="auto"/>
        <w:tabs>
          <w:tab w:leader="none" w:pos="885"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5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9.05</w:t>
      </w:r>
      <w:r>
        <w:rPr>
          <w:sz w:val="20"/>
          <w:szCs w:val="20"/>
          <w:color w:val="auto"/>
        </w:rPr>
        <w:tab/>
      </w:r>
      <w:r>
        <w:rPr>
          <w:rFonts w:ascii="Arial" w:cs="Arial" w:eastAsia="Arial" w:hAnsi="Arial"/>
          <w:sz w:val="12"/>
          <w:szCs w:val="12"/>
          <w:b w:val="1"/>
          <w:bCs w:val="1"/>
          <w:i w:val="1"/>
          <w:iCs w:val="1"/>
          <w:color w:val="auto"/>
        </w:rPr>
        <w:t>Expenses; Indemnity</w:t>
      </w:r>
      <w:r>
        <w:rPr>
          <w:rFonts w:ascii="Arial" w:cs="Arial" w:eastAsia="Arial" w:hAnsi="Arial"/>
          <w:sz w:val="12"/>
          <w:szCs w:val="12"/>
          <w:color w:val="auto"/>
        </w:rPr>
        <w:t>.</w:t>
      </w:r>
    </w:p>
    <w:p>
      <w:pPr>
        <w:spacing w:after="0" w:line="225" w:lineRule="exact"/>
        <w:rPr>
          <w:sz w:val="20"/>
          <w:szCs w:val="20"/>
          <w:color w:val="auto"/>
        </w:rPr>
      </w:pPr>
    </w:p>
    <w:p>
      <w:pPr>
        <w:jc w:val="both"/>
        <w:ind w:firstLine="532"/>
        <w:spacing w:after="0" w:line="306" w:lineRule="auto"/>
        <w:tabs>
          <w:tab w:leader="none" w:pos="912" w:val="left"/>
        </w:tabs>
        <w:numPr>
          <w:ilvl w:val="1"/>
          <w:numId w:val="181"/>
        </w:numPr>
        <w:rPr>
          <w:rFonts w:ascii="Arial" w:cs="Arial" w:eastAsia="Arial" w:hAnsi="Arial"/>
          <w:sz w:val="12"/>
          <w:szCs w:val="12"/>
          <w:color w:val="auto"/>
        </w:rPr>
      </w:pPr>
      <w:r>
        <w:rPr>
          <w:rFonts w:ascii="Arial" w:cs="Arial" w:eastAsia="Arial" w:hAnsi="Arial"/>
          <w:sz w:val="12"/>
          <w:szCs w:val="12"/>
          <w:i w:val="1"/>
          <w:iCs w:val="1"/>
          <w:color w:val="auto"/>
        </w:rPr>
        <w:t xml:space="preserve">Costs and Expenses. </w:t>
      </w:r>
      <w:r>
        <w:rPr>
          <w:rFonts w:ascii="Arial" w:cs="Arial" w:eastAsia="Arial" w:hAnsi="Arial"/>
          <w:sz w:val="12"/>
          <w:szCs w:val="12"/>
          <w:color w:val="auto"/>
        </w:rPr>
        <w:t>The Borrowers agree, jointly and severally, to pay or reimburse (i) all reasonable out-of-pocket expenses incurred by the Lead Arranger, 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w:t>
      </w:r>
    </w:p>
    <w:p>
      <w:pPr>
        <w:spacing w:after="0" w:line="1" w:lineRule="exact"/>
        <w:rPr>
          <w:rFonts w:ascii="Arial" w:cs="Arial" w:eastAsia="Arial" w:hAnsi="Arial"/>
          <w:sz w:val="12"/>
          <w:szCs w:val="12"/>
          <w:color w:val="auto"/>
        </w:rPr>
      </w:pPr>
    </w:p>
    <w:p>
      <w:pPr>
        <w:jc w:val="both"/>
        <w:ind w:firstLine="7"/>
        <w:spacing w:after="0" w:line="243" w:lineRule="auto"/>
        <w:tabs>
          <w:tab w:leader="none" w:pos="25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U.S. Borrower. The agreements in this Section shall survive the termination of the Commitments and repayment of all Obligations.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91" w:name="page192"/>
    <w:bookmarkEnd w:id="191"/>
    <w:p>
      <w:pPr>
        <w:jc w:val="both"/>
        <w:ind w:firstLine="532"/>
        <w:spacing w:after="0" w:line="311" w:lineRule="auto"/>
        <w:tabs>
          <w:tab w:leader="none" w:pos="876" w:val="left"/>
        </w:tabs>
        <w:numPr>
          <w:ilvl w:val="0"/>
          <w:numId w:val="183"/>
        </w:numPr>
        <w:rPr>
          <w:rFonts w:ascii="Arial" w:cs="Arial" w:eastAsia="Arial" w:hAnsi="Arial"/>
          <w:sz w:val="12"/>
          <w:szCs w:val="12"/>
          <w:color w:val="auto"/>
        </w:rPr>
      </w:pPr>
      <w:r>
        <w:rPr>
          <w:rFonts w:ascii="Arial" w:cs="Arial" w:eastAsia="Arial" w:hAnsi="Arial"/>
          <w:sz w:val="12"/>
          <w:szCs w:val="12"/>
          <w:i w:val="1"/>
          <w:iCs w:val="1"/>
          <w:color w:val="auto"/>
        </w:rPr>
        <w:t xml:space="preserve">Indemnification by the Borrower. </w:t>
      </w:r>
      <w:r>
        <w:rPr>
          <w:rFonts w:ascii="Arial" w:cs="Arial" w:eastAsia="Arial" w:hAnsi="Arial"/>
          <w:sz w:val="12"/>
          <w:szCs w:val="12"/>
          <w:color w:val="auto"/>
        </w:rPr>
        <w:t>The Borrowers agree, jointly and severally, to indemnify the Administrative Agents, the Collateral Agents, each Lender, each Issuing Bank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Parties of any of the foregoing persons (each such person being called an “</w:t>
      </w:r>
      <w:r>
        <w:rPr>
          <w:rFonts w:ascii="Arial" w:cs="Arial" w:eastAsia="Arial" w:hAnsi="Arial"/>
          <w:sz w:val="12"/>
          <w:szCs w:val="12"/>
          <w:i w:val="1"/>
          <w:iCs w:val="1"/>
          <w:color w:val="auto"/>
        </w:rPr>
        <w:t>Indemnitee</w:t>
      </w:r>
      <w:r>
        <w:rPr>
          <w:rFonts w:ascii="Arial" w:cs="Arial" w:eastAsia="Arial" w:hAnsi="Arial"/>
          <w:sz w:val="12"/>
          <w:szCs w:val="12"/>
          <w:color w:val="auto"/>
        </w:rPr>
        <w:t xml:space="preserve">”)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t>
      </w:r>
      <w:r>
        <w:rPr>
          <w:rFonts w:ascii="Arial" w:cs="Arial" w:eastAsia="Arial" w:hAnsi="Arial"/>
          <w:sz w:val="12"/>
          <w:szCs w:val="12"/>
          <w:b w:val="1"/>
          <w:bCs w:val="1"/>
          <w:color w:val="auto"/>
        </w:rPr>
        <w:t>SUCH INDEMNITY SHALL</w:t>
      </w:r>
    </w:p>
    <w:p>
      <w:pPr>
        <w:spacing w:after="0" w:line="140" w:lineRule="exact"/>
        <w:rPr>
          <w:rFonts w:ascii="Arial" w:cs="Arial" w:eastAsia="Arial" w:hAnsi="Arial"/>
          <w:sz w:val="12"/>
          <w:szCs w:val="12"/>
          <w:color w:val="auto"/>
        </w:rPr>
      </w:pPr>
    </w:p>
    <w:p>
      <w:pPr>
        <w:jc w:val="both"/>
        <w:spacing w:after="0" w:line="244" w:lineRule="auto"/>
        <w:rPr>
          <w:rFonts w:ascii="Arial" w:cs="Arial" w:eastAsia="Arial" w:hAnsi="Arial"/>
          <w:sz w:val="12"/>
          <w:szCs w:val="12"/>
          <w:color w:val="auto"/>
        </w:rPr>
      </w:pPr>
      <w:r>
        <w:rPr>
          <w:rFonts w:ascii="Arial" w:cs="Arial" w:eastAsia="Arial" w:hAnsi="Arial"/>
          <w:sz w:val="15"/>
          <w:szCs w:val="15"/>
          <w:b w:val="1"/>
          <w:bCs w:val="1"/>
          <w:color w:val="auto"/>
        </w:rPr>
        <w:t xml:space="preserve">EXPRESSLY INCLUDE ANY SUCH LOSSES, LIABILITIES, CLAIMS, DAMAGES OR EXPENSE INCURRED BY REASON OF THE PERSON BEING INDEMNIFIED’S OWN NEGLIGENCE; </w:t>
      </w:r>
      <w:r>
        <w:rPr>
          <w:rFonts w:ascii="Arial" w:cs="Arial" w:eastAsia="Arial" w:hAnsi="Arial"/>
          <w:sz w:val="15"/>
          <w:szCs w:val="15"/>
          <w:color w:val="auto"/>
        </w:rPr>
        <w:t>provided that the foregoing indemnity will not, as to any Indemnitee, apply to losses, claims, damages, liabilities or related expenses to the extent they are found in a final, non</w:t>
      </w:r>
      <w:r>
        <w:rPr>
          <w:rFonts w:ascii="Arial" w:cs="Arial" w:eastAsia="Arial" w:hAnsi="Arial"/>
          <w:sz w:val="15"/>
          <w:szCs w:val="15"/>
          <w:b w:val="1"/>
          <w:bCs w:val="1"/>
          <w:color w:val="auto"/>
        </w:rPr>
        <w:t xml:space="preserve"> </w:t>
      </w:r>
      <w:r>
        <w:rPr>
          <w:rFonts w:ascii="Arial" w:cs="Arial" w:eastAsia="Arial" w:hAnsi="Arial"/>
          <w:sz w:val="15"/>
          <w:szCs w:val="15"/>
          <w:color w:val="auto"/>
        </w:rPr>
        <w:t>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60"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192" w:name="page193"/>
    <w:bookmarkEnd w:id="192"/>
    <w:p>
      <w:pPr>
        <w:jc w:val="both"/>
        <w:ind w:firstLine="525"/>
        <w:spacing w:after="0" w:line="317" w:lineRule="auto"/>
        <w:rPr>
          <w:sz w:val="20"/>
          <w:szCs w:val="20"/>
          <w:color w:val="auto"/>
        </w:rPr>
      </w:pPr>
      <w:r>
        <w:rPr>
          <w:rFonts w:ascii="Arial" w:cs="Arial" w:eastAsia="Arial" w:hAnsi="Arial"/>
          <w:sz w:val="12"/>
          <w:szCs w:val="12"/>
          <w:color w:val="auto"/>
        </w:rPr>
        <w:t>No Borrower shall be liable for any settlement of any Proceedings effected without its consent (which consent shall not be unreasonably conditioned, withheld or delayed), but if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23" w:lineRule="exact"/>
        <w:rPr>
          <w:sz w:val="20"/>
          <w:szCs w:val="20"/>
          <w:color w:val="auto"/>
        </w:rPr>
      </w:pPr>
    </w:p>
    <w:p>
      <w:pPr>
        <w:jc w:val="both"/>
        <w:ind w:firstLine="532"/>
        <w:spacing w:after="0" w:line="245" w:lineRule="auto"/>
        <w:tabs>
          <w:tab w:leader="none" w:pos="868"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Reimbursement by Lenders</w:t>
      </w:r>
      <w:r>
        <w:rPr>
          <w:rFonts w:ascii="Arial" w:cs="Arial" w:eastAsia="Arial" w:hAnsi="Arial"/>
          <w:sz w:val="15"/>
          <w:szCs w:val="15"/>
          <w:color w:val="auto"/>
        </w:rPr>
        <w:t>. To the extent that a Borrower for any reason fails to indefeasibly pay any amount required under paragraph (a) or (b) of this Section to be paid by it to an</w:t>
      </w:r>
      <w:r>
        <w:rPr>
          <w:rFonts w:ascii="Arial" w:cs="Arial" w:eastAsia="Arial" w:hAnsi="Arial"/>
          <w:sz w:val="15"/>
          <w:szCs w:val="15"/>
          <w:i w:val="1"/>
          <w:iCs w:val="1"/>
          <w:color w:val="auto"/>
        </w:rPr>
        <w:t xml:space="preserve"> </w:t>
      </w:r>
      <w:r>
        <w:rPr>
          <w:rFonts w:ascii="Arial" w:cs="Arial" w:eastAsia="Arial" w:hAnsi="Arial"/>
          <w:sz w:val="15"/>
          <w:szCs w:val="15"/>
          <w:color w:val="auto"/>
        </w:rPr>
        <w:t>Agent (or any sub-agent thereof), an Issuing Bank, a Swing Line Lender or any Related Party of any of the foregoing, each Lender severally agrees to pay to the Applicable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Applicable Agent (or any such sub-agent), the Applicable Issuing Bank or the Applicable Swing Line Lender in its capacity as such, or against any Related Party of any of the foregoing acting for the Applicable Agent (or any such sub-agent), Applicable Issuing Bank or the Applicable Swing Line Lender in connection with such capacity.</w:t>
      </w:r>
    </w:p>
    <w:p>
      <w:pPr>
        <w:spacing w:after="0" w:line="166" w:lineRule="exact"/>
        <w:rPr>
          <w:rFonts w:ascii="Arial" w:cs="Arial" w:eastAsia="Arial" w:hAnsi="Arial"/>
          <w:sz w:val="15"/>
          <w:szCs w:val="15"/>
          <w:color w:val="auto"/>
        </w:rPr>
      </w:pPr>
    </w:p>
    <w:p>
      <w:pPr>
        <w:jc w:val="both"/>
        <w:ind w:firstLine="532"/>
        <w:spacing w:after="0" w:line="248" w:lineRule="auto"/>
        <w:tabs>
          <w:tab w:leader="none" w:pos="98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157" w:lineRule="exact"/>
        <w:rPr>
          <w:sz w:val="20"/>
          <w:szCs w:val="20"/>
          <w:color w:val="auto"/>
        </w:rPr>
      </w:pPr>
    </w:p>
    <w:p>
      <w:pPr>
        <w:jc w:val="both"/>
        <w:ind w:firstLine="525"/>
        <w:spacing w:after="0" w:line="316" w:lineRule="auto"/>
        <w:rPr>
          <w:sz w:val="20"/>
          <w:szCs w:val="20"/>
          <w:color w:val="auto"/>
        </w:rPr>
      </w:pPr>
      <w:r>
        <w:rPr>
          <w:rFonts w:ascii="Arial" w:cs="Arial" w:eastAsia="Arial" w:hAnsi="Arial"/>
          <w:sz w:val="12"/>
          <w:szCs w:val="12"/>
          <w:b w:val="1"/>
          <w:bCs w:val="1"/>
          <w:color w:val="auto"/>
        </w:rPr>
        <w:t xml:space="preserve">SECTION 9.06 </w:t>
      </w:r>
      <w:r>
        <w:rPr>
          <w:rFonts w:ascii="Arial" w:cs="Arial" w:eastAsia="Arial" w:hAnsi="Arial"/>
          <w:sz w:val="12"/>
          <w:szCs w:val="12"/>
          <w:b w:val="1"/>
          <w:bCs w:val="1"/>
          <w:i w:val="1"/>
          <w:iCs w:val="1"/>
          <w:color w:val="auto"/>
        </w:rPr>
        <w:t>Right of Setoff</w:t>
      </w:r>
      <w:r>
        <w:rPr>
          <w:rFonts w:ascii="Arial" w:cs="Arial" w:eastAsia="Arial" w:hAnsi="Arial"/>
          <w:sz w:val="12"/>
          <w:szCs w:val="12"/>
          <w:color w:val="auto"/>
        </w:rPr>
        <w:t>. If an Event of Default shall have occurred and be continuing, each Agent, Lender, Issuing Bank and each of their respective Affiliates is hereby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U.S. Borrower and the Administrative Agent promptly after any such setoff and application,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93" w:name="page194"/>
    <w:bookmarkEnd w:id="193"/>
    <w:p>
      <w:pPr>
        <w:ind w:left="540"/>
        <w:spacing w:after="0"/>
        <w:tabs>
          <w:tab w:leader="none" w:pos="1740" w:val="left"/>
        </w:tabs>
        <w:rPr>
          <w:sz w:val="20"/>
          <w:szCs w:val="20"/>
          <w:color w:val="auto"/>
        </w:rPr>
      </w:pPr>
      <w:r>
        <w:rPr>
          <w:rFonts w:ascii="Arial" w:cs="Arial" w:eastAsia="Arial" w:hAnsi="Arial"/>
          <w:sz w:val="15"/>
          <w:szCs w:val="15"/>
          <w:b w:val="1"/>
          <w:bCs w:val="1"/>
          <w:color w:val="auto"/>
        </w:rPr>
        <w:t>SECTION 9.07</w:t>
      </w:r>
      <w:r>
        <w:rPr>
          <w:sz w:val="20"/>
          <w:szCs w:val="20"/>
          <w:color w:val="auto"/>
        </w:rPr>
        <w:tab/>
      </w:r>
      <w:r>
        <w:rPr>
          <w:rFonts w:ascii="Arial" w:cs="Arial" w:eastAsia="Arial" w:hAnsi="Arial"/>
          <w:sz w:val="14"/>
          <w:szCs w:val="14"/>
          <w:b w:val="1"/>
          <w:bCs w:val="1"/>
          <w:i w:val="1"/>
          <w:iCs w:val="1"/>
          <w:color w:val="auto"/>
        </w:rPr>
        <w:t>Applicable Law</w:t>
      </w:r>
      <w:r>
        <w:rPr>
          <w:rFonts w:ascii="Arial" w:cs="Arial" w:eastAsia="Arial" w:hAnsi="Arial"/>
          <w:sz w:val="14"/>
          <w:szCs w:val="14"/>
          <w:color w:val="auto"/>
        </w:rPr>
        <w:t>. THIS AGREEMENT SHALL BE CONSTRUED IN ACCORDANCE WITH AND GOVERNED BY THE LAWS OF THE STATE OF NEW</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YORK.</w:t>
      </w:r>
    </w:p>
    <w:p>
      <w:pPr>
        <w:spacing w:after="0" w:line="208" w:lineRule="exact"/>
        <w:rPr>
          <w:sz w:val="20"/>
          <w:szCs w:val="20"/>
          <w:color w:val="auto"/>
        </w:rPr>
      </w:pPr>
    </w:p>
    <w:p>
      <w:pPr>
        <w:jc w:val="both"/>
        <w:ind w:firstLine="525"/>
        <w:spacing w:after="0" w:line="311" w:lineRule="auto"/>
        <w:rPr>
          <w:sz w:val="20"/>
          <w:szCs w:val="20"/>
          <w:color w:val="auto"/>
        </w:rPr>
      </w:pPr>
      <w:r>
        <w:rPr>
          <w:rFonts w:ascii="Arial" w:cs="Arial" w:eastAsia="Arial" w:hAnsi="Arial"/>
          <w:sz w:val="12"/>
          <w:szCs w:val="12"/>
          <w:b w:val="1"/>
          <w:bCs w:val="1"/>
          <w:color w:val="auto"/>
        </w:rPr>
        <w:t xml:space="preserve">SECTION 9.08 </w:t>
      </w:r>
      <w:r>
        <w:rPr>
          <w:rFonts w:ascii="Arial" w:cs="Arial" w:eastAsia="Arial" w:hAnsi="Arial"/>
          <w:sz w:val="12"/>
          <w:szCs w:val="12"/>
          <w:b w:val="1"/>
          <w:bCs w:val="1"/>
          <w:i w:val="1"/>
          <w:iCs w:val="1"/>
          <w:color w:val="auto"/>
        </w:rPr>
        <w:t>Waivers; Amendment</w:t>
      </w:r>
      <w:r>
        <w:rPr>
          <w:rFonts w:ascii="Arial" w:cs="Arial" w:eastAsia="Arial" w:hAnsi="Arial"/>
          <w:sz w:val="12"/>
          <w:szCs w:val="12"/>
          <w:color w:val="auto"/>
        </w:rPr>
        <w:t>. (a) No failure or delay of any Agent, any Lender or any Issuing Bank in exercising any power or right hereunder or under any other Loan</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provided, however,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194" w:name="page195"/>
    <w:bookmarkEnd w:id="194"/>
    <w:p>
      <w:pPr>
        <w:jc w:val="both"/>
        <w:ind w:firstLine="532"/>
        <w:spacing w:after="0" w:line="266" w:lineRule="auto"/>
        <w:tabs>
          <w:tab w:leader="none" w:pos="906" w:val="left"/>
        </w:tabs>
        <w:numPr>
          <w:ilvl w:val="0"/>
          <w:numId w:val="185"/>
        </w:numPr>
        <w:rPr>
          <w:rFonts w:ascii="Arial" w:cs="Arial" w:eastAsia="Arial" w:hAnsi="Arial"/>
          <w:sz w:val="14"/>
          <w:szCs w:val="14"/>
          <w:color w:val="auto"/>
        </w:rPr>
      </w:pPr>
      <w:r>
        <w:rPr>
          <w:rFonts w:ascii="Arial" w:cs="Arial" w:eastAsia="Arial" w:hAnsi="Arial"/>
          <w:sz w:val="14"/>
          <w:szCs w:val="14"/>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waiver or consent shall be effective only in the specific instance and for the specific purpose for which given;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(x) any provision of this Agreement or any other Loan Document may be amended by an agreement in writing signed by the Administrative Agent and the U.S.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49" w:lineRule="exact"/>
        <w:rPr>
          <w:rFonts w:ascii="Arial" w:cs="Arial" w:eastAsia="Arial" w:hAnsi="Arial"/>
          <w:sz w:val="14"/>
          <w:szCs w:val="14"/>
          <w:color w:val="auto"/>
        </w:rPr>
      </w:pPr>
    </w:p>
    <w:p>
      <w:pPr>
        <w:ind w:left="540" w:firstLine="517"/>
        <w:spacing w:after="0" w:line="259" w:lineRule="auto"/>
        <w:tabs>
          <w:tab w:leader="none" w:pos="1408" w:val="left"/>
        </w:tabs>
        <w:numPr>
          <w:ilvl w:val="1"/>
          <w:numId w:val="185"/>
        </w:numPr>
        <w:rPr>
          <w:rFonts w:ascii="Arial" w:cs="Arial" w:eastAsia="Arial" w:hAnsi="Arial"/>
          <w:sz w:val="15"/>
          <w:szCs w:val="15"/>
          <w:color w:val="auto"/>
        </w:rPr>
      </w:pPr>
      <w:r>
        <w:rPr>
          <w:rFonts w:ascii="Arial" w:cs="Arial" w:eastAsia="Arial" w:hAnsi="Arial"/>
          <w:sz w:val="15"/>
          <w:szCs w:val="15"/>
          <w:color w:val="auto"/>
        </w:rPr>
        <w:t>extend the Maturity Date of or increase the stated amount of any Commitment of any Lender or reinstate any Commitment of any Lender terminated pursuant to the terms hereof without the written consent of such Lender;</w:t>
      </w:r>
    </w:p>
    <w:p>
      <w:pPr>
        <w:spacing w:after="0" w:line="152" w:lineRule="exact"/>
        <w:rPr>
          <w:rFonts w:ascii="Arial" w:cs="Arial" w:eastAsia="Arial" w:hAnsi="Arial"/>
          <w:sz w:val="15"/>
          <w:szCs w:val="15"/>
          <w:color w:val="auto"/>
        </w:rPr>
      </w:pPr>
    </w:p>
    <w:p>
      <w:pPr>
        <w:ind w:left="540" w:firstLine="517"/>
        <w:spacing w:after="0" w:line="259" w:lineRule="auto"/>
        <w:tabs>
          <w:tab w:leader="none" w:pos="1485" w:val="left"/>
        </w:tabs>
        <w:numPr>
          <w:ilvl w:val="1"/>
          <w:numId w:val="185"/>
        </w:numPr>
        <w:rPr>
          <w:rFonts w:ascii="Arial" w:cs="Arial" w:eastAsia="Arial" w:hAnsi="Arial"/>
          <w:sz w:val="15"/>
          <w:szCs w:val="15"/>
          <w:color w:val="auto"/>
        </w:rPr>
      </w:pPr>
      <w:r>
        <w:rPr>
          <w:rFonts w:ascii="Arial" w:cs="Arial" w:eastAsia="Arial" w:hAnsi="Arial"/>
          <w:sz w:val="15"/>
          <w:szCs w:val="15"/>
          <w:color w:val="auto"/>
        </w:rPr>
        <w:t>postpone any date fixed by this Agreement for any scheduled payment (but not any prepayment) of principal, interest or fees due to any Lender hereunder without the written consent of such Lender;</w:t>
      </w:r>
    </w:p>
    <w:p>
      <w:pPr>
        <w:spacing w:after="0" w:line="152" w:lineRule="exact"/>
        <w:rPr>
          <w:rFonts w:ascii="Arial" w:cs="Arial" w:eastAsia="Arial" w:hAnsi="Arial"/>
          <w:sz w:val="15"/>
          <w:szCs w:val="15"/>
          <w:color w:val="auto"/>
        </w:rPr>
      </w:pPr>
    </w:p>
    <w:p>
      <w:pPr>
        <w:jc w:val="both"/>
        <w:ind w:left="540" w:firstLine="517"/>
        <w:spacing w:after="0" w:line="306" w:lineRule="auto"/>
        <w:tabs>
          <w:tab w:leader="none" w:pos="1538" w:val="left"/>
        </w:tabs>
        <w:numPr>
          <w:ilvl w:val="1"/>
          <w:numId w:val="185"/>
        </w:numPr>
        <w:rPr>
          <w:rFonts w:ascii="Arial" w:cs="Arial" w:eastAsia="Arial" w:hAnsi="Arial"/>
          <w:sz w:val="12"/>
          <w:szCs w:val="12"/>
          <w:color w:val="auto"/>
        </w:rPr>
      </w:pPr>
      <w:r>
        <w:rPr>
          <w:rFonts w:ascii="Arial" w:cs="Arial" w:eastAsia="Arial" w:hAnsi="Arial"/>
          <w:sz w:val="12"/>
          <w:szCs w:val="12"/>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“Leverage Ratio”, or in the component definitions thereof, shall not constitute a reduction of rate of interest or any interest or Fees payable hereunder); </w:t>
      </w:r>
      <w:r>
        <w:rPr>
          <w:rFonts w:ascii="Arial" w:cs="Arial" w:eastAsia="Arial" w:hAnsi="Arial"/>
          <w:sz w:val="12"/>
          <w:szCs w:val="12"/>
          <w:i w:val="1"/>
          <w:iCs w:val="1"/>
          <w:color w:val="auto"/>
        </w:rPr>
        <w:t>provided, however</w:t>
      </w:r>
      <w:r>
        <w:rPr>
          <w:rFonts w:ascii="Arial" w:cs="Arial" w:eastAsia="Arial" w:hAnsi="Arial"/>
          <w:sz w:val="12"/>
          <w:szCs w:val="12"/>
          <w:color w:val="auto"/>
        </w:rPr>
        <w:t>,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Required Revolving Lenders shall be required to waive any obligation of either Canadian Borrower to pay default interest pursuant to Section 2.07 with respect to the Canadian Revolving Credit Facility, including with respect to any amount payable thereunder or in connection therewith,</w:t>
      </w:r>
    </w:p>
    <w:p>
      <w:pPr>
        <w:spacing w:after="0" w:line="2" w:lineRule="exact"/>
        <w:rPr>
          <w:rFonts w:ascii="Arial" w:cs="Arial" w:eastAsia="Arial" w:hAnsi="Arial"/>
          <w:sz w:val="12"/>
          <w:szCs w:val="12"/>
          <w:color w:val="auto"/>
        </w:rPr>
      </w:pPr>
    </w:p>
    <w:p>
      <w:pPr>
        <w:jc w:val="both"/>
        <w:ind w:left="540"/>
        <w:spacing w:after="0" w:line="244" w:lineRule="auto"/>
        <w:rPr>
          <w:rFonts w:ascii="Arial" w:cs="Arial" w:eastAsia="Arial" w:hAnsi="Arial"/>
          <w:sz w:val="12"/>
          <w:szCs w:val="12"/>
          <w:color w:val="auto"/>
        </w:rPr>
      </w:pPr>
      <w:r>
        <w:rPr>
          <w:rFonts w:ascii="Arial" w:cs="Arial" w:eastAsia="Arial" w:hAnsi="Arial"/>
          <w:sz w:val="15"/>
          <w:szCs w:val="15"/>
          <w:color w:val="auto"/>
        </w:rPr>
        <w:t>(C)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and (D) only the consent of the Required U.S. Term Lenders shall be required to waive any obligation of the U.S. Borrower to pay default interest pursuant to Section 2.07 with respect to the U.S. Term Loan Facility, including with respect to any amount payable thereunder or in connection therewith;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95" w:name="page196"/>
    <w:bookmarkEnd w:id="195"/>
    <w:p>
      <w:pPr>
        <w:jc w:val="both"/>
        <w:ind w:firstLine="517"/>
        <w:spacing w:after="0" w:line="269" w:lineRule="auto"/>
        <w:tabs>
          <w:tab w:leader="none" w:pos="938" w:val="left"/>
        </w:tabs>
        <w:numPr>
          <w:ilvl w:val="0"/>
          <w:numId w:val="186"/>
        </w:numPr>
        <w:rPr>
          <w:rFonts w:ascii="Arial" w:cs="Arial" w:eastAsia="Arial" w:hAnsi="Arial"/>
          <w:sz w:val="14"/>
          <w:szCs w:val="14"/>
          <w:color w:val="auto"/>
        </w:rPr>
      </w:pPr>
      <w:r>
        <w:rPr>
          <w:rFonts w:ascii="Arial" w:cs="Arial" w:eastAsia="Arial" w:hAnsi="Arial"/>
          <w:sz w:val="14"/>
          <w:szCs w:val="14"/>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from the order set forth in such Section in a manner that materially and adversely affects the Lenders under any Facility without the prior written consent of (A) if such Facility is the U.S. Term Loan Facility, the Required U.S. Term Lenders, (B) if such Facility is the U.S. Revolving Credit Facility, the Required U.S. Revolving Lenders, (C) if such Facility is the Canadian Revolving Credit Facility, the Required Canadian Lenders and (D) if such Facility is the Australian Revolving Credit Facility, the Required Australian Lenders;</w:t>
      </w:r>
    </w:p>
    <w:p>
      <w:pPr>
        <w:spacing w:after="0" w:line="146" w:lineRule="exact"/>
        <w:rPr>
          <w:rFonts w:ascii="Arial" w:cs="Arial" w:eastAsia="Arial" w:hAnsi="Arial"/>
          <w:sz w:val="14"/>
          <w:szCs w:val="14"/>
          <w:color w:val="auto"/>
        </w:rPr>
      </w:pPr>
    </w:p>
    <w:p>
      <w:pPr>
        <w:jc w:val="both"/>
        <w:ind w:firstLine="517"/>
        <w:spacing w:after="0" w:line="343" w:lineRule="auto"/>
        <w:tabs>
          <w:tab w:leader="none" w:pos="90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change any provision of this Section, or the percentage specified in definition of “Required Lenders,” “Required U.S. Revolving Lenders,” “Required Canadian Lenders,” “Required Australian Lenders,” “Required Revolving Lenders,” or “Required U.S.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07" w:lineRule="exact"/>
        <w:rPr>
          <w:rFonts w:ascii="Arial" w:cs="Arial" w:eastAsia="Arial" w:hAnsi="Arial"/>
          <w:sz w:val="12"/>
          <w:szCs w:val="12"/>
          <w:color w:val="auto"/>
        </w:rPr>
      </w:pPr>
    </w:p>
    <w:p>
      <w:pPr>
        <w:jc w:val="both"/>
        <w:ind w:firstLine="517"/>
        <w:spacing w:after="0" w:line="251" w:lineRule="auto"/>
        <w:tabs>
          <w:tab w:leader="none" w:pos="919"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except as expressly permitted hereunder or under any Security Document, (A) release the guaranty provided by the U.S. Borrower hereunder without the written consent of each Canadian Lender, or (B) release all or substantially all of the value of the guaranties provided by the other Guarantors hereunder or all or substantially all of the Collateral without the written consent of each Lender;</w:t>
      </w:r>
    </w:p>
    <w:p>
      <w:pPr>
        <w:spacing w:after="0" w:line="158" w:lineRule="exact"/>
        <w:rPr>
          <w:rFonts w:ascii="Arial" w:cs="Arial" w:eastAsia="Arial" w:hAnsi="Arial"/>
          <w:sz w:val="15"/>
          <w:szCs w:val="15"/>
          <w:color w:val="auto"/>
        </w:rPr>
      </w:pPr>
    </w:p>
    <w:p>
      <w:pPr>
        <w:jc w:val="both"/>
        <w:ind w:firstLine="517"/>
        <w:spacing w:after="0" w:line="248" w:lineRule="auto"/>
        <w:tabs>
          <w:tab w:leader="none" w:pos="100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change Section 9.04 in a manner that imposes additional restrictions on the ability of any Lender under any Facility to assign any of its rights or obligations hereunder without the prior written consent of (A) if such Facility is the U.S. Term Loan Facility, the Required U.S. Term Lenders, (B) if such Facility is the U.S. Revolving Credit Facility, the Required U.S. Revolving Lenders, (C) if such Facility is the Canadian Revolving Credit Facility, the Required Canadian Lenders and (D) if such Facility is the Australian Revolving Credit Facility, the Required Australian Lenders;</w:t>
      </w:r>
    </w:p>
    <w:p>
      <w:pPr>
        <w:spacing w:after="0" w:line="161" w:lineRule="exact"/>
        <w:rPr>
          <w:rFonts w:ascii="Arial" w:cs="Arial" w:eastAsia="Arial" w:hAnsi="Arial"/>
          <w:sz w:val="15"/>
          <w:szCs w:val="15"/>
          <w:color w:val="auto"/>
        </w:rPr>
      </w:pPr>
    </w:p>
    <w:p>
      <w:pPr>
        <w:jc w:val="both"/>
        <w:ind w:firstLine="517"/>
        <w:spacing w:after="0" w:line="271" w:lineRule="auto"/>
        <w:tabs>
          <w:tab w:leader="none" w:pos="1012" w:val="left"/>
        </w:tabs>
        <w:numPr>
          <w:ilvl w:val="0"/>
          <w:numId w:val="186"/>
        </w:numPr>
        <w:rPr>
          <w:rFonts w:ascii="Arial" w:cs="Arial" w:eastAsia="Arial" w:hAnsi="Arial"/>
          <w:sz w:val="14"/>
          <w:szCs w:val="14"/>
          <w:color w:val="auto"/>
        </w:rPr>
      </w:pPr>
      <w:r>
        <w:rPr>
          <w:rFonts w:ascii="Arial" w:cs="Arial" w:eastAsia="Arial" w:hAnsi="Arial"/>
          <w:sz w:val="14"/>
          <w:szCs w:val="14"/>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Revolving Lenders (if the U.S. Revolving Lenders are the adversely affected Class), Required U.S. Term Lenders (if the U.S. Term Lenders are the adversely affected Class), Required Canadian Lenders (if the Canadian Lenders are the adversely affected Class) or Required Australian Lenders (if the Australian Lenders are the adversely affected Class); or</w:t>
      </w:r>
    </w:p>
    <w:p>
      <w:pPr>
        <w:spacing w:after="0" w:line="147" w:lineRule="exact"/>
        <w:rPr>
          <w:rFonts w:ascii="Arial" w:cs="Arial" w:eastAsia="Arial" w:hAnsi="Arial"/>
          <w:sz w:val="14"/>
          <w:szCs w:val="14"/>
          <w:color w:val="auto"/>
        </w:rPr>
      </w:pPr>
    </w:p>
    <w:p>
      <w:pPr>
        <w:ind w:left="900" w:hanging="383"/>
        <w:spacing w:after="0"/>
        <w:tabs>
          <w:tab w:leader="none" w:pos="90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amend or modify the protections afforded to an SPC pursuant to the provisions of Section 9.04(g) without the written consent of such SPC,</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further</w:t>
      </w:r>
      <w:r>
        <w:rPr>
          <w:rFonts w:ascii="Arial" w:cs="Arial" w:eastAsia="Arial" w:hAnsi="Arial"/>
          <w:sz w:val="15"/>
          <w:szCs w:val="15"/>
          <w:color w:val="auto"/>
        </w:rPr>
        <w:t>, that no such agreement shall amend, modify or otherwise affect the rights or duties of an Agent, an Issuing Bank or a Swing Line Lender hereunder or under any other</w:t>
      </w:r>
      <w:r>
        <w:rPr>
          <w:rFonts w:ascii="Arial" w:cs="Arial" w:eastAsia="Arial" w:hAnsi="Arial"/>
          <w:sz w:val="15"/>
          <w:szCs w:val="15"/>
          <w:i w:val="1"/>
          <w:iCs w:val="1"/>
          <w:color w:val="auto"/>
        </w:rPr>
        <w:t xml:space="preserve"> </w:t>
      </w:r>
      <w:r>
        <w:rPr>
          <w:rFonts w:ascii="Arial" w:cs="Arial" w:eastAsia="Arial" w:hAnsi="Arial"/>
          <w:sz w:val="15"/>
          <w:szCs w:val="15"/>
          <w:color w:val="auto"/>
        </w:rPr>
        <w:t>Loan Document without the prior written consent of such Agent, Issuing Bank or Swing Line Lender, respectively.</w:t>
      </w: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60960</wp:posOffset>
            </wp:positionV>
            <wp:extent cx="7292340"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920"/>
          </w:cols>
          <w:pgMar w:left="760" w:top="500" w:right="219" w:bottom="1440" w:gutter="0" w:footer="0" w:header="0"/>
        </w:sectPr>
      </w:pPr>
    </w:p>
    <w:bookmarkStart w:id="196" w:name="page197"/>
    <w:bookmarkEnd w:id="196"/>
    <w:p>
      <w:pPr>
        <w:jc w:val="both"/>
        <w:spacing w:after="0" w:line="267" w:lineRule="auto"/>
        <w:rPr>
          <w:sz w:val="20"/>
          <w:szCs w:val="20"/>
          <w:color w:val="auto"/>
        </w:rPr>
      </w:pPr>
      <w:r>
        <w:rPr>
          <w:rFonts w:ascii="Arial" w:cs="Arial" w:eastAsia="Arial" w:hAnsi="Arial"/>
          <w:sz w:val="14"/>
          <w:szCs w:val="14"/>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No Lender or any Affiliate of a Lender shall have any voting rights under any Loan Document as a result of the existence of obligations owed to it under Hedging Agreements or Banking Services Obligations.</w:t>
      </w:r>
    </w:p>
    <w:p>
      <w:pPr>
        <w:spacing w:after="0" w:line="148"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b w:val="1"/>
          <w:bCs w:val="1"/>
          <w:color w:val="auto"/>
        </w:rPr>
        <w:t xml:space="preserve">SECTION 9.09 </w:t>
      </w:r>
      <w:r>
        <w:rPr>
          <w:rFonts w:ascii="Arial" w:cs="Arial" w:eastAsia="Arial" w:hAnsi="Arial"/>
          <w:sz w:val="14"/>
          <w:szCs w:val="14"/>
          <w:b w:val="1"/>
          <w:bCs w:val="1"/>
          <w:i w:val="1"/>
          <w:iCs w:val="1"/>
          <w:color w:val="auto"/>
        </w:rPr>
        <w:t>Interest Rate Limitation</w:t>
      </w:r>
      <w:r>
        <w:rPr>
          <w:rFonts w:ascii="Arial" w:cs="Arial" w:eastAsia="Arial" w:hAnsi="Arial"/>
          <w:sz w:val="14"/>
          <w:szCs w:val="14"/>
          <w:color w:val="auto"/>
        </w:rPr>
        <w:t>. Regardless of any provisions contained in this Agreement or in any other Loan Documents, the Lenders shall never be deemed to have</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contracted for or be entitled to receive, collect or apply as interest on any Loan or participation in any L/C Disbursement any amount in excess of the maximum lawful rate (the “</w:t>
      </w:r>
      <w:r>
        <w:rPr>
          <w:rFonts w:ascii="Arial" w:cs="Arial" w:eastAsia="Arial" w:hAnsi="Arial"/>
          <w:sz w:val="14"/>
          <w:szCs w:val="14"/>
          <w:i w:val="1"/>
          <w:iCs w:val="1"/>
          <w:color w:val="auto"/>
        </w:rPr>
        <w:t>Maximum Rate</w:t>
      </w:r>
      <w:r>
        <w:rPr>
          <w:rFonts w:ascii="Arial" w:cs="Arial" w:eastAsia="Arial" w:hAnsi="Arial"/>
          <w:sz w:val="14"/>
          <w:szCs w:val="14"/>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92"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9.10 </w:t>
      </w:r>
      <w:r>
        <w:rPr>
          <w:rFonts w:ascii="Arial" w:cs="Arial" w:eastAsia="Arial" w:hAnsi="Arial"/>
          <w:sz w:val="15"/>
          <w:szCs w:val="15"/>
          <w:b w:val="1"/>
          <w:bCs w:val="1"/>
          <w:i w:val="1"/>
          <w:iCs w:val="1"/>
          <w:color w:val="auto"/>
        </w:rPr>
        <w:t>Entire Agreement</w:t>
      </w:r>
      <w:r>
        <w:rPr>
          <w:rFonts w:ascii="Arial" w:cs="Arial" w:eastAsia="Arial" w:hAnsi="Arial"/>
          <w:sz w:val="15"/>
          <w:szCs w:val="15"/>
          <w:color w:val="auto"/>
        </w:rPr>
        <w:t>. This Agreement, the other Loan Documents and the Fee Letter constitute the entire contract among the parties relating to the subject matter hereof</w:t>
      </w:r>
      <w:r>
        <w:rPr>
          <w:rFonts w:ascii="Arial" w:cs="Arial" w:eastAsia="Arial" w:hAnsi="Arial"/>
          <w:sz w:val="15"/>
          <w:szCs w:val="15"/>
          <w:b w:val="1"/>
          <w:bCs w:val="1"/>
          <w:color w:val="auto"/>
        </w:rPr>
        <w:t xml:space="preserve"> </w:t>
      </w:r>
      <w:r>
        <w:rPr>
          <w:rFonts w:ascii="Arial" w:cs="Arial" w:eastAsia="Arial" w:hAnsi="Arial"/>
          <w:sz w:val="15"/>
          <w:szCs w:val="15"/>
          <w:color w:val="auto"/>
        </w:rPr>
        <w:t>and supersede any and all previous agreements and understandings, oral or written, relating to the subject matter 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197" w:name="page198"/>
    <w:bookmarkEnd w:id="197"/>
    <w:p>
      <w:pPr>
        <w:jc w:val="both"/>
        <w:ind w:firstLine="525"/>
        <w:spacing w:after="0" w:line="245" w:lineRule="auto"/>
        <w:rPr>
          <w:sz w:val="20"/>
          <w:szCs w:val="20"/>
          <w:color w:val="auto"/>
        </w:rPr>
      </w:pPr>
      <w:r>
        <w:rPr>
          <w:rFonts w:ascii="Arial" w:cs="Arial" w:eastAsia="Arial" w:hAnsi="Arial"/>
          <w:sz w:val="15"/>
          <w:szCs w:val="15"/>
          <w:b w:val="1"/>
          <w:bCs w:val="1"/>
          <w:color w:val="auto"/>
        </w:rPr>
        <w:t xml:space="preserve">SECTION 9.11 </w:t>
      </w:r>
      <w:r>
        <w:rPr>
          <w:rFonts w:ascii="Arial" w:cs="Arial" w:eastAsia="Arial" w:hAnsi="Arial"/>
          <w:sz w:val="15"/>
          <w:szCs w:val="15"/>
          <w:b w:val="1"/>
          <w:bCs w:val="1"/>
          <w:i w:val="1"/>
          <w:iCs w:val="1"/>
          <w:color w:val="auto"/>
        </w:rPr>
        <w:t>WAIVER OF JURY TRIAL</w:t>
      </w:r>
      <w:r>
        <w:rPr>
          <w:rFonts w:ascii="Arial" w:cs="Arial" w:eastAsia="Arial" w:hAnsi="Arial"/>
          <w:sz w:val="15"/>
          <w:szCs w:val="15"/>
          <w:color w:val="auto"/>
        </w:rPr>
        <w:t>. EACH PARTY HERETO HEREBY EXPRESSLY AND IRREVOCABLY WAIVES, TO THE FULLEST EXTENT PERMITTED BY</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63"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b w:val="1"/>
          <w:bCs w:val="1"/>
          <w:color w:val="auto"/>
        </w:rPr>
        <w:t xml:space="preserve">SECTION 9.12 </w:t>
      </w:r>
      <w:r>
        <w:rPr>
          <w:rFonts w:ascii="Arial" w:cs="Arial" w:eastAsia="Arial" w:hAnsi="Arial"/>
          <w:sz w:val="14"/>
          <w:szCs w:val="14"/>
          <w:b w:val="1"/>
          <w:bCs w:val="1"/>
          <w:i w:val="1"/>
          <w:iCs w:val="1"/>
          <w:color w:val="auto"/>
        </w:rPr>
        <w:t>Severability</w:t>
      </w:r>
      <w:r>
        <w:rPr>
          <w:rFonts w:ascii="Arial" w:cs="Arial" w:eastAsia="Arial" w:hAnsi="Arial"/>
          <w:sz w:val="14"/>
          <w:szCs w:val="14"/>
          <w:color w:val="auto"/>
        </w:rPr>
        <w:t>. In the event any one or more of the provisions contained in this Agreement or in any other Loan Document should be held invalid, illegal or</w:t>
      </w:r>
      <w:r>
        <w:rPr>
          <w:rFonts w:ascii="Arial" w:cs="Arial" w:eastAsia="Arial" w:hAnsi="Arial"/>
          <w:sz w:val="14"/>
          <w:szCs w:val="14"/>
          <w:b w:val="1"/>
          <w:bCs w:val="1"/>
          <w:color w:val="auto"/>
        </w:rPr>
        <w:t xml:space="preserve"> </w:t>
      </w:r>
      <w:r>
        <w:rPr>
          <w:rFonts w:ascii="Arial" w:cs="Arial" w:eastAsia="Arial" w:hAnsi="Arial"/>
          <w:sz w:val="14"/>
          <w:szCs w:val="14"/>
          <w:color w:val="auto"/>
        </w:rPr>
        <w:t>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89" w:lineRule="exact"/>
        <w:rPr>
          <w:sz w:val="20"/>
          <w:szCs w:val="20"/>
          <w:color w:val="auto"/>
        </w:rPr>
      </w:pPr>
    </w:p>
    <w:p>
      <w:pPr>
        <w:jc w:val="both"/>
        <w:ind w:firstLine="525"/>
        <w:spacing w:after="0" w:line="280" w:lineRule="auto"/>
        <w:rPr>
          <w:sz w:val="20"/>
          <w:szCs w:val="20"/>
          <w:color w:val="auto"/>
        </w:rPr>
      </w:pPr>
      <w:r>
        <w:rPr>
          <w:rFonts w:ascii="Arial" w:cs="Arial" w:eastAsia="Arial" w:hAnsi="Arial"/>
          <w:sz w:val="14"/>
          <w:szCs w:val="14"/>
          <w:b w:val="1"/>
          <w:bCs w:val="1"/>
          <w:color w:val="auto"/>
        </w:rPr>
        <w:t xml:space="preserve">SECTION 9.13 </w:t>
      </w:r>
      <w:r>
        <w:rPr>
          <w:rFonts w:ascii="Arial" w:cs="Arial" w:eastAsia="Arial" w:hAnsi="Arial"/>
          <w:sz w:val="14"/>
          <w:szCs w:val="14"/>
          <w:b w:val="1"/>
          <w:bCs w:val="1"/>
          <w:i w:val="1"/>
          <w:iCs w:val="1"/>
          <w:color w:val="auto"/>
        </w:rPr>
        <w:t>Counterparts</w:t>
      </w:r>
      <w:r>
        <w:rPr>
          <w:rFonts w:ascii="Arial" w:cs="Arial" w:eastAsia="Arial" w:hAnsi="Arial"/>
          <w:sz w:val="14"/>
          <w:szCs w:val="14"/>
          <w:color w:val="auto"/>
        </w:rPr>
        <w:t>. This Agreement may be executed in counterparts (and by different parties hereto on different counterparts), each of which shall constitute an original but</w:t>
      </w:r>
      <w:r>
        <w:rPr>
          <w:rFonts w:ascii="Arial" w:cs="Arial" w:eastAsia="Arial" w:hAnsi="Arial"/>
          <w:sz w:val="14"/>
          <w:szCs w:val="14"/>
          <w:b w:val="1"/>
          <w:bCs w:val="1"/>
          <w:color w:val="auto"/>
        </w:rPr>
        <w:t xml:space="preserve"> </w:t>
      </w:r>
      <w:r>
        <w:rPr>
          <w:rFonts w:ascii="Arial" w:cs="Arial" w:eastAsia="Arial" w:hAnsi="Arial"/>
          <w:sz w:val="14"/>
          <w:szCs w:val="14"/>
          <w:color w:val="auto"/>
        </w:rPr>
        <w:t>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w:t>
      </w:r>
    </w:p>
    <w:p>
      <w:pPr>
        <w:spacing w:after="0" w:line="180"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5"/>
          <w:szCs w:val="15"/>
          <w:b w:val="1"/>
          <w:bCs w:val="1"/>
          <w:color w:val="auto"/>
        </w:rPr>
        <w:t xml:space="preserve">SECTION 9.14 </w:t>
      </w:r>
      <w:r>
        <w:rPr>
          <w:rFonts w:ascii="Arial" w:cs="Arial" w:eastAsia="Arial" w:hAnsi="Arial"/>
          <w:sz w:val="15"/>
          <w:szCs w:val="15"/>
          <w:b w:val="1"/>
          <w:bCs w:val="1"/>
          <w:i w:val="1"/>
          <w:iCs w:val="1"/>
          <w:color w:val="auto"/>
        </w:rPr>
        <w:t>Headings</w:t>
      </w:r>
      <w:r>
        <w:rPr>
          <w:rFonts w:ascii="Arial" w:cs="Arial" w:eastAsia="Arial" w:hAnsi="Arial"/>
          <w:sz w:val="15"/>
          <w:szCs w:val="15"/>
          <w:color w:val="auto"/>
        </w:rPr>
        <w:t>. Article and Section headings and the Table of Contents used herein are for convenience of reference only, are not part of this Agreement and are not to affect</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construction of, or to be taken into consideration in interpreting,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98" w:name="page199"/>
    <w:bookmarkEnd w:id="198"/>
    <w:p>
      <w:pPr>
        <w:jc w:val="both"/>
        <w:ind w:firstLine="525"/>
        <w:spacing w:after="0" w:line="268" w:lineRule="auto"/>
        <w:rPr>
          <w:sz w:val="20"/>
          <w:szCs w:val="20"/>
          <w:color w:val="auto"/>
        </w:rPr>
      </w:pPr>
      <w:r>
        <w:rPr>
          <w:rFonts w:ascii="Arial" w:cs="Arial" w:eastAsia="Arial" w:hAnsi="Arial"/>
          <w:sz w:val="14"/>
          <w:szCs w:val="14"/>
          <w:b w:val="1"/>
          <w:bCs w:val="1"/>
          <w:color w:val="auto"/>
        </w:rPr>
        <w:t xml:space="preserve">SECTION 9.15 </w:t>
      </w:r>
      <w:r>
        <w:rPr>
          <w:rFonts w:ascii="Arial" w:cs="Arial" w:eastAsia="Arial" w:hAnsi="Arial"/>
          <w:sz w:val="14"/>
          <w:szCs w:val="14"/>
          <w:b w:val="1"/>
          <w:bCs w:val="1"/>
          <w:i w:val="1"/>
          <w:iCs w:val="1"/>
          <w:color w:val="auto"/>
        </w:rPr>
        <w:t>Jurisdiction; Consent to Service of Process</w:t>
      </w:r>
      <w:r>
        <w:rPr>
          <w:rFonts w:ascii="Arial" w:cs="Arial" w:eastAsia="Arial" w:hAnsi="Arial"/>
          <w:sz w:val="14"/>
          <w:szCs w:val="14"/>
          <w:color w:val="auto"/>
        </w:rPr>
        <w:t>. (a) Any legal action or proceeding with respect to this Agreement or any other Loan Document may be brought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93" w:lineRule="exact"/>
        <w:rPr>
          <w:sz w:val="20"/>
          <w:szCs w:val="20"/>
          <w:color w:val="auto"/>
        </w:rPr>
      </w:pPr>
    </w:p>
    <w:p>
      <w:pPr>
        <w:jc w:val="both"/>
        <w:ind w:firstLine="532"/>
        <w:spacing w:after="0" w:line="343" w:lineRule="auto"/>
        <w:tabs>
          <w:tab w:leader="none" w:pos="889" w:val="left"/>
        </w:tabs>
        <w:numPr>
          <w:ilvl w:val="0"/>
          <w:numId w:val="187"/>
        </w:numPr>
        <w:rPr>
          <w:rFonts w:ascii="Arial" w:cs="Arial" w:eastAsia="Arial" w:hAnsi="Arial"/>
          <w:sz w:val="12"/>
          <w:szCs w:val="12"/>
          <w:color w:val="auto"/>
        </w:rPr>
      </w:pPr>
      <w:r>
        <w:rPr>
          <w:rFonts w:ascii="Arial" w:cs="Arial" w:eastAsia="Arial" w:hAnsi="Arial"/>
          <w:sz w:val="12"/>
          <w:szCs w:val="12"/>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07" w:lineRule="exact"/>
        <w:rPr>
          <w:rFonts w:ascii="Arial" w:cs="Arial" w:eastAsia="Arial" w:hAnsi="Arial"/>
          <w:sz w:val="12"/>
          <w:szCs w:val="12"/>
          <w:color w:val="auto"/>
        </w:rPr>
      </w:pPr>
    </w:p>
    <w:p>
      <w:pPr>
        <w:jc w:val="both"/>
        <w:ind w:firstLine="532"/>
        <w:spacing w:after="0" w:line="251" w:lineRule="auto"/>
        <w:tabs>
          <w:tab w:leader="none" w:pos="905" w:val="left"/>
        </w:tabs>
        <w:numPr>
          <w:ilvl w:val="0"/>
          <w:numId w:val="187"/>
        </w:numPr>
        <w:rPr>
          <w:rFonts w:ascii="Arial" w:cs="Arial" w:eastAsia="Arial" w:hAnsi="Arial"/>
          <w:sz w:val="15"/>
          <w:szCs w:val="15"/>
          <w:color w:val="auto"/>
        </w:rPr>
      </w:pPr>
      <w:r>
        <w:rPr>
          <w:rFonts w:ascii="Arial" w:cs="Arial" w:eastAsia="Arial" w:hAnsi="Arial"/>
          <w:sz w:val="15"/>
          <w:szCs w:val="15"/>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58" w:lineRule="exact"/>
        <w:rPr>
          <w:rFonts w:ascii="Arial" w:cs="Arial" w:eastAsia="Arial" w:hAnsi="Arial"/>
          <w:sz w:val="15"/>
          <w:szCs w:val="15"/>
          <w:color w:val="auto"/>
        </w:rPr>
      </w:pPr>
    </w:p>
    <w:p>
      <w:pPr>
        <w:jc w:val="both"/>
        <w:ind w:firstLine="532"/>
        <w:spacing w:after="0" w:line="343" w:lineRule="auto"/>
        <w:tabs>
          <w:tab w:leader="none" w:pos="89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Each Loan Party (other than the U.S. Borrower) hereby irrevocably appoints the U.S.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U.S. Borrower at the U.S. Borrower’s address set forth in Section 9.01, and each such Loan Party hereby irrevocably authorizes and directs the U.S. Borrower to accept such service on its behalf.</w:t>
      </w:r>
    </w:p>
    <w:p>
      <w:pPr>
        <w:spacing w:after="0" w:line="104"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4"/>
          <w:szCs w:val="14"/>
          <w:b w:val="1"/>
          <w:bCs w:val="1"/>
          <w:color w:val="auto"/>
        </w:rPr>
        <w:t xml:space="preserve">SECTION 9.16 </w:t>
      </w:r>
      <w:r>
        <w:rPr>
          <w:rFonts w:ascii="Arial" w:cs="Arial" w:eastAsia="Arial" w:hAnsi="Arial"/>
          <w:sz w:val="14"/>
          <w:szCs w:val="14"/>
          <w:b w:val="1"/>
          <w:bCs w:val="1"/>
          <w:i w:val="1"/>
          <w:iCs w:val="1"/>
          <w:color w:val="auto"/>
        </w:rPr>
        <w:t>Confidentiality</w:t>
      </w:r>
      <w:r>
        <w:rPr>
          <w:rFonts w:ascii="Arial" w:cs="Arial" w:eastAsia="Arial" w:hAnsi="Arial"/>
          <w:sz w:val="14"/>
          <w:szCs w:val="14"/>
          <w:color w:val="auto"/>
        </w:rPr>
        <w:t>. Each of the Agents, the Issuing Banks and the Lenders agrees to maintain, and cause their respective Affiliates to maintain, the confidentiality of the</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U.S. Borrower or (h) to the extent such Information (x) becomes publicly available other than as a result of a breach of this Section or (y) becomes available to any Agent, any Issuing Bank or any Lender on a non-confidential basis from a source other than the Borrower. For purposes of this Section, “</w:t>
      </w:r>
      <w:r>
        <w:rPr>
          <w:rFonts w:ascii="Arial" w:cs="Arial" w:eastAsia="Arial" w:hAnsi="Arial"/>
          <w:sz w:val="14"/>
          <w:szCs w:val="14"/>
          <w:u w:val="single" w:color="auto"/>
          <w:color w:val="auto"/>
        </w:rPr>
        <w:t>Information</w:t>
      </w:r>
      <w:r>
        <w:rPr>
          <w:rFonts w:ascii="Arial" w:cs="Arial" w:eastAsia="Arial" w:hAnsi="Arial"/>
          <w:sz w:val="14"/>
          <w:szCs w:val="14"/>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199" w:name="page200"/>
    <w:bookmarkEnd w:id="199"/>
    <w:p>
      <w:pPr>
        <w:jc w:val="both"/>
        <w:ind w:firstLine="525"/>
        <w:spacing w:after="0" w:line="316" w:lineRule="auto"/>
        <w:rPr>
          <w:sz w:val="20"/>
          <w:szCs w:val="20"/>
          <w:color w:val="auto"/>
        </w:rPr>
      </w:pPr>
      <w:r>
        <w:rPr>
          <w:rFonts w:ascii="Arial" w:cs="Arial" w:eastAsia="Arial" w:hAnsi="Arial"/>
          <w:sz w:val="12"/>
          <w:szCs w:val="12"/>
          <w:b w:val="1"/>
          <w:bCs w:val="1"/>
          <w:color w:val="auto"/>
        </w:rPr>
        <w:t xml:space="preserve">SECTION 9.17 </w:t>
      </w:r>
      <w:r>
        <w:rPr>
          <w:rFonts w:ascii="Arial" w:cs="Arial" w:eastAsia="Arial" w:hAnsi="Arial"/>
          <w:sz w:val="12"/>
          <w:szCs w:val="12"/>
          <w:b w:val="1"/>
          <w:bCs w:val="1"/>
          <w:i w:val="1"/>
          <w:iCs w:val="1"/>
          <w:color w:val="auto"/>
        </w:rPr>
        <w:t>Judgment Currency</w:t>
      </w:r>
      <w:r>
        <w:rPr>
          <w:rFonts w:ascii="Arial" w:cs="Arial" w:eastAsia="Arial" w:hAnsi="Arial"/>
          <w:sz w:val="12"/>
          <w:szCs w:val="12"/>
          <w:color w:val="auto"/>
        </w:rPr>
        <w:t>. (a) The obligations of the Borrowers and the other Loan Parties hereunder and under the other Loan Documents to make payments in U.S.</w:t>
      </w:r>
      <w:r>
        <w:rPr>
          <w:rFonts w:ascii="Arial" w:cs="Arial" w:eastAsia="Arial" w:hAnsi="Arial"/>
          <w:sz w:val="12"/>
          <w:szCs w:val="12"/>
          <w:b w:val="1"/>
          <w:bCs w:val="1"/>
          <w:color w:val="auto"/>
        </w:rPr>
        <w:t xml:space="preserve"> </w:t>
      </w:r>
      <w:r>
        <w:rPr>
          <w:rFonts w:ascii="Arial" w:cs="Arial" w:eastAsia="Arial" w:hAnsi="Arial"/>
          <w:sz w:val="12"/>
          <w:szCs w:val="12"/>
          <w:color w:val="auto"/>
        </w:rPr>
        <w:t>dollars, Canadian dollars or Australian dollars (the “</w:t>
      </w:r>
      <w:r>
        <w:rPr>
          <w:rFonts w:ascii="Arial" w:cs="Arial" w:eastAsia="Arial" w:hAnsi="Arial"/>
          <w:sz w:val="12"/>
          <w:szCs w:val="12"/>
          <w:i w:val="1"/>
          <w:iCs w:val="1"/>
          <w:color w:val="auto"/>
        </w:rPr>
        <w:t>Obligation Currency</w:t>
      </w:r>
      <w:r>
        <w:rPr>
          <w:rFonts w:ascii="Arial" w:cs="Arial" w:eastAsia="Arial" w:hAnsi="Arial"/>
          <w:sz w:val="12"/>
          <w:szCs w:val="12"/>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Arial" w:cs="Arial" w:eastAsia="Arial" w:hAnsi="Arial"/>
          <w:sz w:val="12"/>
          <w:szCs w:val="12"/>
          <w:i w:val="1"/>
          <w:iCs w:val="1"/>
          <w:color w:val="auto"/>
        </w:rPr>
        <w:t>Judgment Currency</w:t>
      </w:r>
      <w:r>
        <w:rPr>
          <w:rFonts w:ascii="Arial" w:cs="Arial" w:eastAsia="Arial" w:hAnsi="Arial"/>
          <w:sz w:val="12"/>
          <w:szCs w:val="12"/>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2"/>
          <w:szCs w:val="12"/>
          <w:i w:val="1"/>
          <w:iCs w:val="1"/>
          <w:color w:val="auto"/>
        </w:rPr>
        <w:t>Judgment Currency Conversion Date</w:t>
      </w:r>
      <w:r>
        <w:rPr>
          <w:rFonts w:ascii="Arial" w:cs="Arial" w:eastAsia="Arial" w:hAnsi="Arial"/>
          <w:sz w:val="12"/>
          <w:szCs w:val="12"/>
          <w:color w:val="auto"/>
        </w:rPr>
        <w:t>”).</w:t>
      </w:r>
    </w:p>
    <w:p>
      <w:pPr>
        <w:spacing w:after="0" w:line="343" w:lineRule="exact"/>
        <w:rPr>
          <w:sz w:val="20"/>
          <w:szCs w:val="20"/>
          <w:color w:val="auto"/>
        </w:rPr>
      </w:pPr>
    </w:p>
    <w:p>
      <w:pPr>
        <w:jc w:val="both"/>
        <w:ind w:firstLine="532"/>
        <w:spacing w:after="0" w:line="330" w:lineRule="auto"/>
        <w:tabs>
          <w:tab w:leader="none" w:pos="88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00" w:name="page201"/>
    <w:bookmarkEnd w:id="200"/>
    <w:p>
      <w:pPr>
        <w:ind w:firstLine="532"/>
        <w:spacing w:after="0" w:line="259" w:lineRule="auto"/>
        <w:tabs>
          <w:tab w:leader="none" w:pos="87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8"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5"/>
          <w:szCs w:val="15"/>
          <w:b w:val="1"/>
          <w:bCs w:val="1"/>
          <w:color w:val="auto"/>
        </w:rPr>
        <w:t xml:space="preserve">SECTION 9.18 </w:t>
      </w:r>
      <w:r>
        <w:rPr>
          <w:rFonts w:ascii="Arial" w:cs="Arial" w:eastAsia="Arial" w:hAnsi="Arial"/>
          <w:sz w:val="15"/>
          <w:szCs w:val="15"/>
          <w:b w:val="1"/>
          <w:bCs w:val="1"/>
          <w:i w:val="1"/>
          <w:iCs w:val="1"/>
          <w:color w:val="auto"/>
        </w:rPr>
        <w:t>Exculpation Provisions</w:t>
      </w:r>
      <w:r>
        <w:rPr>
          <w:rFonts w:ascii="Arial" w:cs="Arial" w:eastAsia="Arial" w:hAnsi="Arial"/>
          <w:sz w:val="15"/>
          <w:szCs w:val="15"/>
          <w:color w:val="auto"/>
        </w:rPr>
        <w:t>. EACH OF THE PARTIES HERETO SPECIFICALLY AGREES THAT IT HAS A DUTY TO READ THIS AGREEMENT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206" w:lineRule="exact"/>
        <w:rPr>
          <w:sz w:val="20"/>
          <w:szCs w:val="20"/>
          <w:color w:val="auto"/>
        </w:rPr>
      </w:pPr>
    </w:p>
    <w:p>
      <w:pPr>
        <w:jc w:val="both"/>
        <w:ind w:firstLine="525"/>
        <w:spacing w:after="0" w:line="316" w:lineRule="auto"/>
        <w:rPr>
          <w:sz w:val="20"/>
          <w:szCs w:val="20"/>
          <w:color w:val="auto"/>
        </w:rPr>
      </w:pPr>
      <w:r>
        <w:rPr>
          <w:rFonts w:ascii="Arial" w:cs="Arial" w:eastAsia="Arial" w:hAnsi="Arial"/>
          <w:sz w:val="12"/>
          <w:szCs w:val="12"/>
          <w:b w:val="1"/>
          <w:bCs w:val="1"/>
          <w:color w:val="auto"/>
        </w:rPr>
        <w:t xml:space="preserve">SECTION 9.19 </w:t>
      </w:r>
      <w:r>
        <w:rPr>
          <w:rFonts w:ascii="Arial" w:cs="Arial" w:eastAsia="Arial" w:hAnsi="Arial"/>
          <w:sz w:val="12"/>
          <w:szCs w:val="12"/>
          <w:b w:val="1"/>
          <w:bCs w:val="1"/>
          <w:i w:val="1"/>
          <w:iCs w:val="1"/>
          <w:color w:val="auto"/>
        </w:rPr>
        <w:t>Payments Set Aside</w:t>
      </w:r>
      <w:r>
        <w:rPr>
          <w:rFonts w:ascii="Arial" w:cs="Arial" w:eastAsia="Arial" w:hAnsi="Arial"/>
          <w:sz w:val="12"/>
          <w:szCs w:val="12"/>
          <w:color w:val="auto"/>
        </w:rPr>
        <w:t>. To the extent that any payment by or on behalf of any Loan Party is made to any Agent, Issuing Bank or Lender, or any Agent, Issuing Bank or</w:t>
      </w:r>
      <w:r>
        <w:rPr>
          <w:rFonts w:ascii="Arial" w:cs="Arial" w:eastAsia="Arial" w:hAnsi="Arial"/>
          <w:sz w:val="12"/>
          <w:szCs w:val="12"/>
          <w:b w:val="1"/>
          <w:bCs w:val="1"/>
          <w:color w:val="auto"/>
        </w:rPr>
        <w:t xml:space="preserve"> </w:t>
      </w:r>
      <w:r>
        <w:rPr>
          <w:rFonts w:ascii="Arial" w:cs="Arial" w:eastAsia="Arial" w:hAnsi="Arial"/>
          <w:sz w:val="12"/>
          <w:szCs w:val="12"/>
          <w:color w:val="auto"/>
        </w:rPr>
        <w:t>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01" w:name="page202"/>
    <w:bookmarkEnd w:id="201"/>
    <w:p>
      <w:pPr>
        <w:jc w:val="both"/>
        <w:ind w:firstLine="525"/>
        <w:spacing w:after="0" w:line="248" w:lineRule="auto"/>
        <w:rPr>
          <w:sz w:val="20"/>
          <w:szCs w:val="20"/>
          <w:color w:val="auto"/>
        </w:rPr>
      </w:pPr>
      <w:r>
        <w:rPr>
          <w:rFonts w:ascii="Arial" w:cs="Arial" w:eastAsia="Arial" w:hAnsi="Arial"/>
          <w:sz w:val="15"/>
          <w:szCs w:val="15"/>
          <w:b w:val="1"/>
          <w:bCs w:val="1"/>
          <w:color w:val="auto"/>
        </w:rPr>
        <w:t xml:space="preserve">SECTION 9.20 </w:t>
      </w:r>
      <w:r>
        <w:rPr>
          <w:rFonts w:ascii="Arial" w:cs="Arial" w:eastAsia="Arial" w:hAnsi="Arial"/>
          <w:sz w:val="15"/>
          <w:szCs w:val="15"/>
          <w:b w:val="1"/>
          <w:bCs w:val="1"/>
          <w:i w:val="1"/>
          <w:iCs w:val="1"/>
          <w:color w:val="auto"/>
        </w:rPr>
        <w:t>Termination</w:t>
      </w:r>
      <w:r>
        <w:rPr>
          <w:rFonts w:ascii="Arial" w:cs="Arial" w:eastAsia="Arial" w:hAnsi="Arial"/>
          <w:sz w:val="15"/>
          <w:szCs w:val="15"/>
          <w:color w:val="auto"/>
        </w:rPr>
        <w:t>. This Agreement and each other Loan Document, and the covenants and agreements set forth herein and therein, and, in the case of any Security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202" w:lineRule="exact"/>
        <w:rPr>
          <w:sz w:val="20"/>
          <w:szCs w:val="20"/>
          <w:color w:val="auto"/>
        </w:rPr>
      </w:pPr>
    </w:p>
    <w:p>
      <w:pPr>
        <w:jc w:val="both"/>
        <w:ind w:firstLine="525"/>
        <w:spacing w:after="0" w:line="253" w:lineRule="auto"/>
        <w:rPr>
          <w:sz w:val="20"/>
          <w:szCs w:val="20"/>
          <w:color w:val="auto"/>
        </w:rPr>
      </w:pPr>
      <w:r>
        <w:rPr>
          <w:rFonts w:ascii="Arial" w:cs="Arial" w:eastAsia="Arial" w:hAnsi="Arial"/>
          <w:sz w:val="15"/>
          <w:szCs w:val="15"/>
          <w:b w:val="1"/>
          <w:bCs w:val="1"/>
          <w:color w:val="auto"/>
        </w:rPr>
        <w:t xml:space="preserve">SECTION 9.21 </w:t>
      </w:r>
      <w:r>
        <w:rPr>
          <w:rFonts w:ascii="Arial" w:cs="Arial" w:eastAsia="Arial" w:hAnsi="Arial"/>
          <w:sz w:val="15"/>
          <w:szCs w:val="15"/>
          <w:b w:val="1"/>
          <w:bCs w:val="1"/>
          <w:i w:val="1"/>
          <w:iCs w:val="1"/>
          <w:color w:val="auto"/>
        </w:rPr>
        <w:t>Patriot Act Notice</w:t>
      </w:r>
      <w:r>
        <w:rPr>
          <w:rFonts w:ascii="Arial" w:cs="Arial" w:eastAsia="Arial" w:hAnsi="Arial"/>
          <w:sz w:val="15"/>
          <w:szCs w:val="15"/>
          <w:color w:val="auto"/>
        </w:rPr>
        <w:t>. Each Lender hereby notifies Borrower that pursuant to the requirements of the USA Patriot Act (Title III of Pub. L. 107-56 (signed into law</w:t>
      </w:r>
      <w:r>
        <w:rPr>
          <w:rFonts w:ascii="Arial" w:cs="Arial" w:eastAsia="Arial" w:hAnsi="Arial"/>
          <w:sz w:val="15"/>
          <w:szCs w:val="15"/>
          <w:b w:val="1"/>
          <w:bCs w:val="1"/>
          <w:color w:val="auto"/>
        </w:rPr>
        <w:t xml:space="preserve"> </w:t>
      </w:r>
      <w:r>
        <w:rPr>
          <w:rFonts w:ascii="Arial" w:cs="Arial" w:eastAsia="Arial" w:hAnsi="Arial"/>
          <w:sz w:val="15"/>
          <w:szCs w:val="15"/>
          <w:color w:val="auto"/>
        </w:rPr>
        <w:t>October 26, 2001)) (the “</w:t>
      </w:r>
      <w:r>
        <w:rPr>
          <w:rFonts w:ascii="Arial" w:cs="Arial" w:eastAsia="Arial" w:hAnsi="Arial"/>
          <w:sz w:val="15"/>
          <w:szCs w:val="15"/>
          <w:u w:val="single" w:color="auto"/>
          <w:color w:val="auto"/>
        </w:rPr>
        <w:t>Patriot Act</w:t>
      </w:r>
      <w:r>
        <w:rPr>
          <w:rFonts w:ascii="Arial" w:cs="Arial" w:eastAsia="Arial" w:hAnsi="Arial"/>
          <w:sz w:val="15"/>
          <w:szCs w:val="15"/>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9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b w:val="1"/>
          <w:bCs w:val="1"/>
          <w:color w:val="auto"/>
        </w:rPr>
        <w:t>SECTION 9.22</w:t>
      </w:r>
      <w:r>
        <w:rPr>
          <w:sz w:val="20"/>
          <w:szCs w:val="20"/>
          <w:color w:val="auto"/>
        </w:rPr>
        <w:tab/>
      </w:r>
      <w:r>
        <w:rPr>
          <w:rFonts w:ascii="Arial" w:cs="Arial" w:eastAsia="Arial" w:hAnsi="Arial"/>
          <w:sz w:val="12"/>
          <w:szCs w:val="12"/>
          <w:b w:val="1"/>
          <w:bCs w:val="1"/>
          <w:i w:val="1"/>
          <w:iCs w:val="1"/>
          <w:color w:val="auto"/>
        </w:rPr>
        <w:t>Public Offer</w:t>
      </w:r>
      <w:r>
        <w:rPr>
          <w:rFonts w:ascii="Arial" w:cs="Arial" w:eastAsia="Arial" w:hAnsi="Arial"/>
          <w:sz w:val="12"/>
          <w:szCs w:val="12"/>
          <w:color w:val="auto"/>
        </w:rPr>
        <w:t>.</w:t>
      </w:r>
    </w:p>
    <w:p>
      <w:pPr>
        <w:spacing w:after="0" w:line="225" w:lineRule="exact"/>
        <w:rPr>
          <w:sz w:val="20"/>
          <w:szCs w:val="20"/>
          <w:color w:val="auto"/>
        </w:rPr>
      </w:pPr>
    </w:p>
    <w:p>
      <w:pPr>
        <w:ind w:left="880" w:hanging="348"/>
        <w:spacing w:after="0"/>
        <w:tabs>
          <w:tab w:leader="none" w:pos="880" w:val="left"/>
        </w:tabs>
        <w:numPr>
          <w:ilvl w:val="0"/>
          <w:numId w:val="190"/>
        </w:numPr>
        <w:rPr>
          <w:rFonts w:ascii="Arial" w:cs="Arial" w:eastAsia="Arial" w:hAnsi="Arial"/>
          <w:sz w:val="14"/>
          <w:szCs w:val="14"/>
          <w:color w:val="auto"/>
        </w:rPr>
      </w:pPr>
      <w:r>
        <w:rPr>
          <w:rFonts w:ascii="Arial" w:cs="Arial" w:eastAsia="Arial" w:hAnsi="Arial"/>
          <w:sz w:val="14"/>
          <w:szCs w:val="14"/>
          <w:i w:val="1"/>
          <w:iCs w:val="1"/>
          <w:color w:val="auto"/>
        </w:rPr>
        <w:t>Lead Arranger’s representations, warranties and undertakings</w:t>
      </w:r>
      <w:r>
        <w:rPr>
          <w:rFonts w:ascii="Arial" w:cs="Arial" w:eastAsia="Arial" w:hAnsi="Arial"/>
          <w:sz w:val="14"/>
          <w:szCs w:val="14"/>
          <w:color w:val="auto"/>
        </w:rPr>
        <w:t>. The Lead Arranger undertakes, represents and warrants to the Australian Loan Parties as follows:</w:t>
      </w:r>
    </w:p>
    <w:p>
      <w:pPr>
        <w:spacing w:after="0" w:line="188" w:lineRule="exact"/>
        <w:rPr>
          <w:rFonts w:ascii="Arial" w:cs="Arial" w:eastAsia="Arial" w:hAnsi="Arial"/>
          <w:sz w:val="14"/>
          <w:szCs w:val="14"/>
          <w:color w:val="auto"/>
        </w:rPr>
      </w:pPr>
    </w:p>
    <w:p>
      <w:pPr>
        <w:jc w:val="both"/>
        <w:ind w:left="540" w:firstLine="517"/>
        <w:spacing w:after="0" w:line="248" w:lineRule="auto"/>
        <w:tabs>
          <w:tab w:leader="none" w:pos="1403" w:val="left"/>
        </w:tabs>
        <w:numPr>
          <w:ilvl w:val="1"/>
          <w:numId w:val="190"/>
        </w:numPr>
        <w:rPr>
          <w:rFonts w:ascii="Arial" w:cs="Arial" w:eastAsia="Arial" w:hAnsi="Arial"/>
          <w:sz w:val="15"/>
          <w:szCs w:val="15"/>
          <w:color w:val="auto"/>
        </w:rPr>
      </w:pPr>
      <w:r>
        <w:rPr>
          <w:rFonts w:ascii="Arial" w:cs="Arial" w:eastAsia="Arial" w:hAnsi="Arial"/>
          <w:sz w:val="15"/>
          <w:szCs w:val="15"/>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61" w:lineRule="exact"/>
        <w:rPr>
          <w:rFonts w:ascii="Arial" w:cs="Arial" w:eastAsia="Arial" w:hAnsi="Arial"/>
          <w:sz w:val="15"/>
          <w:szCs w:val="15"/>
          <w:color w:val="auto"/>
        </w:rPr>
      </w:pPr>
    </w:p>
    <w:p>
      <w:pPr>
        <w:jc w:val="both"/>
        <w:ind w:left="540" w:firstLine="517"/>
        <w:spacing w:after="0" w:line="251" w:lineRule="auto"/>
        <w:tabs>
          <w:tab w:leader="none" w:pos="142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58" w:lineRule="exact"/>
        <w:rPr>
          <w:rFonts w:ascii="Arial" w:cs="Arial" w:eastAsia="Arial" w:hAnsi="Arial"/>
          <w:sz w:val="15"/>
          <w:szCs w:val="15"/>
          <w:color w:val="auto"/>
        </w:rPr>
      </w:pPr>
    </w:p>
    <w:p>
      <w:pPr>
        <w:ind w:left="540" w:firstLine="517"/>
        <w:spacing w:after="0" w:line="259" w:lineRule="auto"/>
        <w:tabs>
          <w:tab w:leader="none" w:pos="152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52" w:lineRule="exact"/>
        <w:rPr>
          <w:rFonts w:ascii="Arial" w:cs="Arial" w:eastAsia="Arial" w:hAnsi="Arial"/>
          <w:sz w:val="15"/>
          <w:szCs w:val="15"/>
          <w:color w:val="auto"/>
        </w:rPr>
      </w:pPr>
    </w:p>
    <w:p>
      <w:pPr>
        <w:jc w:val="both"/>
        <w:ind w:firstLine="532"/>
        <w:spacing w:after="0" w:line="246" w:lineRule="auto"/>
        <w:tabs>
          <w:tab w:leader="none" w:pos="887" w:val="left"/>
        </w:tabs>
        <w:numPr>
          <w:ilvl w:val="0"/>
          <w:numId w:val="190"/>
        </w:numPr>
        <w:rPr>
          <w:rFonts w:ascii="Arial" w:cs="Arial" w:eastAsia="Arial" w:hAnsi="Arial"/>
          <w:sz w:val="15"/>
          <w:szCs w:val="15"/>
          <w:color w:val="auto"/>
        </w:rPr>
      </w:pPr>
      <w:r>
        <w:rPr>
          <w:rFonts w:ascii="Arial" w:cs="Arial" w:eastAsia="Arial" w:hAnsi="Arial"/>
          <w:sz w:val="15"/>
          <w:szCs w:val="15"/>
          <w:i w:val="1"/>
          <w:iCs w:val="1"/>
          <w:color w:val="auto"/>
        </w:rPr>
        <w:t>Australian Loan Parties’ representations and warranties</w:t>
      </w:r>
      <w:r>
        <w:rPr>
          <w:rFonts w:ascii="Arial" w:cs="Arial" w:eastAsia="Arial" w:hAnsi="Arial"/>
          <w:sz w:val="15"/>
          <w:szCs w:val="15"/>
          <w:color w:val="auto"/>
        </w:rPr>
        <w:t>. The Australian Loan Parties represent and warrant that none of the potential offerees whose names were disclosed to it by</w:t>
      </w:r>
      <w:r>
        <w:rPr>
          <w:rFonts w:ascii="Arial" w:cs="Arial" w:eastAsia="Arial" w:hAnsi="Arial"/>
          <w:sz w:val="15"/>
          <w:szCs w:val="15"/>
          <w:i w:val="1"/>
          <w:iCs w:val="1"/>
          <w:color w:val="auto"/>
        </w:rPr>
        <w:t xml:space="preserve"> </w:t>
      </w:r>
      <w:r>
        <w:rPr>
          <w:rFonts w:ascii="Arial" w:cs="Arial" w:eastAsia="Arial" w:hAnsi="Arial"/>
          <w:sz w:val="15"/>
          <w:szCs w:val="15"/>
          <w:color w:val="auto"/>
        </w:rPr>
        <w:t>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 (ii) 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02" w:name="page203"/>
    <w:bookmarkEnd w:id="202"/>
    <w:p>
      <w:pPr>
        <w:jc w:val="both"/>
        <w:ind w:firstLine="532"/>
        <w:spacing w:after="0" w:line="251" w:lineRule="auto"/>
        <w:tabs>
          <w:tab w:leader="none" w:pos="912" w:val="left"/>
        </w:tabs>
        <w:numPr>
          <w:ilvl w:val="0"/>
          <w:numId w:val="191"/>
        </w:numPr>
        <w:rPr>
          <w:rFonts w:ascii="Arial" w:cs="Arial" w:eastAsia="Arial" w:hAnsi="Arial"/>
          <w:sz w:val="15"/>
          <w:szCs w:val="15"/>
          <w:color w:val="auto"/>
        </w:rPr>
      </w:pPr>
      <w:r>
        <w:rPr>
          <w:rFonts w:ascii="Arial" w:cs="Arial" w:eastAsia="Arial" w:hAnsi="Arial"/>
          <w:sz w:val="15"/>
          <w:szCs w:val="15"/>
          <w:i w:val="1"/>
          <w:iCs w:val="1"/>
          <w:color w:val="auto"/>
        </w:rPr>
        <w:t>Lenders’ representations and warranties</w:t>
      </w:r>
      <w:r>
        <w:rPr>
          <w:rFonts w:ascii="Arial" w:cs="Arial" w:eastAsia="Arial" w:hAnsi="Arial"/>
          <w:sz w:val="15"/>
          <w:szCs w:val="15"/>
          <w:color w:val="auto"/>
        </w:rPr>
        <w:t>. Each Lender represents and warrants to the Australian Loan Parties that, if it received an invitation under paragraph (a)(i) above, at the</w:t>
      </w:r>
      <w:r>
        <w:rPr>
          <w:rFonts w:ascii="Arial" w:cs="Arial" w:eastAsia="Arial" w:hAnsi="Arial"/>
          <w:sz w:val="15"/>
          <w:szCs w:val="15"/>
          <w:i w:val="1"/>
          <w:iCs w:val="1"/>
          <w:color w:val="auto"/>
        </w:rPr>
        <w:t xml:space="preserve"> </w:t>
      </w:r>
      <w:r>
        <w:rPr>
          <w:rFonts w:ascii="Arial" w:cs="Arial" w:eastAsia="Arial" w:hAnsi="Arial"/>
          <w:sz w:val="15"/>
          <w:szCs w:val="15"/>
          <w:color w:val="auto"/>
        </w:rPr>
        <w:t>time it received the invitation it was not an Offshore Associate of the Australian Loan Parties and it was carrying on the business of providing finance, or investing or dealing in securities, in the course of operating in financial markets.</w:t>
      </w:r>
    </w:p>
    <w:p>
      <w:pPr>
        <w:spacing w:after="0" w:line="158" w:lineRule="exact"/>
        <w:rPr>
          <w:rFonts w:ascii="Arial" w:cs="Arial" w:eastAsia="Arial" w:hAnsi="Arial"/>
          <w:sz w:val="15"/>
          <w:szCs w:val="15"/>
          <w:color w:val="auto"/>
        </w:rPr>
      </w:pPr>
    </w:p>
    <w:p>
      <w:pPr>
        <w:jc w:val="both"/>
        <w:ind w:firstLine="532"/>
        <w:spacing w:after="0" w:line="277" w:lineRule="auto"/>
        <w:tabs>
          <w:tab w:leader="none" w:pos="931" w:val="left"/>
        </w:tabs>
        <w:numPr>
          <w:ilvl w:val="0"/>
          <w:numId w:val="191"/>
        </w:numPr>
        <w:rPr>
          <w:rFonts w:ascii="Arial" w:cs="Arial" w:eastAsia="Arial" w:hAnsi="Arial"/>
          <w:sz w:val="14"/>
          <w:szCs w:val="14"/>
          <w:color w:val="auto"/>
        </w:rPr>
      </w:pPr>
      <w:r>
        <w:rPr>
          <w:rFonts w:ascii="Arial" w:cs="Arial" w:eastAsia="Arial" w:hAnsi="Arial"/>
          <w:sz w:val="14"/>
          <w:szCs w:val="14"/>
          <w:i w:val="1"/>
          <w:iCs w:val="1"/>
          <w:color w:val="auto"/>
        </w:rPr>
        <w:t>Information</w:t>
      </w:r>
      <w:r>
        <w:rPr>
          <w:rFonts w:ascii="Arial" w:cs="Arial" w:eastAsia="Arial" w:hAnsi="Arial"/>
          <w:sz w:val="14"/>
          <w:szCs w:val="14"/>
          <w:color w:val="auto"/>
        </w:rPr>
        <w:t>. The Lead Arranger and each Lender will provide to the Australian Loan Parties when reasonably requested any factual information in its possession or which it is</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141" w:lineRule="exact"/>
        <w:rPr>
          <w:rFonts w:ascii="Arial" w:cs="Arial" w:eastAsia="Arial" w:hAnsi="Arial"/>
          <w:sz w:val="14"/>
          <w:szCs w:val="14"/>
          <w:color w:val="auto"/>
        </w:rPr>
      </w:pPr>
    </w:p>
    <w:p>
      <w:pPr>
        <w:jc w:val="both"/>
        <w:ind w:firstLine="532"/>
        <w:spacing w:after="0" w:line="248" w:lineRule="auto"/>
        <w:tabs>
          <w:tab w:leader="none" w:pos="890" w:val="left"/>
        </w:tabs>
        <w:numPr>
          <w:ilvl w:val="0"/>
          <w:numId w:val="191"/>
        </w:numPr>
        <w:rPr>
          <w:rFonts w:ascii="Arial" w:cs="Arial" w:eastAsia="Arial" w:hAnsi="Arial"/>
          <w:sz w:val="15"/>
          <w:szCs w:val="15"/>
          <w:color w:val="auto"/>
        </w:rPr>
      </w:pPr>
      <w:r>
        <w:rPr>
          <w:rFonts w:ascii="Arial" w:cs="Arial" w:eastAsia="Arial" w:hAnsi="Arial"/>
          <w:sz w:val="15"/>
          <w:szCs w:val="15"/>
          <w:i w:val="1"/>
          <w:iCs w:val="1"/>
          <w:color w:val="auto"/>
        </w:rPr>
        <w:t>Cooperation if s128F requirement not satisfied</w:t>
      </w:r>
      <w:r>
        <w:rPr>
          <w:rFonts w:ascii="Arial" w:cs="Arial" w:eastAsia="Arial" w:hAnsi="Arial"/>
          <w:sz w:val="15"/>
          <w:szCs w:val="15"/>
          <w:color w:val="auto"/>
        </w:rPr>
        <w:t>. If, for any reason, the requirements of section 128F of the Australian Tax Act have not been satisfied in relation to interest payable</w:t>
      </w:r>
      <w:r>
        <w:rPr>
          <w:rFonts w:ascii="Arial" w:cs="Arial" w:eastAsia="Arial" w:hAnsi="Arial"/>
          <w:sz w:val="15"/>
          <w:szCs w:val="15"/>
          <w:i w:val="1"/>
          <w:iCs w:val="1"/>
          <w:color w:val="auto"/>
        </w:rPr>
        <w:t xml:space="preserve"> </w:t>
      </w:r>
      <w:r>
        <w:rPr>
          <w:rFonts w:ascii="Arial" w:cs="Arial" w:eastAsia="Arial" w:hAnsi="Arial"/>
          <w:sz w:val="15"/>
          <w:szCs w:val="15"/>
          <w:color w:val="auto"/>
        </w:rPr>
        <w:t>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61" w:lineRule="exact"/>
        <w:rPr>
          <w:rFonts w:ascii="Arial" w:cs="Arial" w:eastAsia="Arial" w:hAnsi="Arial"/>
          <w:sz w:val="15"/>
          <w:szCs w:val="15"/>
          <w:color w:val="auto"/>
        </w:rPr>
      </w:pPr>
    </w:p>
    <w:p>
      <w:pPr>
        <w:ind w:left="3600" w:right="280" w:hanging="3068"/>
        <w:spacing w:after="0" w:line="502" w:lineRule="auto"/>
        <w:tabs>
          <w:tab w:leader="none" w:pos="856" w:val="left"/>
        </w:tabs>
        <w:numPr>
          <w:ilvl w:val="0"/>
          <w:numId w:val="191"/>
        </w:numPr>
        <w:rPr>
          <w:rFonts w:ascii="Arial" w:cs="Arial" w:eastAsia="Arial" w:hAnsi="Arial"/>
          <w:sz w:val="15"/>
          <w:szCs w:val="15"/>
          <w:color w:val="auto"/>
        </w:rPr>
      </w:pPr>
      <w:r>
        <w:rPr>
          <w:rFonts w:ascii="Arial" w:cs="Arial" w:eastAsia="Arial" w:hAnsi="Arial"/>
          <w:sz w:val="15"/>
          <w:szCs w:val="15"/>
          <w:i w:val="1"/>
          <w:iCs w:val="1"/>
          <w:color w:val="auto"/>
        </w:rPr>
        <w:t>Section 128F syndication statement</w:t>
      </w:r>
      <w:r>
        <w:rPr>
          <w:rFonts w:ascii="Arial" w:cs="Arial" w:eastAsia="Arial" w:hAnsi="Arial"/>
          <w:sz w:val="15"/>
          <w:szCs w:val="15"/>
          <w:color w:val="auto"/>
        </w:rPr>
        <w:t>. The parties agree that this Agreement is a “syndicated facility agreement” for the purposes of section 128F(11)(a) of the Australian Tax Act.</w:t>
      </w:r>
      <w:r>
        <w:rPr>
          <w:rFonts w:ascii="Arial" w:cs="Arial" w:eastAsia="Arial" w:hAnsi="Arial"/>
          <w:sz w:val="15"/>
          <w:szCs w:val="15"/>
          <w:i w:val="1"/>
          <w:iCs w:val="1"/>
          <w:color w:val="auto"/>
        </w:rPr>
        <w:t xml:space="preserve"> [Remainder of this page intentionally left blank. Signature pages follow.]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03" w:name="page204"/>
    <w:bookmarkEnd w:id="203"/>
    <w:p>
      <w:pPr>
        <w:spacing w:after="0"/>
        <w:rPr>
          <w:sz w:val="20"/>
          <w:szCs w:val="20"/>
          <w:color w:val="auto"/>
        </w:rPr>
      </w:pPr>
      <w:r>
        <w:rPr>
          <w:rFonts w:ascii="Arial" w:cs="Arial" w:eastAsia="Arial" w:hAnsi="Arial"/>
          <w:sz w:val="12"/>
          <w:szCs w:val="12"/>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10160"/>
          </w:cols>
          <w:pgMar w:left="760" w:top="676" w:right="979" w:bottom="1440" w:gutter="0" w:footer="0" w:header="0"/>
        </w:sectPr>
      </w:pPr>
    </w:p>
    <w:p>
      <w:pPr>
        <w:spacing w:after="0" w:line="25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CIVEO CORPORATION.</w:t>
      </w: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8255</wp:posOffset>
            </wp:positionV>
            <wp:extent cx="253301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5"/>
          <w:szCs w:val="15"/>
          <w:color w:val="auto"/>
        </w:rPr>
        <w:t>Name:</w:t>
      </w:r>
    </w:p>
    <w:p>
      <w:pPr>
        <w:spacing w:after="0" w:line="11"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CIVEO CANADA INC.</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CIVEO PREMIUM CAMP SERVICES LTD.</w:t>
      </w:r>
    </w:p>
    <w:p>
      <w:pPr>
        <w:spacing w:after="0" w:line="378"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8255</wp:posOffset>
            </wp:positionV>
            <wp:extent cx="253301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5"/>
          <w:szCs w:val="15"/>
          <w:color w:val="auto"/>
        </w:rPr>
        <w:t>Name:</w:t>
      </w:r>
    </w:p>
    <w:p>
      <w:pPr>
        <w:spacing w:after="0" w:line="11"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CIVEO AUSTRALIA PTY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341630</wp:posOffset>
            </wp:positionV>
            <wp:extent cx="276225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230505</wp:posOffset>
            </wp:positionV>
            <wp:extent cx="27622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341630</wp:posOffset>
            </wp:positionV>
            <wp:extent cx="276225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Signature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237490</wp:posOffset>
            </wp:positionV>
            <wp:extent cx="276225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 of Director/Company Secretary</w:t>
      </w: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429895</wp:posOffset>
            </wp:positionV>
            <wp:extent cx="7292340" cy="33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160"/>
          </w:cols>
          <w:pgMar w:left="760" w:top="676" w:right="979" w:bottom="1440" w:gutter="0" w:footer="0" w:header="0"/>
          <w:type w:val="continuous"/>
        </w:sectPr>
      </w:pPr>
    </w:p>
    <w:bookmarkStart w:id="204" w:name="page205"/>
    <w:bookmarkEnd w:id="204"/>
    <w:p>
      <w:pPr>
        <w:ind w:left="4500"/>
        <w:spacing w:after="0"/>
        <w:rPr>
          <w:sz w:val="20"/>
          <w:szCs w:val="20"/>
          <w:color w:val="auto"/>
        </w:rPr>
      </w:pPr>
      <w:r>
        <w:rPr>
          <w:rFonts w:ascii="Arial" w:cs="Arial" w:eastAsia="Arial" w:hAnsi="Arial"/>
          <w:sz w:val="12"/>
          <w:szCs w:val="12"/>
          <w:color w:val="auto"/>
        </w:rPr>
        <w:t>ROYAL BANK OF CANADA, as Administrative Agent, U.S. Collateral</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Agent, Canadian Administrative Agent and Canadian Collateral Agent</w:t>
      </w: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425450</wp:posOffset>
            </wp:positionV>
            <wp:extent cx="7292340" cy="33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05" w:name="page206"/>
    <w:bookmarkEnd w:id="205"/>
    <w:p>
      <w:pPr>
        <w:ind w:left="4500"/>
        <w:spacing w:after="0"/>
        <w:rPr>
          <w:sz w:val="20"/>
          <w:szCs w:val="20"/>
          <w:color w:val="auto"/>
        </w:rPr>
      </w:pPr>
      <w:r>
        <w:rPr>
          <w:rFonts w:ascii="Arial" w:cs="Arial" w:eastAsia="Arial" w:hAnsi="Arial"/>
          <w:sz w:val="12"/>
          <w:szCs w:val="12"/>
          <w:color w:val="auto"/>
        </w:rPr>
        <w:t>ROYAL BANK OF CANADA, as a U.S. Lender, a Canadian Lender, the</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U.S. Swing Line Lender, the Canadian Swing Line Lender and an Issuing</w:t>
      </w:r>
    </w:p>
    <w:p>
      <w:pPr>
        <w:spacing w:after="0" w:line="37"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Bank</w:t>
      </w:r>
    </w:p>
    <w:p>
      <w:pPr>
        <w:spacing w:after="0" w:line="343"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8255</wp:posOffset>
            </wp:positionV>
            <wp:extent cx="253301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432435</wp:posOffset>
            </wp:positionV>
            <wp:extent cx="7292340" cy="33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206" w:name="page207"/>
    <w:bookmarkEnd w:id="206"/>
    <w:p>
      <w:pPr>
        <w:ind w:left="4400"/>
        <w:spacing w:after="0"/>
        <w:rPr>
          <w:sz w:val="20"/>
          <w:szCs w:val="20"/>
          <w:color w:val="auto"/>
        </w:rPr>
      </w:pPr>
      <w:r>
        <w:rPr>
          <w:rFonts w:ascii="Arial" w:cs="Arial" w:eastAsia="Arial" w:hAnsi="Arial"/>
          <w:sz w:val="15"/>
          <w:szCs w:val="15"/>
          <w:color w:val="auto"/>
        </w:rPr>
        <w:t>RBC EUROPE LIMITED, as an Australian Lender, Australian</w:t>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2"/>
          <w:szCs w:val="12"/>
          <w:color w:val="auto"/>
        </w:rPr>
        <w:t>Administrative Agent, Australian Collateral Agent and an Issuing Bank</w:t>
      </w:r>
    </w:p>
    <w:p>
      <w:pPr>
        <w:spacing w:after="0" w:line="378"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07" w:name="page208"/>
    <w:bookmarkEnd w:id="207"/>
    <w:p>
      <w:pPr>
        <w:ind w:left="4400"/>
        <w:spacing w:after="0"/>
        <w:rPr>
          <w:sz w:val="20"/>
          <w:szCs w:val="20"/>
          <w:color w:val="auto"/>
        </w:rPr>
      </w:pPr>
      <w:r>
        <w:rPr>
          <w:rFonts w:ascii="Arial" w:cs="Arial" w:eastAsia="Arial" w:hAnsi="Arial"/>
          <w:sz w:val="12"/>
          <w:szCs w:val="12"/>
          <w:color w:val="auto"/>
        </w:rPr>
        <w:t>WELLS FARGO BANK, N.A., as a U.S. Lender, U.S. Swing Line Lender</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and an Issuing Bank</w:t>
      </w:r>
    </w:p>
    <w:p>
      <w:pPr>
        <w:spacing w:after="0" w:line="343"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457835</wp:posOffset>
            </wp:positionV>
            <wp:extent cx="7292340" cy="336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08" w:name="page209"/>
    <w:bookmarkEnd w:id="208"/>
    <w:p>
      <w:pPr>
        <w:ind w:left="4400"/>
        <w:spacing w:after="0"/>
        <w:rPr>
          <w:sz w:val="20"/>
          <w:szCs w:val="20"/>
          <w:color w:val="auto"/>
        </w:rPr>
      </w:pPr>
      <w:r>
        <w:rPr>
          <w:rFonts w:ascii="Arial" w:cs="Arial" w:eastAsia="Arial" w:hAnsi="Arial"/>
          <w:sz w:val="12"/>
          <w:szCs w:val="12"/>
          <w:color w:val="auto"/>
        </w:rPr>
        <w:t>THE TORONTO-DOMINION BANK, as a Canadian Lender, Canadian</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Swing Line Lender and an Issuing Bank</w:t>
      </w:r>
    </w:p>
    <w:p>
      <w:pPr>
        <w:spacing w:after="0" w:line="343"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09" w:name="page210"/>
    <w:bookmarkEnd w:id="209"/>
    <w:p>
      <w:pPr>
        <w:jc w:val="right"/>
        <w:ind w:right="99"/>
        <w:spacing w:after="0"/>
        <w:rPr>
          <w:sz w:val="20"/>
          <w:szCs w:val="20"/>
          <w:color w:val="auto"/>
        </w:rPr>
      </w:pPr>
      <w:r>
        <w:rPr>
          <w:rFonts w:ascii="Arial" w:cs="Arial" w:eastAsia="Arial" w:hAnsi="Arial"/>
          <w:sz w:val="15"/>
          <w:szCs w:val="15"/>
          <w:color w:val="auto"/>
        </w:rPr>
        <w:t>THE BANK OF NOVA SCOTIA, as a Canadian Lender and an Issuing Bank</w:t>
      </w:r>
    </w:p>
    <w:p>
      <w:pPr>
        <w:spacing w:after="0" w:line="352"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10" w:name="page211"/>
    <w:bookmarkEnd w:id="210"/>
    <w:p>
      <w:pPr>
        <w:ind w:left="4400"/>
        <w:spacing w:after="0"/>
        <w:rPr>
          <w:sz w:val="20"/>
          <w:szCs w:val="20"/>
          <w:color w:val="auto"/>
        </w:rPr>
      </w:pPr>
      <w:r>
        <w:rPr>
          <w:rFonts w:ascii="Arial" w:cs="Arial" w:eastAsia="Arial" w:hAnsi="Arial"/>
          <w:sz w:val="12"/>
          <w:szCs w:val="12"/>
          <w:color w:val="auto"/>
        </w:rPr>
        <w:t>NATIONAL AUSTRALIA BANK, as an Australian Lender and an Issuing</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Bank</w:t>
      </w:r>
    </w:p>
    <w:p>
      <w:pPr>
        <w:spacing w:after="0" w:line="343"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11" w:name="page212"/>
    <w:bookmarkEnd w:id="211"/>
    <w:p>
      <w:pPr>
        <w:ind w:left="4400"/>
        <w:spacing w:after="0"/>
        <w:rPr>
          <w:sz w:val="20"/>
          <w:szCs w:val="20"/>
          <w:color w:val="auto"/>
        </w:rPr>
      </w:pPr>
      <w:r>
        <w:rPr>
          <w:rFonts w:ascii="Arial" w:cs="Arial" w:eastAsia="Arial" w:hAnsi="Arial"/>
          <w:sz w:val="12"/>
          <w:szCs w:val="12"/>
          <w:color w:val="auto"/>
        </w:rPr>
        <w:t>[____________________], as a U.S. Lender</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12" w:name="page213"/>
    <w:bookmarkEnd w:id="212"/>
    <w:p>
      <w:pPr>
        <w:ind w:left="4480"/>
        <w:spacing w:after="0"/>
        <w:rPr>
          <w:sz w:val="20"/>
          <w:szCs w:val="20"/>
          <w:color w:val="auto"/>
        </w:rPr>
      </w:pPr>
      <w:r>
        <w:rPr>
          <w:rFonts w:ascii="Arial" w:cs="Arial" w:eastAsia="Arial" w:hAnsi="Arial"/>
          <w:sz w:val="12"/>
          <w:szCs w:val="12"/>
          <w:color w:val="auto"/>
        </w:rPr>
        <w:t>[____________________], as a Canadian Lender</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8255</wp:posOffset>
            </wp:positionV>
            <wp:extent cx="25400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8255</wp:posOffset>
            </wp:positionV>
            <wp:extent cx="254000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8255</wp:posOffset>
            </wp:positionV>
            <wp:extent cx="25400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13" w:name="page214"/>
    <w:bookmarkEnd w:id="213"/>
    <w:p>
      <w:pPr>
        <w:ind w:left="4400"/>
        <w:spacing w:after="0"/>
        <w:rPr>
          <w:sz w:val="20"/>
          <w:szCs w:val="20"/>
          <w:color w:val="auto"/>
        </w:rPr>
      </w:pPr>
      <w:r>
        <w:rPr>
          <w:rFonts w:ascii="Arial" w:cs="Arial" w:eastAsia="Arial" w:hAnsi="Arial"/>
          <w:sz w:val="12"/>
          <w:szCs w:val="12"/>
          <w:color w:val="auto"/>
        </w:rPr>
        <w:t>[____________________], as an Australian Lender</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8255</wp:posOffset>
            </wp:positionV>
            <wp:extent cx="248412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84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429895</wp:posOffset>
            </wp:positionV>
            <wp:extent cx="7292340" cy="336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15"/>
          <w:szCs w:val="15"/>
          <w:b w:val="1"/>
          <w:bCs w:val="1"/>
          <w:color w:val="auto"/>
        </w:rPr>
        <w:t>SCHEDULE 2.01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Lenders and Commitments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278370" cy="20110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8370" cy="201104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left="507"/>
              <w:spacing w:after="0"/>
              <w:rPr>
                <w:sz w:val="20"/>
                <w:szCs w:val="20"/>
                <w:color w:val="auto"/>
              </w:rPr>
            </w:pPr>
            <w:r>
              <w:rPr>
                <w:rFonts w:ascii="Arial" w:cs="Arial" w:eastAsia="Arial" w:hAnsi="Arial"/>
                <w:sz w:val="15"/>
                <w:szCs w:val="15"/>
                <w:b w:val="1"/>
                <w:bCs w:val="1"/>
                <w:color w:val="auto"/>
                <w:w w:val="87"/>
              </w:rPr>
              <w:t>U.S. Revolving</w:t>
            </w:r>
          </w:p>
        </w:tc>
        <w:tc>
          <w:tcPr>
            <w:tcW w:w="19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Canadian Revolving</w:t>
            </w:r>
          </w:p>
        </w:tc>
        <w:tc>
          <w:tcPr>
            <w:tcW w:w="1840" w:type="dxa"/>
            <w:vAlign w:val="bottom"/>
            <w:tcBorders>
              <w:top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8"/>
              </w:rPr>
              <w:t>Australian Revolving</w:t>
            </w:r>
          </w:p>
        </w:tc>
        <w:tc>
          <w:tcPr>
            <w:tcW w:w="1600" w:type="dxa"/>
            <w:vAlign w:val="bottom"/>
            <w:tcBorders>
              <w:top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89"/>
              </w:rPr>
              <w:t>Total</w:t>
            </w:r>
          </w:p>
        </w:tc>
      </w:tr>
      <w:tr>
        <w:trPr>
          <w:trHeight w:val="188"/>
        </w:trPr>
        <w:tc>
          <w:tcPr>
            <w:tcW w:w="2440" w:type="dxa"/>
            <w:vAlign w:val="bottom"/>
          </w:tcPr>
          <w:p>
            <w:pPr>
              <w:ind w:left="1280"/>
              <w:spacing w:after="0"/>
              <w:rPr>
                <w:sz w:val="20"/>
                <w:szCs w:val="20"/>
                <w:color w:val="auto"/>
              </w:rPr>
            </w:pPr>
            <w:r>
              <w:rPr>
                <w:rFonts w:ascii="Arial" w:cs="Arial" w:eastAsia="Arial" w:hAnsi="Arial"/>
                <w:sz w:val="15"/>
                <w:szCs w:val="15"/>
                <w:b w:val="1"/>
                <w:bCs w:val="1"/>
                <w:color w:val="auto"/>
              </w:rPr>
              <w:t>Bank</w:t>
            </w:r>
          </w:p>
        </w:tc>
        <w:tc>
          <w:tcPr>
            <w:tcW w:w="2020" w:type="dxa"/>
            <w:vAlign w:val="bottom"/>
          </w:tcPr>
          <w:p>
            <w:pPr>
              <w:jc w:val="center"/>
              <w:ind w:left="507"/>
              <w:spacing w:after="0"/>
              <w:rPr>
                <w:sz w:val="20"/>
                <w:szCs w:val="20"/>
                <w:color w:val="auto"/>
              </w:rPr>
            </w:pPr>
            <w:r>
              <w:rPr>
                <w:rFonts w:ascii="Arial" w:cs="Arial" w:eastAsia="Arial" w:hAnsi="Arial"/>
                <w:sz w:val="15"/>
                <w:szCs w:val="15"/>
                <w:b w:val="1"/>
                <w:bCs w:val="1"/>
                <w:color w:val="auto"/>
                <w:w w:val="91"/>
              </w:rPr>
              <w:t>Commitment</w:t>
            </w:r>
          </w:p>
        </w:tc>
        <w:tc>
          <w:tcPr>
            <w:tcW w:w="1900" w:type="dxa"/>
            <w:vAlign w:val="bottom"/>
          </w:tcPr>
          <w:p>
            <w:pPr>
              <w:ind w:left="240"/>
              <w:spacing w:after="0"/>
              <w:rPr>
                <w:sz w:val="20"/>
                <w:szCs w:val="20"/>
                <w:color w:val="auto"/>
              </w:rPr>
            </w:pPr>
            <w:r>
              <w:rPr>
                <w:rFonts w:ascii="Arial" w:cs="Arial" w:eastAsia="Arial" w:hAnsi="Arial"/>
                <w:sz w:val="15"/>
                <w:szCs w:val="15"/>
                <w:b w:val="1"/>
                <w:bCs w:val="1"/>
                <w:color w:val="auto"/>
                <w:w w:val="98"/>
              </w:rPr>
              <w:t>U.S. Term Commitment</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w w:val="89"/>
              </w:rPr>
              <w:t>Commitment</w:t>
            </w:r>
          </w:p>
        </w:tc>
        <w:tc>
          <w:tcPr>
            <w:tcW w:w="1840" w:type="dxa"/>
            <w:vAlign w:val="bottom"/>
          </w:tcPr>
          <w:p>
            <w:pPr>
              <w:jc w:val="center"/>
              <w:ind w:right="27"/>
              <w:spacing w:after="0"/>
              <w:rPr>
                <w:sz w:val="20"/>
                <w:szCs w:val="20"/>
                <w:color w:val="auto"/>
              </w:rPr>
            </w:pPr>
            <w:r>
              <w:rPr>
                <w:rFonts w:ascii="Arial" w:cs="Arial" w:eastAsia="Arial" w:hAnsi="Arial"/>
                <w:sz w:val="15"/>
                <w:szCs w:val="15"/>
                <w:b w:val="1"/>
                <w:bCs w:val="1"/>
                <w:color w:val="auto"/>
                <w:w w:val="89"/>
              </w:rPr>
              <w:t>Commitment</w:t>
            </w:r>
          </w:p>
        </w:tc>
        <w:tc>
          <w:tcPr>
            <w:tcW w:w="1600" w:type="dxa"/>
            <w:vAlign w:val="bottom"/>
          </w:tcPr>
          <w:p>
            <w:pPr>
              <w:jc w:val="center"/>
              <w:ind w:right="27"/>
              <w:spacing w:after="0"/>
              <w:rPr>
                <w:sz w:val="20"/>
                <w:szCs w:val="20"/>
                <w:color w:val="auto"/>
              </w:rPr>
            </w:pPr>
            <w:r>
              <w:rPr>
                <w:rFonts w:ascii="Arial" w:cs="Arial" w:eastAsia="Arial" w:hAnsi="Arial"/>
                <w:sz w:val="15"/>
                <w:szCs w:val="15"/>
                <w:b w:val="1"/>
                <w:bCs w:val="1"/>
                <w:color w:val="auto"/>
                <w:w w:val="89"/>
              </w:rPr>
              <w:t>Commitment</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w:t>
      </w:r>
    </w:p>
    <w:p>
      <w:pPr>
        <w:sectPr>
          <w:pgSz w:w="11900" w:h="16838" w:orient="portrait"/>
          <w:cols w:equalWidth="0" w:num="1">
            <w:col w:w="11460"/>
          </w:cols>
          <w:pgMar w:left="220" w:top="497" w:right="2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3338195" cy="8883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38195" cy="88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2014</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Dear Oil States Stockholder:</w:t>
      </w:r>
    </w:p>
    <w:p>
      <w:pPr>
        <w:spacing w:after="0" w:line="177" w:lineRule="exact"/>
        <w:rPr>
          <w:sz w:val="20"/>
          <w:szCs w:val="20"/>
          <w:color w:val="auto"/>
        </w:rPr>
      </w:pPr>
    </w:p>
    <w:p>
      <w:pPr>
        <w:ind w:right="180" w:firstLine="262"/>
        <w:spacing w:after="0" w:line="332" w:lineRule="auto"/>
        <w:rPr>
          <w:sz w:val="20"/>
          <w:szCs w:val="20"/>
          <w:color w:val="auto"/>
        </w:rPr>
      </w:pPr>
      <w:r>
        <w:rPr>
          <w:rFonts w:ascii="Arial" w:cs="Arial" w:eastAsia="Arial" w:hAnsi="Arial"/>
          <w:sz w:val="12"/>
          <w:szCs w:val="12"/>
          <w:color w:val="auto"/>
        </w:rPr>
        <w:t>I am pleased to inform you that on May 5, 2014, the board of directors of Oil States International, Inc. approved the spin-off of our Accommodations business as a separate, publicly traded company, which we have named Civeo Corporation (“Civeo”). Upon completion of the spin-off, Oil States stockholders will own 100% of the outstanding shares of common stock of Civeo. We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believe that this separation of Civeo to form a new, independent, publicly traded company is in the best interests of Oil States, its stockholders and Civeo.</w:t>
      </w:r>
    </w:p>
    <w:p>
      <w:pPr>
        <w:spacing w:after="0" w:line="188" w:lineRule="exact"/>
        <w:rPr>
          <w:sz w:val="20"/>
          <w:szCs w:val="20"/>
          <w:color w:val="auto"/>
        </w:rPr>
      </w:pPr>
    </w:p>
    <w:p>
      <w:pPr>
        <w:ind w:right="20" w:firstLine="262"/>
        <w:spacing w:after="0" w:line="323" w:lineRule="auto"/>
        <w:rPr>
          <w:sz w:val="20"/>
          <w:szCs w:val="20"/>
          <w:color w:val="auto"/>
        </w:rPr>
      </w:pPr>
      <w:r>
        <w:rPr>
          <w:rFonts w:ascii="Arial" w:cs="Arial" w:eastAsia="Arial" w:hAnsi="Arial"/>
          <w:sz w:val="12"/>
          <w:szCs w:val="12"/>
          <w:color w:val="auto"/>
        </w:rPr>
        <w:t>The spin-off will be completed by way of a pro rata distribution on May 30, 2014, of Civeo common stock to our stockholders of record as of the close of business on May 21, 2014, the spin-off record date. Each Oil States stockholder will receive two shares of Civeo common stock for each share of Oil States common stock held by such stockholder on the record date. The distribution of these shares will be made in book-entry form, which means that no physical share certificates will be issued. Following the spin-off, stockholders may request that their shares of Civeo common</w:t>
      </w:r>
    </w:p>
    <w:p>
      <w:pPr>
        <w:spacing w:after="0"/>
        <w:rPr>
          <w:sz w:val="20"/>
          <w:szCs w:val="20"/>
          <w:color w:val="auto"/>
        </w:rPr>
      </w:pPr>
      <w:r>
        <w:rPr>
          <w:rFonts w:ascii="Arial" w:cs="Arial" w:eastAsia="Arial" w:hAnsi="Arial"/>
          <w:sz w:val="15"/>
          <w:szCs w:val="15"/>
          <w:color w:val="auto"/>
        </w:rPr>
        <w:t>stock be transferred to a brokerage or other account at any time.</w:t>
      </w:r>
    </w:p>
    <w:p>
      <w:pPr>
        <w:spacing w:after="0" w:line="188"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The spin-off is subject to certain customary conditions. Stockholder approval of the distribution is not required, nor are you required to take any action to receive your shares of Civeo common stock.</w:t>
      </w:r>
    </w:p>
    <w:p>
      <w:pPr>
        <w:spacing w:after="0" w:line="152" w:lineRule="exact"/>
        <w:rPr>
          <w:sz w:val="20"/>
          <w:szCs w:val="20"/>
          <w:color w:val="auto"/>
        </w:rPr>
      </w:pPr>
    </w:p>
    <w:p>
      <w:pPr>
        <w:ind w:right="100" w:firstLine="262"/>
        <w:spacing w:after="0" w:line="259" w:lineRule="auto"/>
        <w:rPr>
          <w:sz w:val="20"/>
          <w:szCs w:val="20"/>
          <w:color w:val="auto"/>
        </w:rPr>
      </w:pPr>
      <w:r>
        <w:rPr>
          <w:rFonts w:ascii="Arial" w:cs="Arial" w:eastAsia="Arial" w:hAnsi="Arial"/>
          <w:sz w:val="15"/>
          <w:szCs w:val="15"/>
          <w:color w:val="auto"/>
        </w:rPr>
        <w:t>Immediately following the spin-off, you will own common stock in Oil States and Civeo. Oil States’ common stock will continue to trade on the New York Stock Exchange under the symbol “OIS”. Civeo’s common stock has been approved to be listed on the New York Stock Exchange under the symbol “CVEO”.</w:t>
      </w:r>
    </w:p>
    <w:p>
      <w:pPr>
        <w:spacing w:after="0" w:line="152" w:lineRule="exact"/>
        <w:rPr>
          <w:sz w:val="20"/>
          <w:szCs w:val="20"/>
          <w:color w:val="auto"/>
        </w:rPr>
      </w:pPr>
    </w:p>
    <w:p>
      <w:pPr>
        <w:ind w:right="320" w:firstLine="262"/>
        <w:spacing w:after="0" w:line="248" w:lineRule="auto"/>
        <w:rPr>
          <w:sz w:val="20"/>
          <w:szCs w:val="20"/>
          <w:color w:val="auto"/>
        </w:rPr>
      </w:pPr>
      <w:r>
        <w:rPr>
          <w:rFonts w:ascii="Arial" w:cs="Arial" w:eastAsia="Arial" w:hAnsi="Arial"/>
          <w:sz w:val="15"/>
          <w:szCs w:val="15"/>
          <w:color w:val="auto"/>
        </w:rPr>
        <w:t>Oil States has received a private letter ruling from the Internal Revenue Service to the effect that, among other things, the distribution of Civeo’s common stock to Oil States stockholders, together with certain related transactions, will qualify as a transaction that is tax-free for U.S. federal income tax purposes.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161" w:lineRule="exact"/>
        <w:rPr>
          <w:sz w:val="20"/>
          <w:szCs w:val="20"/>
          <w:color w:val="auto"/>
        </w:rPr>
      </w:pPr>
    </w:p>
    <w:p>
      <w:pPr>
        <w:ind w:right="560" w:firstLine="262"/>
        <w:spacing w:after="0" w:line="259" w:lineRule="auto"/>
        <w:rPr>
          <w:sz w:val="20"/>
          <w:szCs w:val="20"/>
          <w:color w:val="auto"/>
        </w:rPr>
      </w:pPr>
      <w:r>
        <w:rPr>
          <w:rFonts w:ascii="Arial" w:cs="Arial" w:eastAsia="Arial" w:hAnsi="Arial"/>
          <w:sz w:val="15"/>
          <w:szCs w:val="15"/>
          <w:color w:val="auto"/>
        </w:rPr>
        <w:t>The enclosed information statement, which is being mailed to all Oil States stockholders, describes the spin-off in detail and contains important information about Civeo, including its consolidated financial statements. We urge you to read this information statement carefully.</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 want to thank you for your continued support of Oil States. We look forward to your support of Civeo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Yours sincerely,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Cindy B. Taylor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401955</wp:posOffset>
            </wp:positionV>
            <wp:extent cx="7292340" cy="336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325120</wp:posOffset>
            </wp:positionV>
            <wp:extent cx="2088515" cy="1068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2088515" cy="106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2014</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Dear Civeo Stockholder:</w:t>
      </w:r>
    </w:p>
    <w:p>
      <w:pPr>
        <w:spacing w:after="0" w:line="177"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It is our pleasure to welcome you as a stockholder of our company, Civeo Corporation We provide remote site accommodations, logistics and facility management services to the global natural resource industry, with operations primarily focused in Canada, Australia and the United States.</w:t>
      </w:r>
    </w:p>
    <w:p>
      <w:pPr>
        <w:spacing w:after="0" w:line="152" w:lineRule="exact"/>
        <w:rPr>
          <w:sz w:val="20"/>
          <w:szCs w:val="20"/>
          <w:color w:val="auto"/>
        </w:rPr>
      </w:pPr>
    </w:p>
    <w:p>
      <w:pPr>
        <w:jc w:val="both"/>
        <w:ind w:right="320" w:firstLine="262"/>
        <w:spacing w:after="0" w:line="248" w:lineRule="auto"/>
        <w:rPr>
          <w:sz w:val="20"/>
          <w:szCs w:val="20"/>
          <w:color w:val="auto"/>
        </w:rPr>
      </w:pPr>
      <w:r>
        <w:rPr>
          <w:rFonts w:ascii="Arial" w:cs="Arial" w:eastAsia="Arial" w:hAnsi="Arial"/>
          <w:sz w:val="15"/>
          <w:szCs w:val="15"/>
          <w:color w:val="auto"/>
        </w:rPr>
        <w:t>Civeo has a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assess opportunities in additional locations and markets. As an independent, publicly traded company, we can more effectively focus on and enhance our strategic growth plans and deliver long-term stockholder returns.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have been approved to list Civeo common stock on the New York Stock Exchange under the symbol “CVEO” in connection with the distribution of Civeo common stock by Oil States.</w:t>
      </w:r>
    </w:p>
    <w:p>
      <w:pPr>
        <w:spacing w:after="0" w:line="212" w:lineRule="exact"/>
        <w:rPr>
          <w:sz w:val="20"/>
          <w:szCs w:val="20"/>
          <w:color w:val="auto"/>
        </w:rPr>
      </w:pPr>
    </w:p>
    <w:p>
      <w:pPr>
        <w:ind w:right="40" w:firstLine="262"/>
        <w:spacing w:after="0" w:line="259" w:lineRule="auto"/>
        <w:rPr>
          <w:sz w:val="20"/>
          <w:szCs w:val="20"/>
          <w:color w:val="auto"/>
        </w:rPr>
      </w:pPr>
      <w:r>
        <w:rPr>
          <w:rFonts w:ascii="Arial" w:cs="Arial" w:eastAsia="Arial" w:hAnsi="Arial"/>
          <w:sz w:val="15"/>
          <w:szCs w:val="15"/>
          <w:color w:val="auto"/>
        </w:rPr>
        <w:t>We invite you to learn more about Civeo by reviewing the enclosed information statement. We look forward to our future as an independent, public company and to your support as a holder of Civeo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Bradley J. Dodson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401955</wp:posOffset>
            </wp:positionV>
            <wp:extent cx="7292340" cy="336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217" w:name="page218"/>
    <w:bookmarkEnd w:id="217"/>
    <w:p>
      <w:pPr>
        <w:ind w:left="20" w:right="140"/>
        <w:spacing w:after="0" w:line="264"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321945</wp:posOffset>
            </wp:positionV>
            <wp:extent cx="7278370" cy="2419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8370" cy="241935"/>
                    </a:xfrm>
                    <a:prstGeom prst="rect">
                      <a:avLst/>
                    </a:prstGeom>
                    <a:noFill/>
                  </pic:spPr>
                </pic:pic>
              </a:graphicData>
            </a:graphic>
          </wp:anchor>
        </w:drawing>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SUBJECT TO COMPLETION, DATED May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254000</wp:posOffset>
            </wp:positionV>
            <wp:extent cx="2088515" cy="1068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88515" cy="106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INFORMATION STATEMENT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Civeo Corporation</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Common Stock</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(par value $0.01 per share)</w:t>
      </w:r>
    </w:p>
    <w:p>
      <w:pPr>
        <w:spacing w:after="0" w:line="177" w:lineRule="exact"/>
        <w:rPr>
          <w:sz w:val="20"/>
          <w:szCs w:val="20"/>
          <w:color w:val="auto"/>
        </w:rPr>
      </w:pPr>
    </w:p>
    <w:p>
      <w:pPr>
        <w:ind w:right="80" w:firstLine="262"/>
        <w:spacing w:after="0" w:line="312" w:lineRule="auto"/>
        <w:rPr>
          <w:sz w:val="20"/>
          <w:szCs w:val="20"/>
          <w:color w:val="auto"/>
        </w:rPr>
      </w:pPr>
      <w:r>
        <w:rPr>
          <w:rFonts w:ascii="Arial" w:cs="Arial" w:eastAsia="Arial" w:hAnsi="Arial"/>
          <w:sz w:val="12"/>
          <w:szCs w:val="12"/>
          <w:color w:val="auto"/>
        </w:rPr>
        <w:t>This information statement is being sent to you in connection with the separation of Civeo Corporation (“Civeo”) from Oil States International, Inc. (“Oil States”), following which Civeo will be an independent, publicly traded company. As part of the separation, Oil States will distribute all of the shares of Civeo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Each Oil States stockholder will receive two shares of Civeo common stock for each share of Oil States common stock held by such stockholder as of the close of business on May 21, 2014, the record date for the distribution. The distribution of shares will be made in book-entry form. As discussed under “The Spin-Off—Trading Prior to the Distribution Date,” if you sell your common shares of Oil States in the “regular-way” market after the record date and before the distribution date, you also will be selling your right to receive shares of our common stock in connection with the separation. The distribution will be effective as of 11:59 p.m., Eastern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Time, on May 30, 2014. Immediately after the distribution becomes effective, Civeo will be an independent, publicly traded company.</w:t>
      </w:r>
    </w:p>
    <w:p>
      <w:pPr>
        <w:spacing w:after="0" w:line="184" w:lineRule="exact"/>
        <w:rPr>
          <w:sz w:val="20"/>
          <w:szCs w:val="20"/>
          <w:color w:val="auto"/>
        </w:rPr>
      </w:pPr>
    </w:p>
    <w:p>
      <w:pPr>
        <w:ind w:right="240" w:firstLine="262"/>
        <w:spacing w:after="0" w:line="253" w:lineRule="auto"/>
        <w:rPr>
          <w:sz w:val="20"/>
          <w:szCs w:val="20"/>
          <w:color w:val="auto"/>
        </w:rPr>
      </w:pPr>
      <w:r>
        <w:rPr>
          <w:rFonts w:ascii="Arial" w:cs="Arial" w:eastAsia="Arial" w:hAnsi="Arial"/>
          <w:sz w:val="15"/>
          <w:szCs w:val="15"/>
          <w:b w:val="1"/>
          <w:bCs w:val="1"/>
          <w:color w:val="auto"/>
        </w:rPr>
        <w:t>No vote or further action of Oil States stockholders is required in connection with the spin-off. We are not asking you for a proxy</w:t>
      </w:r>
      <w:r>
        <w:rPr>
          <w:rFonts w:ascii="Arial" w:cs="Arial" w:eastAsia="Arial" w:hAnsi="Arial"/>
          <w:sz w:val="15"/>
          <w:szCs w:val="15"/>
          <w:color w:val="auto"/>
        </w:rPr>
        <w:t>. Oil States stockholders will not be required to pay</w:t>
      </w:r>
      <w:r>
        <w:rPr>
          <w:rFonts w:ascii="Arial" w:cs="Arial" w:eastAsia="Arial" w:hAnsi="Arial"/>
          <w:sz w:val="15"/>
          <w:szCs w:val="15"/>
          <w:b w:val="1"/>
          <w:bCs w:val="1"/>
          <w:color w:val="auto"/>
        </w:rPr>
        <w:t xml:space="preserve"> </w:t>
      </w:r>
      <w:r>
        <w:rPr>
          <w:rFonts w:ascii="Arial" w:cs="Arial" w:eastAsia="Arial" w:hAnsi="Arial"/>
          <w:sz w:val="15"/>
          <w:szCs w:val="15"/>
          <w:color w:val="auto"/>
        </w:rPr>
        <w:t>any consideration for the shares of Civeo common stock they receive in the spin-off, and they will not be required to surrender or exchange shares of their Oil States common stock or take any other action in connection with the spin-off.</w:t>
      </w:r>
    </w:p>
    <w:p>
      <w:pPr>
        <w:spacing w:after="0" w:line="158" w:lineRule="exact"/>
        <w:rPr>
          <w:sz w:val="20"/>
          <w:szCs w:val="20"/>
          <w:color w:val="auto"/>
        </w:rPr>
      </w:pPr>
    </w:p>
    <w:p>
      <w:pPr>
        <w:ind w:right="40" w:firstLine="262"/>
        <w:spacing w:after="0" w:line="248" w:lineRule="auto"/>
        <w:rPr>
          <w:sz w:val="20"/>
          <w:szCs w:val="20"/>
          <w:color w:val="auto"/>
        </w:rPr>
      </w:pPr>
      <w:r>
        <w:rPr>
          <w:rFonts w:ascii="Arial" w:cs="Arial" w:eastAsia="Arial" w:hAnsi="Arial"/>
          <w:sz w:val="15"/>
          <w:szCs w:val="15"/>
          <w:color w:val="auto"/>
        </w:rPr>
        <w:t>All of the outstanding shares of Civeo common stock are currently owned by Oil States. Accordingly, there is no current trading market for Civeo common stock. We expect, however, that a limited trading market for Civeo common stock, commonly known as a “when-issued” trading market, will develop on or shortly before the record date for the distribution, and we expect “regular-way” trading of Civeo common stock will begin the first trading day after the distribution date. We have been approved to list Civeo common stock on the New York Stock Exchange under the ticker symbol “CVEO”.</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 reviewing this information statement, you should carefully consider the matters described in “Risk Factors” beginning on page 19 of this information statement.</w:t>
      </w:r>
    </w:p>
    <w:p>
      <w:pPr>
        <w:spacing w:after="0" w:line="200" w:lineRule="exact"/>
        <w:rPr>
          <w:sz w:val="20"/>
          <w:szCs w:val="20"/>
          <w:color w:val="auto"/>
        </w:rPr>
      </w:pPr>
    </w:p>
    <w:p>
      <w:pPr>
        <w:ind w:right="240" w:firstLine="262"/>
        <w:spacing w:after="0" w:line="264"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This information statement is not an offer to sell, or a solicitation of an offer to buy, any securities.</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The date of this information statement is May 6,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ind w:left="2860"/>
              <w:spacing w:after="0"/>
              <w:rPr>
                <w:sz w:val="20"/>
                <w:szCs w:val="20"/>
                <w:color w:val="auto"/>
              </w:rPr>
            </w:pPr>
            <w:r>
              <w:rPr>
                <w:rFonts w:ascii="Arial" w:cs="Arial" w:eastAsia="Arial" w:hAnsi="Arial"/>
                <w:sz w:val="15"/>
                <w:szCs w:val="15"/>
                <w:color w:val="auto"/>
                <w:w w:val="93"/>
              </w:rPr>
              <w:t>This information statement was first mailed to Oil States stockholders on or about</w:t>
            </w:r>
          </w:p>
        </w:tc>
        <w:tc>
          <w:tcPr>
            <w:tcW w:w="3560" w:type="dxa"/>
            <w:vAlign w:val="bottom"/>
          </w:tcPr>
          <w:p>
            <w:pPr>
              <w:jc w:val="right"/>
              <w:ind w:right="2787"/>
              <w:spacing w:after="0"/>
              <w:rPr>
                <w:sz w:val="20"/>
                <w:szCs w:val="20"/>
                <w:color w:val="auto"/>
              </w:rPr>
            </w:pPr>
            <w:r>
              <w:rPr>
                <w:rFonts w:ascii="Arial" w:cs="Arial" w:eastAsia="Arial" w:hAnsi="Arial"/>
                <w:sz w:val="15"/>
                <w:szCs w:val="15"/>
                <w:color w:val="auto"/>
              </w:rPr>
              <w:t>, 2014.</w:t>
            </w:r>
          </w:p>
        </w:tc>
      </w:tr>
      <w:tr>
        <w:trPr>
          <w:trHeight w:val="839"/>
        </w:trPr>
        <w:tc>
          <w:tcPr>
            <w:tcW w:w="792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8" w:right="1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88"/>
        </w:trPr>
        <w:tc>
          <w:tcPr>
            <w:tcW w:w="9200" w:type="dxa"/>
            <w:vAlign w:val="bottom"/>
          </w:tcPr>
          <w:p>
            <w:pPr>
              <w:ind w:left="5080"/>
              <w:spacing w:after="0"/>
              <w:rPr>
                <w:sz w:val="20"/>
                <w:szCs w:val="20"/>
                <w:color w:val="auto"/>
              </w:rPr>
            </w:pPr>
            <w:r>
              <w:rPr>
                <w:rFonts w:ascii="Arial" w:cs="Arial" w:eastAsia="Arial" w:hAnsi="Arial"/>
                <w:sz w:val="15"/>
                <w:szCs w:val="15"/>
                <w:b w:val="1"/>
                <w:bCs w:val="1"/>
                <w:color w:val="auto"/>
              </w:rPr>
              <w:t>TABLE OF CONTENTS</w:t>
            </w: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19"/>
        </w:trPr>
        <w:tc>
          <w:tcPr>
            <w:tcW w:w="920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Page</w:t>
            </w:r>
          </w:p>
        </w:tc>
      </w:tr>
      <w:tr>
        <w:trPr>
          <w:trHeight w:val="188"/>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SUMMARY</w:t>
            </w:r>
          </w:p>
        </w:tc>
        <w:tc>
          <w:tcPr>
            <w:tcW w:w="19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RISK FACTORS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FORWARD-LOOKING STATEMENTS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THE SPIN-OFF</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39</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TRADING MARKET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DIVIDEND POLICY</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CAPITALIZATION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UNAUDITED PRO FORMA COMBINED FINANCIAL STATEMENTS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SELECTED HISTORICAL COMBINED FINANCIAL DATA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BUSINESS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MANAGEMENT</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93</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EXECUTIVE COMPENSATION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SUMMARY COMPENSATION TABLE</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117</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GRANTS OF PLAN BASED AWARDS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OUTSTANDING EQUITY AWARDS AT 2013 FISCAL YEAR END</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120</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OPTIONS EXERCISED AND STOCK VESTED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NONQUALIFIED DEFERRED COMPENSATION</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123</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POTENTIAL PAYMENTS UPON TERMINATION OR CHANGE OF CONTROL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DIRECTOR COMPENSATION</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127</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SECURITY OWNERSHIP OF CERTAIN BENEFICIAL OWNERS AND MANAGEMENT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ARRANGEMENTS BETWEEN OIL STATES AND OUR COMPANY</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130</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OTHER RELATED PARTY TRANSACTIONS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DESCRIPTION OF MATERIAL INDEBTEDNESS</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136</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DESCRIPTION OF CAPITAL STOCK</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175"/>
        </w:trPr>
        <w:tc>
          <w:tcPr>
            <w:tcW w:w="9200" w:type="dxa"/>
            <w:vAlign w:val="bottom"/>
          </w:tcPr>
          <w:p>
            <w:pPr>
              <w:spacing w:after="0"/>
              <w:rPr>
                <w:sz w:val="20"/>
                <w:szCs w:val="20"/>
                <w:color w:val="auto"/>
              </w:rPr>
            </w:pPr>
            <w:r>
              <w:rPr>
                <w:rFonts w:ascii="Arial" w:cs="Arial" w:eastAsia="Arial" w:hAnsi="Arial"/>
                <w:sz w:val="15"/>
                <w:szCs w:val="15"/>
                <w:color w:val="auto"/>
              </w:rPr>
              <w:t>WHERE YOU CAN FIND MORE INFORMATION</w:t>
            </w:r>
          </w:p>
        </w:tc>
        <w:tc>
          <w:tcPr>
            <w:tcW w:w="2260" w:type="dxa"/>
            <w:vAlign w:val="bottom"/>
            <w:gridSpan w:val="2"/>
          </w:tcPr>
          <w:p>
            <w:pPr>
              <w:jc w:val="right"/>
              <w:spacing w:after="0"/>
              <w:rPr>
                <w:sz w:val="20"/>
                <w:szCs w:val="20"/>
                <w:color w:val="auto"/>
              </w:rPr>
            </w:pPr>
            <w:r>
              <w:rPr>
                <w:rFonts w:ascii="Arial" w:cs="Arial" w:eastAsia="Arial" w:hAnsi="Arial"/>
                <w:sz w:val="15"/>
                <w:szCs w:val="15"/>
                <w:color w:val="auto"/>
              </w:rPr>
              <w:t>141</w:t>
            </w:r>
          </w:p>
        </w:tc>
      </w:tr>
      <w:tr>
        <w:trPr>
          <w:trHeight w:val="175"/>
        </w:trPr>
        <w:tc>
          <w:tcPr>
            <w:tcW w:w="9200" w:type="dxa"/>
            <w:vAlign w:val="bottom"/>
            <w:shd w:val="clear" w:color="auto" w:fill="CCEEFF"/>
          </w:tcPr>
          <w:p>
            <w:pPr>
              <w:spacing w:after="0"/>
              <w:rPr>
                <w:sz w:val="20"/>
                <w:szCs w:val="20"/>
                <w:color w:val="auto"/>
              </w:rPr>
            </w:pPr>
            <w:r>
              <w:rPr>
                <w:rFonts w:ascii="Arial" w:cs="Arial" w:eastAsia="Arial" w:hAnsi="Arial"/>
                <w:sz w:val="15"/>
                <w:szCs w:val="15"/>
                <w:color w:val="auto"/>
              </w:rPr>
              <w:t>INDEX TO FINANCIAL STATEMENTS, SUPPLEMENTARY DATA AND SCHEDULES</w:t>
            </w:r>
          </w:p>
        </w:tc>
        <w:tc>
          <w:tcPr>
            <w:tcW w:w="1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F-1</w:t>
            </w:r>
          </w:p>
        </w:tc>
      </w:tr>
    </w:tbl>
    <w:p>
      <w:pPr>
        <w:spacing w:after="0" w:line="335" w:lineRule="exact"/>
        <w:rPr>
          <w:sz w:val="20"/>
          <w:szCs w:val="20"/>
          <w:color w:val="auto"/>
        </w:rPr>
      </w:pPr>
    </w:p>
    <w:p>
      <w:pPr>
        <w:jc w:val="both"/>
        <w:ind w:right="120" w:firstLine="262"/>
        <w:spacing w:after="0" w:line="332" w:lineRule="auto"/>
        <w:rPr>
          <w:sz w:val="20"/>
          <w:szCs w:val="20"/>
          <w:color w:val="auto"/>
        </w:rPr>
      </w:pPr>
      <w:r>
        <w:rPr>
          <w:rFonts w:ascii="Arial" w:cs="Arial" w:eastAsia="Arial" w:hAnsi="Arial"/>
          <w:sz w:val="12"/>
          <w:szCs w:val="12"/>
          <w:b w:val="1"/>
          <w:bCs w:val="1"/>
          <w:color w:val="auto"/>
        </w:rPr>
        <w:t>This information statement is being furnished solely to provide information to Oil States stockholders who will receive shares of Civeo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19" w:name="page220"/>
    <w:bookmarkEnd w:id="219"/>
    <w:p>
      <w:pPr>
        <w:jc w:val="center"/>
        <w:ind w:left="260"/>
        <w:spacing w:after="0"/>
        <w:rPr>
          <w:sz w:val="20"/>
          <w:szCs w:val="20"/>
          <w:color w:val="auto"/>
        </w:rPr>
      </w:pPr>
      <w:r>
        <w:rPr>
          <w:rFonts w:ascii="Arial" w:cs="Arial" w:eastAsia="Arial" w:hAnsi="Arial"/>
          <w:sz w:val="15"/>
          <w:szCs w:val="15"/>
          <w:b w:val="1"/>
          <w:bCs w:val="1"/>
          <w:color w:val="auto"/>
        </w:rPr>
        <w:t>SUMMARY</w:t>
      </w:r>
    </w:p>
    <w:p>
      <w:pPr>
        <w:spacing w:after="0" w:line="181" w:lineRule="exact"/>
        <w:rPr>
          <w:sz w:val="20"/>
          <w:szCs w:val="20"/>
          <w:color w:val="auto"/>
        </w:rPr>
      </w:pPr>
    </w:p>
    <w:p>
      <w:pPr>
        <w:ind w:right="120" w:firstLine="262"/>
        <w:spacing w:after="0" w:line="248" w:lineRule="auto"/>
        <w:rPr>
          <w:sz w:val="20"/>
          <w:szCs w:val="20"/>
          <w:color w:val="auto"/>
        </w:rPr>
      </w:pPr>
      <w:r>
        <w:rPr>
          <w:rFonts w:ascii="Arial" w:cs="Arial" w:eastAsia="Arial" w:hAnsi="Arial"/>
          <w:sz w:val="15"/>
          <w:szCs w:val="15"/>
          <w:i w:val="1"/>
          <w:iCs w:val="1"/>
          <w:color w:val="auto"/>
        </w:rPr>
        <w:t>This summary highlights information contained in this information statement and provides an overview of our company, our separation from Oil States and the distribution of Civeo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161" w:lineRule="exact"/>
        <w:rPr>
          <w:sz w:val="20"/>
          <w:szCs w:val="20"/>
          <w:color w:val="auto"/>
        </w:rPr>
      </w:pPr>
    </w:p>
    <w:p>
      <w:pPr>
        <w:ind w:right="220" w:firstLine="262"/>
        <w:spacing w:after="0" w:line="343" w:lineRule="auto"/>
        <w:rPr>
          <w:sz w:val="20"/>
          <w:szCs w:val="20"/>
          <w:color w:val="auto"/>
        </w:rPr>
      </w:pPr>
      <w:r>
        <w:rPr>
          <w:rFonts w:ascii="Arial" w:cs="Arial" w:eastAsia="Arial" w:hAnsi="Arial"/>
          <w:sz w:val="12"/>
          <w:szCs w:val="12"/>
          <w:i w:val="1"/>
          <w:iCs w:val="1"/>
          <w:color w:val="auto"/>
        </w:rPr>
        <w:t>Except where the context otherwise requires or where otherwise indicated, (1) all references to “Oil States” refer to Oil States International, Inc., our parent company, and its subsidiaries, other than us, and (2) all references to “Civeo,” the “Company,” “we,” “us” and “our” refer to Civeo Corporation and its subsidiaries. Except as otherwise indicated or unless the context otherwise requires, the information included in this information statement assumes the completion of the restructuring transactions. See “The Spin-Off—Restructuring Transactions</w:t>
      </w:r>
      <w:r>
        <w:rPr>
          <w:rFonts w:ascii="Arial" w:cs="Arial" w:eastAsia="Arial" w:hAnsi="Arial"/>
          <w:sz w:val="12"/>
          <w:szCs w:val="12"/>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Overview</w:t>
      </w:r>
    </w:p>
    <w:p>
      <w:pPr>
        <w:spacing w:after="0" w:line="181"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331470</wp:posOffset>
            </wp:positionV>
            <wp:extent cx="2644140" cy="24777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4414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For the year ended December 31, 2013, we generated $1.0 billion in revenue and $259.5 million in operating income.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220" w:name="page221"/>
    <w:bookmarkEnd w:id="220"/>
    <w:p>
      <w:pPr>
        <w:ind w:right="60" w:firstLine="262"/>
        <w:spacing w:after="0" w:line="320" w:lineRule="auto"/>
        <w:rPr>
          <w:sz w:val="20"/>
          <w:szCs w:val="20"/>
          <w:color w:val="auto"/>
        </w:rPr>
      </w:pPr>
      <w:r>
        <w:rPr>
          <w:rFonts w:ascii="Arial" w:cs="Arial" w:eastAsia="Arial" w:hAnsi="Arial"/>
          <w:sz w:val="12"/>
          <w:szCs w:val="12"/>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Competitive Strengths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 Own, Operate model with solutions that span the lifecycle of the customers’ projects</w:t>
      </w:r>
    </w:p>
    <w:p>
      <w:pPr>
        <w:spacing w:after="0" w:line="177" w:lineRule="exact"/>
        <w:rPr>
          <w:sz w:val="20"/>
          <w:szCs w:val="20"/>
          <w:color w:val="auto"/>
        </w:rPr>
      </w:pPr>
    </w:p>
    <w:p>
      <w:pPr>
        <w:ind w:firstLine="262"/>
        <w:spacing w:after="0" w:line="265" w:lineRule="auto"/>
        <w:rPr>
          <w:sz w:val="20"/>
          <w:szCs w:val="20"/>
          <w:color w:val="auto"/>
        </w:rPr>
      </w:pPr>
      <w:r>
        <w:rPr>
          <w:rFonts w:ascii="Arial" w:cs="Arial" w:eastAsia="Arial" w:hAnsi="Arial"/>
          <w:sz w:val="14"/>
          <w:szCs w:val="14"/>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52" w:lineRule="exact"/>
        <w:rPr>
          <w:sz w:val="20"/>
          <w:szCs w:val="20"/>
          <w:color w:val="auto"/>
        </w:rPr>
      </w:pPr>
    </w:p>
    <w:p>
      <w:pPr>
        <w:ind w:right="20" w:firstLine="262"/>
        <w:spacing w:after="0" w:line="267" w:lineRule="auto"/>
        <w:rPr>
          <w:sz w:val="20"/>
          <w:szCs w:val="20"/>
          <w:color w:val="auto"/>
        </w:rPr>
      </w:pPr>
      <w:r>
        <w:rPr>
          <w:rFonts w:ascii="Arial" w:cs="Arial" w:eastAsia="Arial" w:hAnsi="Arial"/>
          <w:sz w:val="14"/>
          <w:szCs w:val="14"/>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Reputation and experience</w:t>
      </w:r>
    </w:p>
    <w:p>
      <w:pPr>
        <w:spacing w:after="0" w:line="177" w:lineRule="exact"/>
        <w:rPr>
          <w:sz w:val="20"/>
          <w:szCs w:val="20"/>
          <w:color w:val="auto"/>
        </w:rPr>
      </w:pPr>
    </w:p>
    <w:p>
      <w:pPr>
        <w:ind w:right="140" w:firstLine="262"/>
        <w:spacing w:after="0" w:line="264" w:lineRule="auto"/>
        <w:rPr>
          <w:sz w:val="20"/>
          <w:szCs w:val="20"/>
          <w:color w:val="auto"/>
        </w:rPr>
      </w:pPr>
      <w:r>
        <w:rPr>
          <w:rFonts w:ascii="Arial" w:cs="Arial" w:eastAsia="Arial" w:hAnsi="Arial"/>
          <w:sz w:val="14"/>
          <w:szCs w:val="14"/>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221" w:name="page222"/>
    <w:bookmarkEnd w:id="221"/>
    <w:p>
      <w:pPr>
        <w:spacing w:after="0"/>
        <w:rPr>
          <w:sz w:val="20"/>
          <w:szCs w:val="20"/>
          <w:color w:val="auto"/>
        </w:rPr>
      </w:pPr>
      <w:r>
        <w:rPr>
          <w:rFonts w:ascii="Arial" w:cs="Arial" w:eastAsia="Arial" w:hAnsi="Arial"/>
          <w:sz w:val="15"/>
          <w:szCs w:val="15"/>
          <w:b w:val="1"/>
          <w:bCs w:val="1"/>
          <w:i w:val="1"/>
          <w:iCs w:val="1"/>
          <w:color w:val="auto"/>
        </w:rPr>
        <w:t>High quality asset base in areas with long term visibility creates a more stable revenue base</w:t>
      </w:r>
    </w:p>
    <w:p>
      <w:pPr>
        <w:spacing w:after="0" w:line="177" w:lineRule="exact"/>
        <w:rPr>
          <w:sz w:val="20"/>
          <w:szCs w:val="20"/>
          <w:color w:val="auto"/>
        </w:rPr>
      </w:pPr>
    </w:p>
    <w:p>
      <w:pPr>
        <w:ind w:right="20" w:firstLine="262"/>
        <w:spacing w:after="0" w:line="269" w:lineRule="auto"/>
        <w:rPr>
          <w:sz w:val="20"/>
          <w:szCs w:val="20"/>
          <w:color w:val="auto"/>
        </w:rPr>
      </w:pPr>
      <w:r>
        <w:rPr>
          <w:rFonts w:ascii="Arial" w:cs="Arial" w:eastAsia="Arial" w:hAnsi="Arial"/>
          <w:sz w:val="14"/>
          <w:szCs w:val="14"/>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47" w:lineRule="exact"/>
        <w:rPr>
          <w:sz w:val="20"/>
          <w:szCs w:val="20"/>
          <w:color w:val="auto"/>
        </w:rPr>
      </w:pPr>
    </w:p>
    <w:p>
      <w:pPr>
        <w:ind w:firstLine="262"/>
        <w:spacing w:after="0" w:line="320" w:lineRule="auto"/>
        <w:rPr>
          <w:sz w:val="20"/>
          <w:szCs w:val="20"/>
          <w:color w:val="auto"/>
        </w:rPr>
      </w:pPr>
      <w:r>
        <w:rPr>
          <w:rFonts w:ascii="Arial" w:cs="Arial" w:eastAsia="Arial" w:hAnsi="Arial"/>
          <w:sz w:val="12"/>
          <w:szCs w:val="12"/>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Land banking focus with a pipeline of approved developments</w:t>
      </w:r>
    </w:p>
    <w:p>
      <w:pPr>
        <w:spacing w:after="0" w:line="177" w:lineRule="exact"/>
        <w:rPr>
          <w:sz w:val="20"/>
          <w:szCs w:val="20"/>
          <w:color w:val="auto"/>
        </w:rPr>
      </w:pPr>
    </w:p>
    <w:p>
      <w:pPr>
        <w:ind w:firstLine="262"/>
        <w:spacing w:after="0" w:line="330" w:lineRule="auto"/>
        <w:rPr>
          <w:sz w:val="20"/>
          <w:szCs w:val="20"/>
          <w:color w:val="auto"/>
        </w:rPr>
      </w:pPr>
      <w:r>
        <w:rPr>
          <w:rFonts w:ascii="Arial" w:cs="Arial" w:eastAsia="Arial" w:hAnsi="Arial"/>
          <w:sz w:val="12"/>
          <w:szCs w:val="12"/>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build large-scale accommodation facilities without firm customer commitments.</w:t>
      </w:r>
    </w:p>
    <w:p>
      <w:pPr>
        <w:spacing w:after="0" w:line="115" w:lineRule="exact"/>
        <w:rPr>
          <w:sz w:val="20"/>
          <w:szCs w:val="20"/>
          <w:color w:val="auto"/>
        </w:rPr>
      </w:pPr>
    </w:p>
    <w:p>
      <w:pPr>
        <w:ind w:right="120" w:firstLine="262"/>
        <w:spacing w:after="0" w:line="323" w:lineRule="auto"/>
        <w:rPr>
          <w:sz w:val="20"/>
          <w:szCs w:val="20"/>
          <w:color w:val="auto"/>
        </w:rPr>
      </w:pPr>
      <w:r>
        <w:rPr>
          <w:rFonts w:ascii="Arial" w:cs="Arial" w:eastAsia="Arial" w:hAnsi="Arial"/>
          <w:sz w:val="12"/>
          <w:szCs w:val="12"/>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w:t>
      </w:r>
    </w:p>
    <w:p>
      <w:pPr>
        <w:spacing w:after="0"/>
        <w:rPr>
          <w:sz w:val="20"/>
          <w:szCs w:val="20"/>
          <w:color w:val="auto"/>
        </w:rPr>
      </w:pPr>
      <w:r>
        <w:rPr>
          <w:rFonts w:ascii="Arial" w:cs="Arial" w:eastAsia="Arial" w:hAnsi="Arial"/>
          <w:sz w:val="14"/>
          <w:szCs w:val="14"/>
          <w:color w:val="auto"/>
        </w:rPr>
        <w:t>undeveloped sites that have received the necessary permitting and regulatory approvals. We believe this will allow us to respond promptly to future room demand in emerging regions.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00"/>
          </w:cols>
          <w:pgMar w:left="220" w:top="501" w:right="279" w:bottom="1440" w:gutter="0" w:footer="0" w:header="0"/>
        </w:sectPr>
      </w:pPr>
    </w:p>
    <w:bookmarkStart w:id="222" w:name="page223"/>
    <w:bookmarkEnd w:id="222"/>
    <w:p>
      <w:pPr>
        <w:spacing w:after="0"/>
        <w:rPr>
          <w:sz w:val="20"/>
          <w:szCs w:val="20"/>
          <w:color w:val="auto"/>
        </w:rPr>
      </w:pPr>
      <w:r>
        <w:rPr>
          <w:rFonts w:ascii="Arial" w:cs="Arial" w:eastAsia="Arial" w:hAnsi="Arial"/>
          <w:sz w:val="15"/>
          <w:szCs w:val="15"/>
          <w:b w:val="1"/>
          <w:bCs w:val="1"/>
          <w:i w:val="1"/>
          <w:iCs w:val="1"/>
          <w:color w:val="auto"/>
        </w:rPr>
        <w:t>Significant operational and financial scale</w:t>
      </w:r>
    </w:p>
    <w:p>
      <w:pPr>
        <w:spacing w:after="0" w:line="177" w:lineRule="exact"/>
        <w:rPr>
          <w:sz w:val="20"/>
          <w:szCs w:val="20"/>
          <w:color w:val="auto"/>
        </w:rPr>
      </w:pPr>
    </w:p>
    <w:p>
      <w:pPr>
        <w:ind w:right="80" w:firstLine="262"/>
        <w:spacing w:after="0" w:line="315" w:lineRule="auto"/>
        <w:rPr>
          <w:sz w:val="20"/>
          <w:szCs w:val="20"/>
          <w:color w:val="auto"/>
        </w:rPr>
      </w:pPr>
      <w:r>
        <w:rPr>
          <w:rFonts w:ascii="Arial" w:cs="Arial" w:eastAsia="Arial" w:hAnsi="Arial"/>
          <w:sz w:val="12"/>
          <w:szCs w:val="12"/>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Business Strategy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Pursue growth in existing markets through existing and undeveloped locations</w:t>
      </w:r>
    </w:p>
    <w:p>
      <w:pPr>
        <w:spacing w:after="0" w:line="177" w:lineRule="exact"/>
        <w:rPr>
          <w:sz w:val="20"/>
          <w:szCs w:val="20"/>
          <w:color w:val="auto"/>
        </w:rPr>
      </w:pPr>
    </w:p>
    <w:p>
      <w:pPr>
        <w:ind w:right="140" w:firstLine="262"/>
        <w:spacing w:after="0" w:line="267" w:lineRule="auto"/>
        <w:rPr>
          <w:sz w:val="20"/>
          <w:szCs w:val="20"/>
          <w:color w:val="auto"/>
        </w:rPr>
      </w:pPr>
      <w:r>
        <w:rPr>
          <w:rFonts w:ascii="Arial" w:cs="Arial" w:eastAsia="Arial" w:hAnsi="Arial"/>
          <w:sz w:val="14"/>
          <w:szCs w:val="14"/>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an early mover in regions with emerging accommodation demand.</w:t>
      </w:r>
    </w:p>
    <w:p>
      <w:pPr>
        <w:spacing w:after="0" w:line="149" w:lineRule="exact"/>
        <w:rPr>
          <w:sz w:val="20"/>
          <w:szCs w:val="20"/>
          <w:color w:val="auto"/>
        </w:rPr>
      </w:pPr>
    </w:p>
    <w:p>
      <w:pPr>
        <w:ind w:firstLine="262"/>
        <w:spacing w:after="0" w:line="269" w:lineRule="auto"/>
        <w:rPr>
          <w:sz w:val="20"/>
          <w:szCs w:val="20"/>
          <w:color w:val="auto"/>
        </w:rPr>
      </w:pPr>
      <w:r>
        <w:rPr>
          <w:rFonts w:ascii="Arial" w:cs="Arial" w:eastAsia="Arial" w:hAnsi="Arial"/>
          <w:sz w:val="14"/>
          <w:szCs w:val="14"/>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discipline based on returns focused investment and flexible financial structure</w:t>
      </w:r>
    </w:p>
    <w:p>
      <w:pPr>
        <w:spacing w:after="0" w:line="177" w:lineRule="exact"/>
        <w:rPr>
          <w:sz w:val="20"/>
          <w:szCs w:val="20"/>
          <w:color w:val="auto"/>
        </w:rPr>
      </w:pPr>
    </w:p>
    <w:p>
      <w:pPr>
        <w:ind w:right="80" w:firstLine="262"/>
        <w:spacing w:after="0" w:line="271" w:lineRule="auto"/>
        <w:rPr>
          <w:sz w:val="20"/>
          <w:szCs w:val="20"/>
          <w:color w:val="auto"/>
        </w:rPr>
      </w:pPr>
      <w:r>
        <w:rPr>
          <w:rFonts w:ascii="Arial" w:cs="Arial" w:eastAsia="Arial" w:hAnsi="Arial"/>
          <w:sz w:val="14"/>
          <w:szCs w:val="14"/>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47" w:lineRule="exact"/>
        <w:rPr>
          <w:sz w:val="20"/>
          <w:szCs w:val="20"/>
          <w:color w:val="auto"/>
        </w:rPr>
      </w:pPr>
    </w:p>
    <w:p>
      <w:pPr>
        <w:ind w:right="220" w:firstLine="262"/>
        <w:spacing w:after="0" w:line="277" w:lineRule="auto"/>
        <w:rPr>
          <w:sz w:val="20"/>
          <w:szCs w:val="20"/>
          <w:color w:val="auto"/>
        </w:rPr>
      </w:pPr>
      <w:r>
        <w:rPr>
          <w:rFonts w:ascii="Arial" w:cs="Arial" w:eastAsia="Arial" w:hAnsi="Arial"/>
          <w:sz w:val="14"/>
          <w:szCs w:val="14"/>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Selectively pursue acquisition opportunities</w:t>
      </w:r>
    </w:p>
    <w:p>
      <w:pPr>
        <w:spacing w:after="0" w:line="177" w:lineRule="exact"/>
        <w:rPr>
          <w:sz w:val="20"/>
          <w:szCs w:val="20"/>
          <w:color w:val="auto"/>
        </w:rPr>
      </w:pPr>
    </w:p>
    <w:p>
      <w:pPr>
        <w:jc w:val="both"/>
        <w:ind w:right="320" w:firstLine="262"/>
        <w:spacing w:after="0" w:line="251" w:lineRule="auto"/>
        <w:rPr>
          <w:sz w:val="20"/>
          <w:szCs w:val="20"/>
          <w:color w:val="auto"/>
        </w:rPr>
      </w:pPr>
      <w:r>
        <w:rPr>
          <w:rFonts w:ascii="Arial" w:cs="Arial" w:eastAsia="Arial" w:hAnsi="Arial"/>
          <w:sz w:val="15"/>
          <w:szCs w:val="15"/>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23" w:name="page224"/>
    <w:bookmarkEnd w:id="223"/>
    <w:p>
      <w:pPr>
        <w:ind w:right="60" w:firstLine="262"/>
        <w:spacing w:after="0" w:line="343" w:lineRule="auto"/>
        <w:rPr>
          <w:sz w:val="20"/>
          <w:szCs w:val="20"/>
          <w:color w:val="auto"/>
        </w:rPr>
      </w:pPr>
      <w:r>
        <w:rPr>
          <w:rFonts w:ascii="Arial" w:cs="Arial" w:eastAsia="Arial" w:hAnsi="Arial"/>
          <w:sz w:val="12"/>
          <w:szCs w:val="12"/>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Pursue growth into new segments and sectors</w:t>
      </w:r>
    </w:p>
    <w:p>
      <w:pPr>
        <w:spacing w:after="0" w:line="177" w:lineRule="exact"/>
        <w:rPr>
          <w:sz w:val="20"/>
          <w:szCs w:val="20"/>
          <w:color w:val="auto"/>
        </w:rPr>
      </w:pPr>
    </w:p>
    <w:p>
      <w:pPr>
        <w:ind w:right="40" w:firstLine="262"/>
        <w:spacing w:after="0" w:line="277" w:lineRule="auto"/>
        <w:rPr>
          <w:sz w:val="20"/>
          <w:szCs w:val="20"/>
          <w:color w:val="auto"/>
        </w:rPr>
      </w:pPr>
      <w:r>
        <w:rPr>
          <w:rFonts w:ascii="Arial" w:cs="Arial" w:eastAsia="Arial" w:hAnsi="Arial"/>
          <w:sz w:val="14"/>
          <w:szCs w:val="14"/>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42" w:lineRule="exact"/>
        <w:rPr>
          <w:sz w:val="20"/>
          <w:szCs w:val="20"/>
          <w:color w:val="auto"/>
        </w:rPr>
      </w:pPr>
    </w:p>
    <w:p>
      <w:pPr>
        <w:ind w:right="200" w:firstLine="262"/>
        <w:spacing w:after="0" w:line="343" w:lineRule="auto"/>
        <w:rPr>
          <w:sz w:val="20"/>
          <w:szCs w:val="20"/>
          <w:color w:val="auto"/>
        </w:rPr>
      </w:pPr>
      <w:r>
        <w:rPr>
          <w:rFonts w:ascii="Arial" w:cs="Arial" w:eastAsia="Arial" w:hAnsi="Arial"/>
          <w:sz w:val="12"/>
          <w:szCs w:val="12"/>
          <w:color w:val="auto"/>
        </w:rPr>
        <w:t>Additionally, we have opportunities to provide additional personnel related services to our existing customer base. As a trusted partner on issues related to people and as an expert in remote workforce logistics, we are assessing the opportunity to manage or assist in the logistics of our guests’ journey from home to our properties to work and back home including reservations management, flight centers and bus terminals. We believe that the spin-off will enhance our ability to enter new sectors and expand our logistical services to the customer.</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Other Information</w:t>
      </w:r>
    </w:p>
    <w:p>
      <w:pPr>
        <w:spacing w:after="0" w:line="181" w:lineRule="exact"/>
        <w:rPr>
          <w:sz w:val="20"/>
          <w:szCs w:val="20"/>
          <w:color w:val="auto"/>
        </w:rPr>
      </w:pPr>
    </w:p>
    <w:p>
      <w:pPr>
        <w:ind w:right="60" w:firstLine="262"/>
        <w:spacing w:after="0" w:line="248" w:lineRule="auto"/>
        <w:rPr>
          <w:sz w:val="20"/>
          <w:szCs w:val="20"/>
          <w:color w:val="auto"/>
        </w:rPr>
      </w:pPr>
      <w:r>
        <w:rPr>
          <w:rFonts w:ascii="Arial" w:cs="Arial" w:eastAsia="Arial" w:hAnsi="Arial"/>
          <w:sz w:val="15"/>
          <w:szCs w:val="15"/>
          <w:color w:val="auto"/>
        </w:rPr>
        <w:t xml:space="preserve">Civeo was incorporated under the laws of the State of Delaware in 2013. Our principal executive offices are located at Three Allen Center, 333 Clay Street, Suite 4980, Houston, Texas 77002. Our telephone number is (713) 652-0582. Our website address is </w:t>
      </w:r>
      <w:r>
        <w:rPr>
          <w:rFonts w:ascii="Arial" w:cs="Arial" w:eastAsia="Arial" w:hAnsi="Arial"/>
          <w:sz w:val="15"/>
          <w:szCs w:val="15"/>
          <w:i w:val="1"/>
          <w:iCs w:val="1"/>
          <w:color w:val="auto"/>
        </w:rPr>
        <w:t>www.civeo.com</w:t>
      </w:r>
      <w:r>
        <w:rPr>
          <w:rFonts w:ascii="Arial" w:cs="Arial" w:eastAsia="Arial" w:hAnsi="Arial"/>
          <w:sz w:val="15"/>
          <w:szCs w:val="15"/>
          <w:color w:val="auto"/>
        </w:rPr>
        <w:t>.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The Spin-Off</w:t>
      </w:r>
    </w:p>
    <w:p>
      <w:pPr>
        <w:spacing w:after="0" w:line="181" w:lineRule="exact"/>
        <w:rPr>
          <w:sz w:val="20"/>
          <w:szCs w:val="20"/>
          <w:color w:val="auto"/>
        </w:rPr>
      </w:pPr>
    </w:p>
    <w:p>
      <w:pPr>
        <w:ind w:firstLine="262"/>
        <w:spacing w:after="0" w:line="271" w:lineRule="auto"/>
        <w:rPr>
          <w:sz w:val="20"/>
          <w:szCs w:val="20"/>
          <w:color w:val="auto"/>
        </w:rPr>
      </w:pPr>
      <w:r>
        <w:rPr>
          <w:rFonts w:ascii="Arial" w:cs="Arial" w:eastAsia="Arial" w:hAnsi="Arial"/>
          <w:sz w:val="14"/>
          <w:szCs w:val="14"/>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we will consummate certain restructuring transactions described under “The Spin-Off— Restructuring Transactions,” including (i) the incurrence of additional debt, (ii) the payment of a special dividend to Oil States and (iii) the contribution and transfer to us of the assets and liabilities associated with our business. These transactions are collectively referred to as our “restructuring transactions” throughout this information statement.</w:t>
      </w:r>
    </w:p>
    <w:p>
      <w:pPr>
        <w:spacing w:after="0" w:line="147" w:lineRule="exact"/>
        <w:rPr>
          <w:sz w:val="20"/>
          <w:szCs w:val="20"/>
          <w:color w:val="auto"/>
        </w:rPr>
      </w:pPr>
    </w:p>
    <w:p>
      <w:pPr>
        <w:ind w:right="40" w:firstLine="262"/>
        <w:spacing w:after="0" w:line="265" w:lineRule="auto"/>
        <w:rPr>
          <w:sz w:val="20"/>
          <w:szCs w:val="20"/>
          <w:color w:val="auto"/>
        </w:rPr>
      </w:pPr>
      <w:r>
        <w:rPr>
          <w:rFonts w:ascii="Arial" w:cs="Arial" w:eastAsia="Arial" w:hAnsi="Arial"/>
          <w:sz w:val="14"/>
          <w:szCs w:val="14"/>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24" w:name="page225"/>
    <w:bookmarkEnd w:id="224"/>
    <w:p>
      <w:pPr>
        <w:jc w:val="both"/>
        <w:ind w:firstLine="262"/>
        <w:spacing w:after="0" w:line="343" w:lineRule="auto"/>
        <w:rPr>
          <w:sz w:val="20"/>
          <w:szCs w:val="20"/>
          <w:color w:val="auto"/>
        </w:rPr>
      </w:pPr>
      <w:r>
        <w:rPr>
          <w:rFonts w:ascii="Arial" w:cs="Arial" w:eastAsia="Arial" w:hAnsi="Arial"/>
          <w:sz w:val="12"/>
          <w:szCs w:val="12"/>
          <w:color w:val="auto"/>
        </w:rPr>
        <w:t>The distribution of Civeo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Civeo from Oil States. See “The Spin-Off—Conditions to the Spin-Off.”</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Questions and Answers about the Spin-off</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provides only a summary of the terms of the spin-off. For a more detailed description of the matters described below, see “The Spin-Off.”</w:t>
      </w:r>
    </w:p>
    <w:p>
      <w:pPr>
        <w:spacing w:after="0" w:line="177" w:lineRule="exact"/>
        <w:rPr>
          <w:sz w:val="20"/>
          <w:szCs w:val="20"/>
          <w:color w:val="auto"/>
        </w:rPr>
      </w:pPr>
    </w:p>
    <w:p>
      <w:pPr>
        <w:ind w:left="900" w:hanging="630"/>
        <w:spacing w:after="0"/>
        <w:tabs>
          <w:tab w:leader="none" w:pos="900"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What is the spin-off?</w:t>
      </w:r>
    </w:p>
    <w:p>
      <w:pPr>
        <w:spacing w:after="0" w:line="177" w:lineRule="exact"/>
        <w:rPr>
          <w:sz w:val="20"/>
          <w:szCs w:val="20"/>
          <w:color w:val="auto"/>
        </w:rPr>
      </w:pPr>
    </w:p>
    <w:p>
      <w:pPr>
        <w:ind w:left="900" w:right="680" w:hanging="630"/>
        <w:spacing w:after="0" w:line="251"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spin-off is the method by which Civeo will separate from Oil States. To complete the spin-off, Oil States will distribute to its stockholders all of the shares of Civeo common stock. Following the spin-off, Civeo will be a separate company from Oil States, and Oil States will not retain any ownership interest in Civeo. The number of shares of Oil States common stock you own will not change as a result of the spin-off.</w:t>
      </w:r>
    </w:p>
    <w:p>
      <w:pPr>
        <w:spacing w:after="0" w:line="158" w:lineRule="exact"/>
        <w:rPr>
          <w:sz w:val="20"/>
          <w:szCs w:val="20"/>
          <w:color w:val="auto"/>
        </w:rPr>
      </w:pPr>
    </w:p>
    <w:p>
      <w:pPr>
        <w:ind w:left="900" w:hanging="630"/>
        <w:spacing w:after="0"/>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i w:val="1"/>
          <w:iCs w:val="1"/>
          <w:color w:val="auto"/>
        </w:rPr>
        <w:t>What will I receive in the spin-off?</w:t>
      </w:r>
    </w:p>
    <w:p>
      <w:pPr>
        <w:spacing w:after="0" w:line="177" w:lineRule="exact"/>
        <w:rPr>
          <w:sz w:val="20"/>
          <w:szCs w:val="20"/>
          <w:color w:val="auto"/>
        </w:rPr>
      </w:pPr>
    </w:p>
    <w:p>
      <w:pPr>
        <w:ind w:left="900" w:right="640" w:hanging="630"/>
        <w:spacing w:after="0" w:line="251" w:lineRule="auto"/>
        <w:tabs>
          <w:tab w:leader="none" w:pos="9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As a holder of Oil States stock, you will retain your Oil States shares and will receive two shares of Civeo common stock for each share of Oil States common stock you hold as of the record date. Your proportionate interest in Oil States will not change as a result of the spin-off. For a more detailed description, see “The Spin-Off.”</w:t>
      </w:r>
    </w:p>
    <w:p>
      <w:pPr>
        <w:spacing w:after="0" w:line="158" w:lineRule="exact"/>
        <w:rPr>
          <w:sz w:val="20"/>
          <w:szCs w:val="20"/>
          <w:color w:val="auto"/>
        </w:rPr>
      </w:pPr>
    </w:p>
    <w:p>
      <w:pPr>
        <w:ind w:left="900" w:hanging="630"/>
        <w:spacing w:after="0"/>
        <w:tabs>
          <w:tab w:leader="none" w:pos="900"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What is Civeo?</w:t>
      </w:r>
    </w:p>
    <w:p>
      <w:pPr>
        <w:spacing w:after="0" w:line="177" w:lineRule="exact"/>
        <w:rPr>
          <w:sz w:val="20"/>
          <w:szCs w:val="20"/>
          <w:color w:val="auto"/>
        </w:rPr>
      </w:pPr>
    </w:p>
    <w:p>
      <w:pPr>
        <w:ind w:left="900" w:right="560" w:hanging="630"/>
        <w:spacing w:after="0" w:line="251" w:lineRule="auto"/>
        <w:tabs>
          <w:tab w:leader="none" w:pos="9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Civeo is currently a wholly-owned subsidiary of Oil States whose shares will be distributed to Oil States stockholders if the spin-off is completed. After the spin-off is completed, Civeo will be a public company and will own and operate the accommodations business that was formerly a part of Oil States. That business is referred to as the “accommodations business” throughout this information statement.</w:t>
      </w:r>
    </w:p>
    <w:p>
      <w:pPr>
        <w:spacing w:after="0" w:line="158" w:lineRule="exact"/>
        <w:rPr>
          <w:sz w:val="20"/>
          <w:szCs w:val="20"/>
          <w:color w:val="auto"/>
        </w:rPr>
      </w:pPr>
    </w:p>
    <w:p>
      <w:pPr>
        <w:ind w:left="900" w:hanging="630"/>
        <w:spacing w:after="0"/>
        <w:tabs>
          <w:tab w:leader="none" w:pos="900" w:val="left"/>
        </w:tabs>
        <w:numPr>
          <w:ilvl w:val="0"/>
          <w:numId w:val="198"/>
        </w:numPr>
        <w:rPr>
          <w:rFonts w:ascii="Arial" w:cs="Arial" w:eastAsia="Arial" w:hAnsi="Arial"/>
          <w:sz w:val="15"/>
          <w:szCs w:val="15"/>
          <w:color w:val="auto"/>
        </w:rPr>
      </w:pPr>
      <w:r>
        <w:rPr>
          <w:rFonts w:ascii="Arial" w:cs="Arial" w:eastAsia="Arial" w:hAnsi="Arial"/>
          <w:sz w:val="15"/>
          <w:szCs w:val="15"/>
          <w:i w:val="1"/>
          <w:iCs w:val="1"/>
          <w:color w:val="auto"/>
        </w:rPr>
        <w:t>When is the record date for the distribution, and when will the distribution occur?</w:t>
      </w:r>
    </w:p>
    <w:p>
      <w:pPr>
        <w:spacing w:after="0" w:line="177" w:lineRule="exact"/>
        <w:rPr>
          <w:sz w:val="20"/>
          <w:szCs w:val="20"/>
          <w:color w:val="auto"/>
        </w:rPr>
      </w:pPr>
    </w:p>
    <w:p>
      <w:pPr>
        <w:ind w:left="900" w:hanging="630"/>
        <w:spacing w:after="0"/>
        <w:tabs>
          <w:tab w:leader="none" w:pos="90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The record date will be the close of business of the New York Stock Exchange (the “NYSE”) on May 21, 2014. The distribution date of the spin-off is May 30, 2014.</w:t>
      </w:r>
    </w:p>
    <w:p>
      <w:pPr>
        <w:spacing w:after="0" w:line="189" w:lineRule="exact"/>
        <w:rPr>
          <w:sz w:val="20"/>
          <w:szCs w:val="20"/>
          <w:color w:val="auto"/>
        </w:rPr>
      </w:pPr>
    </w:p>
    <w:p>
      <w:pPr>
        <w:ind w:left="900" w:hanging="630"/>
        <w:spacing w:after="0"/>
        <w:tabs>
          <w:tab w:leader="none" w:pos="900" w:val="left"/>
        </w:tabs>
        <w:numPr>
          <w:ilvl w:val="0"/>
          <w:numId w:val="200"/>
        </w:numPr>
        <w:rPr>
          <w:rFonts w:ascii="Arial" w:cs="Arial" w:eastAsia="Arial" w:hAnsi="Arial"/>
          <w:sz w:val="15"/>
          <w:szCs w:val="15"/>
          <w:color w:val="auto"/>
        </w:rPr>
      </w:pPr>
      <w:r>
        <w:rPr>
          <w:rFonts w:ascii="Arial" w:cs="Arial" w:eastAsia="Arial" w:hAnsi="Arial"/>
          <w:sz w:val="15"/>
          <w:szCs w:val="15"/>
          <w:i w:val="1"/>
          <w:iCs w:val="1"/>
          <w:color w:val="auto"/>
        </w:rPr>
        <w:t>What are the reasons for and benefits of separating Civeo from Oil States?</w:t>
      </w:r>
    </w:p>
    <w:p>
      <w:pPr>
        <w:spacing w:after="0" w:line="177" w:lineRule="exact"/>
        <w:rPr>
          <w:sz w:val="20"/>
          <w:szCs w:val="20"/>
          <w:color w:val="auto"/>
        </w:rPr>
      </w:pPr>
    </w:p>
    <w:p>
      <w:pPr>
        <w:jc w:val="both"/>
        <w:ind w:left="900" w:right="540" w:hanging="630"/>
        <w:spacing w:after="0" w:line="251" w:lineRule="auto"/>
        <w:tabs>
          <w:tab w:leader="none" w:pos="9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separation of Civeo from Oil States and the distribution of Civeo common stock are intended to provide you with equity investments in two separate companies, each of which will be able to focus on their respective businesses. For a more detailed discussion of the reasons for and benefits of the spin-off, see “The Spin-Off— Reasons for the Spin-Off.”</w:t>
      </w:r>
    </w:p>
    <w:p>
      <w:pPr>
        <w:spacing w:after="0" w:line="158" w:lineRule="exact"/>
        <w:rPr>
          <w:sz w:val="20"/>
          <w:szCs w:val="20"/>
          <w:color w:val="auto"/>
        </w:rPr>
      </w:pPr>
    </w:p>
    <w:p>
      <w:pPr>
        <w:ind w:left="900" w:hanging="630"/>
        <w:spacing w:after="0"/>
        <w:tabs>
          <w:tab w:leader="none" w:pos="900" w:val="left"/>
        </w:tabs>
        <w:numPr>
          <w:ilvl w:val="0"/>
          <w:numId w:val="202"/>
        </w:numPr>
        <w:rPr>
          <w:rFonts w:ascii="Arial" w:cs="Arial" w:eastAsia="Arial" w:hAnsi="Arial"/>
          <w:sz w:val="15"/>
          <w:szCs w:val="15"/>
          <w:color w:val="auto"/>
        </w:rPr>
      </w:pPr>
      <w:r>
        <w:rPr>
          <w:rFonts w:ascii="Arial" w:cs="Arial" w:eastAsia="Arial" w:hAnsi="Arial"/>
          <w:sz w:val="15"/>
          <w:szCs w:val="15"/>
          <w:i w:val="1"/>
          <w:iCs w:val="1"/>
          <w:color w:val="auto"/>
        </w:rPr>
        <w:t>Why is the separation of Civeo structured as a spin-off as opposed to a sale?</w:t>
      </w:r>
    </w:p>
    <w:p>
      <w:pPr>
        <w:spacing w:after="0" w:line="177" w:lineRule="exact"/>
        <w:rPr>
          <w:sz w:val="20"/>
          <w:szCs w:val="20"/>
          <w:color w:val="auto"/>
        </w:rPr>
      </w:pPr>
    </w:p>
    <w:p>
      <w:pPr>
        <w:ind w:left="900" w:right="660" w:hanging="630"/>
        <w:spacing w:after="0" w:line="294" w:lineRule="auto"/>
        <w:tabs>
          <w:tab w:leader="none" w:pos="90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Oil States believes that a tax-free distribution of Civeo common stock is an efficient way to separate Civeo from Oil States in a manner that will improve flexibility, benefit both Oil States and the accommodations business and create long-term value for stockholders of both Oil States and Civeo.</w:t>
      </w: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00"/>
          </w:cols>
          <w:pgMar w:left="220" w:top="501" w:right="579" w:bottom="1440" w:gutter="0" w:footer="0" w:header="0"/>
        </w:sectPr>
      </w:pPr>
    </w:p>
    <w:bookmarkStart w:id="225" w:name="page226"/>
    <w:bookmarkEnd w:id="225"/>
    <w:p>
      <w:pPr>
        <w:ind w:left="630" w:hanging="630"/>
        <w:spacing w:after="0"/>
        <w:tabs>
          <w:tab w:leader="none" w:pos="630" w:val="left"/>
        </w:tabs>
        <w:numPr>
          <w:ilvl w:val="0"/>
          <w:numId w:val="204"/>
        </w:numPr>
        <w:rPr>
          <w:rFonts w:ascii="Arial" w:cs="Arial" w:eastAsia="Arial" w:hAnsi="Arial"/>
          <w:sz w:val="15"/>
          <w:szCs w:val="15"/>
          <w:color w:val="auto"/>
        </w:rPr>
      </w:pPr>
      <w:r>
        <w:rPr>
          <w:rFonts w:ascii="Arial" w:cs="Arial" w:eastAsia="Arial" w:hAnsi="Arial"/>
          <w:sz w:val="15"/>
          <w:szCs w:val="15"/>
          <w:i w:val="1"/>
          <w:iCs w:val="1"/>
          <w:color w:val="auto"/>
        </w:rPr>
        <w:t>What is being distributed in the spin-off?</w:t>
      </w:r>
    </w:p>
    <w:p>
      <w:pPr>
        <w:spacing w:after="0" w:line="177" w:lineRule="exact"/>
        <w:rPr>
          <w:sz w:val="20"/>
          <w:szCs w:val="20"/>
          <w:color w:val="auto"/>
        </w:rPr>
      </w:pPr>
    </w:p>
    <w:p>
      <w:pPr>
        <w:ind w:left="630" w:right="40" w:hanging="630"/>
        <w:spacing w:after="0" w:line="330" w:lineRule="auto"/>
        <w:tabs>
          <w:tab w:leader="none" w:pos="63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Approximately 106,112,722 shares of Civeo common stock will be distributed in the spin-off, based on the number of shares of Oil States common stock expected to be outstanding as of the record date. The actual number of shares of Civeo common stock to be distributed will be calculated on May 21, 2014, the record date. The shares of Civeo common stock to be distributed by Oil States will constitute all of the issued and outstanding shares of Civeo common stock immediately prior to the distribution. For more information on the shares being distributed in the spin-off, see “Description of Capital Stock—Common Stock.”</w:t>
      </w:r>
    </w:p>
    <w:p>
      <w:pPr>
        <w:spacing w:after="0" w:line="115" w:lineRule="exact"/>
        <w:rPr>
          <w:sz w:val="20"/>
          <w:szCs w:val="20"/>
          <w:color w:val="auto"/>
        </w:rPr>
      </w:pPr>
    </w:p>
    <w:p>
      <w:pPr>
        <w:ind w:left="630" w:hanging="630"/>
        <w:spacing w:after="0"/>
        <w:tabs>
          <w:tab w:leader="none" w:pos="630" w:val="left"/>
        </w:tabs>
        <w:numPr>
          <w:ilvl w:val="0"/>
          <w:numId w:val="206"/>
        </w:numPr>
        <w:rPr>
          <w:rFonts w:ascii="Arial" w:cs="Arial" w:eastAsia="Arial" w:hAnsi="Arial"/>
          <w:sz w:val="15"/>
          <w:szCs w:val="15"/>
          <w:color w:val="auto"/>
        </w:rPr>
      </w:pPr>
      <w:r>
        <w:rPr>
          <w:rFonts w:ascii="Arial" w:cs="Arial" w:eastAsia="Arial" w:hAnsi="Arial"/>
          <w:sz w:val="15"/>
          <w:szCs w:val="15"/>
          <w:i w:val="1"/>
          <w:iCs w:val="1"/>
          <w:color w:val="auto"/>
        </w:rPr>
        <w:t>How will options and other equity-based compensation awards held by Oil States employees be affected as a result of the spin-off?</w:t>
      </w:r>
    </w:p>
    <w:p>
      <w:pPr>
        <w:spacing w:after="0" w:line="177" w:lineRule="exact"/>
        <w:rPr>
          <w:sz w:val="20"/>
          <w:szCs w:val="20"/>
          <w:color w:val="auto"/>
        </w:rPr>
      </w:pPr>
    </w:p>
    <w:p>
      <w:pPr>
        <w:ind w:left="630" w:right="20" w:hanging="630"/>
        <w:spacing w:after="0" w:line="312" w:lineRule="auto"/>
        <w:tabs>
          <w:tab w:leader="none" w:pos="63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award. Oil States options and other time-vested equity-based awards (other than restricted shares) held by current employees of Civeo will be converted upon the spin-off such that each equity award holder will hold the same type of award with respect to Civeo common stock, with the number of shares and exercise price of such award adjusted to preserve the value of the award prior to the spin-off. Oil States options and other time-vested equity-based awards held by current or former employees or directors of Oil States will remain outstanding following the spin-off, with the number of shares and exercise price of such award adjusted upon the spin-off to preserve the value of the award prior to the spin-off. Oil States performance-based deferred stock awards will be cancelled with the holder thereof entitled to receive a grant of time-vested restricted shares of Civeo common stock (in the case of Civeo employees) or Oil States common stock (in the case of current and former Oil States employees), with the resulting number of restricted shares determined based upon the number of Oil States shares issuable pursuant to such deferred stock award assuming settlement based upon the actual attainment of performance objectives to date as of Oil States’ most recently-completed fiscal quarter. For more information regarding the treatment of equity-based compensation awards in the spin-off, see “The Spin-Off—Treatment of Stock-Based Plans for Current and Former Employees.”</w:t>
      </w:r>
    </w:p>
    <w:p>
      <w:pPr>
        <w:spacing w:after="0" w:line="304" w:lineRule="exact"/>
        <w:rPr>
          <w:sz w:val="20"/>
          <w:szCs w:val="20"/>
          <w:color w:val="auto"/>
        </w:rPr>
      </w:pPr>
    </w:p>
    <w:p>
      <w:pPr>
        <w:ind w:left="630" w:hanging="630"/>
        <w:spacing w:after="0"/>
        <w:tabs>
          <w:tab w:leader="none" w:pos="630" w:val="left"/>
        </w:tabs>
        <w:numPr>
          <w:ilvl w:val="0"/>
          <w:numId w:val="208"/>
        </w:numPr>
        <w:rPr>
          <w:rFonts w:ascii="Arial" w:cs="Arial" w:eastAsia="Arial" w:hAnsi="Arial"/>
          <w:sz w:val="15"/>
          <w:szCs w:val="15"/>
          <w:color w:val="auto"/>
        </w:rPr>
      </w:pPr>
      <w:r>
        <w:rPr>
          <w:rFonts w:ascii="Arial" w:cs="Arial" w:eastAsia="Arial" w:hAnsi="Arial"/>
          <w:sz w:val="15"/>
          <w:szCs w:val="15"/>
          <w:i w:val="1"/>
          <w:iCs w:val="1"/>
          <w:color w:val="auto"/>
        </w:rPr>
        <w:t>What do I have to do to participate in the spin-off?</w:t>
      </w:r>
    </w:p>
    <w:p>
      <w:pPr>
        <w:spacing w:after="0" w:line="177" w:lineRule="exact"/>
        <w:rPr>
          <w:sz w:val="20"/>
          <w:szCs w:val="20"/>
          <w:color w:val="auto"/>
        </w:rPr>
      </w:pPr>
    </w:p>
    <w:p>
      <w:pPr>
        <w:ind w:left="630" w:right="240" w:hanging="630"/>
        <w:spacing w:after="0" w:line="277" w:lineRule="auto"/>
        <w:tabs>
          <w:tab w:leader="none" w:pos="63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Civeo common stock. You will neither be required to pay anything for the new shares nor to surrender any shares of Oil States common stock to participate in the spin-off.</w:t>
      </w:r>
    </w:p>
    <w:p>
      <w:pPr>
        <w:spacing w:after="0" w:line="142" w:lineRule="exact"/>
        <w:rPr>
          <w:sz w:val="20"/>
          <w:szCs w:val="20"/>
          <w:color w:val="auto"/>
        </w:rPr>
      </w:pPr>
    </w:p>
    <w:p>
      <w:pPr>
        <w:ind w:left="630" w:hanging="630"/>
        <w:spacing w:after="0"/>
        <w:tabs>
          <w:tab w:leader="none" w:pos="630" w:val="left"/>
        </w:tabs>
        <w:numPr>
          <w:ilvl w:val="0"/>
          <w:numId w:val="210"/>
        </w:numPr>
        <w:rPr>
          <w:rFonts w:ascii="Arial" w:cs="Arial" w:eastAsia="Arial" w:hAnsi="Arial"/>
          <w:sz w:val="15"/>
          <w:szCs w:val="15"/>
          <w:color w:val="auto"/>
        </w:rPr>
      </w:pPr>
      <w:r>
        <w:rPr>
          <w:rFonts w:ascii="Arial" w:cs="Arial" w:eastAsia="Arial" w:hAnsi="Arial"/>
          <w:sz w:val="15"/>
          <w:szCs w:val="15"/>
          <w:i w:val="1"/>
          <w:iCs w:val="1"/>
          <w:color w:val="auto"/>
        </w:rPr>
        <w:t>What are the U.S. federal income tax consequences of the spin-off?</w:t>
      </w:r>
    </w:p>
    <w:p>
      <w:pPr>
        <w:spacing w:after="0" w:line="177" w:lineRule="exact"/>
        <w:rPr>
          <w:sz w:val="20"/>
          <w:szCs w:val="20"/>
          <w:color w:val="auto"/>
        </w:rPr>
      </w:pPr>
    </w:p>
    <w:p>
      <w:pPr>
        <w:ind w:left="630" w:hanging="630"/>
        <w:spacing w:after="0" w:line="264" w:lineRule="auto"/>
        <w:tabs>
          <w:tab w:leader="none" w:pos="63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Oil States has received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qualifies as a tax-free transaction under Section 355 and Section 368(a)(1)(D) of the Code. In addition, Oil States will receive an opinion from its tax counsel, which will rely on the effectiveness of the private letter ruling, with respect to certain matters on which the IRS will not rule. See “The Spin-Off – Conditions to the Spin-Off.” Accordingly, the contribution, distribution and related transactions will qualify as a tax-free transactions under Section 355 and/or Section 368(a)(1)(D) of the Code, for U.S. federal income tax purposes, no gain or loss will generally be recognized by an Oil States shareholder, and no amount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351" w:lineRule="exact"/>
        <w:rPr>
          <w:sz w:val="20"/>
          <w:szCs w:val="20"/>
          <w:color w:val="auto"/>
        </w:rPr>
      </w:pPr>
    </w:p>
    <w:p>
      <w:pPr>
        <w:ind w:left="543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60960</wp:posOffset>
            </wp:positionV>
            <wp:extent cx="7292340" cy="336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290"/>
          </w:cols>
          <w:pgMar w:left="490" w:top="501" w:right="1119" w:bottom="1440" w:gutter="0" w:footer="0" w:header="0"/>
        </w:sectPr>
      </w:pPr>
    </w:p>
    <w:bookmarkStart w:id="226" w:name="page227"/>
    <w:bookmarkEnd w:id="226"/>
    <w:p>
      <w:pPr>
        <w:ind w:left="610" w:hanging="610"/>
        <w:spacing w:after="0"/>
        <w:tabs>
          <w:tab w:leader="none" w:pos="610" w:val="left"/>
        </w:tabs>
        <w:numPr>
          <w:ilvl w:val="0"/>
          <w:numId w:val="212"/>
        </w:numPr>
        <w:rPr>
          <w:rFonts w:ascii="Arial" w:cs="Arial" w:eastAsia="Arial" w:hAnsi="Arial"/>
          <w:sz w:val="15"/>
          <w:szCs w:val="15"/>
          <w:color w:val="auto"/>
        </w:rPr>
      </w:pPr>
      <w:r>
        <w:rPr>
          <w:rFonts w:ascii="Arial" w:cs="Arial" w:eastAsia="Arial" w:hAnsi="Arial"/>
          <w:sz w:val="15"/>
          <w:szCs w:val="15"/>
          <w:i w:val="1"/>
          <w:iCs w:val="1"/>
          <w:color w:val="auto"/>
        </w:rPr>
        <w:t>Will the Civeo common stock be listed on a stock exchange?</w:t>
      </w:r>
    </w:p>
    <w:p>
      <w:pPr>
        <w:spacing w:after="0" w:line="177" w:lineRule="exact"/>
        <w:rPr>
          <w:sz w:val="20"/>
          <w:szCs w:val="20"/>
          <w:color w:val="auto"/>
        </w:rPr>
      </w:pPr>
    </w:p>
    <w:p>
      <w:pPr>
        <w:ind w:left="610" w:right="120" w:hanging="610"/>
        <w:spacing w:after="0" w:line="267" w:lineRule="auto"/>
        <w:tabs>
          <w:tab w:leader="none" w:pos="61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Yes. Although there is not currently a public market for Civeo common stock, Civeo has been approved to list its common stock on the NYSE under the symbol “CVEO”. It is anticipated that trading of Civeo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Civeo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49" w:lineRule="exact"/>
        <w:rPr>
          <w:sz w:val="20"/>
          <w:szCs w:val="20"/>
          <w:color w:val="auto"/>
        </w:rPr>
      </w:pPr>
    </w:p>
    <w:p>
      <w:pPr>
        <w:ind w:left="610" w:hanging="610"/>
        <w:spacing w:after="0"/>
        <w:tabs>
          <w:tab w:leader="none" w:pos="610" w:val="left"/>
        </w:tabs>
        <w:numPr>
          <w:ilvl w:val="0"/>
          <w:numId w:val="214"/>
        </w:numPr>
        <w:rPr>
          <w:rFonts w:ascii="Arial" w:cs="Arial" w:eastAsia="Arial" w:hAnsi="Arial"/>
          <w:sz w:val="15"/>
          <w:szCs w:val="15"/>
          <w:color w:val="auto"/>
        </w:rPr>
      </w:pPr>
      <w:r>
        <w:rPr>
          <w:rFonts w:ascii="Arial" w:cs="Arial" w:eastAsia="Arial" w:hAnsi="Arial"/>
          <w:sz w:val="15"/>
          <w:szCs w:val="15"/>
          <w:i w:val="1"/>
          <w:iCs w:val="1"/>
          <w:color w:val="auto"/>
        </w:rPr>
        <w:t>Will my shares of Oil States common stock continue to trade?</w:t>
      </w:r>
    </w:p>
    <w:p>
      <w:pPr>
        <w:spacing w:after="0" w:line="177" w:lineRule="exact"/>
        <w:rPr>
          <w:sz w:val="20"/>
          <w:szCs w:val="20"/>
          <w:color w:val="auto"/>
        </w:rPr>
      </w:pPr>
    </w:p>
    <w:p>
      <w:pPr>
        <w:ind w:left="610" w:hanging="610"/>
        <w:spacing w:after="0"/>
        <w:tabs>
          <w:tab w:leader="none" w:pos="61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Yes. Oil States common stock will continue to be listed and traded on the NYSE under the symbol “OIS”.</w:t>
      </w:r>
    </w:p>
    <w:p>
      <w:pPr>
        <w:spacing w:after="0" w:line="177" w:lineRule="exact"/>
        <w:rPr>
          <w:sz w:val="20"/>
          <w:szCs w:val="20"/>
          <w:color w:val="auto"/>
        </w:rPr>
      </w:pPr>
    </w:p>
    <w:p>
      <w:pPr>
        <w:ind w:left="610" w:hanging="610"/>
        <w:spacing w:after="0" w:line="259" w:lineRule="auto"/>
        <w:tabs>
          <w:tab w:leader="none" w:pos="610" w:val="left"/>
        </w:tabs>
        <w:numPr>
          <w:ilvl w:val="0"/>
          <w:numId w:val="216"/>
        </w:numPr>
        <w:rPr>
          <w:rFonts w:ascii="Arial" w:cs="Arial" w:eastAsia="Arial" w:hAnsi="Arial"/>
          <w:sz w:val="15"/>
          <w:szCs w:val="15"/>
          <w:color w:val="auto"/>
        </w:rPr>
      </w:pPr>
      <w:r>
        <w:rPr>
          <w:rFonts w:ascii="Arial" w:cs="Arial" w:eastAsia="Arial" w:hAnsi="Arial"/>
          <w:sz w:val="15"/>
          <w:szCs w:val="15"/>
          <w:i w:val="1"/>
          <w:iCs w:val="1"/>
          <w:color w:val="auto"/>
        </w:rPr>
        <w:t>If I sell, on or before the distribution date, shares of Oil States common stock that I held on the record date, am I still entitled to receive shares of Civeo common stock distributable with respect to the shares of Oil States common stock I sold?</w:t>
      </w:r>
    </w:p>
    <w:p>
      <w:pPr>
        <w:spacing w:after="0" w:line="152" w:lineRule="exact"/>
        <w:rPr>
          <w:sz w:val="20"/>
          <w:szCs w:val="20"/>
          <w:color w:val="auto"/>
        </w:rPr>
      </w:pPr>
    </w:p>
    <w:p>
      <w:pPr>
        <w:ind w:left="610" w:right="220" w:hanging="610"/>
        <w:spacing w:after="0" w:line="267" w:lineRule="auto"/>
        <w:tabs>
          <w:tab w:leader="none" w:pos="61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Civeo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Civeo common stock in the spin-off.</w:t>
      </w:r>
    </w:p>
    <w:p>
      <w:pPr>
        <w:spacing w:after="0" w:line="149" w:lineRule="exact"/>
        <w:rPr>
          <w:sz w:val="20"/>
          <w:szCs w:val="20"/>
          <w:color w:val="auto"/>
        </w:rPr>
      </w:pPr>
    </w:p>
    <w:p>
      <w:pPr>
        <w:ind w:left="610" w:hanging="610"/>
        <w:spacing w:after="0"/>
        <w:tabs>
          <w:tab w:leader="none" w:pos="610" w:val="left"/>
        </w:tabs>
        <w:numPr>
          <w:ilvl w:val="0"/>
          <w:numId w:val="218"/>
        </w:numPr>
        <w:rPr>
          <w:rFonts w:ascii="Arial" w:cs="Arial" w:eastAsia="Arial" w:hAnsi="Arial"/>
          <w:sz w:val="15"/>
          <w:szCs w:val="15"/>
          <w:color w:val="auto"/>
        </w:rPr>
      </w:pPr>
      <w:r>
        <w:rPr>
          <w:rFonts w:ascii="Arial" w:cs="Arial" w:eastAsia="Arial" w:hAnsi="Arial"/>
          <w:sz w:val="15"/>
          <w:szCs w:val="15"/>
          <w:i w:val="1"/>
          <w:iCs w:val="1"/>
          <w:color w:val="auto"/>
        </w:rPr>
        <w:t>Will the spin-off affect the trading price of my Oil States stock?</w:t>
      </w:r>
    </w:p>
    <w:p>
      <w:pPr>
        <w:spacing w:after="0" w:line="177" w:lineRule="exact"/>
        <w:rPr>
          <w:sz w:val="20"/>
          <w:szCs w:val="20"/>
          <w:color w:val="auto"/>
        </w:rPr>
      </w:pPr>
    </w:p>
    <w:p>
      <w:pPr>
        <w:ind w:left="610" w:right="140" w:hanging="610"/>
        <w:spacing w:after="0" w:line="277" w:lineRule="auto"/>
        <w:tabs>
          <w:tab w:leader="none" w:pos="61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Yes, the trading price of shares of Oil States common stock immediately following the distribution is expected to be lower than immediately prior to the distribution because of the shareholder dividend of Civeo stock and the fact that its trading price will no longer reflect the value of the accommodations business. However, we cannot provide you with any assurance as to the price at which the Oil States shares will trade following the spin-off.</w:t>
      </w:r>
    </w:p>
    <w:p>
      <w:pPr>
        <w:spacing w:after="0" w:line="142" w:lineRule="exact"/>
        <w:rPr>
          <w:sz w:val="20"/>
          <w:szCs w:val="20"/>
          <w:color w:val="auto"/>
        </w:rPr>
      </w:pPr>
    </w:p>
    <w:p>
      <w:pPr>
        <w:ind w:left="610" w:hanging="610"/>
        <w:spacing w:after="0"/>
        <w:tabs>
          <w:tab w:leader="none" w:pos="610" w:val="left"/>
        </w:tabs>
        <w:numPr>
          <w:ilvl w:val="0"/>
          <w:numId w:val="220"/>
        </w:numPr>
        <w:rPr>
          <w:rFonts w:ascii="Arial" w:cs="Arial" w:eastAsia="Arial" w:hAnsi="Arial"/>
          <w:sz w:val="15"/>
          <w:szCs w:val="15"/>
          <w:color w:val="auto"/>
        </w:rPr>
      </w:pPr>
      <w:r>
        <w:rPr>
          <w:rFonts w:ascii="Arial" w:cs="Arial" w:eastAsia="Arial" w:hAnsi="Arial"/>
          <w:sz w:val="15"/>
          <w:szCs w:val="15"/>
          <w:i w:val="1"/>
          <w:iCs w:val="1"/>
          <w:color w:val="auto"/>
        </w:rPr>
        <w:t>What indebtedness will Civeo have following the spin-off?</w:t>
      </w:r>
    </w:p>
    <w:p>
      <w:pPr>
        <w:spacing w:after="0" w:line="177" w:lineRule="exact"/>
        <w:rPr>
          <w:sz w:val="20"/>
          <w:szCs w:val="20"/>
          <w:color w:val="auto"/>
        </w:rPr>
      </w:pPr>
    </w:p>
    <w:p>
      <w:pPr>
        <w:ind w:left="610" w:right="20" w:hanging="610"/>
        <w:spacing w:after="0" w:line="245" w:lineRule="auto"/>
        <w:tabs>
          <w:tab w:leader="none" w:pos="61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We anticipate that, upon closing of the spin-off, our U.S. term loan facility will be fully drawn and that we will have no borrowings outstanding under our credit facilities. See “Description of Material Indebtedness” for a more detailed description of these transactions.</w:t>
      </w:r>
    </w:p>
    <w:p>
      <w:pPr>
        <w:spacing w:after="0" w:line="362" w:lineRule="exact"/>
        <w:rPr>
          <w:sz w:val="20"/>
          <w:szCs w:val="20"/>
          <w:color w:val="auto"/>
        </w:rPr>
      </w:pPr>
    </w:p>
    <w:p>
      <w:pPr>
        <w:ind w:left="543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60960</wp:posOffset>
            </wp:positionV>
            <wp:extent cx="7292340" cy="33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310"/>
          </w:cols>
          <w:pgMar w:left="490" w:top="500" w:right="1099" w:bottom="1440" w:gutter="0" w:footer="0" w:header="0"/>
        </w:sectPr>
      </w:pPr>
    </w:p>
    <w:bookmarkStart w:id="227" w:name="page228"/>
    <w:bookmarkEnd w:id="227"/>
    <w:p>
      <w:pPr>
        <w:ind w:left="630" w:hanging="630"/>
        <w:spacing w:after="0"/>
        <w:tabs>
          <w:tab w:leader="none" w:pos="630"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What will the relationship be between Oil States and Civeo after the spin-off?</w:t>
      </w:r>
    </w:p>
    <w:p>
      <w:pPr>
        <w:spacing w:after="0" w:line="177" w:lineRule="exact"/>
        <w:rPr>
          <w:sz w:val="20"/>
          <w:szCs w:val="20"/>
          <w:color w:val="auto"/>
        </w:rPr>
      </w:pPr>
    </w:p>
    <w:p>
      <w:pPr>
        <w:ind w:left="630" w:right="100" w:hanging="630"/>
        <w:spacing w:after="0" w:line="269" w:lineRule="auto"/>
        <w:tabs>
          <w:tab w:leader="none" w:pos="63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Following the spin-off, Civeo will be an independent, publicly traded company and Oil States will have no continuing stock ownership interest in Civeo. In connection with the spin-off, Civeo will have entered into a separation and distribution agreement and several other agreements with Oil States for the purpose of allocating between Civeo and Oil States various assets, liabilities and obligations. These agreements will also govern Civeo’s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147" w:lineRule="exact"/>
        <w:rPr>
          <w:sz w:val="20"/>
          <w:szCs w:val="20"/>
          <w:color w:val="auto"/>
        </w:rPr>
      </w:pPr>
    </w:p>
    <w:p>
      <w:pPr>
        <w:ind w:left="630" w:hanging="630"/>
        <w:spacing w:after="0"/>
        <w:tabs>
          <w:tab w:leader="none" w:pos="630" w:val="left"/>
        </w:tabs>
        <w:numPr>
          <w:ilvl w:val="0"/>
          <w:numId w:val="224"/>
        </w:numPr>
        <w:rPr>
          <w:rFonts w:ascii="Arial" w:cs="Arial" w:eastAsia="Arial" w:hAnsi="Arial"/>
          <w:sz w:val="15"/>
          <w:szCs w:val="15"/>
          <w:color w:val="auto"/>
        </w:rPr>
      </w:pPr>
      <w:r>
        <w:rPr>
          <w:rFonts w:ascii="Arial" w:cs="Arial" w:eastAsia="Arial" w:hAnsi="Arial"/>
          <w:sz w:val="15"/>
          <w:szCs w:val="15"/>
          <w:i w:val="1"/>
          <w:iCs w:val="1"/>
          <w:color w:val="auto"/>
        </w:rPr>
        <w:t>What will Civeo’s dividend policy be after the spin-off?</w:t>
      </w:r>
    </w:p>
    <w:p>
      <w:pPr>
        <w:spacing w:after="0" w:line="177" w:lineRule="exact"/>
        <w:rPr>
          <w:sz w:val="20"/>
          <w:szCs w:val="20"/>
          <w:color w:val="auto"/>
        </w:rPr>
      </w:pPr>
    </w:p>
    <w:p>
      <w:pPr>
        <w:ind w:left="630" w:right="20" w:hanging="630"/>
        <w:spacing w:after="0" w:line="324" w:lineRule="auto"/>
        <w:tabs>
          <w:tab w:leader="none" w:pos="63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Our board of directors has approved a dividend policy pursuant to which, following the spin-off, we intend to pay a quarterly dividend in the amount of $0.13 per share, which we intend to commence payment of in the third quarter. However, the amount per share of our dividend payments may be changed in the future without advance notice.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w:t>
      </w:r>
    </w:p>
    <w:p>
      <w:pPr>
        <w:spacing w:after="0" w:line="118" w:lineRule="exact"/>
        <w:rPr>
          <w:sz w:val="20"/>
          <w:szCs w:val="20"/>
          <w:color w:val="auto"/>
        </w:rPr>
      </w:pPr>
    </w:p>
    <w:p>
      <w:pPr>
        <w:ind w:left="630" w:hanging="630"/>
        <w:spacing w:after="0"/>
        <w:tabs>
          <w:tab w:leader="none" w:pos="630" w:val="left"/>
        </w:tabs>
        <w:numPr>
          <w:ilvl w:val="0"/>
          <w:numId w:val="226"/>
        </w:numPr>
        <w:rPr>
          <w:rFonts w:ascii="Arial" w:cs="Arial" w:eastAsia="Arial" w:hAnsi="Arial"/>
          <w:sz w:val="15"/>
          <w:szCs w:val="15"/>
          <w:color w:val="auto"/>
        </w:rPr>
      </w:pPr>
      <w:r>
        <w:rPr>
          <w:rFonts w:ascii="Arial" w:cs="Arial" w:eastAsia="Arial" w:hAnsi="Arial"/>
          <w:sz w:val="15"/>
          <w:szCs w:val="15"/>
          <w:i w:val="1"/>
          <w:iCs w:val="1"/>
          <w:color w:val="auto"/>
        </w:rPr>
        <w:t>What are the anti-takeover effects of the spin-off?</w:t>
      </w:r>
    </w:p>
    <w:p>
      <w:pPr>
        <w:spacing w:after="0" w:line="177" w:lineRule="exact"/>
        <w:rPr>
          <w:sz w:val="20"/>
          <w:szCs w:val="20"/>
          <w:color w:val="auto"/>
        </w:rPr>
      </w:pPr>
    </w:p>
    <w:p>
      <w:pPr>
        <w:ind w:left="630" w:hanging="630"/>
        <w:spacing w:after="0" w:line="245" w:lineRule="auto"/>
        <w:tabs>
          <w:tab w:leader="none" w:pos="63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Some provisions of the amended and restated certificate of incorporation of Civeo, the amended and restated bylaws of Civeo and Delaware law may have the effect of making more difficult an acquisition of control of Civeo in a transaction not approved by Civeo’s board of directors. For example, Civeo’s amended and restated certificate of incorporation and amended and restated bylaws provide for a classified board, require advance notice for shareholder proposals and nominations, place limitations on convening shareholder meetings and authorize Civeo’s board of directors to issue one or more series of preferred stock. In addition, certain provisions of the transaction agreements may limit our ability to enter into strategic transactions. See “Description of Capital Stock—Anti-Takeover Effects of Provisions of our Amended and Restated Certificate of Incorporation, our Amended and Restated Bylaws and Delaware Law” and “Risk Factors—Risks Related to the Spin-Off” for more information.</w:t>
      </w:r>
    </w:p>
    <w:p>
      <w:pPr>
        <w:spacing w:after="0" w:line="166" w:lineRule="exact"/>
        <w:rPr>
          <w:sz w:val="20"/>
          <w:szCs w:val="20"/>
          <w:color w:val="auto"/>
        </w:rPr>
      </w:pPr>
    </w:p>
    <w:p>
      <w:pPr>
        <w:ind w:left="630" w:hanging="630"/>
        <w:spacing w:after="0"/>
        <w:tabs>
          <w:tab w:leader="none" w:pos="630" w:val="left"/>
        </w:tabs>
        <w:numPr>
          <w:ilvl w:val="0"/>
          <w:numId w:val="228"/>
        </w:numPr>
        <w:rPr>
          <w:rFonts w:ascii="Arial" w:cs="Arial" w:eastAsia="Arial" w:hAnsi="Arial"/>
          <w:sz w:val="15"/>
          <w:szCs w:val="15"/>
          <w:color w:val="auto"/>
        </w:rPr>
      </w:pPr>
      <w:r>
        <w:rPr>
          <w:rFonts w:ascii="Arial" w:cs="Arial" w:eastAsia="Arial" w:hAnsi="Arial"/>
          <w:sz w:val="15"/>
          <w:szCs w:val="15"/>
          <w:i w:val="1"/>
          <w:iCs w:val="1"/>
          <w:color w:val="auto"/>
        </w:rPr>
        <w:t>What are the risks associated with the spin-off?</w:t>
      </w:r>
    </w:p>
    <w:p>
      <w:pPr>
        <w:spacing w:after="0" w:line="177" w:lineRule="exact"/>
        <w:rPr>
          <w:sz w:val="20"/>
          <w:szCs w:val="20"/>
          <w:color w:val="auto"/>
        </w:rPr>
      </w:pPr>
    </w:p>
    <w:p>
      <w:pPr>
        <w:ind w:left="630" w:right="100" w:hanging="630"/>
        <w:spacing w:after="0" w:line="259" w:lineRule="auto"/>
        <w:tabs>
          <w:tab w:leader="none" w:pos="63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There are a number of risks associated with the spin-off and resultant ownership of Civeo common stock. These risks are discussed under “Risk Factors” beginning on page 19.</w:t>
      </w:r>
    </w:p>
    <w:p>
      <w:pPr>
        <w:spacing w:after="0" w:line="393" w:lineRule="exact"/>
        <w:rPr>
          <w:sz w:val="20"/>
          <w:szCs w:val="20"/>
          <w:color w:val="auto"/>
        </w:rPr>
      </w:pPr>
    </w:p>
    <w:p>
      <w:pPr>
        <w:ind w:left="543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60960</wp:posOffset>
            </wp:positionV>
            <wp:extent cx="7292340" cy="336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250"/>
          </w:cols>
          <w:pgMar w:left="490" w:top="501" w:right="1159" w:bottom="1440" w:gutter="0" w:footer="0" w:header="0"/>
        </w:sectPr>
      </w:pPr>
    </w:p>
    <w:bookmarkStart w:id="228" w:name="page229"/>
    <w:bookmarkEnd w:id="228"/>
    <w:p>
      <w:pPr>
        <w:ind w:left="630" w:hanging="630"/>
        <w:spacing w:after="0"/>
        <w:tabs>
          <w:tab w:leader="none" w:pos="630" w:val="left"/>
        </w:tabs>
        <w:numPr>
          <w:ilvl w:val="0"/>
          <w:numId w:val="230"/>
        </w:numPr>
        <w:rPr>
          <w:rFonts w:ascii="Arial" w:cs="Arial" w:eastAsia="Arial" w:hAnsi="Arial"/>
          <w:sz w:val="15"/>
          <w:szCs w:val="15"/>
          <w:color w:val="auto"/>
        </w:rPr>
      </w:pPr>
      <w:r>
        <w:rPr>
          <w:rFonts w:ascii="Arial" w:cs="Arial" w:eastAsia="Arial" w:hAnsi="Arial"/>
          <w:sz w:val="15"/>
          <w:szCs w:val="15"/>
          <w:i w:val="1"/>
          <w:iCs w:val="1"/>
          <w:color w:val="auto"/>
        </w:rPr>
        <w:t>Where can I get more information?</w:t>
      </w:r>
    </w:p>
    <w:p>
      <w:pPr>
        <w:spacing w:after="0" w:line="177" w:lineRule="exact"/>
        <w:rPr>
          <w:sz w:val="20"/>
          <w:szCs w:val="20"/>
          <w:color w:val="auto"/>
        </w:rPr>
      </w:pPr>
    </w:p>
    <w:p>
      <w:pPr>
        <w:ind w:left="630" w:hanging="630"/>
        <w:spacing w:after="0"/>
        <w:tabs>
          <w:tab w:leader="none" w:pos="63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If you have any questions relating to the mechanics of the distribution, you should contact the distribution agent at:</w:t>
      </w:r>
    </w:p>
    <w:p>
      <w:pPr>
        <w:spacing w:after="0" w:line="211" w:lineRule="exact"/>
        <w:rPr>
          <w:rFonts w:ascii="Arial" w:cs="Arial" w:eastAsia="Arial" w:hAnsi="Arial"/>
          <w:sz w:val="12"/>
          <w:szCs w:val="12"/>
          <w:color w:val="auto"/>
        </w:rPr>
      </w:pPr>
    </w:p>
    <w:p>
      <w:pPr>
        <w:ind w:left="630"/>
        <w:spacing w:after="0"/>
        <w:rPr>
          <w:rFonts w:ascii="Arial" w:cs="Arial" w:eastAsia="Arial" w:hAnsi="Arial"/>
          <w:sz w:val="12"/>
          <w:szCs w:val="12"/>
          <w:color w:val="auto"/>
        </w:rPr>
      </w:pPr>
      <w:r>
        <w:rPr>
          <w:rFonts w:ascii="Arial" w:cs="Arial" w:eastAsia="Arial" w:hAnsi="Arial"/>
          <w:sz w:val="15"/>
          <w:szCs w:val="15"/>
          <w:color w:val="auto"/>
        </w:rPr>
        <w:t>Computershare Trust Company, N.A.</w:t>
      </w:r>
    </w:p>
    <w:p>
      <w:pPr>
        <w:spacing w:after="0" w:line="11" w:lineRule="exact"/>
        <w:rPr>
          <w:rFonts w:ascii="Arial" w:cs="Arial" w:eastAsia="Arial" w:hAnsi="Arial"/>
          <w:sz w:val="12"/>
          <w:szCs w:val="12"/>
          <w:color w:val="auto"/>
        </w:rPr>
      </w:pPr>
    </w:p>
    <w:p>
      <w:pPr>
        <w:ind w:left="630" w:right="7579"/>
        <w:spacing w:after="0" w:line="244" w:lineRule="auto"/>
        <w:rPr>
          <w:rFonts w:ascii="Arial" w:cs="Arial" w:eastAsia="Arial" w:hAnsi="Arial"/>
          <w:sz w:val="12"/>
          <w:szCs w:val="12"/>
          <w:color w:val="auto"/>
        </w:rPr>
      </w:pPr>
      <w:r>
        <w:rPr>
          <w:rFonts w:ascii="Arial" w:cs="Arial" w:eastAsia="Arial" w:hAnsi="Arial"/>
          <w:sz w:val="15"/>
          <w:szCs w:val="15"/>
          <w:color w:val="auto"/>
        </w:rPr>
        <w:t>100 Crescent Court, Suite 700 Dallas, Texas 75201 Phone: (214) 808-3264</w:t>
      </w:r>
    </w:p>
    <w:p>
      <w:pPr>
        <w:spacing w:after="0" w:line="164" w:lineRule="exact"/>
        <w:rPr>
          <w:rFonts w:ascii="Arial" w:cs="Arial" w:eastAsia="Arial" w:hAnsi="Arial"/>
          <w:sz w:val="12"/>
          <w:szCs w:val="12"/>
          <w:color w:val="auto"/>
        </w:rPr>
      </w:pPr>
    </w:p>
    <w:p>
      <w:pPr>
        <w:ind w:left="630"/>
        <w:spacing w:after="0"/>
        <w:rPr>
          <w:rFonts w:ascii="Arial" w:cs="Arial" w:eastAsia="Arial" w:hAnsi="Arial"/>
          <w:sz w:val="12"/>
          <w:szCs w:val="12"/>
          <w:color w:val="auto"/>
        </w:rPr>
      </w:pPr>
      <w:r>
        <w:rPr>
          <w:rFonts w:ascii="Arial" w:cs="Arial" w:eastAsia="Arial" w:hAnsi="Arial"/>
          <w:sz w:val="14"/>
          <w:szCs w:val="14"/>
          <w:color w:val="auto"/>
        </w:rPr>
        <w:t>Before the spin-off, if you have any questions relating to the spin-off, you should contact Oil States at:</w:t>
      </w:r>
    </w:p>
    <w:p>
      <w:pPr>
        <w:spacing w:after="0" w:line="188" w:lineRule="exact"/>
        <w:rPr>
          <w:rFonts w:ascii="Arial" w:cs="Arial" w:eastAsia="Arial" w:hAnsi="Arial"/>
          <w:sz w:val="12"/>
          <w:szCs w:val="12"/>
          <w:color w:val="auto"/>
        </w:rPr>
      </w:pPr>
    </w:p>
    <w:p>
      <w:pPr>
        <w:ind w:left="630" w:right="7699"/>
        <w:spacing w:after="0" w:line="309" w:lineRule="auto"/>
        <w:rPr>
          <w:rFonts w:ascii="Arial" w:cs="Arial" w:eastAsia="Arial" w:hAnsi="Arial"/>
          <w:sz w:val="12"/>
          <w:szCs w:val="12"/>
          <w:color w:val="auto"/>
        </w:rPr>
      </w:pPr>
      <w:r>
        <w:rPr>
          <w:rFonts w:ascii="Arial" w:cs="Arial" w:eastAsia="Arial" w:hAnsi="Arial"/>
          <w:sz w:val="12"/>
          <w:szCs w:val="12"/>
          <w:color w:val="auto"/>
        </w:rPr>
        <w:t>Oil States International, Inc. Attn: Investor Relations Three Allen Center</w:t>
      </w:r>
    </w:p>
    <w:p>
      <w:pPr>
        <w:ind w:left="630" w:right="7739"/>
        <w:spacing w:after="0" w:line="325" w:lineRule="auto"/>
        <w:rPr>
          <w:rFonts w:ascii="Arial" w:cs="Arial" w:eastAsia="Arial" w:hAnsi="Arial"/>
          <w:sz w:val="12"/>
          <w:szCs w:val="12"/>
          <w:color w:val="auto"/>
        </w:rPr>
      </w:pPr>
      <w:r>
        <w:rPr>
          <w:rFonts w:ascii="Arial" w:cs="Arial" w:eastAsia="Arial" w:hAnsi="Arial"/>
          <w:sz w:val="12"/>
          <w:szCs w:val="12"/>
          <w:color w:val="auto"/>
        </w:rPr>
        <w:t>333 Clay Street, Suite 4620 Houston, Texas 77002 Phone: (713) 652-0582 www.oilstatesintl.com</w:t>
      </w:r>
    </w:p>
    <w:p>
      <w:pPr>
        <w:spacing w:after="0" w:line="117" w:lineRule="exact"/>
        <w:rPr>
          <w:rFonts w:ascii="Arial" w:cs="Arial" w:eastAsia="Arial" w:hAnsi="Arial"/>
          <w:sz w:val="12"/>
          <w:szCs w:val="12"/>
          <w:color w:val="auto"/>
        </w:rPr>
      </w:pPr>
    </w:p>
    <w:p>
      <w:pPr>
        <w:ind w:left="630"/>
        <w:spacing w:after="0"/>
        <w:rPr>
          <w:rFonts w:ascii="Arial" w:cs="Arial" w:eastAsia="Arial" w:hAnsi="Arial"/>
          <w:sz w:val="12"/>
          <w:szCs w:val="12"/>
          <w:color w:val="auto"/>
        </w:rPr>
      </w:pPr>
      <w:r>
        <w:rPr>
          <w:rFonts w:ascii="Arial" w:cs="Arial" w:eastAsia="Arial" w:hAnsi="Arial"/>
          <w:sz w:val="15"/>
          <w:szCs w:val="15"/>
          <w:color w:val="auto"/>
        </w:rPr>
        <w:t>After the spin-off, if you have any questions relating to Civeo, you should contact Civeo at:</w:t>
      </w:r>
    </w:p>
    <w:p>
      <w:pPr>
        <w:spacing w:after="0" w:line="177" w:lineRule="exact"/>
        <w:rPr>
          <w:rFonts w:ascii="Arial" w:cs="Arial" w:eastAsia="Arial" w:hAnsi="Arial"/>
          <w:sz w:val="12"/>
          <w:szCs w:val="12"/>
          <w:color w:val="auto"/>
        </w:rPr>
      </w:pPr>
    </w:p>
    <w:p>
      <w:pPr>
        <w:ind w:left="630" w:right="7939"/>
        <w:spacing w:after="0" w:line="309" w:lineRule="auto"/>
        <w:rPr>
          <w:rFonts w:ascii="Arial" w:cs="Arial" w:eastAsia="Arial" w:hAnsi="Arial"/>
          <w:sz w:val="12"/>
          <w:szCs w:val="12"/>
          <w:color w:val="auto"/>
        </w:rPr>
      </w:pPr>
      <w:r>
        <w:rPr>
          <w:rFonts w:ascii="Arial" w:cs="Arial" w:eastAsia="Arial" w:hAnsi="Arial"/>
          <w:sz w:val="12"/>
          <w:szCs w:val="12"/>
          <w:color w:val="auto"/>
        </w:rPr>
        <w:t>Civeo Corporation Attn: Investor Relations Three Allen Center</w:t>
      </w:r>
    </w:p>
    <w:p>
      <w:pPr>
        <w:ind w:left="630" w:right="7739"/>
        <w:spacing w:after="0" w:line="267" w:lineRule="auto"/>
        <w:rPr>
          <w:rFonts w:ascii="Arial" w:cs="Arial" w:eastAsia="Arial" w:hAnsi="Arial"/>
          <w:sz w:val="12"/>
          <w:szCs w:val="12"/>
          <w:color w:val="auto"/>
        </w:rPr>
      </w:pPr>
      <w:r>
        <w:rPr>
          <w:rFonts w:ascii="Arial" w:cs="Arial" w:eastAsia="Arial" w:hAnsi="Arial"/>
          <w:sz w:val="14"/>
          <w:szCs w:val="14"/>
          <w:color w:val="auto"/>
        </w:rPr>
        <w:t>333 Clay Street, Suite 4980 Houston, Texas 77002 Phone: (713) 652-0582 www.civeo.com</w:t>
      </w:r>
    </w:p>
    <w:p>
      <w:pPr>
        <w:spacing w:after="0" w:line="346" w:lineRule="exact"/>
        <w:rPr>
          <w:sz w:val="20"/>
          <w:szCs w:val="20"/>
          <w:color w:val="auto"/>
        </w:rPr>
      </w:pPr>
    </w:p>
    <w:p>
      <w:pPr>
        <w:ind w:left="539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60960</wp:posOffset>
            </wp:positionV>
            <wp:extent cx="7292340" cy="336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969"/>
          </w:cols>
          <w:pgMar w:left="490" w:top="501" w:right="1440"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9240" w:type="dxa"/>
            <w:vAlign w:val="bottom"/>
          </w:tcPr>
          <w:p>
            <w:pPr>
              <w:ind w:left="2700"/>
              <w:spacing w:after="0"/>
              <w:rPr>
                <w:sz w:val="20"/>
                <w:szCs w:val="20"/>
                <w:color w:val="auto"/>
              </w:rPr>
            </w:pPr>
            <w:r>
              <w:rPr>
                <w:rFonts w:ascii="Arial" w:cs="Arial" w:eastAsia="Arial" w:hAnsi="Arial"/>
                <w:sz w:val="15"/>
                <w:szCs w:val="15"/>
                <w:b w:val="1"/>
                <w:bCs w:val="1"/>
                <w:color w:val="auto"/>
              </w:rPr>
              <w:t>Summary of the Spin-Off</w:t>
            </w:r>
          </w:p>
        </w:tc>
      </w:tr>
      <w:tr>
        <w:trPr>
          <w:trHeight w:val="350"/>
        </w:trPr>
        <w:tc>
          <w:tcPr>
            <w:tcW w:w="2240" w:type="dxa"/>
            <w:vAlign w:val="bottom"/>
          </w:tcPr>
          <w:p>
            <w:pPr>
              <w:spacing w:after="0"/>
              <w:rPr>
                <w:sz w:val="20"/>
                <w:szCs w:val="20"/>
                <w:color w:val="auto"/>
              </w:rPr>
            </w:pPr>
            <w:r>
              <w:rPr>
                <w:rFonts w:ascii="Arial" w:cs="Arial" w:eastAsia="Arial" w:hAnsi="Arial"/>
                <w:sz w:val="15"/>
                <w:szCs w:val="15"/>
                <w:color w:val="auto"/>
              </w:rPr>
              <w:t>Distributing Company</w:t>
            </w:r>
          </w:p>
        </w:tc>
        <w:tc>
          <w:tcPr>
            <w:tcW w:w="9240" w:type="dxa"/>
            <w:vAlign w:val="bottom"/>
          </w:tcPr>
          <w:p>
            <w:pPr>
              <w:ind w:left="660"/>
              <w:spacing w:after="0"/>
              <w:rPr>
                <w:sz w:val="20"/>
                <w:szCs w:val="20"/>
                <w:color w:val="auto"/>
              </w:rPr>
            </w:pPr>
            <w:r>
              <w:rPr>
                <w:rFonts w:ascii="Arial" w:cs="Arial" w:eastAsia="Arial" w:hAnsi="Arial"/>
                <w:sz w:val="15"/>
                <w:szCs w:val="15"/>
                <w:color w:val="auto"/>
                <w:w w:val="96"/>
              </w:rPr>
              <w:t>Oil States International, Inc., a Delaware corporation. After the distribution, Oil States will not own any shares of Civeo common stock.</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Distributed Company</w:t>
            </w:r>
          </w:p>
        </w:tc>
        <w:tc>
          <w:tcPr>
            <w:tcW w:w="9240" w:type="dxa"/>
            <w:vAlign w:val="bottom"/>
          </w:tcPr>
          <w:p>
            <w:pPr>
              <w:ind w:left="660"/>
              <w:spacing w:after="0"/>
              <w:rPr>
                <w:sz w:val="20"/>
                <w:szCs w:val="20"/>
                <w:color w:val="auto"/>
              </w:rPr>
            </w:pPr>
            <w:r>
              <w:rPr>
                <w:rFonts w:ascii="Arial" w:cs="Arial" w:eastAsia="Arial" w:hAnsi="Arial"/>
                <w:sz w:val="15"/>
                <w:szCs w:val="15"/>
                <w:color w:val="auto"/>
                <w:w w:val="94"/>
              </w:rPr>
              <w:t>Civeo Corporation, a Delaware corporation and a wholly-owned subsidiary of Oil States. After the spin-off, Civeo will be an independent,</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publicly owned company.</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Distributed Securities</w:t>
            </w:r>
          </w:p>
        </w:tc>
        <w:tc>
          <w:tcPr>
            <w:tcW w:w="9240" w:type="dxa"/>
            <w:vAlign w:val="bottom"/>
          </w:tcPr>
          <w:p>
            <w:pPr>
              <w:ind w:left="660"/>
              <w:spacing w:after="0"/>
              <w:rPr>
                <w:sz w:val="20"/>
                <w:szCs w:val="20"/>
                <w:color w:val="auto"/>
              </w:rPr>
            </w:pPr>
            <w:r>
              <w:rPr>
                <w:rFonts w:ascii="Arial" w:cs="Arial" w:eastAsia="Arial" w:hAnsi="Arial"/>
                <w:sz w:val="15"/>
                <w:szCs w:val="15"/>
                <w:color w:val="auto"/>
                <w:w w:val="90"/>
              </w:rPr>
              <w:t>All of the shares of Civeo common stock owned by Oil States, which will be 100% of Civeo common stock issued and outstanding immediately</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prior to the distribution.</w:t>
            </w:r>
          </w:p>
        </w:tc>
      </w:tr>
      <w:tr>
        <w:trPr>
          <w:trHeight w:val="350"/>
        </w:trPr>
        <w:tc>
          <w:tcPr>
            <w:tcW w:w="2240" w:type="dxa"/>
            <w:vAlign w:val="bottom"/>
          </w:tcPr>
          <w:p>
            <w:pPr>
              <w:spacing w:after="0"/>
              <w:rPr>
                <w:sz w:val="20"/>
                <w:szCs w:val="20"/>
                <w:color w:val="auto"/>
              </w:rPr>
            </w:pPr>
            <w:r>
              <w:rPr>
                <w:rFonts w:ascii="Arial" w:cs="Arial" w:eastAsia="Arial" w:hAnsi="Arial"/>
                <w:sz w:val="15"/>
                <w:szCs w:val="15"/>
                <w:color w:val="auto"/>
              </w:rPr>
              <w:t>Record Date</w:t>
            </w:r>
          </w:p>
        </w:tc>
        <w:tc>
          <w:tcPr>
            <w:tcW w:w="9240" w:type="dxa"/>
            <w:vAlign w:val="bottom"/>
          </w:tcPr>
          <w:p>
            <w:pPr>
              <w:ind w:left="660"/>
              <w:spacing w:after="0"/>
              <w:rPr>
                <w:sz w:val="20"/>
                <w:szCs w:val="20"/>
                <w:color w:val="auto"/>
              </w:rPr>
            </w:pPr>
            <w:r>
              <w:rPr>
                <w:rFonts w:ascii="Arial" w:cs="Arial" w:eastAsia="Arial" w:hAnsi="Arial"/>
                <w:sz w:val="15"/>
                <w:szCs w:val="15"/>
                <w:color w:val="auto"/>
              </w:rPr>
              <w:t>The record date for the distribution is the close of business on May 21, 2014.</w:t>
            </w:r>
          </w:p>
        </w:tc>
      </w:tr>
      <w:tr>
        <w:trPr>
          <w:trHeight w:val="350"/>
        </w:trPr>
        <w:tc>
          <w:tcPr>
            <w:tcW w:w="2240" w:type="dxa"/>
            <w:vAlign w:val="bottom"/>
          </w:tcPr>
          <w:p>
            <w:pPr>
              <w:spacing w:after="0"/>
              <w:rPr>
                <w:sz w:val="20"/>
                <w:szCs w:val="20"/>
                <w:color w:val="auto"/>
              </w:rPr>
            </w:pPr>
            <w:r>
              <w:rPr>
                <w:rFonts w:ascii="Arial" w:cs="Arial" w:eastAsia="Arial" w:hAnsi="Arial"/>
                <w:sz w:val="15"/>
                <w:szCs w:val="15"/>
                <w:color w:val="auto"/>
              </w:rPr>
              <w:t>Distribution Date</w:t>
            </w:r>
          </w:p>
        </w:tc>
        <w:tc>
          <w:tcPr>
            <w:tcW w:w="9240" w:type="dxa"/>
            <w:vAlign w:val="bottom"/>
          </w:tcPr>
          <w:p>
            <w:pPr>
              <w:ind w:left="660"/>
              <w:spacing w:after="0"/>
              <w:rPr>
                <w:sz w:val="20"/>
                <w:szCs w:val="20"/>
                <w:color w:val="auto"/>
              </w:rPr>
            </w:pPr>
            <w:r>
              <w:rPr>
                <w:rFonts w:ascii="Arial" w:cs="Arial" w:eastAsia="Arial" w:hAnsi="Arial"/>
                <w:sz w:val="15"/>
                <w:szCs w:val="15"/>
                <w:color w:val="auto"/>
              </w:rPr>
              <w:t>The distribution date is May 30, 2014.</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Restructuring Transactions</w:t>
            </w:r>
          </w:p>
        </w:tc>
        <w:tc>
          <w:tcPr>
            <w:tcW w:w="9240" w:type="dxa"/>
            <w:vAlign w:val="bottom"/>
          </w:tcPr>
          <w:p>
            <w:pPr>
              <w:ind w:left="660"/>
              <w:spacing w:after="0"/>
              <w:rPr>
                <w:sz w:val="20"/>
                <w:szCs w:val="20"/>
                <w:color w:val="auto"/>
              </w:rPr>
            </w:pPr>
            <w:r>
              <w:rPr>
                <w:rFonts w:ascii="Arial" w:cs="Arial" w:eastAsia="Arial" w:hAnsi="Arial"/>
                <w:sz w:val="15"/>
                <w:szCs w:val="15"/>
                <w:color w:val="auto"/>
                <w:w w:val="93"/>
              </w:rPr>
              <w:t>As part of the spin-off, we will consummate certain restructuring transactions described under “The Spin-Off—Restructuring Transactions,”</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89"/>
              </w:rPr>
              <w:t>including (i) the incurrence of additional debt, (ii) the payment of a special dividend to Oil States and (iii) the contribution and transfer to us of the</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assets and liabilities associated with our business.</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Indebtedness</w:t>
            </w:r>
          </w:p>
        </w:tc>
        <w:tc>
          <w:tcPr>
            <w:tcW w:w="9240" w:type="dxa"/>
            <w:vAlign w:val="bottom"/>
          </w:tcPr>
          <w:p>
            <w:pPr>
              <w:ind w:left="660"/>
              <w:spacing w:after="0"/>
              <w:rPr>
                <w:sz w:val="20"/>
                <w:szCs w:val="20"/>
                <w:color w:val="auto"/>
              </w:rPr>
            </w:pPr>
            <w:r>
              <w:rPr>
                <w:rFonts w:ascii="Arial" w:cs="Arial" w:eastAsia="Arial" w:hAnsi="Arial"/>
                <w:sz w:val="15"/>
                <w:szCs w:val="15"/>
                <w:color w:val="auto"/>
                <w:w w:val="94"/>
              </w:rPr>
              <w:t>In connection with the spin-off, we expect to enter into (i) a $650.0 million, 5-year revolving credit facility which is currently expected to be</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94"/>
              </w:rPr>
              <w:t>allocated as follows: (A) a $450.0 million senior secured revolving credit facility in favor of Civeo, as borrower, (B) a $100.0 million senior</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90"/>
              </w:rPr>
              <w:t>secured revolving credit facility in favor of certain of our Canadian subsidiaries, as borrowers, and (C) a $100.0 million senior secured revolving</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89"/>
              </w:rPr>
              <w:t>credit facility in favor of one of our Australian subsidiaries, as borrower; and (ii) a 5-year U.S. term loan facility in an amount to be determined up</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89"/>
              </w:rPr>
              <w:t>to $775.0 million in favor of Civeo. Amounts outstanding under the credit facilities are expected to bear interest at LIBOR plus a margin of 1.75%</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87"/>
              </w:rPr>
              <w:t>to 2.75%, or at a base rate plus a margin of 0.75% to 1.75%, in each case based on a ratio of our total leverage to EBITDA (as defined in the credit</w:t>
            </w:r>
          </w:p>
        </w:tc>
      </w:tr>
      <w:tr>
        <w:trPr>
          <w:trHeight w:val="175"/>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93"/>
              </w:rPr>
              <w:t>facilities). We anticipate that, upon closing of the spin-off, our U.S. term loan facility will be fully drawn and that we will have no borrowings</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w w:val="96"/>
              </w:rPr>
              <w:t>outstanding under our credit facilities. See “Description of Material Indebtedness” for a more detailed description of these transactions.</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Distribution Ratio</w:t>
            </w:r>
          </w:p>
        </w:tc>
        <w:tc>
          <w:tcPr>
            <w:tcW w:w="9240" w:type="dxa"/>
            <w:vAlign w:val="bottom"/>
          </w:tcPr>
          <w:p>
            <w:pPr>
              <w:ind w:left="660"/>
              <w:spacing w:after="0"/>
              <w:rPr>
                <w:sz w:val="20"/>
                <w:szCs w:val="20"/>
                <w:color w:val="auto"/>
              </w:rPr>
            </w:pPr>
            <w:r>
              <w:rPr>
                <w:rFonts w:ascii="Arial" w:cs="Arial" w:eastAsia="Arial" w:hAnsi="Arial"/>
                <w:sz w:val="15"/>
                <w:szCs w:val="15"/>
                <w:color w:val="auto"/>
                <w:w w:val="89"/>
              </w:rPr>
              <w:t>Each Oil States stockholder will receive two shares of Civeo common stock for each share of Oil States common stock held by such stockholder</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on May 21, 2014.</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Distribution Method</w:t>
            </w:r>
          </w:p>
        </w:tc>
        <w:tc>
          <w:tcPr>
            <w:tcW w:w="9240" w:type="dxa"/>
            <w:vAlign w:val="bottom"/>
          </w:tcPr>
          <w:p>
            <w:pPr>
              <w:ind w:left="660"/>
              <w:spacing w:after="0"/>
              <w:rPr>
                <w:sz w:val="20"/>
                <w:szCs w:val="20"/>
                <w:color w:val="auto"/>
              </w:rPr>
            </w:pPr>
            <w:r>
              <w:rPr>
                <w:rFonts w:ascii="Arial" w:cs="Arial" w:eastAsia="Arial" w:hAnsi="Arial"/>
                <w:sz w:val="15"/>
                <w:szCs w:val="15"/>
                <w:color w:val="auto"/>
                <w:w w:val="90"/>
              </w:rPr>
              <w:t>Civeo common stock will be issued only by direct registration in book-entry form. Registration in book entry form is a method of recording stock</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ownership when no physical paper certificates are issued to stockholders, as is the case in this distribution.</w:t>
            </w:r>
          </w:p>
        </w:tc>
      </w:tr>
      <w:tr>
        <w:trPr>
          <w:trHeight w:val="341"/>
        </w:trPr>
        <w:tc>
          <w:tcPr>
            <w:tcW w:w="2240" w:type="dxa"/>
            <w:vAlign w:val="bottom"/>
          </w:tcPr>
          <w:p>
            <w:pPr>
              <w:spacing w:after="0"/>
              <w:rPr>
                <w:sz w:val="20"/>
                <w:szCs w:val="20"/>
                <w:color w:val="auto"/>
              </w:rPr>
            </w:pPr>
            <w:r>
              <w:rPr>
                <w:rFonts w:ascii="Arial" w:cs="Arial" w:eastAsia="Arial" w:hAnsi="Arial"/>
                <w:sz w:val="15"/>
                <w:szCs w:val="15"/>
                <w:color w:val="auto"/>
              </w:rPr>
              <w:t>Conditions to the Spin-Off</w:t>
            </w:r>
          </w:p>
        </w:tc>
        <w:tc>
          <w:tcPr>
            <w:tcW w:w="9240" w:type="dxa"/>
            <w:vAlign w:val="bottom"/>
          </w:tcPr>
          <w:p>
            <w:pPr>
              <w:ind w:left="660"/>
              <w:spacing w:after="0"/>
              <w:rPr>
                <w:sz w:val="20"/>
                <w:szCs w:val="20"/>
                <w:color w:val="auto"/>
              </w:rPr>
            </w:pPr>
            <w:r>
              <w:rPr>
                <w:rFonts w:ascii="Arial" w:cs="Arial" w:eastAsia="Arial" w:hAnsi="Arial"/>
                <w:sz w:val="15"/>
                <w:szCs w:val="15"/>
                <w:color w:val="auto"/>
                <w:w w:val="95"/>
              </w:rPr>
              <w:t>The spin-off is subject to the satisfaction or waiver by Oil States of the following conditions, as well as other conditions described in this</w:t>
            </w:r>
          </w:p>
        </w:tc>
      </w:tr>
      <w:tr>
        <w:trPr>
          <w:trHeight w:val="184"/>
        </w:trPr>
        <w:tc>
          <w:tcPr>
            <w:tcW w:w="2240" w:type="dxa"/>
            <w:vAlign w:val="bottom"/>
          </w:tcPr>
          <w:p>
            <w:pPr>
              <w:spacing w:after="0"/>
              <w:rPr>
                <w:sz w:val="15"/>
                <w:szCs w:val="15"/>
                <w:color w:val="auto"/>
              </w:rPr>
            </w:pPr>
          </w:p>
        </w:tc>
        <w:tc>
          <w:tcPr>
            <w:tcW w:w="9240" w:type="dxa"/>
            <w:vAlign w:val="bottom"/>
          </w:tcPr>
          <w:p>
            <w:pPr>
              <w:ind w:left="660"/>
              <w:spacing w:after="0"/>
              <w:rPr>
                <w:sz w:val="20"/>
                <w:szCs w:val="20"/>
                <w:color w:val="auto"/>
              </w:rPr>
            </w:pPr>
            <w:r>
              <w:rPr>
                <w:rFonts w:ascii="Arial" w:cs="Arial" w:eastAsia="Arial" w:hAnsi="Arial"/>
                <w:sz w:val="15"/>
                <w:szCs w:val="15"/>
                <w:color w:val="auto"/>
              </w:rPr>
              <w:t>information statement in “The Spin-Off—Conditions to the Spin-Off”:</w:t>
            </w:r>
          </w:p>
        </w:tc>
      </w:tr>
      <w:tr>
        <w:trPr>
          <w:trHeight w:val="546"/>
        </w:trPr>
        <w:tc>
          <w:tcPr>
            <w:tcW w:w="2240" w:type="dxa"/>
            <w:vAlign w:val="bottom"/>
          </w:tcPr>
          <w:p>
            <w:pPr>
              <w:spacing w:after="0"/>
              <w:rPr>
                <w:sz w:val="24"/>
                <w:szCs w:val="24"/>
                <w:color w:val="auto"/>
              </w:rPr>
            </w:pPr>
          </w:p>
        </w:tc>
        <w:tc>
          <w:tcPr>
            <w:tcW w:w="9240" w:type="dxa"/>
            <w:vAlign w:val="bottom"/>
          </w:tcPr>
          <w:p>
            <w:pPr>
              <w:ind w:left="3420"/>
              <w:spacing w:after="0"/>
              <w:rPr>
                <w:sz w:val="20"/>
                <w:szCs w:val="20"/>
                <w:color w:val="auto"/>
              </w:rPr>
            </w:pPr>
            <w:r>
              <w:rPr>
                <w:rFonts w:ascii="Arial" w:cs="Arial" w:eastAsia="Arial" w:hAnsi="Arial"/>
                <w:sz w:val="15"/>
                <w:szCs w:val="15"/>
                <w:color w:val="auto"/>
              </w:rPr>
              <w:t>11</w:t>
            </w:r>
          </w:p>
        </w:tc>
      </w:tr>
      <w:tr>
        <w:trPr>
          <w:trHeight w:val="117"/>
        </w:trPr>
        <w:tc>
          <w:tcPr>
            <w:tcW w:w="2240" w:type="dxa"/>
            <w:vAlign w:val="bottom"/>
            <w:tcBorders>
              <w:bottom w:val="single" w:sz="8" w:color="808080"/>
            </w:tcBorders>
          </w:tcPr>
          <w:p>
            <w:pPr>
              <w:spacing w:after="0"/>
              <w:rPr>
                <w:sz w:val="10"/>
                <w:szCs w:val="10"/>
                <w:color w:val="auto"/>
              </w:rPr>
            </w:pPr>
          </w:p>
        </w:tc>
        <w:tc>
          <w:tcPr>
            <w:tcW w:w="9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40" w:right="199" w:bottom="1440" w:gutter="0" w:footer="0" w:header="0"/>
        </w:sectPr>
      </w:pPr>
    </w:p>
    <w:bookmarkStart w:id="230" w:name="page231"/>
    <w:bookmarkEnd w:id="230"/>
    <w:p>
      <w:pPr>
        <w:ind w:left="1940" w:right="40" w:hanging="267"/>
        <w:spacing w:after="0" w:line="248"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the Securities and Exchange Commission (the “SEC”) will have declared effective our registration statement on Form 10, of which this information statement is a part, under the Securities Exchange Act of 1934, as amended (the “Exchange Act”), no stop order suspending the effectiveness of the registration statement shall be in effect, and no proceedings for such purpose shall be pending before or threatened by the SEC;</w:t>
      </w:r>
    </w:p>
    <w:p>
      <w:pPr>
        <w:spacing w:after="0" w:line="161" w:lineRule="exact"/>
        <w:rPr>
          <w:rFonts w:ascii="Arial" w:cs="Arial" w:eastAsia="Arial" w:hAnsi="Arial"/>
          <w:sz w:val="15"/>
          <w:szCs w:val="15"/>
          <w:color w:val="auto"/>
        </w:rPr>
      </w:pPr>
    </w:p>
    <w:p>
      <w:pPr>
        <w:ind w:left="1940" w:right="240" w:hanging="267"/>
        <w:spacing w:after="0" w:line="294" w:lineRule="auto"/>
        <w:tabs>
          <w:tab w:leader="none" w:pos="19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any required actions and filings with regard to state securities and blue sky laws of the United States (and any comparable laws under any foreign jurisdiction) will have been taken and, where applicable, have become effective or been accepted;</w:t>
      </w:r>
    </w:p>
    <w:p>
      <w:pPr>
        <w:spacing w:after="0" w:line="130" w:lineRule="exact"/>
        <w:rPr>
          <w:rFonts w:ascii="Arial" w:cs="Arial" w:eastAsia="Arial" w:hAnsi="Arial"/>
          <w:sz w:val="14"/>
          <w:szCs w:val="14"/>
          <w:color w:val="auto"/>
        </w:rPr>
      </w:pPr>
    </w:p>
    <w:p>
      <w:pPr>
        <w:ind w:left="1940" w:right="140" w:hanging="267"/>
        <w:spacing w:after="0" w:line="259"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the Civeo common stock will have been authorized for listing on the NYSE or another national securities exchange approved by Oil States, subject to official notice of issuance;</w:t>
      </w:r>
    </w:p>
    <w:p>
      <w:pPr>
        <w:spacing w:after="0" w:line="152" w:lineRule="exact"/>
        <w:rPr>
          <w:rFonts w:ascii="Arial" w:cs="Arial" w:eastAsia="Arial" w:hAnsi="Arial"/>
          <w:sz w:val="15"/>
          <w:szCs w:val="15"/>
          <w:color w:val="auto"/>
        </w:rPr>
      </w:pPr>
    </w:p>
    <w:p>
      <w:pPr>
        <w:ind w:left="1940" w:hanging="267"/>
        <w:spacing w:after="0"/>
        <w:tabs>
          <w:tab w:leader="none" w:pos="19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prior to the spin-off, this information statement will have been mailed to the holders of Oil States common stock as of the record date;</w:t>
      </w:r>
    </w:p>
    <w:p>
      <w:pPr>
        <w:spacing w:after="0" w:line="188" w:lineRule="exact"/>
        <w:rPr>
          <w:rFonts w:ascii="Arial" w:cs="Arial" w:eastAsia="Arial" w:hAnsi="Arial"/>
          <w:sz w:val="14"/>
          <w:szCs w:val="14"/>
          <w:color w:val="auto"/>
        </w:rPr>
      </w:pPr>
    </w:p>
    <w:p>
      <w:pPr>
        <w:jc w:val="both"/>
        <w:ind w:left="1940" w:right="60" w:hanging="267"/>
        <w:spacing w:after="0" w:line="251"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58" w:lineRule="exact"/>
        <w:rPr>
          <w:rFonts w:ascii="Arial" w:cs="Arial" w:eastAsia="Arial" w:hAnsi="Arial"/>
          <w:sz w:val="15"/>
          <w:szCs w:val="15"/>
          <w:color w:val="auto"/>
        </w:rPr>
      </w:pPr>
    </w:p>
    <w:p>
      <w:pPr>
        <w:ind w:left="1940" w:hanging="267"/>
        <w:spacing w:after="0" w:line="259"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Oil States shall have received an opinion from tax counsel, in form and substance acceptable to Oil States and which shall remain in full force and effect, as to certain matters affecting the tax treatment of the spin-off on which the IRS will not rule;</w:t>
      </w:r>
    </w:p>
    <w:p>
      <w:pPr>
        <w:spacing w:after="0" w:line="152" w:lineRule="exact"/>
        <w:rPr>
          <w:rFonts w:ascii="Arial" w:cs="Arial" w:eastAsia="Arial" w:hAnsi="Arial"/>
          <w:sz w:val="15"/>
          <w:szCs w:val="15"/>
          <w:color w:val="auto"/>
        </w:rPr>
      </w:pPr>
    </w:p>
    <w:p>
      <w:pPr>
        <w:ind w:left="1940" w:right="440" w:hanging="267"/>
        <w:spacing w:after="0" w:line="259"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no order, injunction, decree or regulation issued by any court or agency of competent jurisdiction or other legal restraint or prohibition preventing the consummation of the spin-off will be in effect;</w:t>
      </w:r>
    </w:p>
    <w:p>
      <w:pPr>
        <w:spacing w:after="0" w:line="152" w:lineRule="exact"/>
        <w:rPr>
          <w:rFonts w:ascii="Arial" w:cs="Arial" w:eastAsia="Arial" w:hAnsi="Arial"/>
          <w:sz w:val="15"/>
          <w:szCs w:val="15"/>
          <w:color w:val="auto"/>
        </w:rPr>
      </w:pPr>
    </w:p>
    <w:p>
      <w:pPr>
        <w:ind w:left="1940" w:right="40" w:hanging="267"/>
        <w:spacing w:after="0" w:line="259"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any government approvals and other material consents necessary to consummate the spin-off will have been obtained and be in full force and effect;</w:t>
      </w:r>
    </w:p>
    <w:p>
      <w:pPr>
        <w:spacing w:after="0" w:line="152" w:lineRule="exact"/>
        <w:rPr>
          <w:rFonts w:ascii="Arial" w:cs="Arial" w:eastAsia="Arial" w:hAnsi="Arial"/>
          <w:sz w:val="15"/>
          <w:szCs w:val="15"/>
          <w:color w:val="auto"/>
        </w:rPr>
      </w:pPr>
    </w:p>
    <w:p>
      <w:pPr>
        <w:ind w:left="1940" w:hanging="267"/>
        <w:spacing w:after="0"/>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Oil States shall have received the special dividend from Civeo; and</w:t>
      </w:r>
    </w:p>
    <w:p>
      <w:pPr>
        <w:spacing w:after="0" w:line="177" w:lineRule="exact"/>
        <w:rPr>
          <w:rFonts w:ascii="Arial" w:cs="Arial" w:eastAsia="Arial" w:hAnsi="Arial"/>
          <w:sz w:val="15"/>
          <w:szCs w:val="15"/>
          <w:color w:val="auto"/>
        </w:rPr>
      </w:pPr>
    </w:p>
    <w:p>
      <w:pPr>
        <w:ind w:left="1940" w:hanging="267"/>
        <w:spacing w:after="0" w:line="259" w:lineRule="auto"/>
        <w:tabs>
          <w:tab w:leader="none" w:pos="19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A majority of the aggregate outstanding principal amount of each series of Oil States 5 1/8% Senior Notes due 2023 and 6 1/2% Senior Notes due 2019 shall have been accepted for payment pursuant to the Oil States tender offers.</w:t>
      </w:r>
    </w:p>
    <w:p>
      <w:pPr>
        <w:spacing w:after="0" w:line="152" w:lineRule="exact"/>
        <w:rPr>
          <w:sz w:val="20"/>
          <w:szCs w:val="20"/>
          <w:color w:val="auto"/>
        </w:rPr>
      </w:pPr>
    </w:p>
    <w:p>
      <w:pPr>
        <w:ind w:left="1680"/>
        <w:spacing w:after="0" w:line="277" w:lineRule="auto"/>
        <w:rPr>
          <w:sz w:val="20"/>
          <w:szCs w:val="20"/>
          <w:color w:val="auto"/>
        </w:rPr>
      </w:pPr>
      <w:r>
        <w:rPr>
          <w:rFonts w:ascii="Arial" w:cs="Arial" w:eastAsia="Arial" w:hAnsi="Arial"/>
          <w:sz w:val="14"/>
          <w:szCs w:val="14"/>
          <w:color w:val="auto"/>
        </w:rPr>
        <w:t>The fulfillment of the foregoing conditions does not create any obligations on Oil States’ part to effect the spin-off, and the Oil States board of directors has reserved the right, in its sole discretion, to abandon, modify or change the terms of the spin-off, including by accelerating or delaying the timing of the consummation of all or part of the spin-off, at any time prior to the distribution date.</w:t>
      </w:r>
    </w:p>
    <w:p>
      <w:pPr>
        <w:spacing w:after="0" w:line="339"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60960</wp:posOffset>
            </wp:positionV>
            <wp:extent cx="7292340"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200"/>
          </w:cols>
          <w:pgMar w:left="1440" w:top="500" w:right="2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5"/>
                <w:szCs w:val="15"/>
                <w:color w:val="auto"/>
              </w:rPr>
              <w:t>Trading Market and Symbol</w:t>
            </w:r>
          </w:p>
        </w:tc>
        <w:tc>
          <w:tcPr>
            <w:tcW w:w="9200" w:type="dxa"/>
            <w:vAlign w:val="bottom"/>
          </w:tcPr>
          <w:p>
            <w:pPr>
              <w:ind w:left="620"/>
              <w:spacing w:after="0"/>
              <w:rPr>
                <w:sz w:val="20"/>
                <w:szCs w:val="20"/>
                <w:color w:val="auto"/>
              </w:rPr>
            </w:pPr>
            <w:r>
              <w:rPr>
                <w:rFonts w:ascii="Arial" w:cs="Arial" w:eastAsia="Arial" w:hAnsi="Arial"/>
                <w:sz w:val="15"/>
                <w:szCs w:val="15"/>
                <w:color w:val="auto"/>
                <w:w w:val="90"/>
              </w:rPr>
              <w:t>We have been approved to list Civeo common stock on the NYSE under the ticker symbol “CVEO”. We anticipate that, on or shortly before the</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record date, trading of shares of Civeo common stock will begin on a “when-issued” basis and will continue up to and including the distribution</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date, and we expect “regular-way” trading of Civeo common stock will begin the first trading day after the distribution date. We also anticipate</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2"/>
              </w:rPr>
              <w:t>that, on or shortly before the record date, there will be two markets in Oil States common stock: a regular-way market on which shares of Oil</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States common stock will trade with an entitlement to shares of Civeo common stock to be distributed pursuant to the distribution, and an “ex-</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distribution” market on which shares of Oil States common stock will trade without an entitlement to shares of Civeo common stock. For more</w:t>
            </w:r>
          </w:p>
        </w:tc>
      </w:tr>
      <w:tr>
        <w:trPr>
          <w:trHeight w:val="184"/>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information, see “Trading Market.”</w:t>
            </w:r>
          </w:p>
        </w:tc>
      </w:tr>
      <w:tr>
        <w:trPr>
          <w:trHeight w:val="341"/>
        </w:trPr>
        <w:tc>
          <w:tcPr>
            <w:tcW w:w="2280" w:type="dxa"/>
            <w:vAlign w:val="bottom"/>
          </w:tcPr>
          <w:p>
            <w:pPr>
              <w:spacing w:after="0"/>
              <w:rPr>
                <w:sz w:val="20"/>
                <w:szCs w:val="20"/>
                <w:color w:val="auto"/>
              </w:rPr>
            </w:pPr>
            <w:r>
              <w:rPr>
                <w:rFonts w:ascii="Arial" w:cs="Arial" w:eastAsia="Arial" w:hAnsi="Arial"/>
                <w:sz w:val="15"/>
                <w:szCs w:val="15"/>
                <w:color w:val="auto"/>
              </w:rPr>
              <w:t>Tax Consequences</w:t>
            </w:r>
          </w:p>
        </w:tc>
        <w:tc>
          <w:tcPr>
            <w:tcW w:w="9200" w:type="dxa"/>
            <w:vAlign w:val="bottom"/>
          </w:tcPr>
          <w:p>
            <w:pPr>
              <w:ind w:left="620"/>
              <w:spacing w:after="0"/>
              <w:rPr>
                <w:sz w:val="20"/>
                <w:szCs w:val="20"/>
                <w:color w:val="auto"/>
              </w:rPr>
            </w:pPr>
            <w:r>
              <w:rPr>
                <w:rFonts w:ascii="Arial" w:cs="Arial" w:eastAsia="Arial" w:hAnsi="Arial"/>
                <w:sz w:val="15"/>
                <w:szCs w:val="15"/>
                <w:color w:val="auto"/>
                <w:w w:val="94"/>
              </w:rPr>
              <w:t>Oil States has received a private letter ruling from the IRS substantially to the effect that, for U.S. federal income tax purposes, (i) certain</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transactions to be effected in connection with the separation qualify as transactions under Sections 355 and/or 368(a) of the Code and (ii) the</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9"/>
              </w:rPr>
              <w:t>distribution qualifies as a tax-free transaction under Section 355 and Section 368(a)(1)(D) of the Code. Further, Oil States will receive an opinion</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9"/>
              </w:rPr>
              <w:t>from its tax counsel in form and substance acceptable to Oil States, which will rely on the effectiveness of the private letter ruling, with respect to</w:t>
            </w:r>
          </w:p>
        </w:tc>
      </w:tr>
      <w:tr>
        <w:trPr>
          <w:trHeight w:val="184"/>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certain matters on which the IRS will not rule.</w:t>
            </w:r>
          </w:p>
        </w:tc>
      </w:tr>
      <w:tr>
        <w:trPr>
          <w:trHeight w:val="341"/>
        </w:trPr>
        <w:tc>
          <w:tcPr>
            <w:tcW w:w="228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9"/>
              </w:rPr>
              <w:t>Accordingly, the contribution, distribution and related transactions will qualify as a tax-free transactions under Section 355 and/or Section 368(a)</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3"/>
              </w:rPr>
              <w:t>(1)(D) of the Code, for U.S. federal income tax purposes, no gain or loss will generally be recognized by an Oil States shareholder, and no</w:t>
            </w:r>
          </w:p>
        </w:tc>
      </w:tr>
      <w:tr>
        <w:trPr>
          <w:trHeight w:val="184"/>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amount will be included in such Oil States shareholder’s taxable income, as a result of the spin-off.</w:t>
            </w:r>
          </w:p>
        </w:tc>
      </w:tr>
      <w:tr>
        <w:trPr>
          <w:trHeight w:val="341"/>
        </w:trPr>
        <w:tc>
          <w:tcPr>
            <w:tcW w:w="228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3"/>
              </w:rPr>
              <w:t>For a more detailed description of the U.S. federal income tax consequences of the spin-off, see “The Spin-Off—U.S. Federal Income Tax</w:t>
            </w:r>
          </w:p>
        </w:tc>
      </w:tr>
      <w:tr>
        <w:trPr>
          <w:trHeight w:val="184"/>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Consequences of the Spin-Off.”</w:t>
            </w:r>
          </w:p>
        </w:tc>
      </w:tr>
      <w:tr>
        <w:trPr>
          <w:trHeight w:val="337"/>
        </w:trPr>
        <w:tc>
          <w:tcPr>
            <w:tcW w:w="228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5"/>
                <w:szCs w:val="15"/>
                <w:b w:val="1"/>
                <w:bCs w:val="1"/>
                <w:color w:val="auto"/>
                <w:w w:val="89"/>
              </w:rPr>
              <w:t>Each stockholder is urged to consult his, her or its tax advisor as to the specific tax consequences of the spin-off to such stockholder,</w:t>
            </w:r>
          </w:p>
        </w:tc>
      </w:tr>
      <w:tr>
        <w:trPr>
          <w:trHeight w:val="188"/>
        </w:trPr>
        <w:tc>
          <w:tcPr>
            <w:tcW w:w="228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b w:val="1"/>
                <w:bCs w:val="1"/>
                <w:color w:val="auto"/>
              </w:rPr>
              <w:t>including the effect of any state, local or non-U.S. tax laws and of changes in applicable tax laws.</w:t>
            </w:r>
          </w:p>
        </w:tc>
      </w:tr>
      <w:tr>
        <w:trPr>
          <w:trHeight w:val="341"/>
        </w:trPr>
        <w:tc>
          <w:tcPr>
            <w:tcW w:w="2280" w:type="dxa"/>
            <w:vAlign w:val="bottom"/>
          </w:tcPr>
          <w:p>
            <w:pPr>
              <w:spacing w:after="0"/>
              <w:rPr>
                <w:sz w:val="20"/>
                <w:szCs w:val="20"/>
                <w:color w:val="auto"/>
              </w:rPr>
            </w:pPr>
            <w:r>
              <w:rPr>
                <w:rFonts w:ascii="Arial" w:cs="Arial" w:eastAsia="Arial" w:hAnsi="Arial"/>
                <w:sz w:val="15"/>
                <w:szCs w:val="15"/>
                <w:color w:val="auto"/>
              </w:rPr>
              <w:t>Relationship with Oil States</w:t>
            </w:r>
          </w:p>
        </w:tc>
        <w:tc>
          <w:tcPr>
            <w:tcW w:w="9200" w:type="dxa"/>
            <w:vAlign w:val="bottom"/>
          </w:tcPr>
          <w:p>
            <w:pPr>
              <w:spacing w:after="0"/>
              <w:rPr>
                <w:sz w:val="24"/>
                <w:szCs w:val="24"/>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5"/>
                <w:szCs w:val="15"/>
                <w:color w:val="auto"/>
              </w:rPr>
              <w:t>after the Spin-Off</w:t>
            </w:r>
          </w:p>
        </w:tc>
        <w:tc>
          <w:tcPr>
            <w:tcW w:w="9200" w:type="dxa"/>
            <w:vAlign w:val="bottom"/>
          </w:tcPr>
          <w:p>
            <w:pPr>
              <w:ind w:left="620"/>
              <w:spacing w:after="0"/>
              <w:rPr>
                <w:sz w:val="20"/>
                <w:szCs w:val="20"/>
                <w:color w:val="auto"/>
              </w:rPr>
            </w:pPr>
            <w:r>
              <w:rPr>
                <w:rFonts w:ascii="Arial" w:cs="Arial" w:eastAsia="Arial" w:hAnsi="Arial"/>
                <w:sz w:val="15"/>
                <w:szCs w:val="15"/>
                <w:color w:val="auto"/>
                <w:w w:val="88"/>
              </w:rPr>
              <w:t>We will enter into a separation and distribution agreement and other ancillary agreements with Oil States related to the spin-off. These agreements</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9"/>
              </w:rPr>
              <w:t>will govern the relationship between us and Oil States after completion of the spin-off and provide for the allocation between us and Oil States of</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8"/>
              </w:rPr>
              <w:t>various assets, liabilities and obligations. We intend to enter into a transition services agreement with Oil States pursuant to which certain services</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0"/>
              </w:rPr>
              <w:t>will be provided on an interim basis following the distribution. We also intend to enter into an employee matters agreement that will set forth the</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1"/>
              </w:rPr>
              <w:t>agreements between Oil States and us concerning certain employee compensation and benefit matters. Further, we intend to enter into a tax</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8"/>
              </w:rPr>
              <w:t>sharing agreement with Oil States regarding the respective rights, responsibilities, and obligations of Oil States and us with respect to the payment</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90"/>
              </w:rPr>
              <w:t>of taxes, filing of tax returns, reimbursements of taxes, control of audits and other tax proceedings, liability for taxes that may be triggered as a</w:t>
            </w:r>
          </w:p>
        </w:tc>
      </w:tr>
      <w:tr>
        <w:trPr>
          <w:trHeight w:val="175"/>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w w:val="87"/>
              </w:rPr>
              <w:t>result of the spin-off and other matters regarding taxes. We describe these arrangements in greater detail under “Arrangements Between Oil States</w:t>
            </w:r>
          </w:p>
        </w:tc>
      </w:tr>
      <w:tr>
        <w:trPr>
          <w:trHeight w:val="184"/>
        </w:trPr>
        <w:tc>
          <w:tcPr>
            <w:tcW w:w="2280" w:type="dxa"/>
            <w:vAlign w:val="bottom"/>
          </w:tcPr>
          <w:p>
            <w:pPr>
              <w:spacing w:after="0"/>
              <w:rPr>
                <w:sz w:val="15"/>
                <w:szCs w:val="15"/>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and Our Company,” and describe some of the risks of these arrangements under “Risk Factors—Risks Related to the Spin-Off.”</w:t>
            </w:r>
          </w:p>
        </w:tc>
      </w:tr>
      <w:tr>
        <w:trPr>
          <w:trHeight w:val="546"/>
        </w:trPr>
        <w:tc>
          <w:tcPr>
            <w:tcW w:w="2280" w:type="dxa"/>
            <w:vAlign w:val="bottom"/>
          </w:tcPr>
          <w:p>
            <w:pPr>
              <w:spacing w:after="0"/>
              <w:rPr>
                <w:sz w:val="24"/>
                <w:szCs w:val="24"/>
                <w:color w:val="auto"/>
              </w:rPr>
            </w:pPr>
          </w:p>
        </w:tc>
        <w:tc>
          <w:tcPr>
            <w:tcW w:w="9200" w:type="dxa"/>
            <w:vAlign w:val="bottom"/>
          </w:tcPr>
          <w:p>
            <w:pPr>
              <w:ind w:left="3380"/>
              <w:spacing w:after="0"/>
              <w:rPr>
                <w:sz w:val="20"/>
                <w:szCs w:val="20"/>
                <w:color w:val="auto"/>
              </w:rPr>
            </w:pPr>
            <w:r>
              <w:rPr>
                <w:rFonts w:ascii="Arial" w:cs="Arial" w:eastAsia="Arial" w:hAnsi="Arial"/>
                <w:sz w:val="15"/>
                <w:szCs w:val="15"/>
                <w:color w:val="auto"/>
              </w:rPr>
              <w:t>13</w:t>
            </w:r>
          </w:p>
        </w:tc>
      </w:tr>
      <w:tr>
        <w:trPr>
          <w:trHeight w:val="117"/>
        </w:trPr>
        <w:tc>
          <w:tcPr>
            <w:tcW w:w="2280" w:type="dxa"/>
            <w:vAlign w:val="bottom"/>
            <w:tcBorders>
              <w:bottom w:val="single" w:sz="8" w:color="808080"/>
            </w:tcBorders>
          </w:tcPr>
          <w:p>
            <w:pPr>
              <w:spacing w:after="0"/>
              <w:rPr>
                <w:sz w:val="10"/>
                <w:szCs w:val="10"/>
                <w:color w:val="auto"/>
              </w:rPr>
            </w:pPr>
          </w:p>
        </w:tc>
        <w:tc>
          <w:tcPr>
            <w:tcW w:w="9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rPr>
                <w:sz w:val="20"/>
                <w:szCs w:val="20"/>
                <w:color w:val="auto"/>
              </w:rPr>
            </w:pPr>
            <w:r>
              <w:rPr>
                <w:rFonts w:ascii="Arial" w:cs="Arial" w:eastAsia="Arial" w:hAnsi="Arial"/>
                <w:sz w:val="15"/>
                <w:szCs w:val="15"/>
                <w:color w:val="auto"/>
              </w:rPr>
              <w:t>Indemnities</w:t>
            </w:r>
          </w:p>
        </w:tc>
        <w:tc>
          <w:tcPr>
            <w:tcW w:w="9560" w:type="dxa"/>
            <w:vAlign w:val="bottom"/>
          </w:tcPr>
          <w:p>
            <w:pPr>
              <w:ind w:left="980"/>
              <w:spacing w:after="0"/>
              <w:rPr>
                <w:sz w:val="20"/>
                <w:szCs w:val="20"/>
                <w:color w:val="auto"/>
              </w:rPr>
            </w:pPr>
            <w:r>
              <w:rPr>
                <w:rFonts w:ascii="Arial" w:cs="Arial" w:eastAsia="Arial" w:hAnsi="Arial"/>
                <w:sz w:val="15"/>
                <w:szCs w:val="15"/>
                <w:color w:val="auto"/>
                <w:w w:val="88"/>
              </w:rPr>
              <w:t>We will indemnify Oil States under the tax sharing agreement for taxes incurred as a result of the failure of the spin-off to qualify as tax-free under</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87"/>
              </w:rPr>
              <w:t>Section 355 and Section 368(a)(1)(D) of the Code, to the extent caused by our breach of any representations or covenants made in the tax sharing</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91"/>
              </w:rPr>
              <w:t>agreement, the separation and distribution agreement, or made in connection with the private letter ruling and the tax opinion or by any other</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90"/>
              </w:rPr>
              <w:t>action taken by us. See “Arrangements Between Oil States and Our Company—Tax Sharing Agreement.” In addition, under the separation and</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88"/>
              </w:rPr>
              <w:t>distribution agreement and indemnification and release agreement, we will also indemnify Oil States and its remaining subsidiaries against various</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88"/>
              </w:rPr>
              <w:t>claims and liabilities relating to the past operation of our business. In addition, we have agreed to pay 50% of any taxes arising from the spin-off to</w:t>
            </w:r>
          </w:p>
        </w:tc>
      </w:tr>
      <w:tr>
        <w:trPr>
          <w:trHeight w:val="184"/>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rPr>
              <w:t>the extent that the tax is not attributable to the fault of either party. See “Arrangements Between Oil States and Our Company.”</w:t>
            </w:r>
          </w:p>
        </w:tc>
      </w:tr>
      <w:tr>
        <w:trPr>
          <w:trHeight w:val="341"/>
        </w:trPr>
        <w:tc>
          <w:tcPr>
            <w:tcW w:w="1920" w:type="dxa"/>
            <w:vAlign w:val="bottom"/>
          </w:tcPr>
          <w:p>
            <w:pPr>
              <w:spacing w:after="0"/>
              <w:rPr>
                <w:sz w:val="20"/>
                <w:szCs w:val="20"/>
                <w:color w:val="auto"/>
              </w:rPr>
            </w:pPr>
            <w:r>
              <w:rPr>
                <w:rFonts w:ascii="Arial" w:cs="Arial" w:eastAsia="Arial" w:hAnsi="Arial"/>
                <w:sz w:val="15"/>
                <w:szCs w:val="15"/>
                <w:color w:val="auto"/>
              </w:rPr>
              <w:t>Dividend Policy</w:t>
            </w:r>
          </w:p>
        </w:tc>
        <w:tc>
          <w:tcPr>
            <w:tcW w:w="9560" w:type="dxa"/>
            <w:vAlign w:val="bottom"/>
          </w:tcPr>
          <w:p>
            <w:pPr>
              <w:ind w:left="980"/>
              <w:spacing w:after="0"/>
              <w:rPr>
                <w:sz w:val="20"/>
                <w:szCs w:val="20"/>
                <w:color w:val="auto"/>
              </w:rPr>
            </w:pPr>
            <w:r>
              <w:rPr>
                <w:rFonts w:ascii="Arial" w:cs="Arial" w:eastAsia="Arial" w:hAnsi="Arial"/>
                <w:sz w:val="15"/>
                <w:szCs w:val="15"/>
                <w:color w:val="auto"/>
                <w:w w:val="93"/>
              </w:rPr>
              <w:t>Our board of directors has approved a dividend policy pursuant to which, following the spin-off, we intend to pay a quarterly dividend in the</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94"/>
              </w:rPr>
              <w:t>amount of $0.13 per share, which we intend to commence payment of in the third quarter. However, the amount per share of our dividend</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93"/>
              </w:rPr>
              <w:t>payments may be changed in the future without advance notice. In addition, our ability to pay dividends on our common stock is limited by</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89"/>
              </w:rPr>
              <w:t>covenants in our credit facilities. Future agreements may also limit our ability to pay dividends, and we may incur incremental taxes in the United</w:t>
            </w:r>
          </w:p>
        </w:tc>
      </w:tr>
      <w:tr>
        <w:trPr>
          <w:trHeight w:val="175"/>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89"/>
              </w:rPr>
              <w:t>States if we repatriate foreign earnings to pay such dividends. See “Dividend Policy,” “Description of Material Indebtedness” and “Management’s</w:t>
            </w:r>
          </w:p>
        </w:tc>
      </w:tr>
      <w:tr>
        <w:trPr>
          <w:trHeight w:val="184"/>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rPr>
              <w:t>Discussion and Analysis of Financial Condition and Results of Operations—Tax Matters.”</w:t>
            </w:r>
          </w:p>
        </w:tc>
      </w:tr>
      <w:tr>
        <w:trPr>
          <w:trHeight w:val="350"/>
        </w:trPr>
        <w:tc>
          <w:tcPr>
            <w:tcW w:w="1920" w:type="dxa"/>
            <w:vAlign w:val="bottom"/>
          </w:tcPr>
          <w:p>
            <w:pPr>
              <w:spacing w:after="0"/>
              <w:rPr>
                <w:sz w:val="20"/>
                <w:szCs w:val="20"/>
                <w:color w:val="auto"/>
              </w:rPr>
            </w:pPr>
            <w:r>
              <w:rPr>
                <w:rFonts w:ascii="Arial" w:cs="Arial" w:eastAsia="Arial" w:hAnsi="Arial"/>
                <w:sz w:val="15"/>
                <w:szCs w:val="15"/>
                <w:color w:val="auto"/>
              </w:rPr>
              <w:t>Transfer Agent</w:t>
            </w:r>
          </w:p>
        </w:tc>
        <w:tc>
          <w:tcPr>
            <w:tcW w:w="9560" w:type="dxa"/>
            <w:vAlign w:val="bottom"/>
          </w:tcPr>
          <w:p>
            <w:pPr>
              <w:ind w:left="980"/>
              <w:spacing w:after="0"/>
              <w:rPr>
                <w:sz w:val="20"/>
                <w:szCs w:val="20"/>
                <w:color w:val="auto"/>
              </w:rPr>
            </w:pPr>
            <w:r>
              <w:rPr>
                <w:rFonts w:ascii="Arial" w:cs="Arial" w:eastAsia="Arial" w:hAnsi="Arial"/>
                <w:sz w:val="15"/>
                <w:szCs w:val="15"/>
                <w:color w:val="auto"/>
              </w:rPr>
              <w:t>Computershare Trust Company, N.A.</w:t>
            </w:r>
          </w:p>
        </w:tc>
      </w:tr>
      <w:tr>
        <w:trPr>
          <w:trHeight w:val="341"/>
        </w:trPr>
        <w:tc>
          <w:tcPr>
            <w:tcW w:w="1920" w:type="dxa"/>
            <w:vAlign w:val="bottom"/>
          </w:tcPr>
          <w:p>
            <w:pPr>
              <w:spacing w:after="0"/>
              <w:rPr>
                <w:sz w:val="20"/>
                <w:szCs w:val="20"/>
                <w:color w:val="auto"/>
              </w:rPr>
            </w:pPr>
            <w:r>
              <w:rPr>
                <w:rFonts w:ascii="Arial" w:cs="Arial" w:eastAsia="Arial" w:hAnsi="Arial"/>
                <w:sz w:val="15"/>
                <w:szCs w:val="15"/>
                <w:color w:val="auto"/>
              </w:rPr>
              <w:t>Risk Factors</w:t>
            </w:r>
          </w:p>
        </w:tc>
        <w:tc>
          <w:tcPr>
            <w:tcW w:w="9560" w:type="dxa"/>
            <w:vAlign w:val="bottom"/>
          </w:tcPr>
          <w:p>
            <w:pPr>
              <w:ind w:left="980"/>
              <w:spacing w:after="0"/>
              <w:rPr>
                <w:sz w:val="20"/>
                <w:szCs w:val="20"/>
                <w:color w:val="auto"/>
              </w:rPr>
            </w:pPr>
            <w:r>
              <w:rPr>
                <w:rFonts w:ascii="Arial" w:cs="Arial" w:eastAsia="Arial" w:hAnsi="Arial"/>
                <w:sz w:val="15"/>
                <w:szCs w:val="15"/>
                <w:color w:val="auto"/>
                <w:w w:val="87"/>
              </w:rPr>
              <w:t>We face both general and specific risks and uncertainties relating to our business and our being an independent, publicly owned company. We also</w:t>
            </w:r>
          </w:p>
        </w:tc>
      </w:tr>
      <w:tr>
        <w:trPr>
          <w:trHeight w:val="184"/>
        </w:trPr>
        <w:tc>
          <w:tcPr>
            <w:tcW w:w="1920" w:type="dxa"/>
            <w:vAlign w:val="bottom"/>
          </w:tcPr>
          <w:p>
            <w:pPr>
              <w:spacing w:after="0"/>
              <w:rPr>
                <w:sz w:val="15"/>
                <w:szCs w:val="15"/>
                <w:color w:val="auto"/>
              </w:rPr>
            </w:pPr>
          </w:p>
        </w:tc>
        <w:tc>
          <w:tcPr>
            <w:tcW w:w="9560" w:type="dxa"/>
            <w:vAlign w:val="bottom"/>
          </w:tcPr>
          <w:p>
            <w:pPr>
              <w:ind w:left="980"/>
              <w:spacing w:after="0"/>
              <w:rPr>
                <w:sz w:val="20"/>
                <w:szCs w:val="20"/>
                <w:color w:val="auto"/>
              </w:rPr>
            </w:pPr>
            <w:r>
              <w:rPr>
                <w:rFonts w:ascii="Arial" w:cs="Arial" w:eastAsia="Arial" w:hAnsi="Arial"/>
                <w:sz w:val="15"/>
                <w:szCs w:val="15"/>
                <w:color w:val="auto"/>
                <w:w w:val="96"/>
              </w:rPr>
              <w:t>are subject to risks related to the spin-off. You should carefully read “Risk Factors” beginning on page 19 of this information statement.</w:t>
            </w:r>
          </w:p>
        </w:tc>
      </w:tr>
      <w:tr>
        <w:trPr>
          <w:trHeight w:val="721"/>
        </w:trPr>
        <w:tc>
          <w:tcPr>
            <w:tcW w:w="1920" w:type="dxa"/>
            <w:vAlign w:val="bottom"/>
          </w:tcPr>
          <w:p>
            <w:pPr>
              <w:spacing w:after="0"/>
              <w:rPr>
                <w:sz w:val="24"/>
                <w:szCs w:val="24"/>
                <w:color w:val="auto"/>
              </w:rPr>
            </w:pPr>
          </w:p>
        </w:tc>
        <w:tc>
          <w:tcPr>
            <w:tcW w:w="9560" w:type="dxa"/>
            <w:vAlign w:val="bottom"/>
          </w:tcPr>
          <w:p>
            <w:pPr>
              <w:ind w:left="3740"/>
              <w:spacing w:after="0"/>
              <w:rPr>
                <w:sz w:val="20"/>
                <w:szCs w:val="20"/>
                <w:color w:val="auto"/>
              </w:rPr>
            </w:pPr>
            <w:r>
              <w:rPr>
                <w:rFonts w:ascii="Arial" w:cs="Arial" w:eastAsia="Arial" w:hAnsi="Arial"/>
                <w:sz w:val="15"/>
                <w:szCs w:val="15"/>
                <w:color w:val="auto"/>
              </w:rPr>
              <w:t>14</w:t>
            </w:r>
          </w:p>
        </w:tc>
      </w:tr>
      <w:tr>
        <w:trPr>
          <w:trHeight w:val="117"/>
        </w:trPr>
        <w:tc>
          <w:tcPr>
            <w:tcW w:w="1920" w:type="dxa"/>
            <w:vAlign w:val="bottom"/>
            <w:tcBorders>
              <w:bottom w:val="single" w:sz="8" w:color="808080"/>
            </w:tcBorders>
          </w:tcPr>
          <w:p>
            <w:pPr>
              <w:spacing w:after="0"/>
              <w:rPr>
                <w:sz w:val="10"/>
                <w:szCs w:val="10"/>
                <w:color w:val="auto"/>
              </w:rPr>
            </w:pPr>
          </w:p>
        </w:tc>
        <w:tc>
          <w:tcPr>
            <w:tcW w:w="9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1" w:right="199" w:bottom="1440" w:gutter="0" w:footer="0" w:header="0"/>
        </w:sectPr>
      </w:pPr>
    </w:p>
    <w:bookmarkStart w:id="233" w:name="page234"/>
    <w:bookmarkEnd w:id="233"/>
    <w:p>
      <w:pPr>
        <w:spacing w:after="0"/>
        <w:rPr>
          <w:sz w:val="20"/>
          <w:szCs w:val="20"/>
          <w:color w:val="auto"/>
        </w:rPr>
      </w:pPr>
      <w:r>
        <w:rPr>
          <w:rFonts w:ascii="Arial" w:cs="Arial" w:eastAsia="Arial" w:hAnsi="Arial"/>
          <w:sz w:val="15"/>
          <w:szCs w:val="15"/>
          <w:b w:val="1"/>
          <w:bCs w:val="1"/>
          <w:u w:val="single" w:color="auto"/>
          <w:color w:val="auto"/>
        </w:rPr>
        <w:t>Summary Risk Factors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face both general and specific risks and uncertainties relating to our business and our being an independent, publicly owned company. We also are subject to risks related to the spin-off.</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You should carefully read “Risk Factors” beginning on page 19 of this information statement. In particular: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Related to our Business</w:t>
      </w:r>
    </w:p>
    <w:p>
      <w:pPr>
        <w:spacing w:after="0" w:line="177" w:lineRule="exact"/>
        <w:rPr>
          <w:sz w:val="20"/>
          <w:szCs w:val="20"/>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Decreased customer expenditure levels will adversely affect our results of operations.</w:t>
      </w:r>
    </w:p>
    <w:p>
      <w:pPr>
        <w:spacing w:after="0" w:line="177" w:lineRule="exact"/>
        <w:rPr>
          <w:rFonts w:ascii="Arial" w:cs="Arial" w:eastAsia="Arial" w:hAnsi="Arial"/>
          <w:sz w:val="15"/>
          <w:szCs w:val="15"/>
          <w:color w:val="auto"/>
        </w:rPr>
      </w:pPr>
    </w:p>
    <w:p>
      <w:pPr>
        <w:ind w:left="880" w:right="460" w:hanging="523"/>
        <w:spacing w:after="0" w:line="259" w:lineRule="auto"/>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52" w:lineRule="exact"/>
        <w:rPr>
          <w:rFonts w:ascii="Arial" w:cs="Arial" w:eastAsia="Arial" w:hAnsi="Arial"/>
          <w:sz w:val="15"/>
          <w:szCs w:val="15"/>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Exchange rate fluctuations could adversely affect our U.S. reported results of operations and financial position and could impact our ability to pay dividends.</w:t>
      </w:r>
    </w:p>
    <w:p>
      <w:pPr>
        <w:spacing w:after="0" w:line="177" w:lineRule="exact"/>
        <w:rPr>
          <w:rFonts w:ascii="Arial" w:cs="Arial" w:eastAsia="Arial" w:hAnsi="Arial"/>
          <w:sz w:val="15"/>
          <w:szCs w:val="15"/>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Our failure to retain our current customers, renew our existing customer contracts and obtain new customer contracts could adversely affect our business.</w:t>
      </w:r>
    </w:p>
    <w:p>
      <w:pPr>
        <w:spacing w:after="0" w:line="177" w:lineRule="exact"/>
        <w:rPr>
          <w:rFonts w:ascii="Arial" w:cs="Arial" w:eastAsia="Arial" w:hAnsi="Arial"/>
          <w:sz w:val="15"/>
          <w:szCs w:val="15"/>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We do business in Canada and Australia, whose political and regulatory environments and compliance regimes differ from those in the United States.</w:t>
      </w:r>
    </w:p>
    <w:p>
      <w:pPr>
        <w:spacing w:after="0" w:line="177" w:lineRule="exact"/>
        <w:rPr>
          <w:rFonts w:ascii="Arial" w:cs="Arial" w:eastAsia="Arial" w:hAnsi="Arial"/>
          <w:sz w:val="15"/>
          <w:szCs w:val="15"/>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All of our major Canadian lodges are located on land subject to leases; if we are unable to renew a lease, we could be materially and adversely affected.</w:t>
      </w:r>
    </w:p>
    <w:p>
      <w:pPr>
        <w:spacing w:after="0" w:line="177" w:lineRule="exact"/>
        <w:rPr>
          <w:rFonts w:ascii="Arial" w:cs="Arial" w:eastAsia="Arial" w:hAnsi="Arial"/>
          <w:sz w:val="15"/>
          <w:szCs w:val="15"/>
          <w:color w:val="auto"/>
        </w:rPr>
      </w:pPr>
    </w:p>
    <w:p>
      <w:pPr>
        <w:ind w:left="880" w:right="20" w:hanging="523"/>
        <w:spacing w:after="0" w:line="259" w:lineRule="auto"/>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52" w:lineRule="exact"/>
        <w:rPr>
          <w:rFonts w:ascii="Arial" w:cs="Arial" w:eastAsia="Arial" w:hAnsi="Arial"/>
          <w:sz w:val="15"/>
          <w:szCs w:val="15"/>
          <w:color w:val="auto"/>
        </w:rPr>
      </w:pPr>
    </w:p>
    <w:p>
      <w:pPr>
        <w:ind w:left="880" w:hanging="523"/>
        <w:spacing w:after="0"/>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We will incur incremental U.S. income taxes if we elect to repatriate our foreign earnings.</w:t>
      </w:r>
    </w:p>
    <w:p>
      <w:pPr>
        <w:spacing w:after="0" w:line="177" w:lineRule="exact"/>
        <w:rPr>
          <w:rFonts w:ascii="Arial" w:cs="Arial" w:eastAsia="Arial" w:hAnsi="Arial"/>
          <w:sz w:val="15"/>
          <w:szCs w:val="15"/>
          <w:color w:val="auto"/>
        </w:rPr>
      </w:pPr>
    </w:p>
    <w:p>
      <w:pPr>
        <w:ind w:left="880" w:right="200" w:hanging="523"/>
        <w:spacing w:after="0" w:line="259" w:lineRule="auto"/>
        <w:tabs>
          <w:tab w:leader="none" w:pos="8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Development of permanent infrastructure in the Canadian oil sands region, regions of Australia or various U.S. locations where we locate our assets could negatively impact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Related to the Spin-Off</w:t>
      </w:r>
    </w:p>
    <w:p>
      <w:pPr>
        <w:spacing w:after="0" w:line="177" w:lineRule="exact"/>
        <w:rPr>
          <w:sz w:val="20"/>
          <w:szCs w:val="20"/>
          <w:color w:val="auto"/>
        </w:rPr>
      </w:pPr>
    </w:p>
    <w:p>
      <w:pPr>
        <w:ind w:left="880" w:hanging="523"/>
        <w:spacing w:after="0"/>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We may not realize the potential benefits from our separation from Oil States.</w:t>
      </w:r>
    </w:p>
    <w:p>
      <w:pPr>
        <w:spacing w:after="0" w:line="177" w:lineRule="exact"/>
        <w:rPr>
          <w:rFonts w:ascii="Arial" w:cs="Arial" w:eastAsia="Arial" w:hAnsi="Arial"/>
          <w:sz w:val="15"/>
          <w:szCs w:val="15"/>
          <w:color w:val="auto"/>
        </w:rPr>
      </w:pPr>
    </w:p>
    <w:p>
      <w:pPr>
        <w:ind w:left="880" w:hanging="523"/>
        <w:spacing w:after="0"/>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The combined value of Oil States and Civeo shares after the spin-off may not equal or exceed the value of Oil States shares prior to the spin-off.</w:t>
      </w:r>
    </w:p>
    <w:p>
      <w:pPr>
        <w:spacing w:after="0" w:line="177" w:lineRule="exact"/>
        <w:rPr>
          <w:rFonts w:ascii="Arial" w:cs="Arial" w:eastAsia="Arial" w:hAnsi="Arial"/>
          <w:sz w:val="15"/>
          <w:szCs w:val="15"/>
          <w:color w:val="auto"/>
        </w:rPr>
      </w:pPr>
    </w:p>
    <w:p>
      <w:pPr>
        <w:ind w:left="880" w:hanging="523"/>
        <w:spacing w:after="0"/>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A large number of our shares are or will be eligible for future sale, which may cause the market price for our common stock to decline.</w:t>
      </w:r>
    </w:p>
    <w:p>
      <w:pPr>
        <w:spacing w:after="0" w:line="177" w:lineRule="exact"/>
        <w:rPr>
          <w:rFonts w:ascii="Arial" w:cs="Arial" w:eastAsia="Arial" w:hAnsi="Arial"/>
          <w:sz w:val="15"/>
          <w:szCs w:val="15"/>
          <w:color w:val="auto"/>
        </w:rPr>
      </w:pPr>
    </w:p>
    <w:p>
      <w:pPr>
        <w:ind w:left="880" w:right="180" w:hanging="523"/>
        <w:spacing w:after="0" w:line="294" w:lineRule="auto"/>
        <w:tabs>
          <w:tab w:leader="none" w:pos="88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Because significant amounts of our common stock are held by oilfield services and other stock indices there is the possibility that our shareholder base will change following the spin-off. If significant amounts of our common stock are sold in the open market, any such shares sold may not meet with offsetting new demand.</w:t>
      </w:r>
    </w:p>
    <w:p>
      <w:pPr>
        <w:spacing w:after="0" w:line="130" w:lineRule="exact"/>
        <w:rPr>
          <w:rFonts w:ascii="Arial" w:cs="Arial" w:eastAsia="Arial" w:hAnsi="Arial"/>
          <w:sz w:val="14"/>
          <w:szCs w:val="14"/>
          <w:color w:val="auto"/>
        </w:rPr>
      </w:pPr>
    </w:p>
    <w:p>
      <w:pPr>
        <w:ind w:left="880" w:right="180" w:hanging="523"/>
        <w:spacing w:after="0" w:line="259" w:lineRule="auto"/>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Our historical combined and pro forma financial information may not be representative of the results we would have achieved as a stand-alone public company and may not be a reliable indicator of our future results.</w:t>
      </w:r>
    </w:p>
    <w:p>
      <w:pPr>
        <w:spacing w:after="0" w:line="152" w:lineRule="exact"/>
        <w:rPr>
          <w:rFonts w:ascii="Arial" w:cs="Arial" w:eastAsia="Arial" w:hAnsi="Arial"/>
          <w:sz w:val="15"/>
          <w:szCs w:val="15"/>
          <w:color w:val="auto"/>
        </w:rPr>
      </w:pPr>
    </w:p>
    <w:p>
      <w:pPr>
        <w:ind w:left="880" w:hanging="523"/>
        <w:spacing w:after="0"/>
        <w:tabs>
          <w:tab w:leader="none" w:pos="88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Our costs will increase as a result of operating as a public company, and our management will be required to devote substantial time to complying with public company regulations.</w:t>
      </w:r>
    </w:p>
    <w:p>
      <w:pPr>
        <w:spacing w:after="0" w:line="211" w:lineRule="exact"/>
        <w:rPr>
          <w:rFonts w:ascii="Arial" w:cs="Arial" w:eastAsia="Arial" w:hAnsi="Arial"/>
          <w:sz w:val="12"/>
          <w:szCs w:val="12"/>
          <w:color w:val="auto"/>
        </w:rPr>
      </w:pPr>
    </w:p>
    <w:p>
      <w:pPr>
        <w:ind w:left="880" w:right="40" w:hanging="523"/>
        <w:spacing w:after="0" w:line="251" w:lineRule="auto"/>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58" w:lineRule="exact"/>
        <w:rPr>
          <w:rFonts w:ascii="Arial" w:cs="Arial" w:eastAsia="Arial" w:hAnsi="Arial"/>
          <w:sz w:val="15"/>
          <w:szCs w:val="15"/>
          <w:color w:val="auto"/>
        </w:rPr>
      </w:pPr>
    </w:p>
    <w:p>
      <w:pPr>
        <w:ind w:left="880" w:hanging="523"/>
        <w:spacing w:after="0"/>
        <w:tabs>
          <w:tab w:leader="none" w:pos="8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We potentially could have received better terms from unaffiliated third parties than the terms we receive in our agreements with Oil States.</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80"/>
          </w:cols>
          <w:pgMar w:left="220" w:top="496" w:right="299" w:bottom="1440" w:gutter="0" w:footer="0" w:header="0"/>
        </w:sectPr>
      </w:pPr>
    </w:p>
    <w:bookmarkStart w:id="234" w:name="page235"/>
    <w:bookmarkEnd w:id="234"/>
    <w:p>
      <w:pPr>
        <w:ind w:left="880" w:hanging="523"/>
        <w:spacing w:after="0"/>
        <w:tabs>
          <w:tab w:leader="none" w:pos="88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We may increase our debt or raise additional capital in the future, which could affect our financial condition, may decrease our profitability or could dilute our shareholders.</w:t>
      </w:r>
    </w:p>
    <w:p>
      <w:pPr>
        <w:spacing w:after="0" w:line="188" w:lineRule="exact"/>
        <w:rPr>
          <w:rFonts w:ascii="Arial" w:cs="Arial" w:eastAsia="Arial" w:hAnsi="Arial"/>
          <w:sz w:val="14"/>
          <w:szCs w:val="14"/>
          <w:color w:val="auto"/>
        </w:rPr>
      </w:pPr>
    </w:p>
    <w:p>
      <w:pPr>
        <w:ind w:left="880" w:hanging="523"/>
        <w:spacing w:after="0" w:line="259" w:lineRule="auto"/>
        <w:tabs>
          <w:tab w:leader="none" w:pos="88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Our tax sharing agreement with Oil States may limit our ability to take certain actions, including strategic transactions, and may require us to indemnify Oil States for significant tax liabilities.</w:t>
      </w:r>
    </w:p>
    <w:p>
      <w:pPr>
        <w:spacing w:after="0" w:line="196" w:lineRule="exact"/>
        <w:rPr>
          <w:rFonts w:ascii="Arial" w:cs="Arial" w:eastAsia="Arial" w:hAnsi="Arial"/>
          <w:sz w:val="15"/>
          <w:szCs w:val="15"/>
          <w:color w:val="auto"/>
        </w:rPr>
      </w:pPr>
    </w:p>
    <w:p>
      <w:pPr>
        <w:ind w:left="880" w:hanging="523"/>
        <w:spacing w:after="0"/>
        <w:tabs>
          <w:tab w:leader="none" w:pos="88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The transaction agreements limit our ability to take certain actions, including certain strategic transactions, if we do not remove Oil States as a party under certain of our contracts.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Related to our Common Stock</w:t>
      </w:r>
    </w:p>
    <w:p>
      <w:pPr>
        <w:spacing w:after="0" w:line="177" w:lineRule="exact"/>
        <w:rPr>
          <w:sz w:val="20"/>
          <w:szCs w:val="20"/>
          <w:color w:val="auto"/>
        </w:rPr>
      </w:pPr>
    </w:p>
    <w:p>
      <w:pPr>
        <w:ind w:left="880" w:hanging="523"/>
        <w:spacing w:after="0"/>
        <w:tabs>
          <w:tab w:leader="none" w:pos="8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No market currently exists for our common stock. We cannot assure you that an active trading market will develop for our common stock.</w:t>
      </w:r>
    </w:p>
    <w:p>
      <w:pPr>
        <w:spacing w:after="0" w:line="177" w:lineRule="exact"/>
        <w:rPr>
          <w:rFonts w:ascii="Arial" w:cs="Arial" w:eastAsia="Arial" w:hAnsi="Arial"/>
          <w:sz w:val="15"/>
          <w:szCs w:val="15"/>
          <w:color w:val="auto"/>
        </w:rPr>
      </w:pPr>
    </w:p>
    <w:p>
      <w:pPr>
        <w:ind w:left="880" w:right="180" w:hanging="523"/>
        <w:spacing w:after="0" w:line="259" w:lineRule="auto"/>
        <w:tabs>
          <w:tab w:leader="none" w:pos="8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market price and trading volume of our common stock may be volatile and you may not be able to resell your shares at or above the initial market price of our common stock following the spin-off.</w:t>
      </w:r>
    </w:p>
    <w:p>
      <w:pPr>
        <w:spacing w:after="0" w:line="152" w:lineRule="exact"/>
        <w:rPr>
          <w:rFonts w:ascii="Arial" w:cs="Arial" w:eastAsia="Arial" w:hAnsi="Arial"/>
          <w:sz w:val="15"/>
          <w:szCs w:val="15"/>
          <w:color w:val="auto"/>
        </w:rPr>
      </w:pPr>
    </w:p>
    <w:p>
      <w:pPr>
        <w:ind w:left="880" w:hanging="523"/>
        <w:spacing w:after="0"/>
        <w:tabs>
          <w:tab w:leader="none" w:pos="8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Future sales, or the perception of future sales, of our common stock may depress the price of our common stock.</w:t>
      </w:r>
    </w:p>
    <w:p>
      <w:pPr>
        <w:spacing w:after="0" w:line="177" w:lineRule="exact"/>
        <w:rPr>
          <w:rFonts w:ascii="Arial" w:cs="Arial" w:eastAsia="Arial" w:hAnsi="Arial"/>
          <w:sz w:val="15"/>
          <w:szCs w:val="15"/>
          <w:color w:val="auto"/>
        </w:rPr>
      </w:pPr>
    </w:p>
    <w:p>
      <w:pPr>
        <w:ind w:left="880" w:right="20" w:hanging="523"/>
        <w:spacing w:after="0" w:line="259" w:lineRule="auto"/>
        <w:tabs>
          <w:tab w:leader="none" w:pos="8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52" w:lineRule="exact"/>
        <w:rPr>
          <w:rFonts w:ascii="Arial" w:cs="Arial" w:eastAsia="Arial" w:hAnsi="Arial"/>
          <w:sz w:val="15"/>
          <w:szCs w:val="15"/>
          <w:color w:val="auto"/>
        </w:rPr>
      </w:pPr>
    </w:p>
    <w:p>
      <w:pPr>
        <w:ind w:left="880" w:hanging="523"/>
        <w:spacing w:after="0"/>
        <w:tabs>
          <w:tab w:leader="none" w:pos="8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We cannot assure you that we will pay dividends on our common stock, and our indebtedness could limit our ability to pay dividends on our common stock.</w:t>
      </w:r>
    </w:p>
    <w:p>
      <w:pPr>
        <w:spacing w:after="0" w:line="177" w:lineRule="exact"/>
        <w:rPr>
          <w:rFonts w:ascii="Arial" w:cs="Arial" w:eastAsia="Arial" w:hAnsi="Arial"/>
          <w:sz w:val="15"/>
          <w:szCs w:val="15"/>
          <w:color w:val="auto"/>
        </w:rPr>
      </w:pPr>
    </w:p>
    <w:p>
      <w:pPr>
        <w:ind w:left="880" w:right="100" w:hanging="523"/>
        <w:spacing w:after="0" w:line="294" w:lineRule="auto"/>
        <w:tabs>
          <w:tab w:leader="none" w:pos="88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5"/>
          <w:szCs w:val="15"/>
          <w:b w:val="1"/>
          <w:bCs w:val="1"/>
          <w:color w:val="auto"/>
        </w:rPr>
        <w:t>SUMMARY COMBINED HISTORICAL FINANCIAL DATA</w:t>
      </w:r>
    </w:p>
    <w:p>
      <w:pPr>
        <w:spacing w:after="0" w:line="181" w:lineRule="exact"/>
        <w:rPr>
          <w:sz w:val="20"/>
          <w:szCs w:val="20"/>
          <w:color w:val="auto"/>
        </w:rPr>
      </w:pPr>
    </w:p>
    <w:p>
      <w:pPr>
        <w:ind w:right="20" w:firstLine="262"/>
        <w:spacing w:after="0" w:line="330" w:lineRule="auto"/>
        <w:rPr>
          <w:sz w:val="20"/>
          <w:szCs w:val="20"/>
          <w:color w:val="auto"/>
        </w:rPr>
      </w:pPr>
      <w:r>
        <w:rPr>
          <w:rFonts w:ascii="Arial" w:cs="Arial" w:eastAsia="Arial" w:hAnsi="Arial"/>
          <w:sz w:val="12"/>
          <w:szCs w:val="12"/>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statements of income and cash flows for each of the years ended December 31, 2013, 2012 and 2011 are derived from our audited combined financial statements included elsewhere in this information statement. The balance sheet data as of December 31, 2011 is derived from our audited combined financial statements not included in this information statement.</w:t>
      </w:r>
    </w:p>
    <w:p>
      <w:pPr>
        <w:spacing w:after="0" w:line="115" w:lineRule="exact"/>
        <w:rPr>
          <w:sz w:val="20"/>
          <w:szCs w:val="20"/>
          <w:color w:val="auto"/>
        </w:rPr>
      </w:pPr>
    </w:p>
    <w:p>
      <w:pPr>
        <w:ind w:right="160" w:firstLine="262"/>
        <w:spacing w:after="0" w:line="248" w:lineRule="auto"/>
        <w:rPr>
          <w:sz w:val="20"/>
          <w:szCs w:val="20"/>
          <w:color w:val="auto"/>
        </w:rPr>
      </w:pPr>
      <w:r>
        <w:rPr>
          <w:rFonts w:ascii="Arial" w:cs="Arial" w:eastAsia="Arial" w:hAnsi="Arial"/>
          <w:sz w:val="15"/>
          <w:szCs w:val="15"/>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left="147"/>
              <w:spacing w:after="0"/>
              <w:rPr>
                <w:sz w:val="20"/>
                <w:szCs w:val="20"/>
                <w:color w:val="auto"/>
              </w:rPr>
            </w:pPr>
            <w:r>
              <w:rPr>
                <w:rFonts w:ascii="Arial" w:cs="Arial" w:eastAsia="Arial" w:hAnsi="Arial"/>
                <w:sz w:val="15"/>
                <w:szCs w:val="15"/>
                <w:b w:val="1"/>
                <w:bCs w:val="1"/>
                <w:color w:val="auto"/>
                <w:w w:val="87"/>
              </w:rPr>
              <w:t>For the 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20" w:type="dxa"/>
            <w:vAlign w:val="bottom"/>
            <w:gridSpan w:val="10"/>
          </w:tcPr>
          <w:p>
            <w:pPr>
              <w:spacing w:after="0" w:line="166" w:lineRule="exact"/>
              <w:rPr>
                <w:sz w:val="20"/>
                <w:szCs w:val="20"/>
                <w:color w:val="auto"/>
              </w:rPr>
            </w:pPr>
            <w:r>
              <w:rPr>
                <w:rFonts w:ascii="Arial" w:cs="Arial" w:eastAsia="Arial" w:hAnsi="Arial"/>
                <w:sz w:val="15"/>
                <w:szCs w:val="15"/>
                <w:b w:val="1"/>
                <w:bCs w:val="1"/>
                <w:color w:val="auto"/>
                <w:w w:val="88"/>
              </w:rPr>
              <w:t>(In thousands, except for average available lodges/villages rooms and RevPAR)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Revenues</w:t>
            </w:r>
          </w:p>
        </w:tc>
        <w:tc>
          <w:tcPr>
            <w:tcW w:w="16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1,041,104</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1,108,875</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864,701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259,456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352,929</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242,159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Net income attributable to Accommodations Business of Oil States International, Inc.</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181,876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244,721</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168,505</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b w:val="1"/>
                <w:bCs w:val="1"/>
                <w:color w:val="auto"/>
              </w:rPr>
              <w:t>Other Financial Data:</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line="175" w:lineRule="exact"/>
              <w:rPr>
                <w:sz w:val="20"/>
                <w:szCs w:val="20"/>
                <w:color w:val="auto"/>
              </w:rPr>
            </w:pPr>
            <w:r>
              <w:rPr>
                <w:rFonts w:ascii="Arial" w:cs="Arial" w:eastAsia="Arial" w:hAnsi="Arial"/>
                <w:sz w:val="13"/>
                <w:szCs w:val="13"/>
                <w:color w:val="auto"/>
              </w:rPr>
              <w:t xml:space="preserve">EBITDA </w:t>
            </w:r>
            <w:r>
              <w:rPr>
                <w:rFonts w:ascii="Arial" w:cs="Arial" w:eastAsia="Arial" w:hAnsi="Arial"/>
                <w:sz w:val="20"/>
                <w:szCs w:val="20"/>
                <w:color w:val="auto"/>
                <w:vertAlign w:val="superscript"/>
              </w:rPr>
              <w:t>(1)</w:t>
            </w:r>
          </w:p>
        </w:tc>
        <w:tc>
          <w:tcPr>
            <w:tcW w:w="16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428,982</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494,193</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354,341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Capital expenditures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291,694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314,047</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348,504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Lodge/village revenue</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804,201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823,893</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609,729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Average available lodge/villages rooms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20,466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18,421</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14,997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line="175" w:lineRule="exact"/>
              <w:rPr>
                <w:sz w:val="20"/>
                <w:szCs w:val="20"/>
                <w:color w:val="auto"/>
              </w:rPr>
            </w:pPr>
            <w:r>
              <w:rPr>
                <w:rFonts w:ascii="Arial" w:cs="Arial" w:eastAsia="Arial" w:hAnsi="Arial"/>
                <w:sz w:val="13"/>
                <w:szCs w:val="13"/>
                <w:color w:val="auto"/>
              </w:rPr>
              <w:t xml:space="preserve">RevPAR </w:t>
            </w:r>
            <w:r>
              <w:rPr>
                <w:rFonts w:ascii="Arial" w:cs="Arial" w:eastAsia="Arial" w:hAnsi="Arial"/>
                <w:sz w:val="20"/>
                <w:szCs w:val="20"/>
                <w:color w:val="auto"/>
                <w:vertAlign w:val="superscript"/>
              </w:rPr>
              <w:t>(2)</w:t>
            </w:r>
          </w:p>
        </w:tc>
        <w:tc>
          <w:tcPr>
            <w:tcW w:w="16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123</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b w:val="1"/>
                <w:bCs w:val="1"/>
                <w:color w:val="auto"/>
                <w:w w:val="87"/>
              </w:rPr>
              <w:t>As of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67"/>
              <w:spacing w:after="0" w:line="166" w:lineRule="exact"/>
              <w:rPr>
                <w:sz w:val="20"/>
                <w:szCs w:val="20"/>
                <w:color w:val="auto"/>
              </w:rPr>
            </w:pPr>
            <w:r>
              <w:rPr>
                <w:rFonts w:ascii="Arial" w:cs="Arial" w:eastAsia="Arial" w:hAnsi="Arial"/>
                <w:sz w:val="15"/>
                <w:szCs w:val="15"/>
                <w:b w:val="1"/>
                <w:bCs w:val="1"/>
                <w:color w:val="auto"/>
                <w:w w:val="87"/>
              </w:rPr>
              <w:t>(In 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Total assets</w:t>
            </w:r>
          </w:p>
        </w:tc>
        <w:tc>
          <w:tcPr>
            <w:tcW w:w="162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2,127,050</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2,132,925</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1,799,894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5"/>
                <w:szCs w:val="15"/>
                <w:color w:val="auto"/>
              </w:rPr>
              <w:t>Long-term debt to affiliates</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358,316</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350,530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5"/>
                <w:szCs w:val="15"/>
                <w:color w:val="auto"/>
              </w:rPr>
              <w:t>Long-term debt to third-parties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123,497</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126,972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834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21" w:lineRule="exact"/>
        <w:rPr>
          <w:sz w:val="20"/>
          <w:szCs w:val="20"/>
          <w:color w:val="auto"/>
        </w:rPr>
      </w:pPr>
    </w:p>
    <w:p>
      <w:pPr>
        <w:ind w:left="260" w:right="80" w:hanging="253"/>
        <w:spacing w:after="0" w:line="266" w:lineRule="auto"/>
        <w:tabs>
          <w:tab w:leader="none" w:pos="26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The term EBITDA as defined consists of net income plus net interest expense,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36" w:name="page237"/>
    <w:bookmarkEnd w:id="236"/>
    <w:p>
      <w:pPr>
        <w:ind w:left="253"/>
        <w:spacing w:after="0"/>
        <w:rPr>
          <w:sz w:val="20"/>
          <w:szCs w:val="20"/>
          <w:color w:val="auto"/>
        </w:rPr>
      </w:pPr>
      <w:r>
        <w:rPr>
          <w:rFonts w:ascii="Arial" w:cs="Arial" w:eastAsia="Arial" w:hAnsi="Arial"/>
          <w:sz w:val="15"/>
          <w:szCs w:val="15"/>
          <w:color w:val="auto"/>
        </w:rPr>
        <w:t>The following table reconciles EBITDA as defined with our net income, as derived from our financial information (in thousands):</w:t>
      </w:r>
    </w:p>
    <w:p>
      <w:pPr>
        <w:spacing w:after="0" w:line="173" w:lineRule="exact"/>
        <w:rPr>
          <w:sz w:val="20"/>
          <w:szCs w:val="20"/>
          <w:color w:val="auto"/>
        </w:rPr>
      </w:pPr>
    </w:p>
    <w:tbl>
      <w:tblPr>
        <w:tblLayout w:type="fixed"/>
        <w:tblInd w:w="1153"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5"/>
                <w:szCs w:val="15"/>
                <w:b w:val="1"/>
                <w:bCs w:val="1"/>
                <w:color w:val="auto"/>
              </w:rPr>
              <w:t>For the year ended 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8"/>
              <w:spacing w:after="0" w:line="168" w:lineRule="exact"/>
              <w:rPr>
                <w:sz w:val="20"/>
                <w:szCs w:val="20"/>
                <w:color w:val="auto"/>
              </w:rPr>
            </w:pPr>
            <w:r>
              <w:rPr>
                <w:rFonts w:ascii="Arial" w:cs="Arial" w:eastAsia="Arial" w:hAnsi="Arial"/>
                <w:sz w:val="15"/>
                <w:szCs w:val="15"/>
                <w:b w:val="1"/>
                <w:bCs w:val="1"/>
                <w:color w:val="auto"/>
              </w:rPr>
              <w:t>2013</w:t>
            </w:r>
          </w:p>
        </w:tc>
        <w:tc>
          <w:tcPr>
            <w:tcW w:w="560" w:type="dxa"/>
            <w:vAlign w:val="bottom"/>
          </w:tcPr>
          <w:p>
            <w:pPr>
              <w:spacing w:after="0"/>
              <w:rPr>
                <w:sz w:val="14"/>
                <w:szCs w:val="14"/>
                <w:color w:val="auto"/>
              </w:rPr>
            </w:pPr>
          </w:p>
        </w:tc>
        <w:tc>
          <w:tcPr>
            <w:tcW w:w="1160" w:type="dxa"/>
            <w:vAlign w:val="bottom"/>
            <w:gridSpan w:val="2"/>
          </w:tcPr>
          <w:p>
            <w:pPr>
              <w:jc w:val="right"/>
              <w:ind w:right="7"/>
              <w:spacing w:after="0" w:line="168" w:lineRule="exact"/>
              <w:rPr>
                <w:sz w:val="20"/>
                <w:szCs w:val="20"/>
                <w:color w:val="auto"/>
              </w:rPr>
            </w:pPr>
            <w:r>
              <w:rPr>
                <w:rFonts w:ascii="Arial" w:cs="Arial" w:eastAsia="Arial" w:hAnsi="Arial"/>
                <w:sz w:val="15"/>
                <w:szCs w:val="15"/>
                <w:b w:val="1"/>
                <w:bCs w:val="1"/>
                <w:color w:val="auto"/>
              </w:rPr>
              <w:t>2012</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76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w w:val="94"/>
              </w:rPr>
              <w:t>Net income attributable to Accommodations Business of Oil</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States International, Inc.</w:t>
            </w:r>
          </w:p>
        </w:tc>
        <w:tc>
          <w:tcPr>
            <w:tcW w:w="1280" w:type="dxa"/>
            <w:vAlign w:val="bottom"/>
            <w:gridSpan w:val="2"/>
            <w:shd w:val="clear" w:color="auto" w:fill="CCEEFF"/>
          </w:tcPr>
          <w:p>
            <w:pPr>
              <w:jc w:val="right"/>
              <w:ind w:right="898"/>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181,876</w:t>
            </w:r>
          </w:p>
        </w:tc>
        <w:tc>
          <w:tcPr>
            <w:tcW w:w="1160" w:type="dxa"/>
            <w:vAlign w:val="bottom"/>
            <w:gridSpan w:val="2"/>
            <w:shd w:val="clear" w:color="auto" w:fill="CCEEFF"/>
          </w:tcPr>
          <w:p>
            <w:pPr>
              <w:jc w:val="right"/>
              <w:ind w:right="847"/>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244,721</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168,505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Depreciation and amortization expense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167,213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139,047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110,708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23,837</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26,159</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Income tax provision</w:t>
            </w: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56,056</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84,266</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98"/>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428,982</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494,193</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354,341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EBITDA, as defined</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53" w:hanging="253"/>
        <w:spacing w:after="0" w:line="259" w:lineRule="auto"/>
        <w:tabs>
          <w:tab w:leader="none" w:pos="253" w:val="left"/>
        </w:tabs>
        <w:numPr>
          <w:ilvl w:val="0"/>
          <w:numId w:val="238"/>
        </w:numPr>
        <w:rPr>
          <w:rFonts w:ascii="Arial" w:cs="Arial" w:eastAsia="Arial" w:hAnsi="Arial"/>
          <w:sz w:val="15"/>
          <w:szCs w:val="15"/>
          <w:color w:val="auto"/>
        </w:rPr>
      </w:pPr>
      <w:r>
        <w:rPr>
          <w:rFonts w:ascii="Arial" w:cs="Arial" w:eastAsia="Arial" w:hAnsi="Arial"/>
          <w:sz w:val="15"/>
          <w:szCs w:val="15"/>
          <w:color w:val="auto"/>
        </w:rPr>
        <w:t>RevPAR is defined as lodge/village revenue divided by the product of (a) average available rooms and (b) days in the period. An available room is defined as a calendar day during which the room is available for occupancy.</w:t>
      </w:r>
    </w:p>
    <w:p>
      <w:pPr>
        <w:spacing w:after="0" w:line="349" w:lineRule="exact"/>
        <w:rPr>
          <w:sz w:val="20"/>
          <w:szCs w:val="20"/>
          <w:color w:val="auto"/>
        </w:rPr>
      </w:pPr>
    </w:p>
    <w:p>
      <w:pPr>
        <w:jc w:val="center"/>
        <w:ind w:right="-112"/>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336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33"/>
          </w:cols>
          <w:pgMar w:left="227" w:top="501" w:right="339" w:bottom="1440" w:gutter="0" w:footer="0" w:header="0"/>
        </w:sectPr>
      </w:pPr>
    </w:p>
    <w:bookmarkStart w:id="237" w:name="page238"/>
    <w:bookmarkEnd w:id="237"/>
    <w:p>
      <w:pPr>
        <w:jc w:val="center"/>
        <w:ind w:right="-119"/>
        <w:spacing w:after="0"/>
        <w:rPr>
          <w:sz w:val="20"/>
          <w:szCs w:val="20"/>
          <w:color w:val="auto"/>
        </w:rPr>
      </w:pPr>
      <w:r>
        <w:rPr>
          <w:rFonts w:ascii="Arial" w:cs="Arial" w:eastAsia="Arial" w:hAnsi="Arial"/>
          <w:sz w:val="15"/>
          <w:szCs w:val="15"/>
          <w:b w:val="1"/>
          <w:bCs w:val="1"/>
          <w:color w:val="auto"/>
        </w:rPr>
        <w:t>RISK FACTORS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You should carefully consider the information included in this information statement, including the matters addressed under “Forward-Looking Statements,” and the following risks.</w:t>
      </w:r>
    </w:p>
    <w:p>
      <w:pPr>
        <w:spacing w:after="0" w:line="189"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Decreased customer expenditure levels will adversely affect our results of operations.</w:t>
      </w:r>
    </w:p>
    <w:p>
      <w:pPr>
        <w:spacing w:after="0" w:line="177" w:lineRule="exact"/>
        <w:rPr>
          <w:sz w:val="20"/>
          <w:szCs w:val="20"/>
          <w:color w:val="auto"/>
        </w:rPr>
      </w:pPr>
    </w:p>
    <w:p>
      <w:pPr>
        <w:ind w:right="20" w:firstLine="262"/>
        <w:spacing w:after="0" w:line="317" w:lineRule="auto"/>
        <w:rPr>
          <w:sz w:val="20"/>
          <w:szCs w:val="20"/>
          <w:color w:val="auto"/>
        </w:rPr>
      </w:pPr>
      <w:r>
        <w:rPr>
          <w:rFonts w:ascii="Arial" w:cs="Arial" w:eastAsia="Arial" w:hAnsi="Arial"/>
          <w:sz w:val="12"/>
          <w:szCs w:val="12"/>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123" w:lineRule="exact"/>
        <w:rPr>
          <w:sz w:val="20"/>
          <w:szCs w:val="20"/>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level of activity and developments in the Canadian oil sands;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level of demand, particularly from China, for coal and other natural resources produced in Australia;</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availability of attractive oil and natural gas field prospects, which may be affected by governmental actions or environmental activists which may restrict development;</w:t>
      </w:r>
    </w:p>
    <w:p>
      <w:pPr>
        <w:spacing w:after="0" w:line="188" w:lineRule="exact"/>
        <w:rPr>
          <w:rFonts w:ascii="Arial" w:cs="Arial" w:eastAsia="Arial" w:hAnsi="Arial"/>
          <w:sz w:val="14"/>
          <w:szCs w:val="14"/>
          <w:color w:val="auto"/>
        </w:rPr>
      </w:pPr>
    </w:p>
    <w:p>
      <w:pPr>
        <w:ind w:left="540" w:hanging="270"/>
        <w:spacing w:after="0"/>
        <w:tabs>
          <w:tab w:leader="none" w:pos="5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availability of transportation infrastructure for oil, natural gas and coal, refining capacity and shifts in end-customer preferences toward fuel efficiency and the use of natural gas;</w:t>
      </w:r>
    </w:p>
    <w:p>
      <w:pPr>
        <w:spacing w:after="0" w:line="211" w:lineRule="exact"/>
        <w:rPr>
          <w:rFonts w:ascii="Arial" w:cs="Arial" w:eastAsia="Arial" w:hAnsi="Arial"/>
          <w:sz w:val="12"/>
          <w:szCs w:val="12"/>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global weather conditions and natural disasters;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worldwide economic activity including growth in developing countries, such as China and India;</w:t>
      </w:r>
    </w:p>
    <w:p>
      <w:pPr>
        <w:spacing w:after="0" w:line="177" w:lineRule="exact"/>
        <w:rPr>
          <w:rFonts w:ascii="Arial" w:cs="Arial" w:eastAsia="Arial" w:hAnsi="Arial"/>
          <w:sz w:val="15"/>
          <w:szCs w:val="15"/>
          <w:color w:val="auto"/>
        </w:rPr>
      </w:pPr>
    </w:p>
    <w:p>
      <w:pPr>
        <w:ind w:left="540" w:right="60" w:hanging="270"/>
        <w:spacing w:after="0" w:line="294" w:lineRule="auto"/>
        <w:tabs>
          <w:tab w:leader="none" w:pos="54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30" w:lineRule="exact"/>
        <w:rPr>
          <w:rFonts w:ascii="Arial" w:cs="Arial" w:eastAsia="Arial" w:hAnsi="Arial"/>
          <w:sz w:val="14"/>
          <w:szCs w:val="14"/>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level of oil and gas production by non-OPEC countries;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rapid technological change and the timing and extent of energy resource development, including LNG or other alternative fuels;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environmental regulation;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domestic and foreign tax policies.</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40"/>
          </w:cols>
          <w:pgMar w:left="220" w:top="496" w:right="339" w:bottom="1440" w:gutter="0" w:footer="0" w:header="0"/>
        </w:sectPr>
      </w:pPr>
    </w:p>
    <w:bookmarkStart w:id="238" w:name="page239"/>
    <w:bookmarkEnd w:id="238"/>
    <w:p>
      <w:pPr>
        <w:ind w:right="400"/>
        <w:spacing w:after="0" w:line="259" w:lineRule="auto"/>
        <w:rPr>
          <w:sz w:val="20"/>
          <w:szCs w:val="20"/>
          <w:color w:val="auto"/>
        </w:rPr>
      </w:pPr>
      <w:r>
        <w:rPr>
          <w:rFonts w:ascii="Arial" w:cs="Arial" w:eastAsia="Arial" w:hAnsi="Arial"/>
          <w:sz w:val="15"/>
          <w:szCs w:val="15"/>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52" w:lineRule="exact"/>
        <w:rPr>
          <w:sz w:val="20"/>
          <w:szCs w:val="20"/>
          <w:color w:val="auto"/>
        </w:rPr>
      </w:pPr>
    </w:p>
    <w:p>
      <w:pPr>
        <w:ind w:right="20" w:firstLine="262"/>
        <w:spacing w:after="0" w:line="246" w:lineRule="auto"/>
        <w:rPr>
          <w:sz w:val="20"/>
          <w:szCs w:val="20"/>
          <w:color w:val="auto"/>
        </w:rPr>
      </w:pPr>
      <w:r>
        <w:rPr>
          <w:rFonts w:ascii="Arial" w:cs="Arial" w:eastAsia="Arial" w:hAnsi="Arial"/>
          <w:sz w:val="15"/>
          <w:szCs w:val="15"/>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163" w:lineRule="exact"/>
        <w:rPr>
          <w:sz w:val="20"/>
          <w:szCs w:val="20"/>
          <w:color w:val="auto"/>
        </w:rPr>
      </w:pPr>
    </w:p>
    <w:p>
      <w:pPr>
        <w:ind w:right="420" w:firstLine="262"/>
        <w:spacing w:after="0" w:line="311" w:lineRule="auto"/>
        <w:rPr>
          <w:sz w:val="20"/>
          <w:szCs w:val="20"/>
          <w:color w:val="auto"/>
        </w:rPr>
      </w:pPr>
      <w:r>
        <w:rPr>
          <w:rFonts w:ascii="Arial" w:cs="Arial" w:eastAsia="Arial" w:hAnsi="Arial"/>
          <w:sz w:val="12"/>
          <w:szCs w:val="12"/>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rate fluctuations could adversely affect our U.S. reported results of operations and financial position and could impact our ability to pay dividends.</w:t>
      </w:r>
    </w:p>
    <w:p>
      <w:pPr>
        <w:spacing w:after="0" w:line="177"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For the year ended December 31, 2013, 93% of our revenues originated from subsidiaries outside of the U.S. and were denominated in the Canadian dollar and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flows into U.S. dollars in order to pay our dividends.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retain our current customers, renew our existing customer contracts and obtain new customer contracts could adversely affect our business.</w:t>
      </w:r>
    </w:p>
    <w:p>
      <w:pPr>
        <w:spacing w:after="0" w:line="177" w:lineRule="exact"/>
        <w:rPr>
          <w:sz w:val="20"/>
          <w:szCs w:val="20"/>
          <w:color w:val="auto"/>
        </w:rPr>
      </w:pPr>
    </w:p>
    <w:p>
      <w:pPr>
        <w:ind w:right="180" w:firstLine="262"/>
        <w:spacing w:after="0" w:line="320" w:lineRule="auto"/>
        <w:rPr>
          <w:sz w:val="20"/>
          <w:szCs w:val="20"/>
          <w:color w:val="auto"/>
        </w:rPr>
      </w:pPr>
      <w:r>
        <w:rPr>
          <w:rFonts w:ascii="Arial" w:cs="Arial" w:eastAsia="Arial" w:hAnsi="Arial"/>
          <w:sz w:val="12"/>
          <w:szCs w:val="12"/>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p>
    <w:p>
      <w:pPr>
        <w:spacing w:after="0" w:line="177"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A significant portion of our revenue is attributable to operations in Canada and Australia. These activities accounted for over 90% of our consolidated revenue in the year ended December 31, 2013. Risks associated with our operations in Canada and Australia include, but are not limited to:</w:t>
      </w:r>
    </w:p>
    <w:p>
      <w:pPr>
        <w:spacing w:after="0" w:line="152" w:lineRule="exact"/>
        <w:rPr>
          <w:sz w:val="20"/>
          <w:szCs w:val="20"/>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foreign currency fluctuations;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foreign taxation;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the inability to repatriate earnings or capital in a tax efficient manner;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changing political conditions;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changing foreign and domestic monetary policies;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regional economic downturns;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expropriation, confiscation or nationalization of assets;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foreign exchange limitations.</w:t>
      </w:r>
    </w:p>
    <w:p>
      <w:pPr>
        <w:spacing w:after="0" w:line="177"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177" w:lineRule="exact"/>
        <w:rPr>
          <w:sz w:val="20"/>
          <w:szCs w:val="20"/>
          <w:color w:val="auto"/>
        </w:rPr>
      </w:pPr>
    </w:p>
    <w:p>
      <w:pPr>
        <w:jc w:val="both"/>
        <w:ind w:right="40" w:firstLine="262"/>
        <w:spacing w:after="0" w:line="309" w:lineRule="auto"/>
        <w:rPr>
          <w:sz w:val="20"/>
          <w:szCs w:val="20"/>
          <w:color w:val="auto"/>
        </w:rPr>
      </w:pPr>
      <w:r>
        <w:rPr>
          <w:rFonts w:ascii="Arial" w:cs="Arial" w:eastAsia="Arial" w:hAnsi="Arial"/>
          <w:sz w:val="12"/>
          <w:szCs w:val="12"/>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 In addition, if we were to lose the right to use a property due to non-renewal of the lease, we would be unable to derive income from such property, which could materially and adversely affect us.</w:t>
      </w:r>
    </w:p>
    <w:p>
      <w:pPr>
        <w:spacing w:after="0" w:line="145" w:lineRule="exact"/>
        <w:rPr>
          <w:sz w:val="20"/>
          <w:szCs w:val="20"/>
          <w:color w:val="auto"/>
        </w:rPr>
      </w:pPr>
    </w:p>
    <w:p>
      <w:pPr>
        <w:ind w:right="240"/>
        <w:spacing w:after="0" w:line="259" w:lineRule="auto"/>
        <w:rPr>
          <w:sz w:val="20"/>
          <w:szCs w:val="20"/>
          <w:color w:val="auto"/>
        </w:rPr>
      </w:pPr>
      <w:r>
        <w:rPr>
          <w:rFonts w:ascii="Arial" w:cs="Arial" w:eastAsia="Arial" w:hAnsi="Arial"/>
          <w:sz w:val="15"/>
          <w:szCs w:val="15"/>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52" w:lineRule="exact"/>
        <w:rPr>
          <w:sz w:val="20"/>
          <w:szCs w:val="20"/>
          <w:color w:val="auto"/>
        </w:rPr>
      </w:pPr>
    </w:p>
    <w:p>
      <w:pPr>
        <w:ind w:right="140" w:firstLine="262"/>
        <w:spacing w:after="0" w:line="330" w:lineRule="auto"/>
        <w:rPr>
          <w:sz w:val="20"/>
          <w:szCs w:val="20"/>
          <w:color w:val="auto"/>
        </w:rPr>
      </w:pPr>
      <w:r>
        <w:rPr>
          <w:rFonts w:ascii="Arial" w:cs="Arial" w:eastAsia="Arial" w:hAnsi="Arial"/>
          <w:sz w:val="12"/>
          <w:szCs w:val="12"/>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b w:val="1"/>
          <w:bCs w:val="1"/>
          <w:i w:val="1"/>
          <w:iCs w:val="1"/>
          <w:color w:val="auto"/>
        </w:rPr>
        <w:t>We will incur incremental U.S. income taxes if we elect to repatriate our foreign earnings.</w:t>
      </w:r>
    </w:p>
    <w:p>
      <w:pPr>
        <w:spacing w:after="0" w:line="177" w:lineRule="exact"/>
        <w:rPr>
          <w:sz w:val="20"/>
          <w:szCs w:val="20"/>
          <w:color w:val="auto"/>
        </w:rPr>
      </w:pPr>
    </w:p>
    <w:p>
      <w:pPr>
        <w:ind w:right="120" w:firstLine="262"/>
        <w:spacing w:after="0" w:line="343" w:lineRule="auto"/>
        <w:rPr>
          <w:sz w:val="20"/>
          <w:szCs w:val="20"/>
          <w:color w:val="auto"/>
        </w:rPr>
      </w:pPr>
      <w:r>
        <w:rPr>
          <w:rFonts w:ascii="Arial" w:cs="Arial" w:eastAsia="Arial" w:hAnsi="Arial"/>
          <w:sz w:val="12"/>
          <w:szCs w:val="12"/>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necessary in the future in order to fund dividends, allow for U.S. expansion or to repay debt.</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212" w:lineRule="exact"/>
        <w:rPr>
          <w:sz w:val="20"/>
          <w:szCs w:val="20"/>
          <w:color w:val="auto"/>
        </w:rPr>
      </w:pPr>
    </w:p>
    <w:p>
      <w:pPr>
        <w:ind w:right="300" w:firstLine="262"/>
        <w:spacing w:after="0" w:line="277" w:lineRule="auto"/>
        <w:rPr>
          <w:sz w:val="20"/>
          <w:szCs w:val="20"/>
          <w:color w:val="auto"/>
        </w:rPr>
      </w:pPr>
      <w:r>
        <w:rPr>
          <w:rFonts w:ascii="Arial" w:cs="Arial" w:eastAsia="Arial" w:hAnsi="Arial"/>
          <w:sz w:val="14"/>
          <w:szCs w:val="14"/>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5"/>
          <w:szCs w:val="15"/>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52" w:lineRule="exact"/>
        <w:rPr>
          <w:sz w:val="20"/>
          <w:szCs w:val="20"/>
          <w:color w:val="auto"/>
        </w:rPr>
      </w:pPr>
    </w:p>
    <w:p>
      <w:pPr>
        <w:ind w:right="40" w:firstLine="262"/>
        <w:spacing w:after="0" w:line="247" w:lineRule="auto"/>
        <w:rPr>
          <w:sz w:val="20"/>
          <w:szCs w:val="20"/>
          <w:color w:val="auto"/>
        </w:rPr>
      </w:pPr>
      <w:r>
        <w:rPr>
          <w:rFonts w:ascii="Arial" w:cs="Arial" w:eastAsia="Arial" w:hAnsi="Arial"/>
          <w:sz w:val="15"/>
          <w:szCs w:val="15"/>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62" w:lineRule="exact"/>
        <w:rPr>
          <w:sz w:val="20"/>
          <w:szCs w:val="20"/>
          <w:color w:val="auto"/>
        </w:rPr>
      </w:pPr>
    </w:p>
    <w:p>
      <w:pPr>
        <w:ind w:right="140" w:firstLine="262"/>
        <w:spacing w:after="0" w:line="266" w:lineRule="auto"/>
        <w:rPr>
          <w:sz w:val="20"/>
          <w:szCs w:val="20"/>
          <w:color w:val="auto"/>
        </w:rPr>
      </w:pPr>
      <w:r>
        <w:rPr>
          <w:rFonts w:ascii="Arial" w:cs="Arial" w:eastAsia="Arial" w:hAnsi="Arial"/>
          <w:sz w:val="14"/>
          <w:szCs w:val="14"/>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susceptible to seasonal earnings volatility due to adverse weather conditions in our regions of operations.</w:t>
      </w:r>
    </w:p>
    <w:p>
      <w:pPr>
        <w:spacing w:after="0" w:line="177" w:lineRule="exact"/>
        <w:rPr>
          <w:sz w:val="20"/>
          <w:szCs w:val="20"/>
          <w:color w:val="auto"/>
        </w:rPr>
      </w:pPr>
    </w:p>
    <w:p>
      <w:pPr>
        <w:ind w:firstLine="262"/>
        <w:spacing w:after="0" w:line="266" w:lineRule="auto"/>
        <w:rPr>
          <w:sz w:val="20"/>
          <w:szCs w:val="20"/>
          <w:color w:val="auto"/>
        </w:rPr>
      </w:pPr>
      <w:r>
        <w:rPr>
          <w:rFonts w:ascii="Arial" w:cs="Arial" w:eastAsia="Arial" w:hAnsi="Arial"/>
          <w:sz w:val="14"/>
          <w:szCs w:val="14"/>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241" w:name="page242"/>
    <w:bookmarkEnd w:id="241"/>
    <w:p>
      <w:pPr>
        <w:spacing w:after="0"/>
        <w:rPr>
          <w:sz w:val="20"/>
          <w:szCs w:val="20"/>
          <w:color w:val="auto"/>
        </w:rPr>
      </w:pPr>
      <w:r>
        <w:rPr>
          <w:rFonts w:ascii="Arial" w:cs="Arial" w:eastAsia="Arial" w:hAnsi="Arial"/>
          <w:sz w:val="15"/>
          <w:szCs w:val="15"/>
          <w:b w:val="1"/>
          <w:bCs w:val="1"/>
          <w:i w:val="1"/>
          <w:iCs w:val="1"/>
          <w:color w:val="auto"/>
        </w:rPr>
        <w:t>Our customers are exposed to a number of unique operating risks and challenges which could also adversely affect us.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could be materially adversely affected by disruptions to our clients’ operations caused by any one of or all of the following singularly or in combination:</w:t>
      </w:r>
    </w:p>
    <w:p>
      <w:pPr>
        <w:spacing w:after="0" w:line="177" w:lineRule="exact"/>
        <w:rPr>
          <w:sz w:val="20"/>
          <w:szCs w:val="20"/>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domestic and international pricing and demand for the natural resource being produced at a given project (or proposed project);</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unexpected problems, higher costs and delays during the development, construction and project start-up which may delay the commencement of production;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unforeseen and adverse geological, geotechnical, seismic and mining conditions;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lack of availability of sufficient water or power to maintain their operations;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water or food quality or safety issues;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lack of availability or failure of the required infrastructure necessary to maintain or to expand their operations;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breakdown or shortage of equipment and labor necessary to maintain their operations;</w:t>
      </w:r>
    </w:p>
    <w:p>
      <w:pPr>
        <w:spacing w:after="0" w:line="177" w:lineRule="exact"/>
        <w:rPr>
          <w:rFonts w:ascii="Arial" w:cs="Arial" w:eastAsia="Arial" w:hAnsi="Arial"/>
          <w:sz w:val="15"/>
          <w:szCs w:val="15"/>
          <w:color w:val="auto"/>
        </w:rPr>
      </w:pPr>
    </w:p>
    <w:p>
      <w:pPr>
        <w:ind w:left="540" w:right="120" w:hanging="270"/>
        <w:spacing w:after="0" w:line="251" w:lineRule="auto"/>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58"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risks to land titles, mining titles and use thereof as a result of native title claims;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claims by persons living in close proximity to mining projects, which may have an impact on the consents granted;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interruptions to the operations of our customers caused by industrial accidents or disputes;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delays in or failure to commission new infrastructure in timeframes so as not to disrupt customer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if customers reduce their accommodations outsourcing.</w:t>
      </w:r>
    </w:p>
    <w:p>
      <w:pPr>
        <w:spacing w:after="0" w:line="177" w:lineRule="exact"/>
        <w:rPr>
          <w:sz w:val="20"/>
          <w:szCs w:val="20"/>
          <w:color w:val="auto"/>
        </w:rPr>
      </w:pPr>
    </w:p>
    <w:p>
      <w:pPr>
        <w:ind w:firstLine="262"/>
        <w:spacing w:after="0" w:line="313" w:lineRule="auto"/>
        <w:rPr>
          <w:sz w:val="20"/>
          <w:szCs w:val="20"/>
          <w:color w:val="auto"/>
        </w:rPr>
      </w:pPr>
      <w:r>
        <w:rPr>
          <w:rFonts w:ascii="Arial" w:cs="Arial" w:eastAsia="Arial" w:hAnsi="Arial"/>
          <w:sz w:val="12"/>
          <w:szCs w:val="12"/>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our financial results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212" w:lineRule="exact"/>
        <w:rPr>
          <w:sz w:val="20"/>
          <w:szCs w:val="20"/>
          <w:color w:val="auto"/>
        </w:rPr>
      </w:pPr>
    </w:p>
    <w:p>
      <w:pPr>
        <w:ind w:right="100" w:firstLine="262"/>
        <w:spacing w:after="0" w:line="317" w:lineRule="auto"/>
        <w:rPr>
          <w:sz w:val="20"/>
          <w:szCs w:val="20"/>
          <w:color w:val="auto"/>
        </w:rPr>
      </w:pPr>
      <w:r>
        <w:rPr>
          <w:rFonts w:ascii="Arial" w:cs="Arial" w:eastAsia="Arial" w:hAnsi="Arial"/>
          <w:sz w:val="12"/>
          <w:szCs w:val="12"/>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b w:val="1"/>
          <w:bCs w:val="1"/>
          <w:i w:val="1"/>
          <w:iCs w:val="1"/>
          <w:color w:val="auto"/>
        </w:rPr>
        <w:t>A failure to maintain food safety or comply with government regulations related to food and beverages or serving alcoholic beverages may subject us to liability.</w:t>
      </w:r>
    </w:p>
    <w:p>
      <w:pPr>
        <w:spacing w:after="0" w:line="189" w:lineRule="exact"/>
        <w:rPr>
          <w:sz w:val="20"/>
          <w:szCs w:val="20"/>
          <w:color w:val="auto"/>
        </w:rPr>
      </w:pPr>
    </w:p>
    <w:p>
      <w:pPr>
        <w:ind w:right="80" w:firstLine="262"/>
        <w:spacing w:after="0" w:line="247" w:lineRule="auto"/>
        <w:rPr>
          <w:sz w:val="20"/>
          <w:szCs w:val="20"/>
          <w:color w:val="auto"/>
        </w:rPr>
      </w:pPr>
      <w:r>
        <w:rPr>
          <w:rFonts w:ascii="Arial" w:cs="Arial" w:eastAsia="Arial" w:hAnsi="Arial"/>
          <w:sz w:val="15"/>
          <w:szCs w:val="15"/>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62" w:lineRule="exact"/>
        <w:rPr>
          <w:sz w:val="20"/>
          <w:szCs w:val="20"/>
          <w:color w:val="auto"/>
        </w:rPr>
      </w:pPr>
    </w:p>
    <w:p>
      <w:pPr>
        <w:ind w:right="20" w:firstLine="262"/>
        <w:spacing w:after="0" w:line="271" w:lineRule="auto"/>
        <w:rPr>
          <w:sz w:val="20"/>
          <w:szCs w:val="20"/>
          <w:color w:val="auto"/>
        </w:rPr>
      </w:pPr>
      <w:r>
        <w:rPr>
          <w:rFonts w:ascii="Arial" w:cs="Arial" w:eastAsia="Arial" w:hAnsi="Arial"/>
          <w:sz w:val="14"/>
          <w:szCs w:val="14"/>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47" w:lineRule="exact"/>
        <w:rPr>
          <w:sz w:val="20"/>
          <w:szCs w:val="20"/>
          <w:color w:val="auto"/>
        </w:rPr>
      </w:pPr>
    </w:p>
    <w:p>
      <w:pPr>
        <w:ind w:firstLine="262"/>
        <w:spacing w:after="0" w:line="267" w:lineRule="auto"/>
        <w:rPr>
          <w:sz w:val="20"/>
          <w:szCs w:val="20"/>
          <w:color w:val="auto"/>
        </w:rPr>
      </w:pPr>
      <w:r>
        <w:rPr>
          <w:rFonts w:ascii="Arial" w:cs="Arial" w:eastAsia="Arial" w:hAnsi="Arial"/>
          <w:sz w:val="14"/>
          <w:szCs w:val="14"/>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land banking strategy may not be successful.</w:t>
      </w:r>
    </w:p>
    <w:p>
      <w:pPr>
        <w:spacing w:after="0" w:line="177"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61" w:lineRule="exact"/>
        <w:rPr>
          <w:sz w:val="20"/>
          <w:szCs w:val="20"/>
          <w:color w:val="auto"/>
        </w:rPr>
      </w:pPr>
    </w:p>
    <w:p>
      <w:pPr>
        <w:ind w:left="540" w:hanging="270"/>
        <w:spacing w:after="0"/>
        <w:tabs>
          <w:tab w:leader="none" w:pos="54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regions in which we invest may not develop adequate customer demand;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we may not be able to obtain financing for development projects on favorable terms or at all;</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we may not be able to obtain, or may experience delays in obtaining, all necessary zoning, land-use, building, occupancy and other governmental permits and authorizations;</w:t>
      </w:r>
    </w:p>
    <w:p>
      <w:pPr>
        <w:spacing w:after="0" w:line="188" w:lineRule="exact"/>
        <w:rPr>
          <w:rFonts w:ascii="Arial" w:cs="Arial" w:eastAsia="Arial" w:hAnsi="Arial"/>
          <w:sz w:val="14"/>
          <w:szCs w:val="14"/>
          <w:color w:val="auto"/>
        </w:rPr>
      </w:pPr>
    </w:p>
    <w:p>
      <w:pPr>
        <w:ind w:left="540" w:hanging="270"/>
        <w:spacing w:after="0"/>
        <w:tabs>
          <w:tab w:leader="none" w:pos="54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development opportunities that we explore may be abandoned and the related investment impaired;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243" w:name="page244"/>
    <w:bookmarkEnd w:id="243"/>
    <w:p>
      <w:pPr>
        <w:ind w:left="540" w:hanging="270"/>
        <w:spacing w:after="0"/>
        <w:tabs>
          <w:tab w:leader="none" w:pos="54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the properties may perform below anticipated levels, producing cash flow below budgeted amounts;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construction costs, total investment amounts and our share of remaining funding may exceed our estimates and projects may not be completed, delivered or stabilized as planned;</w:t>
      </w:r>
    </w:p>
    <w:p>
      <w:pPr>
        <w:spacing w:after="0" w:line="211" w:lineRule="exact"/>
        <w:rPr>
          <w:rFonts w:ascii="Arial" w:cs="Arial" w:eastAsia="Arial" w:hAnsi="Arial"/>
          <w:sz w:val="12"/>
          <w:szCs w:val="12"/>
          <w:color w:val="auto"/>
        </w:rPr>
      </w:pPr>
    </w:p>
    <w:p>
      <w:pPr>
        <w:ind w:left="540" w:hanging="270"/>
        <w:spacing w:after="0"/>
        <w:tabs>
          <w:tab w:leader="none" w:pos="54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we may experience delays (temporary or permanent) if there is public, government or aboriginal opposition to our activities; and</w:t>
      </w:r>
    </w:p>
    <w:p>
      <w:pPr>
        <w:spacing w:after="0" w:line="177" w:lineRule="exact"/>
        <w:rPr>
          <w:rFonts w:ascii="Arial" w:cs="Arial" w:eastAsia="Arial" w:hAnsi="Arial"/>
          <w:sz w:val="15"/>
          <w:szCs w:val="15"/>
          <w:color w:val="auto"/>
        </w:rPr>
      </w:pPr>
    </w:p>
    <w:p>
      <w:pPr>
        <w:ind w:left="540" w:right="280" w:hanging="270"/>
        <w:spacing w:after="0" w:line="259" w:lineRule="auto"/>
        <w:tabs>
          <w:tab w:leader="none" w:pos="54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contract intensive and may lead to customer disputes or delays in receipt of payments.</w:t>
      </w:r>
    </w:p>
    <w:p>
      <w:pPr>
        <w:spacing w:after="0" w:line="177" w:lineRule="exact"/>
        <w:rPr>
          <w:sz w:val="20"/>
          <w:szCs w:val="20"/>
          <w:color w:val="auto"/>
        </w:rPr>
      </w:pPr>
    </w:p>
    <w:p>
      <w:pPr>
        <w:ind w:right="60" w:firstLine="262"/>
        <w:spacing w:after="0" w:line="247" w:lineRule="auto"/>
        <w:rPr>
          <w:sz w:val="20"/>
          <w:szCs w:val="20"/>
          <w:color w:val="auto"/>
        </w:rPr>
      </w:pPr>
      <w:r>
        <w:rPr>
          <w:rFonts w:ascii="Arial" w:cs="Arial" w:eastAsia="Arial" w:hAnsi="Arial"/>
          <w:sz w:val="15"/>
          <w:szCs w:val="15"/>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extensive and costly environmental laws and regulations that may require us to take actions that will adversely affect our results of operations.</w:t>
      </w:r>
    </w:p>
    <w:p>
      <w:pPr>
        <w:spacing w:after="0" w:line="189"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62" w:lineRule="exact"/>
        <w:rPr>
          <w:sz w:val="20"/>
          <w:szCs w:val="20"/>
          <w:color w:val="auto"/>
        </w:rPr>
      </w:pPr>
    </w:p>
    <w:p>
      <w:pPr>
        <w:ind w:right="280" w:firstLine="262"/>
        <w:spacing w:after="0" w:line="259" w:lineRule="auto"/>
        <w:rPr>
          <w:sz w:val="20"/>
          <w:szCs w:val="20"/>
          <w:color w:val="auto"/>
        </w:rPr>
      </w:pPr>
      <w:r>
        <w:rPr>
          <w:rFonts w:ascii="Arial" w:cs="Arial" w:eastAsia="Arial" w:hAnsi="Arial"/>
          <w:sz w:val="15"/>
          <w:szCs w:val="15"/>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52" w:lineRule="exact"/>
        <w:rPr>
          <w:sz w:val="20"/>
          <w:szCs w:val="20"/>
          <w:color w:val="auto"/>
        </w:rPr>
      </w:pPr>
    </w:p>
    <w:p>
      <w:pPr>
        <w:ind w:left="540" w:hanging="270"/>
        <w:spacing w:after="0"/>
        <w:tabs>
          <w:tab w:leader="none" w:pos="54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issuance of administrative, civil and criminal penalties;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denial or revocation of permits or other authorizations;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reduction or cessation of operations;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performance of site investigatory, remedial or other corrective actions.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Construction risks exist which may adversely affect our results of operations.</w:t>
      </w:r>
    </w:p>
    <w:p>
      <w:pPr>
        <w:spacing w:after="0" w:line="177" w:lineRule="exact"/>
        <w:rPr>
          <w:sz w:val="20"/>
          <w:szCs w:val="20"/>
          <w:color w:val="auto"/>
        </w:rPr>
      </w:pPr>
    </w:p>
    <w:p>
      <w:pPr>
        <w:ind w:right="60" w:firstLine="262"/>
        <w:spacing w:after="0" w:line="251" w:lineRule="auto"/>
        <w:rPr>
          <w:sz w:val="20"/>
          <w:szCs w:val="20"/>
          <w:color w:val="auto"/>
        </w:rPr>
      </w:pPr>
      <w:r>
        <w:rPr>
          <w:rFonts w:ascii="Arial" w:cs="Arial" w:eastAsia="Arial" w:hAnsi="Arial"/>
          <w:sz w:val="15"/>
          <w:szCs w:val="15"/>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58" w:lineRule="exact"/>
        <w:rPr>
          <w:sz w:val="20"/>
          <w:szCs w:val="20"/>
          <w:color w:val="auto"/>
        </w:rPr>
      </w:pPr>
    </w:p>
    <w:p>
      <w:pPr>
        <w:ind w:left="540" w:hanging="270"/>
        <w:spacing w:after="0"/>
        <w:tabs>
          <w:tab w:leader="none" w:pos="54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construction activities of our accommodations are partially dependent on the supply of appropriate construction and development opportunities;</w:t>
      </w:r>
    </w:p>
    <w:p>
      <w:pPr>
        <w:spacing w:after="0" w:line="177" w:lineRule="exact"/>
        <w:rPr>
          <w:rFonts w:ascii="Arial" w:cs="Arial" w:eastAsia="Arial" w:hAnsi="Arial"/>
          <w:sz w:val="15"/>
          <w:szCs w:val="15"/>
          <w:color w:val="auto"/>
        </w:rPr>
      </w:pPr>
    </w:p>
    <w:p>
      <w:pPr>
        <w:ind w:left="540" w:right="220" w:hanging="270"/>
        <w:spacing w:after="0" w:line="294" w:lineRule="auto"/>
        <w:tabs>
          <w:tab w:leader="none" w:pos="54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44" w:name="page245"/>
    <w:bookmarkEnd w:id="244"/>
    <w:p>
      <w:pPr>
        <w:ind w:left="540" w:right="100" w:hanging="270"/>
        <w:spacing w:after="0" w:line="259" w:lineRule="auto"/>
        <w:tabs>
          <w:tab w:leader="none" w:pos="54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52" w:lineRule="exact"/>
        <w:rPr>
          <w:rFonts w:ascii="Arial" w:cs="Arial" w:eastAsia="Arial" w:hAnsi="Arial"/>
          <w:sz w:val="15"/>
          <w:szCs w:val="15"/>
          <w:color w:val="auto"/>
        </w:rPr>
      </w:pPr>
    </w:p>
    <w:p>
      <w:pPr>
        <w:ind w:left="540" w:right="420" w:hanging="270"/>
        <w:spacing w:after="0" w:line="259" w:lineRule="auto"/>
        <w:tabs>
          <w:tab w:leader="none" w:pos="54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objections to our activities or those of our customers aired by aboriginal or community interest, environment and/or neighborhood groups which may cause delays in the granting or approvals and/or the overall progress of a project;</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where we assume design responsibility, there is a risk that design problems or defects may result in rectification and/or costs or liabilities which we cannot readily recover; and</w:t>
      </w:r>
    </w:p>
    <w:p>
      <w:pPr>
        <w:spacing w:after="0" w:line="188" w:lineRule="exact"/>
        <w:rPr>
          <w:rFonts w:ascii="Arial" w:cs="Arial" w:eastAsia="Arial" w:hAnsi="Arial"/>
          <w:sz w:val="14"/>
          <w:szCs w:val="14"/>
          <w:color w:val="auto"/>
        </w:rPr>
      </w:pPr>
    </w:p>
    <w:p>
      <w:pPr>
        <w:ind w:left="540" w:right="400" w:hanging="270"/>
        <w:spacing w:after="0" w:line="259" w:lineRule="auto"/>
        <w:tabs>
          <w:tab w:leader="none" w:pos="54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there is a risk that we may fail to fulfill our statutory and contractual obligations in relation to the quality of our materials and workmanship, including warranties and defect liability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cyclical nature of our business and a severe prolonged downturn could negatively affect the value of our goodwill.</w:t>
      </w:r>
    </w:p>
    <w:p>
      <w:pPr>
        <w:spacing w:after="0" w:line="177" w:lineRule="exact"/>
        <w:rPr>
          <w:sz w:val="20"/>
          <w:szCs w:val="20"/>
          <w:color w:val="auto"/>
        </w:rPr>
      </w:pPr>
    </w:p>
    <w:p>
      <w:pPr>
        <w:ind w:right="20" w:firstLine="262"/>
        <w:spacing w:after="0" w:line="330" w:lineRule="auto"/>
        <w:rPr>
          <w:sz w:val="20"/>
          <w:szCs w:val="20"/>
          <w:color w:val="auto"/>
        </w:rPr>
      </w:pPr>
      <w:r>
        <w:rPr>
          <w:rFonts w:ascii="Arial" w:cs="Arial" w:eastAsia="Arial" w:hAnsi="Arial"/>
          <w:sz w:val="12"/>
          <w:szCs w:val="12"/>
          <w:color w:val="auto"/>
        </w:rPr>
        <w:t>As of December 31, 2013, goodwill represented approximately 12%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15" w:lineRule="exact"/>
        <w:rPr>
          <w:sz w:val="20"/>
          <w:szCs w:val="20"/>
          <w:color w:val="auto"/>
        </w:rPr>
      </w:pPr>
    </w:p>
    <w:p>
      <w:pPr>
        <w:ind w:left="540" w:hanging="270"/>
        <w:spacing w:after="0"/>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global economic conditions deteriorate;</w:t>
      </w:r>
    </w:p>
    <w:p>
      <w:pPr>
        <w:spacing w:after="0" w:line="177" w:lineRule="exact"/>
        <w:rPr>
          <w:rFonts w:ascii="Arial" w:cs="Arial" w:eastAsia="Arial" w:hAnsi="Arial"/>
          <w:sz w:val="15"/>
          <w:szCs w:val="15"/>
          <w:color w:val="auto"/>
        </w:rPr>
      </w:pPr>
    </w:p>
    <w:p>
      <w:pPr>
        <w:ind w:left="540" w:hanging="270"/>
        <w:spacing w:after="0" w:line="251" w:lineRule="auto"/>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58" w:lineRule="exact"/>
        <w:rPr>
          <w:rFonts w:ascii="Arial" w:cs="Arial" w:eastAsia="Arial" w:hAnsi="Arial"/>
          <w:sz w:val="15"/>
          <w:szCs w:val="15"/>
          <w:color w:val="auto"/>
        </w:rPr>
      </w:pPr>
    </w:p>
    <w:p>
      <w:pPr>
        <w:ind w:left="540" w:hanging="270"/>
        <w:spacing w:after="0"/>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costs of equity or debt capital increase; or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valuations for comparable public companies or comparable acquisition valuations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accidental release of pollutants into the environment may cause us to incur significant costs and liabilities.</w:t>
      </w:r>
    </w:p>
    <w:p>
      <w:pPr>
        <w:spacing w:after="0" w:line="177" w:lineRule="exact"/>
        <w:rPr>
          <w:sz w:val="20"/>
          <w:szCs w:val="20"/>
          <w:color w:val="auto"/>
        </w:rPr>
      </w:pPr>
    </w:p>
    <w:p>
      <w:pPr>
        <w:ind w:right="140" w:firstLine="262"/>
        <w:spacing w:after="0" w:line="269" w:lineRule="auto"/>
        <w:rPr>
          <w:sz w:val="20"/>
          <w:szCs w:val="20"/>
          <w:color w:val="auto"/>
        </w:rPr>
      </w:pPr>
      <w:r>
        <w:rPr>
          <w:rFonts w:ascii="Arial" w:cs="Arial" w:eastAsia="Arial" w:hAnsi="Arial"/>
          <w:sz w:val="14"/>
          <w:szCs w:val="14"/>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exposed to certain regulatory and financial risks related to climate change.</w:t>
      </w:r>
    </w:p>
    <w:p>
      <w:pPr>
        <w:spacing w:after="0" w:line="177" w:lineRule="exact"/>
        <w:rPr>
          <w:sz w:val="20"/>
          <w:szCs w:val="20"/>
          <w:color w:val="auto"/>
        </w:rPr>
      </w:pPr>
    </w:p>
    <w:p>
      <w:pPr>
        <w:ind w:right="60" w:firstLine="262"/>
        <w:spacing w:after="0" w:line="277" w:lineRule="auto"/>
        <w:rPr>
          <w:sz w:val="20"/>
          <w:szCs w:val="20"/>
          <w:color w:val="auto"/>
        </w:rPr>
      </w:pPr>
      <w:r>
        <w:rPr>
          <w:rFonts w:ascii="Arial" w:cs="Arial" w:eastAsia="Arial" w:hAnsi="Arial"/>
          <w:sz w:val="14"/>
          <w:szCs w:val="14"/>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45" w:name="page246"/>
    <w:bookmarkEnd w:id="245"/>
    <w:p>
      <w:pPr>
        <w:jc w:val="both"/>
        <w:ind w:right="380" w:firstLine="262"/>
        <w:spacing w:after="0" w:line="251" w:lineRule="auto"/>
        <w:rPr>
          <w:sz w:val="20"/>
          <w:szCs w:val="20"/>
          <w:color w:val="auto"/>
        </w:rPr>
      </w:pPr>
      <w:r>
        <w:rPr>
          <w:rFonts w:ascii="Arial" w:cs="Arial" w:eastAsia="Arial" w:hAnsi="Arial"/>
          <w:sz w:val="15"/>
          <w:szCs w:val="15"/>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58" w:lineRule="exact"/>
        <w:rPr>
          <w:sz w:val="20"/>
          <w:szCs w:val="20"/>
          <w:color w:val="auto"/>
        </w:rPr>
      </w:pPr>
    </w:p>
    <w:p>
      <w:pPr>
        <w:ind w:left="540" w:hanging="270"/>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result in increased costs associated with our operations and our customers’ operations;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increase other costs to our business;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reduce the demand for carbon-based fuels;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reduce the demand for our services.</w:t>
      </w:r>
    </w:p>
    <w:p>
      <w:pPr>
        <w:spacing w:after="0" w:line="177" w:lineRule="exact"/>
        <w:rPr>
          <w:sz w:val="20"/>
          <w:szCs w:val="20"/>
          <w:color w:val="auto"/>
        </w:rPr>
      </w:pPr>
    </w:p>
    <w:p>
      <w:pPr>
        <w:ind w:right="80" w:firstLine="262"/>
        <w:spacing w:after="0" w:line="330" w:lineRule="auto"/>
        <w:rPr>
          <w:sz w:val="20"/>
          <w:szCs w:val="20"/>
          <w:color w:val="auto"/>
        </w:rPr>
      </w:pPr>
      <w:r>
        <w:rPr>
          <w:rFonts w:ascii="Arial" w:cs="Arial" w:eastAsia="Arial" w:hAnsi="Arial"/>
          <w:sz w:val="12"/>
          <w:szCs w:val="12"/>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5"/>
          <w:szCs w:val="15"/>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52"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61" w:lineRule="exact"/>
        <w:rPr>
          <w:sz w:val="20"/>
          <w:szCs w:val="20"/>
          <w:color w:val="auto"/>
        </w:rPr>
      </w:pPr>
    </w:p>
    <w:p>
      <w:pPr>
        <w:ind w:firstLine="262"/>
        <w:spacing w:after="0" w:line="277" w:lineRule="auto"/>
        <w:rPr>
          <w:sz w:val="20"/>
          <w:szCs w:val="20"/>
          <w:color w:val="auto"/>
        </w:rPr>
      </w:pPr>
      <w:r>
        <w:rPr>
          <w:rFonts w:ascii="Arial" w:cs="Arial" w:eastAsia="Arial" w:hAnsi="Arial"/>
          <w:sz w:val="14"/>
          <w:szCs w:val="14"/>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42" w:lineRule="exact"/>
        <w:rPr>
          <w:sz w:val="20"/>
          <w:szCs w:val="20"/>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retaining key employees of acquired businesses;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retaining and attracting new customers of acquired businesses;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retaining supply and distribution relationships key to the supply chain;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increased administrative burden;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developing our sales and marketing capabilities;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managing our growth effectively;</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potential impairment resulting from the overpayment for an acquisition;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integrating operations;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managing tax and foreign exchange exposure;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46" w:name="page247"/>
    <w:bookmarkEnd w:id="246"/>
    <w:p>
      <w:pPr>
        <w:ind w:left="540" w:hanging="270"/>
        <w:spacing w:after="0"/>
        <w:tabs>
          <w:tab w:leader="none" w:pos="5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potentially operating a new line of business;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increased logistical problems common to large, expansive operations;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inability to pursue and protect patents covering acquired technology.</w:t>
      </w:r>
    </w:p>
    <w:p>
      <w:pPr>
        <w:spacing w:after="0" w:line="177" w:lineRule="exact"/>
        <w:rPr>
          <w:sz w:val="20"/>
          <w:szCs w:val="20"/>
          <w:color w:val="auto"/>
        </w:rPr>
      </w:pPr>
    </w:p>
    <w:p>
      <w:pPr>
        <w:ind w:firstLine="262"/>
        <w:spacing w:after="0" w:line="343" w:lineRule="auto"/>
        <w:rPr>
          <w:sz w:val="20"/>
          <w:szCs w:val="20"/>
          <w:color w:val="auto"/>
        </w:rPr>
      </w:pPr>
      <w:r>
        <w:rPr>
          <w:rFonts w:ascii="Arial" w:cs="Arial" w:eastAsia="Arial" w:hAnsi="Arial"/>
          <w:sz w:val="12"/>
          <w:szCs w:val="12"/>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adequate insurance for potential liabilities and insurance may not cover certain liabilities, including litigation.</w:t>
      </w:r>
    </w:p>
    <w:p>
      <w:pPr>
        <w:spacing w:after="0" w:line="177" w:lineRule="exact"/>
        <w:rPr>
          <w:sz w:val="20"/>
          <w:szCs w:val="20"/>
          <w:color w:val="auto"/>
        </w:rPr>
      </w:pPr>
    </w:p>
    <w:p>
      <w:pPr>
        <w:ind w:right="20" w:firstLine="262"/>
        <w:spacing w:after="0" w:line="265" w:lineRule="auto"/>
        <w:rPr>
          <w:sz w:val="20"/>
          <w:szCs w:val="20"/>
          <w:color w:val="auto"/>
        </w:rPr>
      </w:pPr>
      <w:r>
        <w:rPr>
          <w:rFonts w:ascii="Arial" w:cs="Arial" w:eastAsia="Arial" w:hAnsi="Arial"/>
          <w:sz w:val="14"/>
          <w:szCs w:val="14"/>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distribution. The specifications and insured limits under those policies, however, may be insufficient for such claims. We also face the following other risks related to our insurance coverage:</w:t>
      </w:r>
    </w:p>
    <w:p>
      <w:pPr>
        <w:spacing w:after="0" w:line="152" w:lineRule="exact"/>
        <w:rPr>
          <w:sz w:val="20"/>
          <w:szCs w:val="20"/>
          <w:color w:val="auto"/>
        </w:rPr>
      </w:pPr>
    </w:p>
    <w:p>
      <w:pPr>
        <w:ind w:left="540" w:hanging="270"/>
        <w:spacing w:after="0"/>
        <w:tabs>
          <w:tab w:leader="none" w:pos="54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we may not be able to continue to obtain insurance on commercially reasonable terms;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the counterparties to our insurance contracts may pose credit risks;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we may incur losses from interruption of our business that exceed our insurance coverage.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may suffer due to increased industry-wide capacity of certain types of assets.</w:t>
      </w:r>
    </w:p>
    <w:p>
      <w:pPr>
        <w:spacing w:after="0" w:line="177" w:lineRule="exact"/>
        <w:rPr>
          <w:sz w:val="20"/>
          <w:szCs w:val="20"/>
          <w:color w:val="auto"/>
        </w:rPr>
      </w:pPr>
    </w:p>
    <w:p>
      <w:pPr>
        <w:jc w:val="both"/>
        <w:ind w:right="100" w:firstLine="262"/>
        <w:spacing w:after="0" w:line="251" w:lineRule="auto"/>
        <w:rPr>
          <w:sz w:val="20"/>
          <w:szCs w:val="20"/>
          <w:color w:val="auto"/>
        </w:rPr>
      </w:pPr>
      <w:r>
        <w:rPr>
          <w:rFonts w:ascii="Arial" w:cs="Arial" w:eastAsia="Arial" w:hAnsi="Arial"/>
          <w:sz w:val="15"/>
          <w:szCs w:val="15"/>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58" w:lineRule="exact"/>
        <w:rPr>
          <w:sz w:val="20"/>
          <w:szCs w:val="20"/>
          <w:color w:val="auto"/>
        </w:rPr>
      </w:pPr>
    </w:p>
    <w:p>
      <w:pPr>
        <w:ind w:right="100" w:firstLine="262"/>
        <w:spacing w:after="0" w:line="248" w:lineRule="auto"/>
        <w:rPr>
          <w:sz w:val="20"/>
          <w:szCs w:val="20"/>
          <w:color w:val="auto"/>
        </w:rPr>
      </w:pPr>
      <w:r>
        <w:rPr>
          <w:rFonts w:ascii="Arial" w:cs="Arial" w:eastAsia="Arial" w:hAnsi="Arial"/>
          <w:sz w:val="15"/>
          <w:szCs w:val="15"/>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247" w:name="page248"/>
    <w:bookmarkEnd w:id="247"/>
    <w:p>
      <w:pPr>
        <w:spacing w:after="0"/>
        <w:rPr>
          <w:sz w:val="20"/>
          <w:szCs w:val="20"/>
          <w:color w:val="auto"/>
        </w:rPr>
      </w:pPr>
      <w:r>
        <w:rPr>
          <w:rFonts w:ascii="Arial" w:cs="Arial" w:eastAsia="Arial" w:hAnsi="Arial"/>
          <w:sz w:val="15"/>
          <w:szCs w:val="15"/>
          <w:b w:val="1"/>
          <w:bCs w:val="1"/>
          <w:i w:val="1"/>
          <w:iCs w:val="1"/>
          <w:color w:val="auto"/>
        </w:rPr>
        <w:t>Loss of key members of our management could adversely affect our business.</w:t>
      </w:r>
    </w:p>
    <w:p>
      <w:pPr>
        <w:spacing w:after="0" w:line="177" w:lineRule="exact"/>
        <w:rPr>
          <w:sz w:val="20"/>
          <w:szCs w:val="20"/>
          <w:color w:val="auto"/>
        </w:rPr>
      </w:pPr>
    </w:p>
    <w:p>
      <w:pPr>
        <w:ind w:right="40" w:firstLine="262"/>
        <w:spacing w:after="0" w:line="294" w:lineRule="auto"/>
        <w:rPr>
          <w:sz w:val="20"/>
          <w:szCs w:val="20"/>
          <w:color w:val="auto"/>
        </w:rPr>
      </w:pPr>
      <w:r>
        <w:rPr>
          <w:rFonts w:ascii="Arial" w:cs="Arial" w:eastAsia="Arial" w:hAnsi="Arial"/>
          <w:sz w:val="14"/>
          <w:szCs w:val="14"/>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and customer labor problems could adversely affect us.</w:t>
      </w:r>
    </w:p>
    <w:p>
      <w:pPr>
        <w:spacing w:after="0" w:line="177" w:lineRule="exact"/>
        <w:rPr>
          <w:sz w:val="20"/>
          <w:szCs w:val="20"/>
          <w:color w:val="auto"/>
        </w:rPr>
      </w:pPr>
    </w:p>
    <w:p>
      <w:pPr>
        <w:ind w:firstLine="262"/>
        <w:spacing w:after="0" w:line="330" w:lineRule="auto"/>
        <w:rPr>
          <w:sz w:val="20"/>
          <w:szCs w:val="20"/>
          <w:color w:val="auto"/>
        </w:rPr>
      </w:pPr>
      <w:r>
        <w:rPr>
          <w:rFonts w:ascii="Arial" w:cs="Arial" w:eastAsia="Arial" w:hAnsi="Arial"/>
          <w:sz w:val="12"/>
          <w:szCs w:val="12"/>
          <w:color w:val="auto"/>
        </w:rPr>
        <w:t>As of December 31, 2013, we were party to collective bargaining agreements covering 1,823 employees in Canada and 543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the Spin-Off</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realize the potential benefits from our separation from Oil States.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may not realize the benefits that we anticipate from our separation from Oil States. These benefits include the following:</w:t>
      </w:r>
    </w:p>
    <w:p>
      <w:pPr>
        <w:spacing w:after="0" w:line="177" w:lineRule="exact"/>
        <w:rPr>
          <w:sz w:val="20"/>
          <w:szCs w:val="20"/>
          <w:color w:val="auto"/>
        </w:rPr>
      </w:pPr>
    </w:p>
    <w:p>
      <w:pPr>
        <w:ind w:left="540" w:hanging="270"/>
        <w:spacing w:after="0"/>
        <w:tabs>
          <w:tab w:leader="none" w:pos="5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enhancing corporate growth and efficiency by enabling each management team to focus its attention on the development and execution of its respective business;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improving access to capital to fund internal and external expansion;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enhancing Civeo’s market recognition with investors because of more focused operations;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establishing an acquisition currency for Civeo;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enhancing our ability to attract and retain key employees.</w:t>
      </w:r>
    </w:p>
    <w:p>
      <w:pPr>
        <w:spacing w:after="0" w:line="177" w:lineRule="exact"/>
        <w:rPr>
          <w:sz w:val="20"/>
          <w:szCs w:val="20"/>
          <w:color w:val="auto"/>
        </w:rPr>
      </w:pPr>
    </w:p>
    <w:p>
      <w:pPr>
        <w:ind w:right="20" w:firstLine="262"/>
        <w:spacing w:after="0" w:line="320" w:lineRule="auto"/>
        <w:rPr>
          <w:sz w:val="20"/>
          <w:szCs w:val="20"/>
          <w:color w:val="auto"/>
        </w:rPr>
      </w:pPr>
      <w:r>
        <w:rPr>
          <w:rFonts w:ascii="Arial" w:cs="Arial" w:eastAsia="Arial" w:hAnsi="Arial"/>
          <w:sz w:val="12"/>
          <w:szCs w:val="12"/>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combined value of Oil States and Civeo shares after the spin-off may not equal or exceed the value of Oil States shares prior to the spin-off.</w:t>
      </w:r>
    </w:p>
    <w:p>
      <w:pPr>
        <w:spacing w:after="0" w:line="177" w:lineRule="exact"/>
        <w:rPr>
          <w:sz w:val="20"/>
          <w:szCs w:val="20"/>
          <w:color w:val="auto"/>
        </w:rPr>
      </w:pPr>
    </w:p>
    <w:p>
      <w:pPr>
        <w:ind w:right="60" w:firstLine="262"/>
        <w:spacing w:after="0" w:line="247" w:lineRule="auto"/>
        <w:rPr>
          <w:sz w:val="20"/>
          <w:szCs w:val="20"/>
          <w:color w:val="auto"/>
        </w:rPr>
      </w:pPr>
      <w:r>
        <w:rPr>
          <w:rFonts w:ascii="Arial" w:cs="Arial" w:eastAsia="Arial" w:hAnsi="Arial"/>
          <w:sz w:val="15"/>
          <w:szCs w:val="15"/>
          <w:color w:val="auto"/>
        </w:rPr>
        <w:t>After the spin-off, Oil States’ common stock will continue to be listed and traded on the NYSE under the symbol “OIS”. We have been approved to list our common stock authorized on the NYSE under the symbol “CVEO”. We cannot assure you that the combined trading prices of Oil States common stock and Civeo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Civeo common stock trades may fluctuate significantly.</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248" w:name="page249"/>
    <w:bookmarkEnd w:id="248"/>
    <w:p>
      <w:pPr>
        <w:spacing w:after="0"/>
        <w:rPr>
          <w:sz w:val="20"/>
          <w:szCs w:val="20"/>
          <w:color w:val="auto"/>
        </w:rPr>
      </w:pPr>
      <w:r>
        <w:rPr>
          <w:rFonts w:ascii="Arial" w:cs="Arial" w:eastAsia="Arial" w:hAnsi="Arial"/>
          <w:sz w:val="15"/>
          <w:szCs w:val="15"/>
          <w:b w:val="1"/>
          <w:bCs w:val="1"/>
          <w:i w:val="1"/>
          <w:iCs w:val="1"/>
          <w:color w:val="auto"/>
        </w:rPr>
        <w:t>A large number of our shares are or will be eligible for future sale, which may cause the market price for our common stock to decline.</w:t>
      </w:r>
    </w:p>
    <w:p>
      <w:pPr>
        <w:spacing w:after="0" w:line="177" w:lineRule="exact"/>
        <w:rPr>
          <w:sz w:val="20"/>
          <w:szCs w:val="20"/>
          <w:color w:val="auto"/>
        </w:rPr>
      </w:pPr>
    </w:p>
    <w:p>
      <w:pPr>
        <w:ind w:firstLine="262"/>
        <w:spacing w:after="0" w:line="309" w:lineRule="auto"/>
        <w:rPr>
          <w:sz w:val="20"/>
          <w:szCs w:val="20"/>
          <w:color w:val="auto"/>
        </w:rPr>
      </w:pPr>
      <w:r>
        <w:rPr>
          <w:rFonts w:ascii="Arial" w:cs="Arial" w:eastAsia="Arial" w:hAnsi="Arial"/>
          <w:sz w:val="12"/>
          <w:szCs w:val="12"/>
          <w:color w:val="auto"/>
        </w:rPr>
        <w:t>Upon completion of the spin-off, we expect that we will have an aggregate of approximately 106,112,722 shares of our common stock outstanding, based on the number of shares of Oil States common stock expected to be outstanding as of the record date.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w:t>
      </w:r>
    </w:p>
    <w:p>
      <w:pPr>
        <w:spacing w:after="0" w:line="1" w:lineRule="exact"/>
        <w:rPr>
          <w:sz w:val="20"/>
          <w:szCs w:val="20"/>
          <w:color w:val="auto"/>
        </w:rPr>
      </w:pPr>
    </w:p>
    <w:p>
      <w:pPr>
        <w:ind w:right="120" w:firstLine="7"/>
        <w:spacing w:after="0" w:line="264" w:lineRule="auto"/>
        <w:tabs>
          <w:tab w:leader="none" w:pos="291" w:val="left"/>
        </w:tabs>
        <w:numPr>
          <w:ilvl w:val="0"/>
          <w:numId w:val="253"/>
        </w:numPr>
        <w:rPr>
          <w:rFonts w:ascii="Arial" w:cs="Arial" w:eastAsia="Arial" w:hAnsi="Arial"/>
          <w:sz w:val="14"/>
          <w:szCs w:val="14"/>
          <w:color w:val="auto"/>
        </w:rPr>
      </w:pPr>
      <w:r>
        <w:rPr>
          <w:rFonts w:ascii="Arial" w:cs="Arial" w:eastAsia="Arial" w:hAnsi="Arial"/>
          <w:sz w:val="14"/>
          <w:szCs w:val="14"/>
          <w:color w:val="auto"/>
        </w:rPr>
        <w:t>We estimate that our directors and executive officers, who may be considered “affiliates” for purposes of Rule 144, will beneficially own approximately 756,731 shares of our common stock immediately following the distribution.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150" w:lineRule="exact"/>
        <w:rPr>
          <w:sz w:val="20"/>
          <w:szCs w:val="20"/>
          <w:color w:val="auto"/>
        </w:rPr>
      </w:pPr>
    </w:p>
    <w:p>
      <w:pPr>
        <w:ind w:right="280"/>
        <w:spacing w:after="0" w:line="383" w:lineRule="auto"/>
        <w:rPr>
          <w:sz w:val="20"/>
          <w:szCs w:val="20"/>
          <w:color w:val="auto"/>
        </w:rPr>
      </w:pPr>
      <w:r>
        <w:rPr>
          <w:rFonts w:ascii="Arial" w:cs="Arial" w:eastAsia="Arial" w:hAnsi="Arial"/>
          <w:sz w:val="12"/>
          <w:szCs w:val="12"/>
          <w:b w:val="1"/>
          <w:bCs w:val="1"/>
          <w:i w:val="1"/>
          <w:iCs w:val="1"/>
          <w:color w:val="auto"/>
        </w:rPr>
        <w:t>Because significant amounts of our common stock are currently held by oilfield services and other stock indices there is the possibility that our shareholder base will change following the spin-off. If significant amounts of our common stock are sold in the open market, any such shares sold may not be met with offsetting new demand.</w:t>
      </w:r>
    </w:p>
    <w:p>
      <w:pPr>
        <w:spacing w:after="0" w:line="84"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161"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52" w:lineRule="exact"/>
        <w:rPr>
          <w:sz w:val="20"/>
          <w:szCs w:val="20"/>
          <w:color w:val="auto"/>
        </w:rPr>
      </w:pPr>
    </w:p>
    <w:p>
      <w:pPr>
        <w:ind w:right="40" w:firstLine="262"/>
        <w:spacing w:after="0" w:line="310" w:lineRule="auto"/>
        <w:rPr>
          <w:sz w:val="20"/>
          <w:szCs w:val="20"/>
          <w:color w:val="auto"/>
        </w:rPr>
      </w:pPr>
      <w:r>
        <w:rPr>
          <w:rFonts w:ascii="Arial" w:cs="Arial" w:eastAsia="Arial" w:hAnsi="Arial"/>
          <w:sz w:val="12"/>
          <w:szCs w:val="12"/>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49" w:name="page250"/>
    <w:bookmarkEnd w:id="249"/>
    <w:p>
      <w:pPr>
        <w:spacing w:after="0"/>
        <w:rPr>
          <w:sz w:val="20"/>
          <w:szCs w:val="20"/>
          <w:color w:val="auto"/>
        </w:rPr>
      </w:pPr>
      <w:r>
        <w:rPr>
          <w:rFonts w:ascii="Arial" w:cs="Arial" w:eastAsia="Arial" w:hAnsi="Arial"/>
          <w:sz w:val="12"/>
          <w:szCs w:val="12"/>
          <w:b w:val="1"/>
          <w:bCs w:val="1"/>
          <w:i w:val="1"/>
          <w:iCs w:val="1"/>
          <w:color w:val="auto"/>
        </w:rPr>
        <w:t>Our costs will increase as a result of operating as a public company, and our management will be required to devote substantial time to complying with public company regulations.</w:t>
      </w:r>
    </w:p>
    <w:p>
      <w:pPr>
        <w:spacing w:after="0" w:line="212" w:lineRule="exact"/>
        <w:rPr>
          <w:sz w:val="20"/>
          <w:szCs w:val="20"/>
          <w:color w:val="auto"/>
        </w:rPr>
      </w:pPr>
    </w:p>
    <w:p>
      <w:pPr>
        <w:ind w:right="40" w:firstLine="262"/>
        <w:spacing w:after="0" w:line="269" w:lineRule="auto"/>
        <w:rPr>
          <w:sz w:val="20"/>
          <w:szCs w:val="20"/>
          <w:color w:val="auto"/>
        </w:rPr>
      </w:pPr>
      <w:r>
        <w:rPr>
          <w:rFonts w:ascii="Arial" w:cs="Arial" w:eastAsia="Arial" w:hAnsi="Arial"/>
          <w:sz w:val="14"/>
          <w:szCs w:val="14"/>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147" w:lineRule="exact"/>
        <w:rPr>
          <w:sz w:val="20"/>
          <w:szCs w:val="20"/>
          <w:color w:val="auto"/>
        </w:rPr>
      </w:pPr>
    </w:p>
    <w:p>
      <w:pPr>
        <w:ind w:right="200" w:firstLine="262"/>
        <w:spacing w:after="0" w:line="265" w:lineRule="auto"/>
        <w:rPr>
          <w:sz w:val="20"/>
          <w:szCs w:val="20"/>
          <w:color w:val="auto"/>
        </w:rPr>
      </w:pPr>
      <w:r>
        <w:rPr>
          <w:rFonts w:ascii="Arial" w:cs="Arial" w:eastAsia="Arial" w:hAnsi="Arial"/>
          <w:sz w:val="14"/>
          <w:szCs w:val="14"/>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152"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58" w:lineRule="exact"/>
        <w:rPr>
          <w:sz w:val="20"/>
          <w:szCs w:val="20"/>
          <w:color w:val="auto"/>
        </w:rPr>
      </w:pPr>
    </w:p>
    <w:p>
      <w:pPr>
        <w:ind w:right="40" w:firstLine="262"/>
        <w:spacing w:after="0" w:line="315" w:lineRule="auto"/>
        <w:rPr>
          <w:sz w:val="20"/>
          <w:szCs w:val="20"/>
          <w:color w:val="auto"/>
        </w:rPr>
      </w:pPr>
      <w:r>
        <w:rPr>
          <w:rFonts w:ascii="Arial" w:cs="Arial" w:eastAsia="Arial" w:hAnsi="Arial"/>
          <w:sz w:val="12"/>
          <w:szCs w:val="12"/>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potentially could have received better terms from unaffiliated third parties than the terms we receive in our agreements with Oil States.</w:t>
      </w:r>
    </w:p>
    <w:p>
      <w:pPr>
        <w:spacing w:after="0" w:line="177"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b w:val="1"/>
          <w:bCs w:val="1"/>
          <w:i w:val="1"/>
          <w:iCs w:val="1"/>
          <w:color w:val="auto"/>
        </w:rPr>
        <w:t>We may increase our debt or raise additional capital in the future, which could affect our financial condition, may decrease our profitability or could dilute our shareholders.</w:t>
      </w:r>
    </w:p>
    <w:p>
      <w:pPr>
        <w:spacing w:after="0" w:line="189" w:lineRule="exact"/>
        <w:rPr>
          <w:sz w:val="20"/>
          <w:szCs w:val="20"/>
          <w:color w:val="auto"/>
        </w:rPr>
      </w:pPr>
    </w:p>
    <w:p>
      <w:pPr>
        <w:ind w:right="80" w:firstLine="262"/>
        <w:spacing w:after="0" w:line="246" w:lineRule="auto"/>
        <w:rPr>
          <w:sz w:val="20"/>
          <w:szCs w:val="20"/>
          <w:color w:val="auto"/>
        </w:rPr>
      </w:pPr>
      <w:r>
        <w:rPr>
          <w:rFonts w:ascii="Arial" w:cs="Arial" w:eastAsia="Arial" w:hAnsi="Arial"/>
          <w:sz w:val="15"/>
          <w:szCs w:val="15"/>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63" w:lineRule="exact"/>
        <w:rPr>
          <w:sz w:val="20"/>
          <w:szCs w:val="20"/>
          <w:color w:val="auto"/>
        </w:rPr>
      </w:pPr>
    </w:p>
    <w:p>
      <w:pPr>
        <w:ind w:right="580"/>
        <w:spacing w:after="0" w:line="259" w:lineRule="auto"/>
        <w:rPr>
          <w:sz w:val="20"/>
          <w:szCs w:val="20"/>
          <w:color w:val="auto"/>
        </w:rPr>
      </w:pPr>
      <w:r>
        <w:rPr>
          <w:rFonts w:ascii="Arial" w:cs="Arial" w:eastAsia="Arial" w:hAnsi="Arial"/>
          <w:sz w:val="15"/>
          <w:szCs w:val="15"/>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52" w:lineRule="exact"/>
        <w:rPr>
          <w:sz w:val="20"/>
          <w:szCs w:val="20"/>
          <w:color w:val="auto"/>
        </w:rPr>
      </w:pPr>
    </w:p>
    <w:p>
      <w:pPr>
        <w:ind w:right="20" w:firstLine="262"/>
        <w:spacing w:after="0" w:line="315" w:lineRule="auto"/>
        <w:rPr>
          <w:sz w:val="20"/>
          <w:szCs w:val="20"/>
          <w:color w:val="auto"/>
        </w:rPr>
      </w:pPr>
      <w:r>
        <w:rPr>
          <w:rFonts w:ascii="Arial" w:cs="Arial" w:eastAsia="Arial" w:hAnsi="Arial"/>
          <w:sz w:val="12"/>
          <w:szCs w:val="12"/>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a period of two years after the spin-off.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 the spin-off. See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“Arrangements Between Oil States and Our Company—Tax Sharing Agreement.”</w:t>
      </w:r>
    </w:p>
    <w:p>
      <w:pPr>
        <w:spacing w:after="0" w:line="188" w:lineRule="exact"/>
        <w:rPr>
          <w:sz w:val="20"/>
          <w:szCs w:val="20"/>
          <w:color w:val="auto"/>
        </w:rPr>
      </w:pPr>
    </w:p>
    <w:p>
      <w:pPr>
        <w:ind w:right="40" w:firstLine="262"/>
        <w:spacing w:after="0" w:line="247" w:lineRule="auto"/>
        <w:rPr>
          <w:sz w:val="20"/>
          <w:szCs w:val="20"/>
          <w:color w:val="auto"/>
        </w:rPr>
      </w:pPr>
      <w:r>
        <w:rPr>
          <w:rFonts w:ascii="Arial" w:cs="Arial" w:eastAsia="Arial" w:hAnsi="Arial"/>
          <w:sz w:val="15"/>
          <w:szCs w:val="15"/>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transaction agreements limit our ability to take certain actions, including certain strategic transactions, if we do not remove Oil States as a party under certain of our contracts.</w:t>
      </w:r>
    </w:p>
    <w:p>
      <w:pPr>
        <w:spacing w:after="0" w:line="266" w:lineRule="exact"/>
        <w:rPr>
          <w:sz w:val="20"/>
          <w:szCs w:val="20"/>
          <w:color w:val="auto"/>
        </w:rPr>
      </w:pPr>
    </w:p>
    <w:p>
      <w:pPr>
        <w:ind w:right="120" w:firstLine="262"/>
        <w:spacing w:after="0" w:line="315" w:lineRule="auto"/>
        <w:rPr>
          <w:sz w:val="20"/>
          <w:szCs w:val="20"/>
          <w:color w:val="auto"/>
        </w:rPr>
      </w:pPr>
      <w:r>
        <w:rPr>
          <w:rFonts w:ascii="Arial" w:cs="Arial" w:eastAsia="Arial" w:hAnsi="Arial"/>
          <w:sz w:val="12"/>
          <w:szCs w:val="12"/>
          <w:color w:val="auto"/>
        </w:rPr>
        <w:t>Oil States is a party to certain of our contracts. Pursuant to the separation and distribution agreement, we have agreed to use our commercially reasonable efforts to remove Oil States as party to these contracts. In the event that we are unable to remove Oil States as a party, pursuant to the indemnification and release agreement,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 such person or entity has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agreed to indemnify Oil States for any liability under such contracts.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have significant tax liabilities for periods during which our subsidiaries and operations were those of Oil States.</w:t>
      </w:r>
    </w:p>
    <w:p>
      <w:pPr>
        <w:spacing w:after="0" w:line="177" w:lineRule="exact"/>
        <w:rPr>
          <w:sz w:val="20"/>
          <w:szCs w:val="20"/>
          <w:color w:val="auto"/>
        </w:rPr>
      </w:pPr>
    </w:p>
    <w:p>
      <w:pPr>
        <w:ind w:firstLine="262"/>
        <w:spacing w:after="0" w:line="263" w:lineRule="auto"/>
        <w:rPr>
          <w:sz w:val="20"/>
          <w:szCs w:val="20"/>
          <w:color w:val="auto"/>
        </w:rPr>
      </w:pPr>
      <w:r>
        <w:rPr>
          <w:rFonts w:ascii="Arial" w:cs="Arial" w:eastAsia="Arial" w:hAnsi="Arial"/>
          <w:sz w:val="14"/>
          <w:szCs w:val="14"/>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51" w:name="page252"/>
    <w:bookmarkEnd w:id="251"/>
    <w:p>
      <w:pPr>
        <w:ind w:right="60" w:firstLine="262"/>
        <w:spacing w:after="0" w:line="248" w:lineRule="auto"/>
        <w:rPr>
          <w:sz w:val="20"/>
          <w:szCs w:val="20"/>
          <w:color w:val="auto"/>
        </w:rPr>
      </w:pPr>
      <w:r>
        <w:rPr>
          <w:rFonts w:ascii="Arial" w:cs="Arial" w:eastAsia="Arial" w:hAnsi="Arial"/>
          <w:sz w:val="15"/>
          <w:szCs w:val="15"/>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61" w:lineRule="exact"/>
        <w:rPr>
          <w:sz w:val="20"/>
          <w:szCs w:val="20"/>
          <w:color w:val="auto"/>
        </w:rPr>
      </w:pPr>
    </w:p>
    <w:p>
      <w:pPr>
        <w:ind w:right="420" w:firstLine="262"/>
        <w:spacing w:after="0" w:line="251" w:lineRule="auto"/>
        <w:rPr>
          <w:sz w:val="20"/>
          <w:szCs w:val="20"/>
          <w:color w:val="auto"/>
        </w:rPr>
      </w:pPr>
      <w:r>
        <w:rPr>
          <w:rFonts w:ascii="Arial" w:cs="Arial" w:eastAsia="Arial" w:hAnsi="Arial"/>
          <w:sz w:val="15"/>
          <w:szCs w:val="15"/>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58" w:lineRule="exact"/>
        <w:rPr>
          <w:sz w:val="20"/>
          <w:szCs w:val="20"/>
          <w:color w:val="auto"/>
        </w:rPr>
      </w:pPr>
    </w:p>
    <w:p>
      <w:pPr>
        <w:ind w:right="340" w:firstLine="262"/>
        <w:spacing w:after="0" w:line="259" w:lineRule="auto"/>
        <w:rPr>
          <w:sz w:val="20"/>
          <w:szCs w:val="20"/>
          <w:color w:val="auto"/>
        </w:rPr>
      </w:pPr>
      <w:r>
        <w:rPr>
          <w:rFonts w:ascii="Arial" w:cs="Arial" w:eastAsia="Arial" w:hAnsi="Arial"/>
          <w:sz w:val="15"/>
          <w:szCs w:val="15"/>
          <w:color w:val="auto"/>
        </w:rPr>
        <w:t>The spin-off is conditioned on Oil States’ receipt of an opinion of its outside tax advisor reasonably acceptable to the Oil States board of directors regarding certain aspects of the spin-off transaction on which the IRS will not rule. Oil States will receive an opinion from its outside tax advisor to such effect.</w:t>
      </w:r>
    </w:p>
    <w:p>
      <w:pPr>
        <w:spacing w:after="0" w:line="152"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In addition, Oil States has received a private letter ruling from the IRS regarding certain aspects of the spin-off transaction. The private letter ruling relies, and the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 States and Our Company—Tax Sharing Agreement.”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seek to hold us responsible for liabilities of Oil States that we did not assume in our agreements.</w:t>
      </w:r>
    </w:p>
    <w:p>
      <w:pPr>
        <w:spacing w:after="0" w:line="177" w:lineRule="exact"/>
        <w:rPr>
          <w:sz w:val="20"/>
          <w:szCs w:val="20"/>
          <w:color w:val="auto"/>
        </w:rPr>
      </w:pPr>
    </w:p>
    <w:p>
      <w:pPr>
        <w:ind w:right="140" w:firstLine="262"/>
        <w:spacing w:after="0" w:line="251" w:lineRule="auto"/>
        <w:rPr>
          <w:sz w:val="20"/>
          <w:szCs w:val="20"/>
          <w:color w:val="auto"/>
        </w:rPr>
      </w:pPr>
      <w:r>
        <w:rPr>
          <w:rFonts w:ascii="Arial" w:cs="Arial" w:eastAsia="Arial" w:hAnsi="Arial"/>
          <w:sz w:val="15"/>
          <w:szCs w:val="15"/>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52" w:name="page253"/>
    <w:bookmarkEnd w:id="252"/>
    <w:p>
      <w:pPr>
        <w:spacing w:after="0"/>
        <w:rPr>
          <w:sz w:val="20"/>
          <w:szCs w:val="20"/>
          <w:color w:val="auto"/>
        </w:rPr>
      </w:pPr>
      <w:r>
        <w:rPr>
          <w:rFonts w:ascii="Arial" w:cs="Arial" w:eastAsia="Arial" w:hAnsi="Arial"/>
          <w:sz w:val="15"/>
          <w:szCs w:val="15"/>
          <w:b w:val="1"/>
          <w:bCs w:val="1"/>
          <w:i w:val="1"/>
          <w:iCs w:val="1"/>
          <w:color w:val="auto"/>
        </w:rPr>
        <w:t>Our prior and continuing relationship with Oil States exposes us to risks attributable to businesses of Oil States.</w:t>
      </w:r>
    </w:p>
    <w:p>
      <w:pPr>
        <w:spacing w:after="0" w:line="177" w:lineRule="exact"/>
        <w:rPr>
          <w:sz w:val="20"/>
          <w:szCs w:val="20"/>
          <w:color w:val="auto"/>
        </w:rPr>
      </w:pPr>
    </w:p>
    <w:p>
      <w:pPr>
        <w:ind w:right="120" w:firstLine="262"/>
        <w:spacing w:after="0" w:line="247" w:lineRule="auto"/>
        <w:rPr>
          <w:sz w:val="20"/>
          <w:szCs w:val="20"/>
          <w:color w:val="auto"/>
        </w:rPr>
      </w:pPr>
      <w:r>
        <w:rPr>
          <w:rFonts w:ascii="Arial" w:cs="Arial" w:eastAsia="Arial" w:hAnsi="Arial"/>
          <w:sz w:val="15"/>
          <w:szCs w:val="15"/>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62" w:lineRule="exact"/>
        <w:rPr>
          <w:sz w:val="20"/>
          <w:szCs w:val="20"/>
          <w:color w:val="auto"/>
        </w:rPr>
      </w:pPr>
    </w:p>
    <w:p>
      <w:pPr>
        <w:ind w:right="540"/>
        <w:spacing w:after="0" w:line="304" w:lineRule="auto"/>
        <w:rPr>
          <w:sz w:val="20"/>
          <w:szCs w:val="20"/>
          <w:color w:val="auto"/>
        </w:rPr>
      </w:pPr>
      <w:r>
        <w:rPr>
          <w:rFonts w:ascii="Arial" w:cs="Arial" w:eastAsia="Arial" w:hAnsi="Arial"/>
          <w:sz w:val="15"/>
          <w:szCs w:val="15"/>
          <w:b w:val="1"/>
          <w:bCs w:val="1"/>
          <w:i w:val="1"/>
          <w:iCs w:val="1"/>
          <w:color w:val="auto"/>
        </w:rPr>
        <w:t>Following the spin-off, we expect our board of directors to consider converting us to a REIT. If our board of directors approves our conversion to a REIT and if we qualify as a REIT, compliance with REIT requirements could have adverse consequences to us.</w:t>
      </w:r>
    </w:p>
    <w:p>
      <w:pPr>
        <w:spacing w:after="0" w:line="131" w:lineRule="exact"/>
        <w:rPr>
          <w:sz w:val="20"/>
          <w:szCs w:val="20"/>
          <w:color w:val="auto"/>
        </w:rPr>
      </w:pPr>
    </w:p>
    <w:p>
      <w:pPr>
        <w:ind w:right="60" w:firstLine="262"/>
        <w:spacing w:after="0" w:line="318" w:lineRule="auto"/>
        <w:rPr>
          <w:sz w:val="20"/>
          <w:szCs w:val="20"/>
          <w:color w:val="auto"/>
        </w:rPr>
      </w:pPr>
      <w:r>
        <w:rPr>
          <w:rFonts w:ascii="Arial" w:cs="Arial" w:eastAsia="Arial" w:hAnsi="Arial"/>
          <w:sz w:val="12"/>
          <w:szCs w:val="12"/>
          <w:color w:val="auto"/>
        </w:rPr>
        <w:t>Following the spin-off, we expect our board of directors to consider converting us to a real estate investment trust (“REIT”). Our board of directors may not approve our conversion to a REIT. If the board of directors does approve our conversion to a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maximize profits. For example, we may be required to pay distributions to shareholders at disadvantageous times or when we do not have funds readily available for distribution.</w:t>
      </w:r>
    </w:p>
    <w:p>
      <w:pPr>
        <w:spacing w:after="0" w:line="200" w:lineRule="exact"/>
        <w:rPr>
          <w:sz w:val="20"/>
          <w:szCs w:val="20"/>
          <w:color w:val="auto"/>
        </w:rPr>
      </w:pPr>
    </w:p>
    <w:p>
      <w:pPr>
        <w:ind w:right="40" w:firstLine="262"/>
        <w:spacing w:after="0" w:line="324" w:lineRule="auto"/>
        <w:rPr>
          <w:sz w:val="20"/>
          <w:szCs w:val="20"/>
          <w:color w:val="auto"/>
        </w:rPr>
      </w:pPr>
      <w:r>
        <w:rPr>
          <w:rFonts w:ascii="Arial" w:cs="Arial" w:eastAsia="Arial" w:hAnsi="Arial"/>
          <w:sz w:val="12"/>
          <w:szCs w:val="12"/>
          <w:color w:val="auto"/>
        </w:rPr>
        <w:t>A REIT is required to distribute 90% of its U.S. taxable income to its shareholders in the form of dividends. 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board may not pursue a REIT election or we may not be able to qualify as a REIT.</w:t>
      </w:r>
    </w:p>
    <w:p>
      <w:pPr>
        <w:spacing w:after="0" w:line="188" w:lineRule="exact"/>
        <w:rPr>
          <w:sz w:val="20"/>
          <w:szCs w:val="20"/>
          <w:color w:val="auto"/>
        </w:rPr>
      </w:pPr>
    </w:p>
    <w:p>
      <w:pPr>
        <w:ind w:right="20" w:firstLine="262"/>
        <w:spacing w:after="0" w:line="313" w:lineRule="auto"/>
        <w:rPr>
          <w:sz w:val="20"/>
          <w:szCs w:val="20"/>
          <w:color w:val="auto"/>
        </w:rPr>
      </w:pPr>
      <w:r>
        <w:rPr>
          <w:rFonts w:ascii="Arial" w:cs="Arial" w:eastAsia="Arial" w:hAnsi="Arial"/>
          <w:sz w:val="12"/>
          <w:szCs w:val="12"/>
          <w:color w:val="auto"/>
        </w:rPr>
        <w:t>Following the spin-off, we expect our board of directors to consider the viability and advisability of an election by Civeo to qualify and be taxed as a REIT for U.S. federal income tax purposes. In evaluating the REIT election, our board of directors will consider many factors, including, but not limited to, the impact on our ability to provide ancillary services, our ability to retain capital to organically grow our business or service our debt, the impact of a REIT election on the amount of our income taxes, as well as the impact on our cost and availability of capital and the valuation of our common stock. Following the evaluation of these factors by our board of directors, they may not pursue a REIT election. Further,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 lose our REIT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status, we will not receive the tax and other benefits associated with qualifying as a REIT.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spin-off may expose us to potential liabilities arising out of state and federal fraudulent conveyance laws and legal dividend requirements.</w:t>
      </w:r>
    </w:p>
    <w:p>
      <w:pPr>
        <w:spacing w:after="0" w:line="177"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53" w:name="page254"/>
    <w:bookmarkEnd w:id="253"/>
    <w:p>
      <w:pPr>
        <w:ind w:firstLine="262"/>
        <w:spacing w:after="0" w:line="330" w:lineRule="auto"/>
        <w:rPr>
          <w:sz w:val="20"/>
          <w:szCs w:val="20"/>
          <w:color w:val="auto"/>
        </w:rPr>
      </w:pPr>
      <w:r>
        <w:rPr>
          <w:rFonts w:ascii="Arial" w:cs="Arial" w:eastAsia="Arial" w:hAnsi="Arial"/>
          <w:sz w:val="12"/>
          <w:szCs w:val="12"/>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115" w:lineRule="exact"/>
        <w:rPr>
          <w:sz w:val="20"/>
          <w:szCs w:val="20"/>
          <w:color w:val="auto"/>
        </w:rPr>
      </w:pPr>
    </w:p>
    <w:p>
      <w:pPr>
        <w:ind w:right="80" w:firstLine="262"/>
        <w:spacing w:after="0" w:line="247" w:lineRule="auto"/>
        <w:rPr>
          <w:sz w:val="20"/>
          <w:szCs w:val="20"/>
          <w:color w:val="auto"/>
        </w:rPr>
      </w:pPr>
      <w:r>
        <w:rPr>
          <w:rFonts w:ascii="Arial" w:cs="Arial" w:eastAsia="Arial" w:hAnsi="Arial"/>
          <w:sz w:val="15"/>
          <w:szCs w:val="15"/>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Company—Separation and Distribution Agreement.”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 market currently exists for our common stock. We cannot assure you that an active trading market will develop for our common stock.</w:t>
      </w:r>
    </w:p>
    <w:p>
      <w:pPr>
        <w:spacing w:after="0" w:line="177"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5"/>
          <w:szCs w:val="15"/>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52" w:lineRule="exact"/>
        <w:rPr>
          <w:sz w:val="20"/>
          <w:szCs w:val="20"/>
          <w:color w:val="auto"/>
        </w:rPr>
      </w:pPr>
    </w:p>
    <w:p>
      <w:pPr>
        <w:ind w:right="420" w:firstLine="262"/>
        <w:spacing w:after="0" w:line="259" w:lineRule="auto"/>
        <w:rPr>
          <w:sz w:val="20"/>
          <w:szCs w:val="20"/>
          <w:color w:val="auto"/>
        </w:rPr>
      </w:pPr>
      <w:r>
        <w:rPr>
          <w:rFonts w:ascii="Arial" w:cs="Arial" w:eastAsia="Arial" w:hAnsi="Arial"/>
          <w:sz w:val="15"/>
          <w:szCs w:val="15"/>
          <w:color w:val="auto"/>
        </w:rPr>
        <w:t>The market price of our stock may be influenced by many factors, some of which are beyond our control, including those described above in “—Risks Related to Our Business” and the following:</w:t>
      </w:r>
    </w:p>
    <w:p>
      <w:pPr>
        <w:spacing w:after="0" w:line="152" w:lineRule="exact"/>
        <w:rPr>
          <w:sz w:val="20"/>
          <w:szCs w:val="20"/>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failure of securities analysts to cover our common stock after the spin-off or changes in financial estimates by analysts;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inability to meet the financial estimates of analysts who follow our common stock;</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joint marketing relationships, joint ventures or capital commitments;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variations in our quarterly operating results and those of our competitors;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general economic and stock market conditions;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risks related to our business and our industry, including those discussed above;</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changes in conditions or trends in our industry, markets or customers;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terrorist acts;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54" w:name="page255"/>
    <w:bookmarkEnd w:id="254"/>
    <w:p>
      <w:pPr>
        <w:ind w:left="540" w:hanging="270"/>
        <w:spacing w:after="0"/>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future sales of our common stock or other securities;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investor perceptions of the investment opportunity associated with our common stock relative to other investment alternatives.</w:t>
      </w:r>
    </w:p>
    <w:p>
      <w:pPr>
        <w:spacing w:after="0" w:line="177" w:lineRule="exact"/>
        <w:rPr>
          <w:sz w:val="20"/>
          <w:szCs w:val="20"/>
          <w:color w:val="auto"/>
        </w:rPr>
      </w:pPr>
    </w:p>
    <w:p>
      <w:pPr>
        <w:ind w:firstLine="262"/>
        <w:spacing w:after="0" w:line="251" w:lineRule="auto"/>
        <w:rPr>
          <w:sz w:val="20"/>
          <w:szCs w:val="20"/>
          <w:color w:val="auto"/>
        </w:rPr>
      </w:pPr>
      <w:r>
        <w:rPr>
          <w:rFonts w:ascii="Arial" w:cs="Arial" w:eastAsia="Arial" w:hAnsi="Arial"/>
          <w:sz w:val="15"/>
          <w:szCs w:val="15"/>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or the perception of future sales, of our common stock may depress the price of our common stock.</w:t>
      </w:r>
    </w:p>
    <w:p>
      <w:pPr>
        <w:spacing w:after="0" w:line="177" w:lineRule="exact"/>
        <w:rPr>
          <w:sz w:val="20"/>
          <w:szCs w:val="20"/>
          <w:color w:val="auto"/>
        </w:rPr>
      </w:pPr>
    </w:p>
    <w:p>
      <w:pPr>
        <w:ind w:right="20" w:firstLine="262"/>
        <w:spacing w:after="0" w:line="320" w:lineRule="auto"/>
        <w:rPr>
          <w:sz w:val="20"/>
          <w:szCs w:val="20"/>
          <w:color w:val="auto"/>
        </w:rPr>
      </w:pPr>
      <w:r>
        <w:rPr>
          <w:rFonts w:ascii="Arial" w:cs="Arial" w:eastAsia="Arial" w:hAnsi="Arial"/>
          <w:sz w:val="12"/>
          <w:szCs w:val="12"/>
          <w:color w:val="auto"/>
        </w:rPr>
        <w:t>Upon completion of the spin-off, we expect that we will have approximately 106,112,722 million shares of common stock outstanding, based on the number of shares of Oil States common stock expected to be outstanding as of the record date.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120" w:lineRule="exact"/>
        <w:rPr>
          <w:sz w:val="20"/>
          <w:szCs w:val="20"/>
          <w:color w:val="auto"/>
        </w:rPr>
      </w:pPr>
    </w:p>
    <w:p>
      <w:pPr>
        <w:ind w:right="560" w:firstLine="262"/>
        <w:spacing w:after="0" w:line="383" w:lineRule="auto"/>
        <w:rPr>
          <w:sz w:val="20"/>
          <w:szCs w:val="20"/>
          <w:color w:val="auto"/>
        </w:rPr>
      </w:pPr>
      <w:r>
        <w:rPr>
          <w:rFonts w:ascii="Arial" w:cs="Arial" w:eastAsia="Arial" w:hAnsi="Arial"/>
          <w:sz w:val="12"/>
          <w:szCs w:val="12"/>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52" w:lineRule="exact"/>
        <w:rPr>
          <w:sz w:val="20"/>
          <w:szCs w:val="20"/>
          <w:color w:val="auto"/>
        </w:rPr>
      </w:pPr>
    </w:p>
    <w:p>
      <w:pPr>
        <w:jc w:val="both"/>
        <w:ind w:right="200" w:firstLine="262"/>
        <w:spacing w:after="0" w:line="383" w:lineRule="auto"/>
        <w:rPr>
          <w:sz w:val="20"/>
          <w:szCs w:val="20"/>
          <w:color w:val="auto"/>
        </w:rPr>
      </w:pPr>
      <w:r>
        <w:rPr>
          <w:rFonts w:ascii="Arial" w:cs="Arial" w:eastAsia="Arial" w:hAnsi="Arial"/>
          <w:sz w:val="12"/>
          <w:szCs w:val="12"/>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cannot assure you that we will pay dividends on our common stock, and our indebtedness could limit our ability to pay dividends on our common stock.</w:t>
      </w:r>
    </w:p>
    <w:p>
      <w:pPr>
        <w:spacing w:after="0" w:line="177" w:lineRule="exact"/>
        <w:rPr>
          <w:sz w:val="20"/>
          <w:szCs w:val="20"/>
          <w:color w:val="auto"/>
        </w:rPr>
      </w:pPr>
    </w:p>
    <w:p>
      <w:pPr>
        <w:ind w:right="60" w:firstLine="262"/>
        <w:spacing w:after="0" w:line="324" w:lineRule="auto"/>
        <w:rPr>
          <w:sz w:val="20"/>
          <w:szCs w:val="20"/>
          <w:color w:val="auto"/>
        </w:rPr>
      </w:pPr>
      <w:r>
        <w:rPr>
          <w:rFonts w:ascii="Arial" w:cs="Arial" w:eastAsia="Arial" w:hAnsi="Arial"/>
          <w:sz w:val="12"/>
          <w:szCs w:val="12"/>
          <w:color w:val="auto"/>
        </w:rPr>
        <w:t>Our board of directors has approved a dividend policy pursuant to which, following the spin-off, we intend to pay a quarterly dividend in the amount of $0.13 per share, which we intend to commence payment of in the third quarter. However, the amount per share of our dividend payments may be changed in the future without advance notice.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 There can be no assurance that we will pay a dividend in the future or continue to pay any dividend if we do commence paying dividends.</w:t>
      </w:r>
    </w:p>
    <w:p>
      <w:pPr>
        <w:spacing w:after="0" w:line="118" w:lineRule="exact"/>
        <w:rPr>
          <w:sz w:val="20"/>
          <w:szCs w:val="20"/>
          <w:color w:val="auto"/>
        </w:rPr>
      </w:pPr>
    </w:p>
    <w:p>
      <w:pPr>
        <w:ind w:right="60"/>
        <w:spacing w:after="0" w:line="343" w:lineRule="auto"/>
        <w:rPr>
          <w:sz w:val="20"/>
          <w:szCs w:val="20"/>
          <w:color w:val="auto"/>
        </w:rPr>
      </w:pPr>
      <w:r>
        <w:rPr>
          <w:rFonts w:ascii="Arial" w:cs="Arial" w:eastAsia="Arial" w:hAnsi="Arial"/>
          <w:sz w:val="14"/>
          <w:szCs w:val="14"/>
          <w:b w:val="1"/>
          <w:bCs w:val="1"/>
          <w:i w:val="1"/>
          <w:iCs w:val="1"/>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108" w:lineRule="exact"/>
        <w:rPr>
          <w:sz w:val="20"/>
          <w:szCs w:val="20"/>
          <w:color w:val="auto"/>
        </w:rPr>
      </w:pPr>
    </w:p>
    <w:p>
      <w:pPr>
        <w:ind w:firstLine="262"/>
        <w:spacing w:after="0" w:line="313" w:lineRule="auto"/>
        <w:rPr>
          <w:sz w:val="20"/>
          <w:szCs w:val="20"/>
          <w:color w:val="auto"/>
        </w:rPr>
      </w:pPr>
      <w:r>
        <w:rPr>
          <w:rFonts w:ascii="Arial" w:cs="Arial" w:eastAsia="Arial" w:hAnsi="Arial"/>
          <w:sz w:val="12"/>
          <w:szCs w:val="12"/>
          <w:color w:val="auto"/>
        </w:rPr>
        <w:t>Provisions contained in our amended and restated certificate of incorporation and amended and restated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In addition, we are subject to Section 203 of the Delaware General Corporation Law (the “DGCL”), which may have an anti-takeover effect with respect to transactions not approved in advance by our board of directors, including discouraging takeover attempts that could have resulted in a premium over the market price for our shares of common</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stock. See “Description of Capital Stock—Anti-Takeover Effects of Provisions of our Amended and Restated Certificate of Incorporation, our Amended and Restated Bylaws and Delaware Law.”</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55" w:name="page256"/>
    <w:bookmarkEnd w:id="255"/>
    <w:p>
      <w:pPr>
        <w:ind w:right="120"/>
        <w:spacing w:after="0" w:line="383"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84"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152" w:lineRule="exact"/>
        <w:rPr>
          <w:sz w:val="20"/>
          <w:szCs w:val="20"/>
          <w:color w:val="auto"/>
        </w:rPr>
      </w:pPr>
    </w:p>
    <w:p>
      <w:pPr>
        <w:ind w:left="540" w:hanging="270"/>
        <w:spacing w:after="0"/>
        <w:tabs>
          <w:tab w:leader="none" w:pos="5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our amended and restated certificate of incorporation or our amended and restated bylaws, or</w:t>
      </w:r>
    </w:p>
    <w:p>
      <w:pPr>
        <w:spacing w:after="0" w:line="188" w:lineRule="exact"/>
        <w:rPr>
          <w:rFonts w:ascii="Arial" w:cs="Arial" w:eastAsia="Arial" w:hAnsi="Arial"/>
          <w:sz w:val="14"/>
          <w:szCs w:val="14"/>
          <w:color w:val="auto"/>
        </w:rPr>
      </w:pPr>
    </w:p>
    <w:p>
      <w:pPr>
        <w:ind w:left="540" w:right="660" w:hanging="270"/>
        <w:spacing w:after="0" w:line="259" w:lineRule="auto"/>
        <w:tabs>
          <w:tab w:leader="none" w:pos="5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52" w:lineRule="exact"/>
        <w:rPr>
          <w:sz w:val="20"/>
          <w:szCs w:val="20"/>
          <w:color w:val="auto"/>
        </w:rPr>
      </w:pPr>
    </w:p>
    <w:p>
      <w:pPr>
        <w:ind w:right="120" w:firstLine="262"/>
        <w:spacing w:after="0" w:line="324" w:lineRule="auto"/>
        <w:rPr>
          <w:sz w:val="20"/>
          <w:szCs w:val="20"/>
          <w:color w:val="auto"/>
        </w:rPr>
      </w:pPr>
      <w:r>
        <w:rPr>
          <w:rFonts w:ascii="Arial" w:cs="Arial" w:eastAsia="Arial" w:hAnsi="Arial"/>
          <w:sz w:val="12"/>
          <w:szCs w:val="12"/>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negatively affected as a result of the actions of activist shareholders.</w:t>
      </w:r>
    </w:p>
    <w:p>
      <w:pPr>
        <w:spacing w:after="0" w:line="177" w:lineRule="exact"/>
        <w:rPr>
          <w:sz w:val="20"/>
          <w:szCs w:val="20"/>
          <w:color w:val="auto"/>
        </w:rPr>
      </w:pPr>
    </w:p>
    <w:p>
      <w:pPr>
        <w:ind w:firstLine="262"/>
        <w:spacing w:after="0" w:line="315" w:lineRule="auto"/>
        <w:rPr>
          <w:sz w:val="20"/>
          <w:szCs w:val="20"/>
          <w:color w:val="auto"/>
        </w:rPr>
      </w:pPr>
      <w:r>
        <w:rPr>
          <w:rFonts w:ascii="Arial" w:cs="Arial" w:eastAsia="Arial" w:hAnsi="Arial"/>
          <w:sz w:val="12"/>
          <w:szCs w:val="12"/>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at least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81" w:lineRule="exact"/>
        <w:rPr>
          <w:sz w:val="20"/>
          <w:szCs w:val="20"/>
          <w:color w:val="auto"/>
        </w:rPr>
      </w:pPr>
    </w:p>
    <w:p>
      <w:pPr>
        <w:ind w:right="60" w:firstLine="262"/>
        <w:spacing w:after="0" w:line="317" w:lineRule="auto"/>
        <w:rPr>
          <w:sz w:val="20"/>
          <w:szCs w:val="20"/>
          <w:color w:val="auto"/>
        </w:rPr>
      </w:pPr>
      <w:r>
        <w:rPr>
          <w:rFonts w:ascii="Arial" w:cs="Arial" w:eastAsia="Arial" w:hAnsi="Arial"/>
          <w:sz w:val="12"/>
          <w:szCs w:val="12"/>
          <w:color w:val="auto"/>
        </w:rPr>
        <w:t>The information in this information statement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298" w:lineRule="exact"/>
        <w:rPr>
          <w:sz w:val="20"/>
          <w:szCs w:val="20"/>
          <w:color w:val="auto"/>
        </w:rPr>
      </w:pPr>
    </w:p>
    <w:p>
      <w:pPr>
        <w:jc w:val="both"/>
        <w:ind w:right="40" w:firstLine="262"/>
        <w:spacing w:after="0" w:line="343" w:lineRule="auto"/>
        <w:rPr>
          <w:sz w:val="20"/>
          <w:szCs w:val="20"/>
          <w:color w:val="auto"/>
        </w:rPr>
      </w:pPr>
      <w:r>
        <w:rPr>
          <w:rFonts w:ascii="Arial" w:cs="Arial" w:eastAsia="Arial" w:hAnsi="Arial"/>
          <w:sz w:val="12"/>
          <w:szCs w:val="12"/>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08" w:lineRule="exact"/>
        <w:rPr>
          <w:sz w:val="20"/>
          <w:szCs w:val="20"/>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level of supply and demand for oil, coal, natural gas and other minerals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level of activity and developments in the Canadian oil sands;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level of demand for coal and other natural resources from Australia;</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availability of attractive oil and natural gas field prospects, which may be affected by governmental actions or environmental activists which may restrict drilling</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fluctuations in the current and future prices of oil, coal and natural gas;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general global economic conditions and the pace of recovery from the recent recession;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global weather conditions and natural disasters;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other factors identified under the caption “Risk Factors” beginning on page 19 of this information statement.</w:t>
      </w:r>
    </w:p>
    <w:p>
      <w:pPr>
        <w:spacing w:after="0" w:line="177" w:lineRule="exact"/>
        <w:rPr>
          <w:sz w:val="20"/>
          <w:szCs w:val="20"/>
          <w:color w:val="auto"/>
        </w:rPr>
      </w:pPr>
    </w:p>
    <w:p>
      <w:pPr>
        <w:ind w:right="160" w:firstLine="262"/>
        <w:spacing w:after="0" w:line="259" w:lineRule="auto"/>
        <w:rPr>
          <w:sz w:val="20"/>
          <w:szCs w:val="20"/>
          <w:color w:val="auto"/>
        </w:rPr>
      </w:pPr>
      <w:r>
        <w:rPr>
          <w:rFonts w:ascii="Arial" w:cs="Arial" w:eastAsia="Arial" w:hAnsi="Arial"/>
          <w:sz w:val="15"/>
          <w:szCs w:val="15"/>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52"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52"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7" w:right="25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5"/>
          <w:szCs w:val="15"/>
          <w:b w:val="1"/>
          <w:bCs w:val="1"/>
          <w:color w:val="auto"/>
        </w:rPr>
        <w:t>THE SPIN-OFF</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Background</w:t>
      </w:r>
    </w:p>
    <w:p>
      <w:pPr>
        <w:spacing w:after="0" w:line="181" w:lineRule="exact"/>
        <w:rPr>
          <w:sz w:val="20"/>
          <w:szCs w:val="20"/>
          <w:color w:val="auto"/>
        </w:rPr>
      </w:pPr>
    </w:p>
    <w:p>
      <w:pPr>
        <w:ind w:right="60" w:firstLine="262"/>
        <w:spacing w:after="0" w:line="318" w:lineRule="auto"/>
        <w:rPr>
          <w:sz w:val="20"/>
          <w:szCs w:val="20"/>
          <w:color w:val="auto"/>
        </w:rPr>
      </w:pPr>
      <w:r>
        <w:rPr>
          <w:rFonts w:ascii="Arial" w:cs="Arial" w:eastAsia="Arial" w:hAnsi="Arial"/>
          <w:sz w:val="12"/>
          <w:szCs w:val="12"/>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 standalone, publicly traded company. On May 5, 2014, Oil States announced that its board of directors had unanimously approved the spin-off and the distribution of all of the stock of the new company to Oil States’ shareholders as of the record date of May 21, 2014. This authorization is subject to final approval by the Oil States board of directors, which approval is subject to, among other things, the conditions described below under “—Conditions to the Spin-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Off.”</w:t>
      </w:r>
    </w:p>
    <w:p>
      <w:pPr>
        <w:spacing w:after="0" w:line="188" w:lineRule="exact"/>
        <w:rPr>
          <w:sz w:val="20"/>
          <w:szCs w:val="20"/>
          <w:color w:val="auto"/>
        </w:rPr>
      </w:pPr>
    </w:p>
    <w:p>
      <w:pPr>
        <w:ind w:right="280" w:firstLine="262"/>
        <w:spacing w:after="0" w:line="332" w:lineRule="auto"/>
        <w:rPr>
          <w:sz w:val="20"/>
          <w:szCs w:val="20"/>
          <w:color w:val="auto"/>
        </w:rPr>
      </w:pPr>
      <w:r>
        <w:rPr>
          <w:rFonts w:ascii="Arial" w:cs="Arial" w:eastAsia="Arial" w:hAnsi="Arial"/>
          <w:sz w:val="12"/>
          <w:szCs w:val="12"/>
          <w:color w:val="auto"/>
        </w:rPr>
        <w:t>To complete the spin-off, Oil States will, following the restructuring transactions described below, distribute to its stockholders all of the shares of our common stock. The distribution will occur on the distribution date, which is May 30, 2014. Each holder of Oil States common stock will receive two shares of our common stock for each share of Oil States common stock held by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such stockholder at the close of business on May 21, 2014, the record date. After completion of the spin-off, the accommodations business will be an independent publicly traded company.</w:t>
      </w:r>
    </w:p>
    <w:p>
      <w:pPr>
        <w:spacing w:after="0" w:line="223" w:lineRule="exact"/>
        <w:rPr>
          <w:sz w:val="20"/>
          <w:szCs w:val="20"/>
          <w:color w:val="auto"/>
        </w:rPr>
      </w:pPr>
    </w:p>
    <w:p>
      <w:pPr>
        <w:ind w:right="160" w:firstLine="262"/>
        <w:spacing w:after="0" w:line="259" w:lineRule="auto"/>
        <w:rPr>
          <w:sz w:val="20"/>
          <w:szCs w:val="20"/>
          <w:color w:val="auto"/>
        </w:rPr>
      </w:pPr>
      <w:r>
        <w:rPr>
          <w:rFonts w:ascii="Arial" w:cs="Arial" w:eastAsia="Arial" w:hAnsi="Arial"/>
          <w:sz w:val="15"/>
          <w:szCs w:val="15"/>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52" w:lineRule="exact"/>
        <w:rPr>
          <w:sz w:val="20"/>
          <w:szCs w:val="20"/>
          <w:color w:val="auto"/>
        </w:rPr>
      </w:pPr>
    </w:p>
    <w:p>
      <w:pPr>
        <w:ind w:right="360" w:firstLine="262"/>
        <w:spacing w:after="0" w:line="343" w:lineRule="auto"/>
        <w:rPr>
          <w:sz w:val="20"/>
          <w:szCs w:val="20"/>
          <w:color w:val="auto"/>
        </w:rPr>
      </w:pPr>
      <w:r>
        <w:rPr>
          <w:rFonts w:ascii="Arial" w:cs="Arial" w:eastAsia="Arial" w:hAnsi="Arial"/>
          <w:sz w:val="12"/>
          <w:szCs w:val="12"/>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Reasons for the Spin-Off</w:t>
      </w:r>
    </w:p>
    <w:p>
      <w:pPr>
        <w:spacing w:after="0" w:line="181" w:lineRule="exact"/>
        <w:rPr>
          <w:sz w:val="20"/>
          <w:szCs w:val="20"/>
          <w:color w:val="auto"/>
        </w:rPr>
      </w:pPr>
    </w:p>
    <w:p>
      <w:pPr>
        <w:ind w:right="60" w:firstLine="262"/>
        <w:spacing w:after="0" w:line="248" w:lineRule="auto"/>
        <w:rPr>
          <w:sz w:val="20"/>
          <w:szCs w:val="20"/>
          <w:color w:val="auto"/>
        </w:rPr>
      </w:pPr>
      <w:r>
        <w:rPr>
          <w:rFonts w:ascii="Arial" w:cs="Arial" w:eastAsia="Arial" w:hAnsi="Arial"/>
          <w:sz w:val="15"/>
          <w:szCs w:val="15"/>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Civeo’s market recognition with investors because of more focused operations; (4) establishing an acquisition currency for Civeo and (5) enhancing our ability to attract and retain key employees.</w:t>
      </w:r>
    </w:p>
    <w:p>
      <w:pPr>
        <w:spacing w:after="0" w:line="161" w:lineRule="exact"/>
        <w:rPr>
          <w:sz w:val="20"/>
          <w:szCs w:val="20"/>
          <w:color w:val="auto"/>
        </w:rPr>
      </w:pPr>
    </w:p>
    <w:p>
      <w:pPr>
        <w:ind w:firstLine="262"/>
        <w:spacing w:after="0" w:line="320" w:lineRule="auto"/>
        <w:rPr>
          <w:sz w:val="20"/>
          <w:szCs w:val="20"/>
          <w:color w:val="auto"/>
        </w:rPr>
      </w:pPr>
      <w:r>
        <w:rPr>
          <w:rFonts w:ascii="Arial" w:cs="Arial" w:eastAsia="Arial" w:hAnsi="Arial"/>
          <w:sz w:val="12"/>
          <w:szCs w:val="12"/>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2"/>
          <w:szCs w:val="12"/>
          <w:color w:val="auto"/>
        </w:rPr>
        <w:t>. Our accommodations</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and the oilfield services business of Oil States have different financial and operating characteristics and as a result 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120" w:lineRule="exact"/>
        <w:rPr>
          <w:sz w:val="20"/>
          <w:szCs w:val="20"/>
          <w:color w:val="auto"/>
        </w:rPr>
      </w:pPr>
    </w:p>
    <w:p>
      <w:pPr>
        <w:ind w:right="60" w:firstLine="262"/>
        <w:spacing w:after="0" w:line="247" w:lineRule="auto"/>
        <w:rPr>
          <w:sz w:val="20"/>
          <w:szCs w:val="20"/>
          <w:color w:val="auto"/>
        </w:rPr>
      </w:pPr>
      <w:r>
        <w:rPr>
          <w:rFonts w:ascii="Arial" w:cs="Arial" w:eastAsia="Arial" w:hAnsi="Arial"/>
          <w:sz w:val="15"/>
          <w:szCs w:val="15"/>
          <w:color w:val="auto"/>
        </w:rPr>
        <w:t>As separate public companies, Oil States and we will be able to provide incentive compensation including stock related compensation, to key management and employees that is more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58" w:name="page259"/>
    <w:bookmarkEnd w:id="258"/>
    <w:p>
      <w:pPr>
        <w:ind w:firstLine="262"/>
        <w:spacing w:after="0" w:line="265" w:lineRule="auto"/>
        <w:rPr>
          <w:sz w:val="20"/>
          <w:szCs w:val="20"/>
          <w:color w:val="auto"/>
        </w:rPr>
      </w:pPr>
      <w:r>
        <w:rPr>
          <w:rFonts w:ascii="Arial" w:cs="Arial" w:eastAsia="Arial" w:hAnsi="Arial"/>
          <w:sz w:val="14"/>
          <w:szCs w:val="14"/>
          <w:i w:val="1"/>
          <w:iCs w:val="1"/>
          <w:color w:val="auto"/>
        </w:rPr>
        <w:t>Improving access to capital to fund internal and external expansion</w:t>
      </w:r>
      <w:r>
        <w:rPr>
          <w:rFonts w:ascii="Arial" w:cs="Arial" w:eastAsia="Arial" w:hAnsi="Arial"/>
          <w:sz w:val="14"/>
          <w:szCs w:val="14"/>
          <w:color w:val="auto"/>
        </w:rPr>
        <w:t>. As a separate public company, we will no longer need to compete with Oil States’ other businesses for capital resources.</w:t>
      </w:r>
      <w:r>
        <w:rPr>
          <w:rFonts w:ascii="Arial" w:cs="Arial" w:eastAsia="Arial" w:hAnsi="Arial"/>
          <w:sz w:val="14"/>
          <w:szCs w:val="14"/>
          <w:i w:val="1"/>
          <w:iCs w:val="1"/>
          <w:color w:val="auto"/>
        </w:rPr>
        <w:t xml:space="preserve"> </w:t>
      </w:r>
      <w:r>
        <w:rPr>
          <w:rFonts w:ascii="Arial" w:cs="Arial" w:eastAsia="Arial" w:hAnsi="Arial"/>
          <w:sz w:val="14"/>
          <w:szCs w:val="14"/>
          <w:color w:val="auto"/>
        </w:rPr>
        <w:t>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52" w:lineRule="exact"/>
        <w:rPr>
          <w:sz w:val="20"/>
          <w:szCs w:val="20"/>
          <w:color w:val="auto"/>
        </w:rPr>
      </w:pPr>
    </w:p>
    <w:p>
      <w:pPr>
        <w:ind w:firstLine="262"/>
        <w:spacing w:after="0" w:line="266" w:lineRule="auto"/>
        <w:rPr>
          <w:sz w:val="20"/>
          <w:szCs w:val="20"/>
          <w:color w:val="auto"/>
        </w:rPr>
      </w:pPr>
      <w:r>
        <w:rPr>
          <w:rFonts w:ascii="Arial" w:cs="Arial" w:eastAsia="Arial" w:hAnsi="Arial"/>
          <w:sz w:val="14"/>
          <w:szCs w:val="14"/>
          <w:i w:val="1"/>
          <w:iCs w:val="1"/>
          <w:color w:val="auto"/>
        </w:rPr>
        <w:t>Enhancing our market recognition with investors because of more focused operations</w:t>
      </w:r>
      <w:r>
        <w:rPr>
          <w:rFonts w:ascii="Arial" w:cs="Arial" w:eastAsia="Arial" w:hAnsi="Arial"/>
          <w:sz w:val="14"/>
          <w:szCs w:val="14"/>
          <w:color w:val="auto"/>
        </w:rPr>
        <w:t>. Oil States’ management and financial advisors believe that the investment characteristics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Civeo’s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50" w:lineRule="exact"/>
        <w:rPr>
          <w:sz w:val="20"/>
          <w:szCs w:val="20"/>
          <w:color w:val="auto"/>
        </w:rPr>
      </w:pPr>
    </w:p>
    <w:p>
      <w:pPr>
        <w:ind w:right="200" w:firstLine="262"/>
        <w:spacing w:after="0" w:line="247" w:lineRule="auto"/>
        <w:rPr>
          <w:sz w:val="20"/>
          <w:szCs w:val="20"/>
          <w:color w:val="auto"/>
        </w:rPr>
      </w:pPr>
      <w:r>
        <w:rPr>
          <w:rFonts w:ascii="Arial" w:cs="Arial" w:eastAsia="Arial" w:hAnsi="Arial"/>
          <w:sz w:val="15"/>
          <w:szCs w:val="15"/>
          <w:i w:val="1"/>
          <w:iCs w:val="1"/>
          <w:color w:val="auto"/>
        </w:rPr>
        <w:t>Establishing an acquisition currency for Civeo</w:t>
      </w:r>
      <w:r>
        <w:rPr>
          <w:rFonts w:ascii="Arial" w:cs="Arial" w:eastAsia="Arial" w:hAnsi="Arial"/>
          <w:sz w:val="15"/>
          <w:szCs w:val="15"/>
          <w:color w:val="auto"/>
        </w:rPr>
        <w:t>. As a standalone accommodations company, we will be better positioned to use our equity securities as capital in pursuing merger and</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for a period of two years. This limitation is necessary in order to maintain the tax-free treatment of our separation from Oil States.</w:t>
      </w:r>
    </w:p>
    <w:p>
      <w:pPr>
        <w:spacing w:after="0" w:line="162" w:lineRule="exact"/>
        <w:rPr>
          <w:sz w:val="20"/>
          <w:szCs w:val="20"/>
          <w:color w:val="auto"/>
        </w:rPr>
      </w:pPr>
    </w:p>
    <w:p>
      <w:pPr>
        <w:ind w:right="40" w:firstLine="262"/>
        <w:spacing w:after="0" w:line="247" w:lineRule="auto"/>
        <w:rPr>
          <w:sz w:val="20"/>
          <w:szCs w:val="20"/>
          <w:color w:val="auto"/>
        </w:rPr>
      </w:pPr>
      <w:r>
        <w:rPr>
          <w:rFonts w:ascii="Arial" w:cs="Arial" w:eastAsia="Arial" w:hAnsi="Arial"/>
          <w:sz w:val="15"/>
          <w:szCs w:val="15"/>
          <w:i w:val="1"/>
          <w:iCs w:val="1"/>
          <w:color w:val="auto"/>
        </w:rPr>
        <w:t>Enhancing our ability to attract and retain key employees</w:t>
      </w:r>
      <w:r>
        <w:rPr>
          <w:rFonts w:ascii="Arial" w:cs="Arial" w:eastAsia="Arial" w:hAnsi="Arial"/>
          <w:sz w:val="15"/>
          <w:szCs w:val="15"/>
          <w:color w:val="auto"/>
        </w:rPr>
        <w:t>. We believe that separating the oilfield services business from the accommodations business should improve both businesses ability</w:t>
      </w:r>
      <w:r>
        <w:rPr>
          <w:rFonts w:ascii="Arial" w:cs="Arial" w:eastAsia="Arial" w:hAnsi="Arial"/>
          <w:sz w:val="15"/>
          <w:szCs w:val="15"/>
          <w:i w:val="1"/>
          <w:iCs w:val="1"/>
          <w:color w:val="auto"/>
        </w:rPr>
        <w:t xml:space="preserve"> </w:t>
      </w:r>
      <w:r>
        <w:rPr>
          <w:rFonts w:ascii="Arial" w:cs="Arial" w:eastAsia="Arial" w:hAnsi="Arial"/>
          <w:sz w:val="15"/>
          <w:szCs w:val="15"/>
          <w:color w:val="auto"/>
        </w:rPr>
        <w:t>to attract key employees with specialized skill sets. As a result of the spin-off, Oil States and Civeo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Civeo will be better able to attract management from the hospitality, real estate and business services sectors as a separate company.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Restructuring Transactions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part of the spin-off, we will consummate certain restructuring transactions as follows:</w:t>
      </w:r>
    </w:p>
    <w:p>
      <w:pPr>
        <w:spacing w:after="0" w:line="177" w:lineRule="exact"/>
        <w:rPr>
          <w:sz w:val="20"/>
          <w:szCs w:val="20"/>
          <w:color w:val="auto"/>
        </w:rPr>
      </w:pPr>
    </w:p>
    <w:p>
      <w:pPr>
        <w:ind w:left="540" w:right="20" w:hanging="270"/>
        <w:spacing w:after="0" w:line="324" w:lineRule="auto"/>
        <w:tabs>
          <w:tab w:leader="none" w:pos="5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See “Description of Material Indebtedness”;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59" w:name="page260"/>
    <w:bookmarkEnd w:id="259"/>
    <w:p>
      <w:pPr>
        <w:ind w:left="540" w:right="260" w:hanging="270"/>
        <w:spacing w:after="0" w:line="259" w:lineRule="auto"/>
        <w:tabs>
          <w:tab w:leader="none" w:pos="5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Oil States will contribute and transfer to us the assets and liabilities associated with our business in exchange for approximately 106,112,722 shares of our common stock, based on the number of shares of Oil States common stock expected to be outstanding as of the record date;</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We will pay a special dividend of $750.0 million to Oil States;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Our special dividend will generally settle the intercompany account balances and debt between us and Oil States.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Manner of Effecting the Spin-Off</w:t>
      </w:r>
    </w:p>
    <w:p>
      <w:pPr>
        <w:spacing w:after="0" w:line="181" w:lineRule="exact"/>
        <w:rPr>
          <w:sz w:val="20"/>
          <w:szCs w:val="20"/>
          <w:color w:val="auto"/>
        </w:rPr>
      </w:pPr>
    </w:p>
    <w:p>
      <w:pPr>
        <w:jc w:val="both"/>
        <w:ind w:firstLine="262"/>
        <w:spacing w:after="0" w:line="323" w:lineRule="auto"/>
        <w:rPr>
          <w:sz w:val="20"/>
          <w:szCs w:val="20"/>
          <w:color w:val="auto"/>
        </w:rPr>
      </w:pPr>
      <w:r>
        <w:rPr>
          <w:rFonts w:ascii="Arial" w:cs="Arial" w:eastAsia="Arial" w:hAnsi="Arial"/>
          <w:sz w:val="12"/>
          <w:szCs w:val="12"/>
          <w:color w:val="auto"/>
        </w:rPr>
        <w:t>The general terms and conditions relating to the spin-off will be set forth in a separation and distribution agreement between us and Oil States. Under the separation and distribution agreement, the distribution will be effective as of 11:59 p.m., Eastern Time, on May 30, 2014, the distribution date. As a result of the spin-off, on the distribution date, each holder of Oil States common stock will receive two shares of our common stock for each share of Oil States common stock owned. In order to receive shares of our common stock in the spin-off, an Oil States stockholder must be</w:t>
      </w:r>
    </w:p>
    <w:p>
      <w:pPr>
        <w:spacing w:after="0"/>
        <w:rPr>
          <w:sz w:val="20"/>
          <w:szCs w:val="20"/>
          <w:color w:val="auto"/>
        </w:rPr>
      </w:pPr>
      <w:r>
        <w:rPr>
          <w:rFonts w:ascii="Arial" w:cs="Arial" w:eastAsia="Arial" w:hAnsi="Arial"/>
          <w:sz w:val="15"/>
          <w:szCs w:val="15"/>
          <w:color w:val="auto"/>
        </w:rPr>
        <w:t>stockholder at the close of business of the NYSE on May 21, 2014, the record date.</w:t>
      </w:r>
    </w:p>
    <w:p>
      <w:pPr>
        <w:spacing w:after="0" w:line="188" w:lineRule="exact"/>
        <w:rPr>
          <w:sz w:val="20"/>
          <w:szCs w:val="20"/>
          <w:color w:val="auto"/>
        </w:rPr>
      </w:pPr>
    </w:p>
    <w:p>
      <w:pPr>
        <w:ind w:right="20" w:firstLine="262"/>
        <w:spacing w:after="0" w:line="315" w:lineRule="auto"/>
        <w:rPr>
          <w:sz w:val="20"/>
          <w:szCs w:val="20"/>
          <w:color w:val="auto"/>
        </w:rPr>
      </w:pPr>
      <w:r>
        <w:rPr>
          <w:rFonts w:ascii="Arial" w:cs="Arial" w:eastAsia="Arial" w:hAnsi="Arial"/>
          <w:sz w:val="12"/>
          <w:szCs w:val="12"/>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Following the spin-off, stockholders whose shares are held in book-entry form may request that their shares of our common stock be transferred to a brokerage or other account at any time.</w:t>
      </w:r>
    </w:p>
    <w:p>
      <w:pPr>
        <w:spacing w:after="0" w:line="125" w:lineRule="exact"/>
        <w:rPr>
          <w:sz w:val="20"/>
          <w:szCs w:val="20"/>
          <w:color w:val="auto"/>
        </w:rPr>
      </w:pPr>
    </w:p>
    <w:p>
      <w:pPr>
        <w:ind w:right="20" w:firstLine="262"/>
        <w:spacing w:after="0" w:line="251" w:lineRule="auto"/>
        <w:rPr>
          <w:sz w:val="20"/>
          <w:szCs w:val="20"/>
          <w:color w:val="auto"/>
        </w:rPr>
      </w:pPr>
      <w:r>
        <w:rPr>
          <w:rFonts w:ascii="Arial" w:cs="Arial" w:eastAsia="Arial" w:hAnsi="Arial"/>
          <w:sz w:val="15"/>
          <w:szCs w:val="15"/>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U.S. Federal Income Tax Consequences of the Spin-Off</w:t>
      </w:r>
    </w:p>
    <w:p>
      <w:pPr>
        <w:spacing w:after="0" w:line="181" w:lineRule="exact"/>
        <w:rPr>
          <w:sz w:val="20"/>
          <w:szCs w:val="20"/>
          <w:color w:val="auto"/>
        </w:rPr>
      </w:pPr>
    </w:p>
    <w:p>
      <w:pPr>
        <w:ind w:right="120" w:firstLine="262"/>
        <w:spacing w:after="0" w:line="343" w:lineRule="auto"/>
        <w:rPr>
          <w:sz w:val="20"/>
          <w:szCs w:val="20"/>
          <w:color w:val="auto"/>
        </w:rPr>
      </w:pPr>
      <w:r>
        <w:rPr>
          <w:rFonts w:ascii="Arial" w:cs="Arial" w:eastAsia="Arial" w:hAnsi="Arial"/>
          <w:sz w:val="12"/>
          <w:szCs w:val="12"/>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108" w:lineRule="exact"/>
        <w:rPr>
          <w:sz w:val="20"/>
          <w:szCs w:val="20"/>
          <w:color w:val="auto"/>
        </w:rPr>
      </w:pPr>
    </w:p>
    <w:p>
      <w:pPr>
        <w:ind w:right="120" w:firstLine="262"/>
        <w:spacing w:after="0" w:line="259" w:lineRule="auto"/>
        <w:rPr>
          <w:sz w:val="20"/>
          <w:szCs w:val="20"/>
          <w:color w:val="auto"/>
        </w:rPr>
      </w:pPr>
      <w:r>
        <w:rPr>
          <w:rFonts w:ascii="Arial" w:cs="Arial" w:eastAsia="Arial" w:hAnsi="Arial"/>
          <w:sz w:val="15"/>
          <w:szCs w:val="15"/>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52" w:lineRule="exact"/>
        <w:rPr>
          <w:sz w:val="20"/>
          <w:szCs w:val="20"/>
          <w:color w:val="auto"/>
        </w:rPr>
      </w:pPr>
    </w:p>
    <w:p>
      <w:pPr>
        <w:ind w:left="540" w:hanging="270"/>
        <w:spacing w:after="0"/>
        <w:tabs>
          <w:tab w:leader="none" w:pos="5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77" w:lineRule="exact"/>
        <w:rPr>
          <w:rFonts w:ascii="Arial" w:cs="Arial" w:eastAsia="Arial" w:hAnsi="Arial"/>
          <w:sz w:val="15"/>
          <w:szCs w:val="15"/>
          <w:color w:val="auto"/>
        </w:rPr>
      </w:pPr>
    </w:p>
    <w:p>
      <w:pPr>
        <w:ind w:left="540" w:right="120" w:hanging="270"/>
        <w:spacing w:after="0" w:line="259" w:lineRule="auto"/>
        <w:tabs>
          <w:tab w:leader="none" w:pos="5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or under the laws of the United States, any state thereof or the District of Columbia;</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taxation regardless of its source; 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260" w:name="page261"/>
    <w:bookmarkEnd w:id="260"/>
    <w:p>
      <w:pPr>
        <w:ind w:left="540" w:right="40" w:hanging="270"/>
        <w:spacing w:after="0" w:line="383" w:lineRule="auto"/>
        <w:tabs>
          <w:tab w:leader="none" w:pos="54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84" w:lineRule="exact"/>
        <w:rPr>
          <w:sz w:val="20"/>
          <w:szCs w:val="20"/>
          <w:color w:val="auto"/>
        </w:rPr>
      </w:pPr>
    </w:p>
    <w:p>
      <w:pPr>
        <w:ind w:right="180" w:firstLine="262"/>
        <w:spacing w:after="0" w:line="259" w:lineRule="auto"/>
        <w:rPr>
          <w:sz w:val="20"/>
          <w:szCs w:val="20"/>
          <w:color w:val="auto"/>
        </w:rPr>
      </w:pPr>
      <w:r>
        <w:rPr>
          <w:rFonts w:ascii="Arial" w:cs="Arial" w:eastAsia="Arial" w:hAnsi="Arial"/>
          <w:sz w:val="15"/>
          <w:szCs w:val="15"/>
          <w:color w:val="auto"/>
        </w:rPr>
        <w:t>A non-U.S. holder is a beneficial owner (other than an entity treated as a partnership or other pass-through entity for U.S. federal income tax purposes) of shares of Oil States common stock who is not a U.S. holder.</w:t>
      </w:r>
    </w:p>
    <w:p>
      <w:pPr>
        <w:spacing w:after="0" w:line="152"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52" w:lineRule="exact"/>
        <w:rPr>
          <w:sz w:val="20"/>
          <w:szCs w:val="20"/>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dealers or traders in securities or currencies;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banks, financial institutions, or insurance companies;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regulated investment companies, real estate investment trusts, or grantor trusts;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certain former citizens or long-term residents of the United States;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tax-exempt entities;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traders in securities that elect to use a mark-to-market method of accounting for their securities;</w:t>
      </w:r>
    </w:p>
    <w:p>
      <w:pPr>
        <w:spacing w:after="0" w:line="177" w:lineRule="exact"/>
        <w:rPr>
          <w:rFonts w:ascii="Arial" w:cs="Arial" w:eastAsia="Arial" w:hAnsi="Arial"/>
          <w:sz w:val="15"/>
          <w:szCs w:val="15"/>
          <w:color w:val="auto"/>
        </w:rPr>
      </w:pPr>
    </w:p>
    <w:p>
      <w:pPr>
        <w:ind w:left="540" w:right="340" w:hanging="270"/>
        <w:spacing w:after="0" w:line="259" w:lineRule="auto"/>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holders who acquired our common stock pursuant to the exercise of employee stock options or otherwise as compensation;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U.S. holders whose “functional currency” is not the U.S. dollar;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holders who are subject to alternative minimum tax consequences; or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partnerships or other pass-through entities and investors in such entities.</w:t>
      </w:r>
    </w:p>
    <w:p>
      <w:pPr>
        <w:spacing w:after="0" w:line="177" w:lineRule="exact"/>
        <w:rPr>
          <w:sz w:val="20"/>
          <w:szCs w:val="20"/>
          <w:color w:val="auto"/>
        </w:rPr>
      </w:pPr>
    </w:p>
    <w:p>
      <w:pPr>
        <w:ind w:right="100" w:firstLine="262"/>
        <w:spacing w:after="0" w:line="259" w:lineRule="auto"/>
        <w:rPr>
          <w:sz w:val="20"/>
          <w:szCs w:val="20"/>
          <w:color w:val="auto"/>
        </w:rPr>
      </w:pPr>
      <w:r>
        <w:rPr>
          <w:rFonts w:ascii="Arial" w:cs="Arial" w:eastAsia="Arial" w:hAnsi="Arial"/>
          <w:sz w:val="15"/>
          <w:szCs w:val="15"/>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52"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5"/>
          <w:szCs w:val="15"/>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Tax-free Status of the Distribution</w:t>
      </w:r>
    </w:p>
    <w:p>
      <w:pPr>
        <w:spacing w:after="0" w:line="177" w:lineRule="exact"/>
        <w:rPr>
          <w:sz w:val="20"/>
          <w:szCs w:val="20"/>
          <w:color w:val="auto"/>
        </w:rPr>
      </w:pPr>
    </w:p>
    <w:p>
      <w:pPr>
        <w:ind w:right="60" w:firstLine="262"/>
        <w:spacing w:after="0" w:line="383" w:lineRule="auto"/>
        <w:rPr>
          <w:sz w:val="20"/>
          <w:szCs w:val="20"/>
          <w:color w:val="auto"/>
        </w:rPr>
      </w:pPr>
      <w:r>
        <w:rPr>
          <w:rFonts w:ascii="Arial" w:cs="Arial" w:eastAsia="Arial" w:hAnsi="Arial"/>
          <w:sz w:val="12"/>
          <w:szCs w:val="12"/>
          <w:color w:val="auto"/>
        </w:rPr>
        <w:t>Oil States (i) has received a private letter ruling substantially to the effect that, among other things, the distribution will qualify under Section 355 of the Code as a tax-free distribution and (ii) will receive an opinion from its tax counsel regarding certain aspects of the spin-off transaction on which the IRS will not rule. Because the distribution will qualify as a tax-free distribution,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61" w:name="page262"/>
    <w:bookmarkEnd w:id="261"/>
    <w:p>
      <w:pPr>
        <w:ind w:left="540" w:hanging="270"/>
        <w:spacing w:after="0"/>
        <w:tabs>
          <w:tab w:leader="none" w:pos="540" w:val="left"/>
        </w:tabs>
        <w:numPr>
          <w:ilvl w:val="0"/>
          <w:numId w:val="263"/>
        </w:numPr>
        <w:rPr>
          <w:rFonts w:ascii="Arial" w:cs="Arial" w:eastAsia="Arial" w:hAnsi="Arial"/>
          <w:sz w:val="12"/>
          <w:szCs w:val="12"/>
          <w:color w:val="auto"/>
        </w:rPr>
      </w:pPr>
      <w:r>
        <w:rPr>
          <w:rFonts w:ascii="Arial" w:cs="Arial" w:eastAsia="Arial" w:hAnsi="Arial"/>
          <w:sz w:val="12"/>
          <w:szCs w:val="12"/>
          <w:color w:val="auto"/>
        </w:rPr>
        <w:t>no gain or loss will be recognized by, and no amount will be included in the income of, Oil States stockholders upon their receipt of shares of our common stock in the distribution;</w:t>
      </w:r>
    </w:p>
    <w:p>
      <w:pPr>
        <w:spacing w:after="0" w:line="211" w:lineRule="exact"/>
        <w:rPr>
          <w:rFonts w:ascii="Arial" w:cs="Arial" w:eastAsia="Arial" w:hAnsi="Arial"/>
          <w:sz w:val="12"/>
          <w:szCs w:val="12"/>
          <w:color w:val="auto"/>
        </w:rPr>
      </w:pPr>
    </w:p>
    <w:p>
      <w:pPr>
        <w:ind w:left="540" w:right="140" w:hanging="270"/>
        <w:spacing w:after="0" w:line="259" w:lineRule="auto"/>
        <w:tabs>
          <w:tab w:leader="none" w:pos="5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152" w:lineRule="exact"/>
        <w:rPr>
          <w:rFonts w:ascii="Arial" w:cs="Arial" w:eastAsia="Arial" w:hAnsi="Arial"/>
          <w:sz w:val="15"/>
          <w:szCs w:val="15"/>
          <w:color w:val="auto"/>
        </w:rPr>
      </w:pPr>
    </w:p>
    <w:p>
      <w:pPr>
        <w:ind w:left="540" w:right="360" w:hanging="270"/>
        <w:spacing w:after="0" w:line="259" w:lineRule="auto"/>
        <w:tabs>
          <w:tab w:leader="none" w:pos="5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 and</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no gain or loss will be recognized by Oil States upon the distribution of our common stock.</w:t>
      </w:r>
    </w:p>
    <w:p>
      <w:pPr>
        <w:spacing w:after="0" w:line="177" w:lineRule="exact"/>
        <w:rPr>
          <w:sz w:val="20"/>
          <w:szCs w:val="20"/>
          <w:color w:val="auto"/>
        </w:rPr>
      </w:pPr>
    </w:p>
    <w:p>
      <w:pPr>
        <w:ind w:right="160" w:firstLine="262"/>
        <w:spacing w:after="0" w:line="324" w:lineRule="auto"/>
        <w:rPr>
          <w:sz w:val="20"/>
          <w:szCs w:val="20"/>
          <w:color w:val="auto"/>
        </w:rPr>
      </w:pPr>
      <w:r>
        <w:rPr>
          <w:rFonts w:ascii="Arial" w:cs="Arial" w:eastAsia="Arial" w:hAnsi="Arial"/>
          <w:sz w:val="12"/>
          <w:szCs w:val="12"/>
          <w:color w:val="auto"/>
        </w:rPr>
        <w:t>The private letter ruling relies, and the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118" w:lineRule="exact"/>
        <w:rPr>
          <w:sz w:val="20"/>
          <w:szCs w:val="20"/>
          <w:color w:val="auto"/>
        </w:rPr>
      </w:pPr>
    </w:p>
    <w:p>
      <w:pPr>
        <w:ind w:firstLine="262"/>
        <w:spacing w:after="0" w:line="266" w:lineRule="auto"/>
        <w:rPr>
          <w:sz w:val="20"/>
          <w:szCs w:val="20"/>
          <w:color w:val="auto"/>
        </w:rPr>
      </w:pPr>
      <w:r>
        <w:rPr>
          <w:rFonts w:ascii="Arial" w:cs="Arial" w:eastAsia="Arial" w:hAnsi="Arial"/>
          <w:sz w:val="14"/>
          <w:szCs w:val="14"/>
          <w:color w:val="auto"/>
        </w:rPr>
        <w:t>Even though the distribution will otherwise qualify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U.S. Federal Income Tax Consequences of the Distribution to U.S. Holders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Distribution of Civeo Stock</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discussion above under “—Tax-Free Status of the Distribution” applies to U.S. holders if the distribution qualifies as tax-free under Section 355 of the Code.</w:t>
      </w:r>
    </w:p>
    <w:p>
      <w:pPr>
        <w:spacing w:after="0" w:line="177" w:lineRule="exact"/>
        <w:rPr>
          <w:sz w:val="20"/>
          <w:szCs w:val="20"/>
          <w:color w:val="auto"/>
        </w:rPr>
      </w:pPr>
    </w:p>
    <w:p>
      <w:pPr>
        <w:ind w:right="320" w:firstLine="262"/>
        <w:spacing w:after="0" w:line="251" w:lineRule="auto"/>
        <w:rPr>
          <w:sz w:val="20"/>
          <w:szCs w:val="20"/>
          <w:color w:val="auto"/>
        </w:rPr>
      </w:pPr>
      <w:r>
        <w:rPr>
          <w:rFonts w:ascii="Arial" w:cs="Arial" w:eastAsia="Arial" w:hAnsi="Arial"/>
          <w:sz w:val="15"/>
          <w:szCs w:val="15"/>
          <w:color w:val="auto"/>
        </w:rPr>
        <w:t>If the distribution of shares of our common stock were determined not to qualify under Section 355, then each U.S. holder of Oil States receiving shares of our common stock in the distribution generally would be treated as receiving a distribution in an amount equal to the fair market value of such shares of our common stock. This generally would result in the following consequences to the U.S. holder:</w:t>
      </w:r>
    </w:p>
    <w:p>
      <w:pPr>
        <w:spacing w:after="0" w:line="158" w:lineRule="exact"/>
        <w:rPr>
          <w:sz w:val="20"/>
          <w:szCs w:val="20"/>
          <w:color w:val="auto"/>
        </w:rPr>
      </w:pPr>
    </w:p>
    <w:p>
      <w:pPr>
        <w:ind w:left="540" w:hanging="270"/>
        <w:spacing w:after="0"/>
        <w:tabs>
          <w:tab w:leader="none" w:pos="5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first, a taxable dividend to the extent of such U.S. holder’s pro rata share of Oil States’ current and accumulated earnings and profits;</w:t>
      </w:r>
    </w:p>
    <w:p>
      <w:pPr>
        <w:spacing w:after="0" w:line="177" w:lineRule="exact"/>
        <w:rPr>
          <w:rFonts w:ascii="Arial" w:cs="Arial" w:eastAsia="Arial" w:hAnsi="Arial"/>
          <w:sz w:val="15"/>
          <w:szCs w:val="15"/>
          <w:color w:val="auto"/>
        </w:rPr>
      </w:pPr>
    </w:p>
    <w:p>
      <w:pPr>
        <w:ind w:left="540" w:right="160" w:hanging="270"/>
        <w:spacing w:after="0" w:line="259" w:lineRule="auto"/>
        <w:tabs>
          <w:tab w:leader="none" w:pos="5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second, any amount that exceeds Oil States’ earnings and profits would be treated as a nontaxable return of capital to the extent of such U.S. holder’s tax basis in its shares of Oil States’ common stock; and</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third, any remaining amount would be taxed as capital gain.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62" w:name="page263"/>
    <w:bookmarkEnd w:id="262"/>
    <w:p>
      <w:pPr>
        <w:jc w:val="both"/>
        <w:ind w:right="40" w:firstLine="262"/>
        <w:spacing w:after="0" w:line="251" w:lineRule="auto"/>
        <w:rPr>
          <w:sz w:val="20"/>
          <w:szCs w:val="20"/>
          <w:color w:val="auto"/>
        </w:rPr>
      </w:pPr>
      <w:r>
        <w:rPr>
          <w:rFonts w:ascii="Arial" w:cs="Arial" w:eastAsia="Arial" w:hAnsi="Arial"/>
          <w:sz w:val="15"/>
          <w:szCs w:val="15"/>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 —Tax Sharing Agreement.”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Information Reporting and Backup Withholding</w:t>
      </w:r>
    </w:p>
    <w:p>
      <w:pPr>
        <w:spacing w:after="0" w:line="177" w:lineRule="exact"/>
        <w:rPr>
          <w:sz w:val="20"/>
          <w:szCs w:val="20"/>
          <w:color w:val="auto"/>
        </w:rPr>
      </w:pPr>
    </w:p>
    <w:p>
      <w:pPr>
        <w:ind w:right="100" w:firstLine="262"/>
        <w:spacing w:after="0" w:line="248" w:lineRule="auto"/>
        <w:rPr>
          <w:sz w:val="20"/>
          <w:szCs w:val="20"/>
          <w:color w:val="auto"/>
        </w:rPr>
      </w:pPr>
      <w:r>
        <w:rPr>
          <w:rFonts w:ascii="Arial" w:cs="Arial" w:eastAsia="Arial" w:hAnsi="Arial"/>
          <w:sz w:val="15"/>
          <w:szCs w:val="15"/>
          <w:color w:val="auto"/>
        </w:rPr>
        <w:t>A U.S. holder that receives a taxable distribution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U.S. Federal Income Tax Consequences of the Distribution to Non-U.S. Holders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Distribution of Civeo Stock</w:t>
      </w:r>
    </w:p>
    <w:p>
      <w:pPr>
        <w:spacing w:after="0" w:line="177" w:lineRule="exact"/>
        <w:rPr>
          <w:sz w:val="20"/>
          <w:szCs w:val="20"/>
          <w:color w:val="auto"/>
        </w:rPr>
      </w:pPr>
    </w:p>
    <w:p>
      <w:pPr>
        <w:ind w:right="120" w:firstLine="262"/>
        <w:spacing w:after="0" w:line="269" w:lineRule="auto"/>
        <w:rPr>
          <w:sz w:val="20"/>
          <w:szCs w:val="20"/>
          <w:color w:val="auto"/>
        </w:rPr>
      </w:pPr>
      <w:r>
        <w:rPr>
          <w:rFonts w:ascii="Arial" w:cs="Arial" w:eastAsia="Arial" w:hAnsi="Arial"/>
          <w:sz w:val="14"/>
          <w:szCs w:val="14"/>
          <w:color w:val="auto"/>
        </w:rPr>
        <w:t>The distribution will qualify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 established securities market for U.S. federal income tax purposes.</w:t>
      </w:r>
    </w:p>
    <w:p>
      <w:pPr>
        <w:spacing w:after="0" w:line="147" w:lineRule="exact"/>
        <w:rPr>
          <w:sz w:val="20"/>
          <w:szCs w:val="20"/>
          <w:color w:val="auto"/>
        </w:rPr>
      </w:pPr>
    </w:p>
    <w:p>
      <w:pPr>
        <w:ind w:firstLine="262"/>
        <w:spacing w:after="0" w:line="311" w:lineRule="auto"/>
        <w:rPr>
          <w:sz w:val="20"/>
          <w:szCs w:val="20"/>
          <w:color w:val="auto"/>
        </w:rPr>
      </w:pPr>
      <w:r>
        <w:rPr>
          <w:rFonts w:ascii="Arial" w:cs="Arial" w:eastAsia="Arial" w:hAnsi="Arial"/>
          <w:sz w:val="12"/>
          <w:szCs w:val="12"/>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do not believe that Oil States is or has been a USRPHC at any time during the five year period ending on the distribution date. Further, we do not expect to be a USRPHC immediately after the distribution. However, because the determination of whether we or Oil States are a USRPHC turns on the relative fair market value of Oil States and our United States real property interests and other assets, and because the USRPHC rules are complex, we can give no assurance that Oil States was not a USRPHC prior to the distribution date or that we will not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306" w:lineRule="exact"/>
        <w:rPr>
          <w:sz w:val="20"/>
          <w:szCs w:val="20"/>
          <w:color w:val="auto"/>
        </w:rPr>
      </w:pPr>
    </w:p>
    <w:p>
      <w:pPr>
        <w:ind w:right="540" w:firstLine="262"/>
        <w:spacing w:after="0" w:line="294" w:lineRule="auto"/>
        <w:rPr>
          <w:sz w:val="20"/>
          <w:szCs w:val="20"/>
          <w:color w:val="auto"/>
        </w:rPr>
      </w:pPr>
      <w:r>
        <w:rPr>
          <w:rFonts w:ascii="Arial" w:cs="Arial" w:eastAsia="Arial" w:hAnsi="Arial"/>
          <w:sz w:val="14"/>
          <w:szCs w:val="14"/>
          <w:color w:val="auto"/>
        </w:rPr>
        <w:t>If the distribution was determined not to qualify as a tax-free distribution for U.S. federal income tax purposes, then each non-U.S. holder receiving shares of our common stock in the distribution would be subject to U.S. federal income tax at a rate of 30 percent of the gross amount of any such distribution that is treated as a dividend, unless:</w:t>
      </w:r>
    </w:p>
    <w:p>
      <w:pPr>
        <w:spacing w:after="0" w:line="130" w:lineRule="exact"/>
        <w:rPr>
          <w:sz w:val="20"/>
          <w:szCs w:val="20"/>
          <w:color w:val="auto"/>
        </w:rPr>
      </w:pPr>
    </w:p>
    <w:p>
      <w:pPr>
        <w:ind w:right="100" w:firstLine="270"/>
        <w:spacing w:after="0" w:line="259" w:lineRule="auto"/>
        <w:tabs>
          <w:tab w:leader="none" w:pos="614" w:val="left"/>
        </w:tabs>
        <w:numPr>
          <w:ilvl w:val="0"/>
          <w:numId w:val="265"/>
        </w:numPr>
        <w:rPr>
          <w:rFonts w:ascii="Arial" w:cs="Arial" w:eastAsia="Arial" w:hAnsi="Arial"/>
          <w:sz w:val="15"/>
          <w:szCs w:val="15"/>
          <w:color w:val="auto"/>
        </w:rPr>
      </w:pPr>
      <w:r>
        <w:rPr>
          <w:rFonts w:ascii="Arial" w:cs="Arial" w:eastAsia="Arial" w:hAnsi="Arial"/>
          <w:sz w:val="15"/>
          <w:szCs w:val="15"/>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63" w:name="page264"/>
    <w:bookmarkEnd w:id="263"/>
    <w:p>
      <w:pPr>
        <w:ind w:left="620" w:hanging="350"/>
        <w:spacing w:after="0"/>
        <w:tabs>
          <w:tab w:leader="none" w:pos="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the non-U.S. holder is entitled to a reduced tax rate with respect to dividends pursuant to an applicable income tax treaty.</w:t>
      </w:r>
    </w:p>
    <w:p>
      <w:pPr>
        <w:spacing w:after="0" w:line="177" w:lineRule="exact"/>
        <w:rPr>
          <w:sz w:val="20"/>
          <w:szCs w:val="20"/>
          <w:color w:val="auto"/>
        </w:rPr>
      </w:pPr>
    </w:p>
    <w:p>
      <w:pPr>
        <w:jc w:val="both"/>
        <w:ind w:right="180" w:firstLine="262"/>
        <w:spacing w:after="0" w:line="248" w:lineRule="auto"/>
        <w:rPr>
          <w:sz w:val="20"/>
          <w:szCs w:val="20"/>
          <w:color w:val="auto"/>
        </w:rPr>
      </w:pPr>
      <w:r>
        <w:rPr>
          <w:rFonts w:ascii="Arial" w:cs="Arial" w:eastAsia="Arial" w:hAnsi="Arial"/>
          <w:sz w:val="15"/>
          <w:szCs w:val="15"/>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161" w:lineRule="exact"/>
        <w:rPr>
          <w:sz w:val="20"/>
          <w:szCs w:val="20"/>
          <w:color w:val="auto"/>
        </w:rPr>
      </w:pPr>
    </w:p>
    <w:p>
      <w:pPr>
        <w:ind w:firstLine="262"/>
        <w:spacing w:after="0" w:line="320" w:lineRule="auto"/>
        <w:rPr>
          <w:sz w:val="20"/>
          <w:szCs w:val="20"/>
          <w:color w:val="auto"/>
        </w:rPr>
      </w:pPr>
      <w:r>
        <w:rPr>
          <w:rFonts w:ascii="Arial" w:cs="Arial" w:eastAsia="Arial" w:hAnsi="Arial"/>
          <w:sz w:val="12"/>
          <w:szCs w:val="12"/>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and generally is not subject to U.S. withholding tax subject to the same exception described above for a nontaxable return of capital.</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Information Reporting and Backup Withholding</w:t>
      </w:r>
    </w:p>
    <w:p>
      <w:pPr>
        <w:spacing w:after="0" w:line="177" w:lineRule="exact"/>
        <w:rPr>
          <w:sz w:val="20"/>
          <w:szCs w:val="20"/>
          <w:color w:val="auto"/>
        </w:rPr>
      </w:pPr>
    </w:p>
    <w:p>
      <w:pPr>
        <w:ind w:right="280" w:firstLine="262"/>
        <w:spacing w:after="0" w:line="248" w:lineRule="auto"/>
        <w:rPr>
          <w:sz w:val="20"/>
          <w:szCs w:val="20"/>
          <w:color w:val="auto"/>
        </w:rPr>
      </w:pPr>
      <w:r>
        <w:rPr>
          <w:rFonts w:ascii="Arial" w:cs="Arial" w:eastAsia="Arial" w:hAnsi="Arial"/>
          <w:sz w:val="15"/>
          <w:szCs w:val="15"/>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Reporting for Significant Stockholders</w:t>
      </w:r>
    </w:p>
    <w:p>
      <w:pPr>
        <w:spacing w:after="0" w:line="177" w:lineRule="exact"/>
        <w:rPr>
          <w:sz w:val="20"/>
          <w:szCs w:val="20"/>
          <w:color w:val="auto"/>
        </w:rPr>
      </w:pPr>
    </w:p>
    <w:p>
      <w:pPr>
        <w:jc w:val="both"/>
        <w:ind w:right="60" w:firstLine="262"/>
        <w:spacing w:after="0" w:line="277" w:lineRule="auto"/>
        <w:rPr>
          <w:sz w:val="20"/>
          <w:szCs w:val="20"/>
          <w:color w:val="auto"/>
        </w:rPr>
      </w:pPr>
      <w:r>
        <w:rPr>
          <w:rFonts w:ascii="Arial" w:cs="Arial" w:eastAsia="Arial" w:hAnsi="Arial"/>
          <w:sz w:val="14"/>
          <w:szCs w:val="14"/>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177"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In addition, we have agreed to pay 50% of any taxes arising from the spin-off to the extent that the tax is not attributable to the fault of either party. See “Arrangements Between Oil States and Our Company—Tax Sharing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Results of the Spin-Off</w:t>
      </w:r>
    </w:p>
    <w:p>
      <w:pPr>
        <w:spacing w:after="0" w:line="181" w:lineRule="exact"/>
        <w:rPr>
          <w:sz w:val="20"/>
          <w:szCs w:val="20"/>
          <w:color w:val="auto"/>
        </w:rPr>
      </w:pPr>
    </w:p>
    <w:p>
      <w:pPr>
        <w:ind w:right="120" w:firstLine="262"/>
        <w:spacing w:after="0" w:line="247" w:lineRule="auto"/>
        <w:rPr>
          <w:sz w:val="20"/>
          <w:szCs w:val="20"/>
          <w:color w:val="auto"/>
        </w:rPr>
      </w:pPr>
      <w:r>
        <w:rPr>
          <w:rFonts w:ascii="Arial" w:cs="Arial" w:eastAsia="Arial" w:hAnsi="Arial"/>
          <w:sz w:val="15"/>
          <w:szCs w:val="15"/>
          <w:color w:val="auto"/>
        </w:rPr>
        <w:t>After the spin-off, we will be an independent, publicly owned company. Immediately following the spin-off, we expect to have approximately 23 holders of shares of our common stock and approximately 106,112,722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264" w:name="page265"/>
    <w:bookmarkEnd w:id="264"/>
    <w:p>
      <w:pPr>
        <w:ind w:right="40" w:firstLine="262"/>
        <w:spacing w:after="0" w:line="259" w:lineRule="auto"/>
        <w:rPr>
          <w:sz w:val="20"/>
          <w:szCs w:val="20"/>
          <w:color w:val="auto"/>
        </w:rPr>
      </w:pPr>
      <w:r>
        <w:rPr>
          <w:rFonts w:ascii="Arial" w:cs="Arial" w:eastAsia="Arial" w:hAnsi="Arial"/>
          <w:sz w:val="15"/>
          <w:szCs w:val="15"/>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152" w:lineRule="exact"/>
        <w:rPr>
          <w:sz w:val="20"/>
          <w:szCs w:val="20"/>
          <w:color w:val="auto"/>
        </w:rPr>
      </w:pPr>
    </w:p>
    <w:p>
      <w:pPr>
        <w:jc w:val="both"/>
        <w:ind w:right="20" w:firstLine="262"/>
        <w:spacing w:after="0" w:line="251" w:lineRule="auto"/>
        <w:rPr>
          <w:sz w:val="20"/>
          <w:szCs w:val="20"/>
          <w:color w:val="auto"/>
        </w:rPr>
      </w:pPr>
      <w:r>
        <w:rPr>
          <w:rFonts w:ascii="Arial" w:cs="Arial" w:eastAsia="Arial" w:hAnsi="Arial"/>
          <w:sz w:val="15"/>
          <w:szCs w:val="15"/>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Trading Prior to the Distribution Date</w:t>
      </w:r>
    </w:p>
    <w:p>
      <w:pPr>
        <w:spacing w:after="0" w:line="181" w:lineRule="exact"/>
        <w:rPr>
          <w:sz w:val="20"/>
          <w:szCs w:val="20"/>
          <w:color w:val="auto"/>
        </w:rPr>
      </w:pPr>
    </w:p>
    <w:p>
      <w:pPr>
        <w:ind w:firstLine="262"/>
        <w:spacing w:after="0" w:line="246" w:lineRule="auto"/>
        <w:rPr>
          <w:sz w:val="20"/>
          <w:szCs w:val="20"/>
          <w:color w:val="auto"/>
        </w:rPr>
      </w:pPr>
      <w:r>
        <w:rPr>
          <w:rFonts w:ascii="Arial" w:cs="Arial" w:eastAsia="Arial" w:hAnsi="Arial"/>
          <w:sz w:val="15"/>
          <w:szCs w:val="15"/>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163" w:lineRule="exact"/>
        <w:rPr>
          <w:sz w:val="20"/>
          <w:szCs w:val="20"/>
          <w:color w:val="auto"/>
        </w:rPr>
      </w:pPr>
    </w:p>
    <w:p>
      <w:pPr>
        <w:ind w:right="320" w:firstLine="262"/>
        <w:spacing w:after="0" w:line="259" w:lineRule="auto"/>
        <w:rPr>
          <w:sz w:val="20"/>
          <w:szCs w:val="20"/>
          <w:color w:val="auto"/>
        </w:rPr>
      </w:pPr>
      <w:r>
        <w:rPr>
          <w:rFonts w:ascii="Arial" w:cs="Arial" w:eastAsia="Arial" w:hAnsi="Arial"/>
          <w:sz w:val="15"/>
          <w:szCs w:val="15"/>
          <w:color w:val="auto"/>
        </w:rPr>
        <w:t>Following the distribution date, shares of our common stock will be listed on the NYSE under the ticker symbol “CVEO”. We will announce the when-issued ticker symbol when and if it becomes available.</w:t>
      </w:r>
    </w:p>
    <w:p>
      <w:pPr>
        <w:spacing w:after="0" w:line="152" w:lineRule="exact"/>
        <w:rPr>
          <w:sz w:val="20"/>
          <w:szCs w:val="20"/>
          <w:color w:val="auto"/>
        </w:rPr>
      </w:pPr>
    </w:p>
    <w:p>
      <w:pPr>
        <w:ind w:right="20" w:firstLine="262"/>
        <w:spacing w:after="0" w:line="320" w:lineRule="auto"/>
        <w:rPr>
          <w:sz w:val="20"/>
          <w:szCs w:val="20"/>
          <w:color w:val="auto"/>
        </w:rPr>
      </w:pPr>
      <w:r>
        <w:rPr>
          <w:rFonts w:ascii="Arial" w:cs="Arial" w:eastAsia="Arial" w:hAnsi="Arial"/>
          <w:sz w:val="12"/>
          <w:szCs w:val="12"/>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Treatment of Stock-Based Plans for Current and Former Employees</w:t>
      </w:r>
    </w:p>
    <w:p>
      <w:pPr>
        <w:spacing w:after="0" w:line="181" w:lineRule="exact"/>
        <w:rPr>
          <w:sz w:val="20"/>
          <w:szCs w:val="20"/>
          <w:color w:val="auto"/>
        </w:rPr>
      </w:pPr>
    </w:p>
    <w:p>
      <w:pPr>
        <w:jc w:val="both"/>
        <w:ind w:right="60" w:firstLine="262"/>
        <w:spacing w:after="0" w:line="343" w:lineRule="auto"/>
        <w:rPr>
          <w:sz w:val="20"/>
          <w:szCs w:val="20"/>
          <w:color w:val="auto"/>
        </w:rPr>
      </w:pPr>
      <w:r>
        <w:rPr>
          <w:rFonts w:ascii="Arial" w:cs="Arial" w:eastAsia="Arial" w:hAnsi="Arial"/>
          <w:sz w:val="12"/>
          <w:szCs w:val="12"/>
          <w:color w:val="auto"/>
        </w:rPr>
        <w:t>In connection with the spin-off, Oil States equity and equity-based awards held by current and former Oil States employees and directors will generally remain outstanding with respect to Oil States common stock, and Oil States equity and equity-based awards held by Civeo employees will cease to remain outstanding with respect to Oil States common stock and will be converted into awards with respect to Civeo common stock. Specifically, Oil States and Civeo expect to provide for the following to occur with respect to outstanding Oil States equity and equity-based awards:</w:t>
      </w:r>
    </w:p>
    <w:p>
      <w:pPr>
        <w:spacing w:after="0" w:line="152" w:lineRule="exact"/>
        <w:rPr>
          <w:sz w:val="20"/>
          <w:szCs w:val="20"/>
          <w:color w:val="auto"/>
        </w:rPr>
      </w:pPr>
    </w:p>
    <w:p>
      <w:pPr>
        <w:jc w:val="both"/>
        <w:ind w:left="540" w:hanging="270"/>
        <w:spacing w:after="0" w:line="251" w:lineRule="auto"/>
        <w:tabs>
          <w:tab w:leader="none" w:pos="5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Oil States restricted shares based upon the relative stock prices of Civeo and Oil States.</w:t>
      </w:r>
    </w:p>
    <w:p>
      <w:pPr>
        <w:spacing w:after="0" w:line="201" w:lineRule="exact"/>
        <w:rPr>
          <w:rFonts w:ascii="Arial" w:cs="Arial" w:eastAsia="Arial" w:hAnsi="Arial"/>
          <w:sz w:val="15"/>
          <w:szCs w:val="15"/>
          <w:color w:val="auto"/>
        </w:rPr>
      </w:pPr>
    </w:p>
    <w:p>
      <w:pPr>
        <w:ind w:left="540" w:right="20" w:hanging="270"/>
        <w:spacing w:after="0" w:line="271" w:lineRule="auto"/>
        <w:tabs>
          <w:tab w:leader="none" w:pos="54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All outstanding Oil States options and other time-vested equity and equity-based awards (other than restricted shares) held by Civeo employees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or a change of control of Civeo rather than Oil States.</w:t>
      </w:r>
    </w:p>
    <w:p>
      <w:pPr>
        <w:spacing w:after="0" w:line="147" w:lineRule="exact"/>
        <w:rPr>
          <w:rFonts w:ascii="Arial" w:cs="Arial" w:eastAsia="Arial" w:hAnsi="Arial"/>
          <w:sz w:val="14"/>
          <w:szCs w:val="14"/>
          <w:color w:val="auto"/>
        </w:rPr>
      </w:pPr>
    </w:p>
    <w:p>
      <w:pPr>
        <w:ind w:left="540" w:right="60" w:hanging="270"/>
        <w:spacing w:after="0" w:line="248" w:lineRule="auto"/>
        <w:tabs>
          <w:tab w:leader="none" w:pos="5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All outstanding Oil States options, restricted shares and other time-vested equity and equity-based awards held by current or former Oil States employees will be modified upon the completion of the spin-off based upon relative pre- and post-spin-off stock prices of Oil States such that the number of shares and exercise price of such award, as applicable, are adjusted based upon the relative stock prices of Civeo and Oil States to preserve the value of the award prior to the spin-off. Following the spin-off, such awards will remain subject to the same terms and conditions as prior to the spin-off.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65" w:name="page266"/>
    <w:bookmarkEnd w:id="265"/>
    <w:p>
      <w:pPr>
        <w:ind w:left="540" w:hanging="270"/>
        <w:spacing w:after="0" w:line="247" w:lineRule="auto"/>
        <w:tabs>
          <w:tab w:leader="none" w:pos="5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Performance-based deferred stock awards held by Civeo employees will be cancelled with the holder thereof entitled to receive an award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Civeo and will not be subject to performance vesting conditions.</w:t>
      </w:r>
    </w:p>
    <w:p>
      <w:pPr>
        <w:spacing w:after="0" w:line="161" w:lineRule="exact"/>
        <w:rPr>
          <w:rFonts w:ascii="Arial" w:cs="Arial" w:eastAsia="Arial" w:hAnsi="Arial"/>
          <w:sz w:val="15"/>
          <w:szCs w:val="15"/>
          <w:color w:val="auto"/>
        </w:rPr>
      </w:pPr>
    </w:p>
    <w:p>
      <w:pPr>
        <w:ind w:left="540" w:right="80" w:hanging="270"/>
        <w:spacing w:after="0" w:line="247" w:lineRule="auto"/>
        <w:tabs>
          <w:tab w:leader="none" w:pos="54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Performance-based deferred stock awards held by Oil States employees will be cancelled with the holder thereof entitled to receive an award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Incurrence of Debt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connection with the spin-off, we expect to enter into (i) a $650.0 million, 5-year revolving credit facility which is currently expected to be allocated as follows: (A) a $450.0 million senior</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secured revolving credit facility in favor of Civeo, as borrower, (B) a $100.0 million senior secured revolving credit facility in favor of certain of our Canadian subsidiaries, as borrowers, and (C) 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$100.0 million senior secured revolving credit facility in favor of one of our Australian subsidiaries, as borrower; and (ii) a 5-year U.S. term loan facility in an amount to be determined up to</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$775.0 million in favor of Civeo. Amounts outstanding under the credit facilities are expected to bear interest at LIBOR plus a margin of 1.75% to 2.75%, or at a base rate plus a margin of 0.75%</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to 1.75%, in each case based on a ratio of our total leverage to EBITDA (as defined in the credit facilities). We anticipate that, upon closing of the spin-off, our U.S. term loan facility will be fully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drawn and that we will have no borrowings outstanding under our credit facilities. See “Description of Material Indebtedness” for a more detailed description of these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Conditions to the Spin-Off</w:t>
      </w:r>
    </w:p>
    <w:p>
      <w:pPr>
        <w:spacing w:after="0" w:line="181" w:lineRule="exact"/>
        <w:rPr>
          <w:sz w:val="20"/>
          <w:szCs w:val="20"/>
          <w:color w:val="auto"/>
        </w:rPr>
      </w:pPr>
    </w:p>
    <w:p>
      <w:pPr>
        <w:ind w:right="140" w:firstLine="262"/>
        <w:spacing w:after="0" w:line="304" w:lineRule="auto"/>
        <w:rPr>
          <w:sz w:val="20"/>
          <w:szCs w:val="20"/>
          <w:color w:val="auto"/>
        </w:rPr>
      </w:pPr>
      <w:r>
        <w:rPr>
          <w:rFonts w:ascii="Arial" w:cs="Arial" w:eastAsia="Arial" w:hAnsi="Arial"/>
          <w:sz w:val="15"/>
          <w:szCs w:val="15"/>
          <w:color w:val="auto"/>
        </w:rPr>
        <w:t>We expect that the spin-off will be effective as of 11:59 p.m., Eastern Time, on May 30, 2014, the distribution date, provided that the following conditions shall have been satisfied or waived by Oil States:</w:t>
      </w:r>
    </w:p>
    <w:p>
      <w:pPr>
        <w:spacing w:after="0" w:line="131" w:lineRule="exact"/>
        <w:rPr>
          <w:sz w:val="20"/>
          <w:szCs w:val="20"/>
          <w:color w:val="auto"/>
        </w:rPr>
      </w:pPr>
    </w:p>
    <w:p>
      <w:pPr>
        <w:ind w:left="540" w:right="100" w:hanging="270"/>
        <w:spacing w:after="0" w:line="294" w:lineRule="auto"/>
        <w:tabs>
          <w:tab w:leader="none" w:pos="54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130" w:lineRule="exact"/>
        <w:rPr>
          <w:rFonts w:ascii="Arial" w:cs="Arial" w:eastAsia="Arial" w:hAnsi="Arial"/>
          <w:sz w:val="14"/>
          <w:szCs w:val="14"/>
          <w:color w:val="auto"/>
        </w:rPr>
      </w:pPr>
    </w:p>
    <w:p>
      <w:pPr>
        <w:ind w:left="540" w:right="260" w:hanging="270"/>
        <w:spacing w:after="0" w:line="259" w:lineRule="auto"/>
        <w:tabs>
          <w:tab w:leader="none" w:pos="54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the Civeo common stock will have been authorized for listing on the NYSE, or another national securities exchange approved by Civeo, subject to official notice of issuance;</w:t>
      </w:r>
    </w:p>
    <w:p>
      <w:pPr>
        <w:spacing w:after="0" w:line="188" w:lineRule="exact"/>
        <w:rPr>
          <w:rFonts w:ascii="Arial" w:cs="Arial" w:eastAsia="Arial" w:hAnsi="Arial"/>
          <w:sz w:val="14"/>
          <w:szCs w:val="14"/>
          <w:color w:val="auto"/>
        </w:rPr>
      </w:pPr>
    </w:p>
    <w:p>
      <w:pPr>
        <w:ind w:left="540" w:right="320" w:hanging="270"/>
        <w:spacing w:after="0" w:line="294" w:lineRule="auto"/>
        <w:tabs>
          <w:tab w:leader="none" w:pos="54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30" w:lineRule="exact"/>
        <w:rPr>
          <w:rFonts w:ascii="Arial" w:cs="Arial" w:eastAsia="Arial" w:hAnsi="Arial"/>
          <w:sz w:val="14"/>
          <w:szCs w:val="14"/>
          <w:color w:val="auto"/>
        </w:rPr>
      </w:pPr>
    </w:p>
    <w:p>
      <w:pPr>
        <w:ind w:left="540" w:right="20" w:hanging="270"/>
        <w:spacing w:after="0" w:line="259" w:lineRule="auto"/>
        <w:tabs>
          <w:tab w:leader="none" w:pos="54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66" w:name="page267"/>
    <w:bookmarkEnd w:id="266"/>
    <w:p>
      <w:pPr>
        <w:ind w:left="540" w:right="20" w:hanging="270"/>
        <w:spacing w:after="0" w:line="259" w:lineRule="auto"/>
        <w:tabs>
          <w:tab w:leader="none" w:pos="5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no order, injunction, decree or regulation issued by any court or agency of competent jurisdiction or other legal restraint or prohibition preventing consummation of the distribution will be in effect;</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any government approvals and other material consents necessary to consummate the distribution will have been obtained and be in full force and effect;</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Oil States shall have received the special dividend from Civeo; and</w:t>
      </w:r>
    </w:p>
    <w:p>
      <w:pPr>
        <w:spacing w:after="0" w:line="177" w:lineRule="exact"/>
        <w:rPr>
          <w:rFonts w:ascii="Arial" w:cs="Arial" w:eastAsia="Arial" w:hAnsi="Arial"/>
          <w:sz w:val="15"/>
          <w:szCs w:val="15"/>
          <w:color w:val="auto"/>
        </w:rPr>
      </w:pPr>
    </w:p>
    <w:p>
      <w:pPr>
        <w:ind w:left="540" w:right="380" w:hanging="270"/>
        <w:spacing w:after="0" w:line="259" w:lineRule="auto"/>
        <w:tabs>
          <w:tab w:leader="none" w:pos="5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A majority of the aggregate outstanding principal amount of each series of Oil States 5 1/8% Senior Notes due 2023 and 6 1/2% Senior Notes due 2019 shall have been accepted for payment pursuant to the Oil States tender offers.</w:t>
      </w:r>
    </w:p>
    <w:p>
      <w:pPr>
        <w:spacing w:after="0" w:line="152" w:lineRule="exact"/>
        <w:rPr>
          <w:sz w:val="20"/>
          <w:szCs w:val="20"/>
          <w:color w:val="auto"/>
        </w:rPr>
      </w:pPr>
    </w:p>
    <w:p>
      <w:pPr>
        <w:ind w:firstLine="262"/>
        <w:spacing w:after="0" w:line="251" w:lineRule="auto"/>
        <w:rPr>
          <w:sz w:val="20"/>
          <w:szCs w:val="20"/>
          <w:color w:val="auto"/>
        </w:rPr>
      </w:pPr>
      <w:r>
        <w:rPr>
          <w:rFonts w:ascii="Arial" w:cs="Arial" w:eastAsia="Arial" w:hAnsi="Arial"/>
          <w:sz w:val="15"/>
          <w:szCs w:val="15"/>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267" w:name="page268"/>
    <w:bookmarkEnd w:id="267"/>
    <w:p>
      <w:pPr>
        <w:jc w:val="center"/>
        <w:ind w:right="-39"/>
        <w:spacing w:after="0"/>
        <w:rPr>
          <w:sz w:val="20"/>
          <w:szCs w:val="20"/>
          <w:color w:val="auto"/>
        </w:rPr>
      </w:pPr>
      <w:r>
        <w:rPr>
          <w:rFonts w:ascii="Arial" w:cs="Arial" w:eastAsia="Arial" w:hAnsi="Arial"/>
          <w:sz w:val="15"/>
          <w:szCs w:val="15"/>
          <w:b w:val="1"/>
          <w:bCs w:val="1"/>
          <w:color w:val="auto"/>
        </w:rPr>
        <w:t>TRADING MARKET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Market for Our Common Stock</w:t>
      </w:r>
    </w:p>
    <w:p>
      <w:pPr>
        <w:spacing w:after="0" w:line="181" w:lineRule="exact"/>
        <w:rPr>
          <w:sz w:val="20"/>
          <w:szCs w:val="20"/>
          <w:color w:val="auto"/>
        </w:rPr>
      </w:pPr>
    </w:p>
    <w:p>
      <w:pPr>
        <w:ind w:right="20" w:firstLine="262"/>
        <w:spacing w:after="0" w:line="245" w:lineRule="auto"/>
        <w:rPr>
          <w:sz w:val="20"/>
          <w:szCs w:val="20"/>
          <w:color w:val="auto"/>
        </w:rPr>
      </w:pPr>
      <w:r>
        <w:rPr>
          <w:rFonts w:ascii="Arial" w:cs="Arial" w:eastAsia="Arial" w:hAnsi="Arial"/>
          <w:sz w:val="15"/>
          <w:szCs w:val="15"/>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have been approved to list our common stock on the NYSE under the ticker symbol “CVEO”. We will announce our when-issued trading symbol when and if it becomes available.</w:t>
      </w:r>
    </w:p>
    <w:p>
      <w:pPr>
        <w:spacing w:after="0" w:line="166" w:lineRule="exact"/>
        <w:rPr>
          <w:sz w:val="20"/>
          <w:szCs w:val="20"/>
          <w:color w:val="auto"/>
        </w:rPr>
      </w:pPr>
    </w:p>
    <w:p>
      <w:pPr>
        <w:ind w:right="60" w:firstLine="262"/>
        <w:spacing w:after="0" w:line="267" w:lineRule="auto"/>
        <w:rPr>
          <w:sz w:val="20"/>
          <w:szCs w:val="20"/>
          <w:color w:val="auto"/>
        </w:rPr>
      </w:pPr>
      <w:r>
        <w:rPr>
          <w:rFonts w:ascii="Arial" w:cs="Arial" w:eastAsia="Arial" w:hAnsi="Arial"/>
          <w:sz w:val="14"/>
          <w:szCs w:val="14"/>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49" w:lineRule="exact"/>
        <w:rPr>
          <w:sz w:val="20"/>
          <w:szCs w:val="20"/>
          <w:color w:val="auto"/>
        </w:rPr>
      </w:pPr>
    </w:p>
    <w:p>
      <w:pPr>
        <w:ind w:firstLine="262"/>
        <w:spacing w:after="0" w:line="324" w:lineRule="auto"/>
        <w:rPr>
          <w:sz w:val="20"/>
          <w:szCs w:val="20"/>
          <w:color w:val="auto"/>
        </w:rPr>
      </w:pPr>
      <w:r>
        <w:rPr>
          <w:rFonts w:ascii="Arial" w:cs="Arial" w:eastAsia="Arial" w:hAnsi="Arial"/>
          <w:sz w:val="12"/>
          <w:szCs w:val="12"/>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Transferability of Shares of Our Common Stock</w:t>
      </w:r>
    </w:p>
    <w:p>
      <w:pPr>
        <w:spacing w:after="0" w:line="181" w:lineRule="exact"/>
        <w:rPr>
          <w:sz w:val="20"/>
          <w:szCs w:val="20"/>
          <w:color w:val="auto"/>
        </w:rPr>
      </w:pPr>
    </w:p>
    <w:p>
      <w:pPr>
        <w:ind w:right="40" w:firstLine="262"/>
        <w:spacing w:after="0" w:line="320" w:lineRule="auto"/>
        <w:rPr>
          <w:sz w:val="20"/>
          <w:szCs w:val="20"/>
          <w:color w:val="auto"/>
        </w:rPr>
      </w:pPr>
      <w:r>
        <w:rPr>
          <w:rFonts w:ascii="Arial" w:cs="Arial" w:eastAsia="Arial" w:hAnsi="Arial"/>
          <w:sz w:val="12"/>
          <w:szCs w:val="12"/>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We estimate that our directors and executive officers, who may be considered “affiliates” for purposes of Rule 144, will beneficially own approximately 756,731 shares of our common stock immediately following the distribution. See “Security Ownership of Certain Beneficial Owners and Management” included elsewhere in this information statement for more information. Our affiliates may sell shares of our common stock received in the distribution only:</w:t>
      </w:r>
    </w:p>
    <w:p>
      <w:pPr>
        <w:spacing w:after="0" w:line="120" w:lineRule="exact"/>
        <w:rPr>
          <w:sz w:val="20"/>
          <w:szCs w:val="20"/>
          <w:color w:val="auto"/>
        </w:rPr>
      </w:pPr>
    </w:p>
    <w:p>
      <w:pPr>
        <w:ind w:left="540" w:hanging="270"/>
        <w:spacing w:after="0"/>
        <w:tabs>
          <w:tab w:leader="none" w:pos="5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under a registration statement that the SEC has declared effective under the Securities Act; or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under an exemption from registration under the Securities Act, such as the exemption afforded by Rule 144.</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268" w:name="page269"/>
    <w:bookmarkEnd w:id="268"/>
    <w:p>
      <w:pPr>
        <w:ind w:right="100" w:firstLine="262"/>
        <w:spacing w:after="0" w:line="259" w:lineRule="auto"/>
        <w:rPr>
          <w:sz w:val="20"/>
          <w:szCs w:val="20"/>
          <w:color w:val="auto"/>
        </w:rPr>
      </w:pPr>
      <w:r>
        <w:rPr>
          <w:rFonts w:ascii="Arial" w:cs="Arial" w:eastAsia="Arial" w:hAnsi="Arial"/>
          <w:sz w:val="15"/>
          <w:szCs w:val="15"/>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152" w:lineRule="exact"/>
        <w:rPr>
          <w:sz w:val="20"/>
          <w:szCs w:val="20"/>
          <w:color w:val="auto"/>
        </w:rPr>
      </w:pPr>
    </w:p>
    <w:p>
      <w:pPr>
        <w:ind w:left="540" w:hanging="270"/>
        <w:spacing w:after="0"/>
        <w:tabs>
          <w:tab w:leader="none" w:pos="5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1.0% of our common stock then outstanding; or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on the NYSE during the four calendar weeks preceding the filing of a notice on Form 144 with respect to the sale.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Rule 144 also includes notice requirements and restrictions governing the manner of sale. Sales may not be made under Rule 144 unless certain information about us is publicly available.</w:t>
      </w:r>
    </w:p>
    <w:p>
      <w:pPr>
        <w:spacing w:after="0" w:line="212" w:lineRule="exact"/>
        <w:rPr>
          <w:sz w:val="20"/>
          <w:szCs w:val="20"/>
          <w:color w:val="auto"/>
        </w:rPr>
      </w:pPr>
    </w:p>
    <w:p>
      <w:pPr>
        <w:jc w:val="both"/>
        <w:ind w:firstLine="262"/>
        <w:spacing w:after="0" w:line="277" w:lineRule="auto"/>
        <w:rPr>
          <w:sz w:val="20"/>
          <w:szCs w:val="20"/>
          <w:color w:val="auto"/>
        </w:rPr>
      </w:pPr>
      <w:r>
        <w:rPr>
          <w:rFonts w:ascii="Arial" w:cs="Arial" w:eastAsia="Arial" w:hAnsi="Arial"/>
          <w:sz w:val="14"/>
          <w:szCs w:val="14"/>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142" w:lineRule="exact"/>
        <w:rPr>
          <w:sz w:val="20"/>
          <w:szCs w:val="20"/>
          <w:color w:val="auto"/>
        </w:rPr>
      </w:pPr>
    </w:p>
    <w:p>
      <w:pPr>
        <w:ind w:right="640" w:firstLine="262"/>
        <w:spacing w:after="0" w:line="259" w:lineRule="auto"/>
        <w:rPr>
          <w:sz w:val="20"/>
          <w:szCs w:val="20"/>
          <w:color w:val="auto"/>
        </w:rPr>
      </w:pPr>
      <w:r>
        <w:rPr>
          <w:rFonts w:ascii="Arial" w:cs="Arial" w:eastAsia="Arial" w:hAnsi="Arial"/>
          <w:sz w:val="15"/>
          <w:szCs w:val="15"/>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269" w:name="page270"/>
    <w:bookmarkEnd w:id="269"/>
    <w:p>
      <w:pPr>
        <w:jc w:val="center"/>
        <w:ind w:right="-79"/>
        <w:spacing w:after="0"/>
        <w:rPr>
          <w:sz w:val="20"/>
          <w:szCs w:val="20"/>
          <w:color w:val="auto"/>
        </w:rPr>
      </w:pPr>
      <w:r>
        <w:rPr>
          <w:rFonts w:ascii="Arial" w:cs="Arial" w:eastAsia="Arial" w:hAnsi="Arial"/>
          <w:sz w:val="15"/>
          <w:szCs w:val="15"/>
          <w:b w:val="1"/>
          <w:bCs w:val="1"/>
          <w:color w:val="auto"/>
        </w:rPr>
        <w:t>DIVIDEND POLICY</w:t>
      </w:r>
    </w:p>
    <w:p>
      <w:pPr>
        <w:spacing w:after="0" w:line="181"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Our board of directors has approved a dividend policy pursuant to which, following the spin-off, we intend to pay a quarterly dividend in the amount of $0.13 per share, which we intend to commence payment of in the third quarter. However, the amount per share of our dividend payments may be changed in the future without advance notice.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“Description of Material Indebtedness” and “Management’s Discussion and Analysis of Financial Condition and Results of Operations—Tax Matters.”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00"/>
          </w:cols>
          <w:pgMar w:left="220" w:top="540" w:right="27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5"/>
          <w:szCs w:val="15"/>
          <w:b w:val="1"/>
          <w:bCs w:val="1"/>
          <w:color w:val="auto"/>
        </w:rPr>
        <w:t>CAPITALIZATION</w:t>
      </w:r>
    </w:p>
    <w:p>
      <w:pPr>
        <w:spacing w:after="0" w:line="181" w:lineRule="exact"/>
        <w:rPr>
          <w:sz w:val="20"/>
          <w:szCs w:val="20"/>
          <w:color w:val="auto"/>
        </w:rPr>
      </w:pPr>
    </w:p>
    <w:p>
      <w:pPr>
        <w:ind w:firstLine="262"/>
        <w:spacing w:after="0" w:line="343" w:lineRule="auto"/>
        <w:rPr>
          <w:sz w:val="20"/>
          <w:szCs w:val="20"/>
          <w:color w:val="auto"/>
        </w:rPr>
      </w:pPr>
      <w:r>
        <w:rPr>
          <w:rFonts w:ascii="Arial" w:cs="Arial" w:eastAsia="Arial" w:hAnsi="Arial"/>
          <w:sz w:val="12"/>
          <w:szCs w:val="12"/>
          <w:color w:val="auto"/>
        </w:rPr>
        <w:t>The following table sets forth (i) our historical capitalization as of December 31, 2013, and (ii) our adjusted capitalization assuming the distribution, the incurrence of debt and other matters (as discussed in “The Spin-Off”) were effective as of December 31,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ectPr>
          <w:pgSz w:w="11900" w:h="16838" w:orient="portrait"/>
          <w:cols w:equalWidth="0" w:num="1">
            <w:col w:w="11440"/>
          </w:cols>
          <w:pgMar w:left="220" w:top="4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Outstanding</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Short-term debt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Long-term debt to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Long-term debt to third-parties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debt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Common stock</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Par value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Additional paid-in capital</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Oil States International, Inc. net investment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Total Net Investment/Stockholders’ Equity</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As of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27"/>
              <w:spacing w:after="0" w:line="153" w:lineRule="exact"/>
              <w:rPr>
                <w:sz w:val="20"/>
                <w:szCs w:val="20"/>
                <w:color w:val="auto"/>
              </w:rPr>
            </w:pPr>
            <w:r>
              <w:rPr>
                <w:rFonts w:ascii="Arial" w:cs="Arial" w:eastAsia="Arial" w:hAnsi="Arial"/>
                <w:sz w:val="15"/>
                <w:szCs w:val="15"/>
                <w:b w:val="1"/>
                <w:bCs w:val="1"/>
                <w:color w:val="auto"/>
              </w:rPr>
              <w:t>2013</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47"/>
              <w:spacing w:after="0" w:line="153" w:lineRule="exact"/>
              <w:rPr>
                <w:sz w:val="20"/>
                <w:szCs w:val="20"/>
                <w:color w:val="auto"/>
              </w:rPr>
            </w:pPr>
            <w:r>
              <w:rPr>
                <w:rFonts w:ascii="Arial" w:cs="Arial" w:eastAsia="Arial" w:hAnsi="Arial"/>
                <w:sz w:val="15"/>
                <w:szCs w:val="15"/>
                <w:b w:val="1"/>
                <w:bCs w:val="1"/>
                <w:color w:val="auto"/>
              </w:rPr>
              <w:t>2013</w:t>
            </w:r>
          </w:p>
        </w:tc>
        <w:tc>
          <w:tcPr>
            <w:tcW w:w="40" w:type="dxa"/>
            <w:vAlign w:val="bottom"/>
          </w:tcPr>
          <w:p>
            <w:pPr>
              <w:spacing w:after="0"/>
              <w:rPr>
                <w:sz w:val="13"/>
                <w:szCs w:val="13"/>
                <w:color w:val="auto"/>
              </w:rPr>
            </w:pPr>
          </w:p>
        </w:tc>
      </w:tr>
      <w:tr>
        <w:trPr>
          <w:trHeight w:val="188"/>
        </w:trPr>
        <w:tc>
          <w:tcPr>
            <w:tcW w:w="320" w:type="dxa"/>
            <w:vAlign w:val="bottom"/>
          </w:tcPr>
          <w:p>
            <w:pPr>
              <w:spacing w:after="0"/>
              <w:rPr>
                <w:sz w:val="16"/>
                <w:szCs w:val="16"/>
                <w:color w:val="auto"/>
              </w:rPr>
            </w:pPr>
          </w:p>
        </w:tc>
        <w:tc>
          <w:tcPr>
            <w:tcW w:w="1420" w:type="dxa"/>
            <w:vAlign w:val="bottom"/>
            <w:gridSpan w:val="2"/>
          </w:tcPr>
          <w:p>
            <w:pPr>
              <w:jc w:val="right"/>
              <w:ind w:right="707"/>
              <w:spacing w:after="0"/>
              <w:rPr>
                <w:sz w:val="20"/>
                <w:szCs w:val="20"/>
                <w:color w:val="auto"/>
              </w:rPr>
            </w:pPr>
            <w:r>
              <w:rPr>
                <w:rFonts w:ascii="Arial" w:cs="Arial" w:eastAsia="Arial" w:hAnsi="Arial"/>
                <w:sz w:val="15"/>
                <w:szCs w:val="15"/>
                <w:b w:val="1"/>
                <w:bCs w:val="1"/>
                <w:color w:val="auto"/>
              </w:rPr>
              <w:t>Actual</w:t>
            </w:r>
          </w:p>
        </w:tc>
        <w:tc>
          <w:tcPr>
            <w:tcW w:w="2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As Adjusted</w:t>
            </w:r>
          </w:p>
        </w:tc>
      </w:tr>
      <w:tr>
        <w:trPr>
          <w:trHeight w:val="180"/>
        </w:trPr>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(dollars</w:t>
            </w:r>
          </w:p>
        </w:tc>
        <w:tc>
          <w:tcPr>
            <w:tcW w:w="240" w:type="dxa"/>
            <w:vAlign w:val="bottom"/>
          </w:tcPr>
          <w:p>
            <w:pPr>
              <w:jc w:val="right"/>
              <w:ind w:right="27"/>
              <w:spacing w:after="0" w:line="168" w:lineRule="exact"/>
              <w:rPr>
                <w:sz w:val="20"/>
                <w:szCs w:val="20"/>
                <w:color w:val="auto"/>
              </w:rPr>
            </w:pPr>
            <w:r>
              <w:rPr>
                <w:rFonts w:ascii="Arial" w:cs="Arial" w:eastAsia="Arial" w:hAnsi="Arial"/>
                <w:sz w:val="15"/>
                <w:szCs w:val="15"/>
                <w:b w:val="1"/>
                <w:bCs w:val="1"/>
                <w:color w:val="auto"/>
                <w:w w:val="89"/>
              </w:rPr>
              <w:t>in</w:t>
            </w: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millions)</w:t>
            </w:r>
          </w:p>
        </w:tc>
        <w:tc>
          <w:tcPr>
            <w:tcW w:w="40" w:type="dxa"/>
            <w:vAlign w:val="bottom"/>
          </w:tcPr>
          <w:p>
            <w:pPr>
              <w:spacing w:after="0"/>
              <w:rPr>
                <w:sz w:val="15"/>
                <w:szCs w:val="15"/>
                <w:color w:val="auto"/>
              </w:rPr>
            </w:pPr>
          </w:p>
        </w:tc>
      </w:tr>
      <w:tr>
        <w:trPr>
          <w:trHeight w:val="32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184"/>
        </w:trPr>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335.2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351"/>
        </w:trPr>
        <w:tc>
          <w:tcPr>
            <w:tcW w:w="320" w:type="dxa"/>
            <w:vAlign w:val="bottom"/>
          </w:tcPr>
          <w:p>
            <w:pPr>
              <w:spacing w:after="0"/>
              <w:rPr>
                <w:sz w:val="24"/>
                <w:szCs w:val="24"/>
                <w:color w:val="auto"/>
              </w:rPr>
            </w:pPr>
          </w:p>
        </w:tc>
        <w:tc>
          <w:tcPr>
            <w:tcW w:w="142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775.0</w:t>
            </w:r>
          </w:p>
        </w:tc>
      </w:tr>
      <w:tr>
        <w:trPr>
          <w:trHeight w:val="341"/>
        </w:trPr>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335.2</w:t>
            </w:r>
          </w:p>
        </w:tc>
        <w:tc>
          <w:tcPr>
            <w:tcW w:w="24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775.0</w:t>
            </w:r>
          </w:p>
        </w:tc>
        <w:tc>
          <w:tcPr>
            <w:tcW w:w="40" w:type="dxa"/>
            <w:vAlign w:val="bottom"/>
          </w:tcPr>
          <w:p>
            <w:pPr>
              <w:spacing w:after="0"/>
              <w:rPr>
                <w:sz w:val="24"/>
                <w:szCs w:val="24"/>
                <w:color w:val="auto"/>
              </w:rPr>
            </w:pPr>
          </w:p>
        </w:tc>
      </w:tr>
      <w:tr>
        <w:trPr>
          <w:trHeight w:val="689"/>
        </w:trPr>
        <w:tc>
          <w:tcPr>
            <w:tcW w:w="320" w:type="dxa"/>
            <w:vAlign w:val="bottom"/>
          </w:tcPr>
          <w:p>
            <w:pPr>
              <w:spacing w:after="0"/>
              <w:rPr>
                <w:sz w:val="24"/>
                <w:szCs w:val="24"/>
                <w:color w:val="auto"/>
              </w:rPr>
            </w:pPr>
          </w:p>
        </w:tc>
        <w:tc>
          <w:tcPr>
            <w:tcW w:w="142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1.1</w:t>
            </w:r>
          </w:p>
        </w:tc>
      </w:tr>
      <w:tr>
        <w:trPr>
          <w:trHeight w:val="341"/>
        </w:trPr>
        <w:tc>
          <w:tcPr>
            <w:tcW w:w="320" w:type="dxa"/>
            <w:vAlign w:val="bottom"/>
          </w:tcPr>
          <w:p>
            <w:pPr>
              <w:spacing w:after="0"/>
              <w:rPr>
                <w:sz w:val="24"/>
                <w:szCs w:val="24"/>
                <w:color w:val="auto"/>
              </w:rPr>
            </w:pPr>
          </w:p>
        </w:tc>
        <w:tc>
          <w:tcPr>
            <w:tcW w:w="142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1,230.9</w:t>
            </w:r>
          </w:p>
        </w:tc>
        <w:tc>
          <w:tcPr>
            <w:tcW w:w="40" w:type="dxa"/>
            <w:vAlign w:val="bottom"/>
          </w:tcPr>
          <w:p>
            <w:pPr>
              <w:spacing w:after="0"/>
              <w:rPr>
                <w:sz w:val="24"/>
                <w:szCs w:val="24"/>
                <w:color w:val="auto"/>
              </w:rPr>
            </w:pPr>
          </w:p>
        </w:tc>
      </w:tr>
      <w:tr>
        <w:trPr>
          <w:trHeight w:val="184"/>
        </w:trPr>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1,651.0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350"/>
        </w:trPr>
        <w:tc>
          <w:tcPr>
            <w:tcW w:w="320" w:type="dxa"/>
            <w:vAlign w:val="bottom"/>
          </w:tcPr>
          <w:p>
            <w:pPr>
              <w:spacing w:after="0"/>
              <w:rPr>
                <w:sz w:val="24"/>
                <w:szCs w:val="24"/>
                <w:color w:val="auto"/>
              </w:rPr>
            </w:pPr>
          </w:p>
        </w:tc>
        <w:tc>
          <w:tcPr>
            <w:tcW w:w="1420" w:type="dxa"/>
            <w:vAlign w:val="bottom"/>
            <w:gridSpan w:val="2"/>
          </w:tcPr>
          <w:p>
            <w:pPr>
              <w:jc w:val="right"/>
              <w:ind w:right="107"/>
              <w:spacing w:after="0"/>
              <w:rPr>
                <w:sz w:val="20"/>
                <w:szCs w:val="20"/>
                <w:color w:val="auto"/>
              </w:rPr>
            </w:pPr>
            <w:r>
              <w:rPr>
                <w:rFonts w:ascii="Arial" w:cs="Arial" w:eastAsia="Arial" w:hAnsi="Arial"/>
                <w:sz w:val="15"/>
                <w:szCs w:val="15"/>
                <w:color w:val="auto"/>
              </w:rPr>
              <w:t>(60.0)</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(60.0)</w:t>
            </w:r>
          </w:p>
        </w:tc>
      </w:tr>
      <w:tr>
        <w:trPr>
          <w:trHeight w:val="351"/>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1.7</w:t>
            </w:r>
          </w:p>
        </w:tc>
      </w:tr>
      <w:tr>
        <w:trPr>
          <w:trHeight w:val="341"/>
        </w:trPr>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1,592.7</w:t>
            </w:r>
          </w:p>
        </w:tc>
        <w:tc>
          <w:tcPr>
            <w:tcW w:w="24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1,173.7</w:t>
            </w:r>
          </w:p>
        </w:tc>
        <w:tc>
          <w:tcPr>
            <w:tcW w:w="40" w:type="dxa"/>
            <w:vAlign w:val="bottom"/>
          </w:tcPr>
          <w:p>
            <w:pPr>
              <w:spacing w:after="0"/>
              <w:rPr>
                <w:sz w:val="24"/>
                <w:szCs w:val="24"/>
                <w:color w:val="auto"/>
              </w:rPr>
            </w:pPr>
          </w:p>
        </w:tc>
      </w:tr>
      <w:tr>
        <w:trPr>
          <w:trHeight w:val="341"/>
        </w:trPr>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1,948.7</w:t>
            </w:r>
          </w:p>
        </w:tc>
        <w:tc>
          <w:tcPr>
            <w:tcW w:w="40" w:type="dxa"/>
            <w:vAlign w:val="bottom"/>
          </w:tcPr>
          <w:p>
            <w:pPr>
              <w:spacing w:after="0"/>
              <w:rPr>
                <w:sz w:val="24"/>
                <w:szCs w:val="24"/>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-2490470</wp:posOffset>
            </wp:positionV>
            <wp:extent cx="7272655" cy="1111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-2268855</wp:posOffset>
            </wp:positionV>
            <wp:extent cx="7272655" cy="1111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-2046605</wp:posOffset>
            </wp:positionV>
            <wp:extent cx="7272655" cy="1181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655" cy="11811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-1817370</wp:posOffset>
            </wp:positionV>
            <wp:extent cx="7272655" cy="1181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2655" cy="11811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-1588770</wp:posOffset>
            </wp:positionV>
            <wp:extent cx="7272655" cy="1111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-1366520</wp:posOffset>
            </wp:positionV>
            <wp:extent cx="7272655" cy="1111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-1144270</wp:posOffset>
            </wp:positionV>
            <wp:extent cx="7272655" cy="1111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-922020</wp:posOffset>
            </wp:positionV>
            <wp:extent cx="7272655" cy="1111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-700405</wp:posOffset>
            </wp:positionV>
            <wp:extent cx="7272655" cy="1111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-471170</wp:posOffset>
            </wp:positionV>
            <wp:extent cx="7272655" cy="1111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-242570</wp:posOffset>
            </wp:positionV>
            <wp:extent cx="7272655" cy="1111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655"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300"/>
          </w:cols>
          <w:pgMar w:left="220" w:top="497" w:right="239" w:bottom="1440" w:gutter="0" w:footer="0" w:header="0"/>
          <w:type w:val="continuous"/>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92340"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7" w:right="239" w:bottom="1440" w:gutter="0" w:footer="0" w:header="0"/>
          <w:type w:val="continuous"/>
        </w:sectPr>
      </w:pPr>
    </w:p>
    <w:bookmarkStart w:id="271" w:name="page272"/>
    <w:bookmarkEnd w:id="271"/>
    <w:p>
      <w:pPr>
        <w:jc w:val="center"/>
        <w:ind w:right="-39"/>
        <w:spacing w:after="0"/>
        <w:rPr>
          <w:sz w:val="20"/>
          <w:szCs w:val="20"/>
          <w:color w:val="auto"/>
        </w:rPr>
      </w:pPr>
      <w:r>
        <w:rPr>
          <w:rFonts w:ascii="Arial" w:cs="Arial" w:eastAsia="Arial" w:hAnsi="Arial"/>
          <w:sz w:val="15"/>
          <w:szCs w:val="15"/>
          <w:b w:val="1"/>
          <w:bCs w:val="1"/>
          <w:color w:val="auto"/>
        </w:rPr>
        <w:t>UNAUDITED PRO FORMA COMBINED FINANCIAL STATEMENTS</w:t>
      </w:r>
    </w:p>
    <w:p>
      <w:pPr>
        <w:spacing w:after="0" w:line="181" w:lineRule="exact"/>
        <w:rPr>
          <w:sz w:val="20"/>
          <w:szCs w:val="20"/>
          <w:color w:val="auto"/>
        </w:rPr>
      </w:pPr>
    </w:p>
    <w:p>
      <w:pPr>
        <w:ind w:right="60" w:firstLine="262"/>
        <w:spacing w:after="0" w:line="271" w:lineRule="auto"/>
        <w:rPr>
          <w:sz w:val="20"/>
          <w:szCs w:val="20"/>
          <w:color w:val="auto"/>
        </w:rPr>
      </w:pPr>
      <w:r>
        <w:rPr>
          <w:rFonts w:ascii="Arial" w:cs="Arial" w:eastAsia="Arial" w:hAnsi="Arial"/>
          <w:sz w:val="14"/>
          <w:szCs w:val="14"/>
          <w:color w:val="auto"/>
        </w:rPr>
        <w:t>The unaudited pro forma combined financial statements of the Accommodations Business of Oil States consist of the unaudited pro forma combined statement of income for the year ended December 31, 2013 and an unaudited pro forma combined balance sheet as of December 31, 2013. The unaudited pro forma combined financial statements should be read in conjunction with “Capitalization,” “Selected Historical Combined Financial Data,” “Management’s Discussion and Analysis of Financial Condition and Results of Operations,” “Other Related Party Transactions” and our historical combined financial statements included elsewhere in this Information Statement.</w:t>
      </w:r>
    </w:p>
    <w:p>
      <w:pPr>
        <w:spacing w:after="0" w:line="147" w:lineRule="exact"/>
        <w:rPr>
          <w:sz w:val="20"/>
          <w:szCs w:val="20"/>
          <w:color w:val="auto"/>
        </w:rPr>
      </w:pPr>
    </w:p>
    <w:p>
      <w:pPr>
        <w:ind w:right="20" w:firstLine="262"/>
        <w:spacing w:after="0" w:line="320" w:lineRule="auto"/>
        <w:rPr>
          <w:sz w:val="20"/>
          <w:szCs w:val="20"/>
          <w:color w:val="auto"/>
        </w:rPr>
      </w:pPr>
      <w:r>
        <w:rPr>
          <w:rFonts w:ascii="Arial" w:cs="Arial" w:eastAsia="Arial" w:hAnsi="Arial"/>
          <w:sz w:val="12"/>
          <w:szCs w:val="12"/>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20" w:lineRule="exact"/>
        <w:rPr>
          <w:sz w:val="20"/>
          <w:szCs w:val="20"/>
          <w:color w:val="auto"/>
        </w:rPr>
      </w:pPr>
    </w:p>
    <w:p>
      <w:pPr>
        <w:jc w:val="both"/>
        <w:ind w:right="120" w:firstLine="262"/>
        <w:spacing w:after="0" w:line="251" w:lineRule="auto"/>
        <w:rPr>
          <w:sz w:val="20"/>
          <w:szCs w:val="20"/>
          <w:color w:val="auto"/>
        </w:rPr>
      </w:pPr>
      <w:r>
        <w:rPr>
          <w:rFonts w:ascii="Arial" w:cs="Arial" w:eastAsia="Arial" w:hAnsi="Arial"/>
          <w:sz w:val="15"/>
          <w:szCs w:val="15"/>
          <w:color w:val="auto"/>
        </w:rPr>
        <w:t>The unaudited pro forma combined statement of income for the year ended December 31, 2013 reflects our results as if the spin-off and related transactions described below had occurred on January 1, 2013. The unaudited pro forma combined balance sheet as of December 31, 2013 reflects our results as if the spin-off and related transactions described below had occurred as of such date.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unaudited pro forma combined financial statements give effect to the following:</w:t>
      </w:r>
    </w:p>
    <w:p>
      <w:pPr>
        <w:spacing w:after="0" w:line="177" w:lineRule="exact"/>
        <w:rPr>
          <w:sz w:val="20"/>
          <w:szCs w:val="20"/>
          <w:color w:val="auto"/>
        </w:rPr>
      </w:pPr>
    </w:p>
    <w:p>
      <w:pPr>
        <w:ind w:left="540" w:hanging="270"/>
        <w:spacing w:after="0"/>
        <w:tabs>
          <w:tab w:leader="none" w:pos="5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contribution by Oil States to us, pursuant to the spin-off, of all the assets and liabilities that comprise our business;</w:t>
      </w:r>
    </w:p>
    <w:p>
      <w:pPr>
        <w:spacing w:after="0" w:line="177" w:lineRule="exact"/>
        <w:rPr>
          <w:rFonts w:ascii="Arial" w:cs="Arial" w:eastAsia="Arial" w:hAnsi="Arial"/>
          <w:sz w:val="15"/>
          <w:szCs w:val="15"/>
          <w:color w:val="auto"/>
        </w:rPr>
      </w:pPr>
    </w:p>
    <w:p>
      <w:pPr>
        <w:ind w:left="540" w:right="40" w:hanging="270"/>
        <w:spacing w:after="0" w:line="248" w:lineRule="auto"/>
        <w:tabs>
          <w:tab w:leader="none" w:pos="5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our anticipated post-spin-off capital structure, including (i) the issuance of up to approximately 108.4 million shares of our common stock to holders of Oil States common shares (this number of shares is based upon the number of Oil States common shares outstanding on December 31, 2013 and the distribution ratio of two shares of Civeo common stock for every one share of Oil States common stock held on the record date) and (ii) the incurrence of $775.0 million of indebtedness to fund (1) the transfer to Oil States of $750.0 million through a dividend and (2) general corporate purposes, including transaction related expenses; and</w:t>
      </w:r>
    </w:p>
    <w:p>
      <w:pPr>
        <w:spacing w:after="0" w:line="161" w:lineRule="exact"/>
        <w:rPr>
          <w:rFonts w:ascii="Arial" w:cs="Arial" w:eastAsia="Arial" w:hAnsi="Arial"/>
          <w:sz w:val="15"/>
          <w:szCs w:val="15"/>
          <w:color w:val="auto"/>
        </w:rPr>
      </w:pPr>
    </w:p>
    <w:p>
      <w:pPr>
        <w:ind w:left="540" w:right="360" w:hanging="270"/>
        <w:spacing w:after="0" w:line="259" w:lineRule="auto"/>
        <w:tabs>
          <w:tab w:leader="none" w:pos="5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settlement of intercompany account balances between us and Oil States including the contribution to us of our existing long term debt to affiliates, which is currently held by Oil States.</w:t>
      </w:r>
    </w:p>
    <w:p>
      <w:pPr>
        <w:spacing w:after="0" w:line="152" w:lineRule="exact"/>
        <w:rPr>
          <w:sz w:val="20"/>
          <w:szCs w:val="20"/>
          <w:color w:val="auto"/>
        </w:rPr>
      </w:pPr>
    </w:p>
    <w:p>
      <w:pPr>
        <w:ind w:right="140" w:firstLine="262"/>
        <w:spacing w:after="0" w:line="324" w:lineRule="auto"/>
        <w:rPr>
          <w:sz w:val="20"/>
          <w:szCs w:val="20"/>
          <w:color w:val="auto"/>
        </w:rPr>
      </w:pPr>
      <w:r>
        <w:rPr>
          <w:rFonts w:ascii="Arial" w:cs="Arial" w:eastAsia="Arial" w:hAnsi="Arial"/>
          <w:sz w:val="12"/>
          <w:szCs w:val="12"/>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In connection with the spin-off, we expect to enter into a transition services agreement, tax sharing agreement and employee matters agreement with Oil States. See “Arrangements Between Oil States and Our Company.” We do not expect that the incremental costs associated with the agreements will be materially higher than the allocations described above, as such, no further pro forma adjustment have been made. However, the unaudited pro forma condensed combined financial statements do not reflect all of the costs of operating as a stand-alone public company which are estimated to be in the range of $17.0 million to $20.0 million, before-tax, annually.</w:t>
      </w:r>
    </w:p>
    <w:p>
      <w:pPr>
        <w:spacing w:after="0" w:line="118" w:lineRule="exact"/>
        <w:rPr>
          <w:sz w:val="20"/>
          <w:szCs w:val="20"/>
          <w:color w:val="auto"/>
        </w:rPr>
      </w:pPr>
    </w:p>
    <w:p>
      <w:pPr>
        <w:jc w:val="both"/>
        <w:ind w:firstLine="296"/>
        <w:spacing w:after="0" w:line="343" w:lineRule="auto"/>
        <w:rPr>
          <w:sz w:val="20"/>
          <w:szCs w:val="20"/>
          <w:color w:val="auto"/>
        </w:rPr>
      </w:pPr>
      <w:r>
        <w:rPr>
          <w:rFonts w:ascii="Arial" w:cs="Arial" w:eastAsia="Arial" w:hAnsi="Arial"/>
          <w:sz w:val="12"/>
          <w:szCs w:val="12"/>
          <w:color w:val="auto"/>
        </w:rPr>
        <w:t>We currently estimate that Oil States will incur $15.0 million to $20.0 million of transaction costs related to the spin-off, excluding refinancing costs. As of December 31, 2013, Oil States had already incurred approximately $5.2 million of these transaction costs. We have not adjusted the accompanying unaudited pro forma combined statement of income for these estimated costs as the costs are not expected to be allocated to us or to have an ongoing impact on our operating results. We expect all of these costs to be paid for and expensed by Oil States.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7" w:right="259" w:bottom="1440" w:gutter="0" w:footer="0" w:header="0"/>
        </w:sectPr>
      </w:pPr>
    </w:p>
    <w:bookmarkStart w:id="272" w:name="page273"/>
    <w:bookmarkEnd w:id="272"/>
    <w:p>
      <w:pPr>
        <w:spacing w:after="0"/>
        <w:rPr>
          <w:sz w:val="20"/>
          <w:szCs w:val="20"/>
          <w:color w:val="auto"/>
        </w:rPr>
      </w:pPr>
      <w:r>
        <w:rPr>
          <w:rFonts w:ascii="Arial" w:cs="Arial" w:eastAsia="Arial" w:hAnsi="Arial"/>
          <w:sz w:val="12"/>
          <w:szCs w:val="12"/>
          <w:color w:val="auto"/>
        </w:rPr>
        <w:t>We anticipate that Civeo will also incur transition costs related to becoming a separate, public company within 18 months of the spin-off. These costs primarily relate to the following:</w:t>
      </w:r>
    </w:p>
    <w:p>
      <w:pPr>
        <w:spacing w:after="0" w:line="212" w:lineRule="exact"/>
        <w:rPr>
          <w:sz w:val="20"/>
          <w:szCs w:val="20"/>
          <w:color w:val="auto"/>
        </w:rPr>
      </w:pPr>
    </w:p>
    <w:p>
      <w:pPr>
        <w:ind w:left="280" w:hanging="270"/>
        <w:spacing w:after="0"/>
        <w:tabs>
          <w:tab w:leader="none" w:pos="2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accounting, tax, legal and other professional costs pertaining to the spin-off and establishing us as a stand-alone public company;</w:t>
      </w:r>
    </w:p>
    <w:p>
      <w:pPr>
        <w:spacing w:after="0" w:line="177" w:lineRule="exact"/>
        <w:rPr>
          <w:rFonts w:ascii="Arial" w:cs="Arial" w:eastAsia="Arial" w:hAnsi="Arial"/>
          <w:sz w:val="15"/>
          <w:szCs w:val="15"/>
          <w:color w:val="auto"/>
        </w:rPr>
      </w:pPr>
    </w:p>
    <w:p>
      <w:pPr>
        <w:ind w:left="280" w:hanging="270"/>
        <w:spacing w:after="0"/>
        <w:tabs>
          <w:tab w:leader="none" w:pos="2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compensation, such as modifications to certain bonus and equity awards, upon completion of the spin-off;</w:t>
      </w:r>
    </w:p>
    <w:p>
      <w:pPr>
        <w:spacing w:after="0" w:line="177" w:lineRule="exact"/>
        <w:rPr>
          <w:rFonts w:ascii="Arial" w:cs="Arial" w:eastAsia="Arial" w:hAnsi="Arial"/>
          <w:sz w:val="15"/>
          <w:szCs w:val="15"/>
          <w:color w:val="auto"/>
        </w:rPr>
      </w:pPr>
    </w:p>
    <w:p>
      <w:pPr>
        <w:ind w:left="280" w:hanging="270"/>
        <w:spacing w:after="0"/>
        <w:tabs>
          <w:tab w:leader="none" w:pos="2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recruiting and relocation costs associated with hiring key senior management personnel new to our company;</w:t>
      </w:r>
    </w:p>
    <w:p>
      <w:pPr>
        <w:spacing w:after="0" w:line="177" w:lineRule="exact"/>
        <w:rPr>
          <w:rFonts w:ascii="Arial" w:cs="Arial" w:eastAsia="Arial" w:hAnsi="Arial"/>
          <w:sz w:val="15"/>
          <w:szCs w:val="15"/>
          <w:color w:val="auto"/>
        </w:rPr>
      </w:pPr>
    </w:p>
    <w:p>
      <w:pPr>
        <w:ind w:left="280" w:hanging="270"/>
        <w:spacing w:after="0"/>
        <w:tabs>
          <w:tab w:leader="none" w:pos="2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costs related to establishing our new brand in the marketplace; and</w:t>
      </w:r>
    </w:p>
    <w:p>
      <w:pPr>
        <w:spacing w:after="0" w:line="177" w:lineRule="exact"/>
        <w:rPr>
          <w:rFonts w:ascii="Arial" w:cs="Arial" w:eastAsia="Arial" w:hAnsi="Arial"/>
          <w:sz w:val="15"/>
          <w:szCs w:val="15"/>
          <w:color w:val="auto"/>
        </w:rPr>
      </w:pPr>
    </w:p>
    <w:p>
      <w:pPr>
        <w:ind w:left="280" w:hanging="270"/>
        <w:spacing w:after="0"/>
        <w:tabs>
          <w:tab w:leader="none" w:pos="28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costs to separate information systems.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Due to the scope and complexity of these activities, the amount of these costs could increase or decrease materially and the timing of incurrence could change.</w:t>
      </w:r>
    </w:p>
    <w:p>
      <w:pPr>
        <w:spacing w:after="0" w:line="37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60960</wp:posOffset>
            </wp:positionV>
            <wp:extent cx="7292340" cy="336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0660"/>
          </w:cols>
          <w:pgMar w:left="480" w:top="500" w:right="75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5"/>
          <w:szCs w:val="15"/>
          <w:b w:val="1"/>
          <w:bCs w:val="1"/>
          <w:color w:val="auto"/>
        </w:rPr>
        <w:t>UNAUDITED PRO FORMA COMBINED BALANCE SHEET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Financing</w:t>
            </w:r>
          </w:p>
        </w:tc>
        <w:tc>
          <w:tcPr>
            <w:tcW w:w="48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Distribution and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Pro Forma for the</w:t>
            </w: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8"/>
              </w:rPr>
              <w:t>Adjustments for</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Other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8"/>
              </w:rPr>
              <w:t>Financing and</w:t>
            </w:r>
          </w:p>
        </w:tc>
      </w:tr>
      <w:tr>
        <w:trPr>
          <w:trHeight w:val="189"/>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4"/>
              </w:rPr>
              <w:t>Historical(a)</w:t>
            </w: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Distribution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9"/>
              </w:rPr>
              <w:t>Distribution</w:t>
            </w: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224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765.0</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(750.0)</w:t>
            </w:r>
          </w:p>
        </w:tc>
        <w:tc>
          <w:tcPr>
            <w:tcW w:w="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239.1</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177.8</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29.8</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29.8</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r>
      <w:tr>
        <w:trPr>
          <w:trHeight w:val="166"/>
        </w:trPr>
        <w:tc>
          <w:tcPr>
            <w:tcW w:w="20" w:type="dxa"/>
            <w:vAlign w:val="bottom"/>
          </w:tcPr>
          <w:p>
            <w:pPr>
              <w:spacing w:after="0"/>
              <w:rPr>
                <w:sz w:val="14"/>
                <w:szCs w:val="14"/>
                <w:color w:val="auto"/>
              </w:rPr>
            </w:pPr>
          </w:p>
        </w:tc>
        <w:tc>
          <w:tcPr>
            <w:tcW w:w="5260" w:type="dxa"/>
            <w:vAlign w:val="bottom"/>
            <w:tcBorders>
              <w:bottom w:val="single" w:sz="8" w:color="CCEEFF"/>
            </w:tcBorders>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443.6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458.6</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260" w:type="dxa"/>
            <w:vAlign w:val="bottom"/>
          </w:tcPr>
          <w:p>
            <w:pPr>
              <w:spacing w:after="0" w:line="166" w:lineRule="exact"/>
              <w:rPr>
                <w:sz w:val="20"/>
                <w:szCs w:val="20"/>
                <w:color w:val="auto"/>
              </w:rPr>
            </w:pPr>
            <w:r>
              <w:rPr>
                <w:rFonts w:ascii="Arial" w:cs="Arial" w:eastAsia="Arial" w:hAnsi="Arial"/>
                <w:sz w:val="15"/>
                <w:szCs w:val="15"/>
                <w:color w:val="auto"/>
              </w:rPr>
              <w:t>Property, plant and equipment, net</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1,325.9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1,325.9</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Goodwill, net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261.1</w:t>
            </w: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Other intangible assets, net</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75.7</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75.7</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(c)</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26.5</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260" w:type="dxa"/>
            <w:vAlign w:val="bottom"/>
          </w:tcPr>
          <w:p>
            <w:pPr>
              <w:ind w:left="300"/>
              <w:spacing w:after="0" w:line="166" w:lineRule="exact"/>
              <w:rPr>
                <w:sz w:val="20"/>
                <w:szCs w:val="20"/>
                <w:color w:val="auto"/>
              </w:rPr>
            </w:pPr>
            <w:r>
              <w:rPr>
                <w:rFonts w:ascii="Arial" w:cs="Arial" w:eastAsia="Arial" w:hAnsi="Arial"/>
                <w:sz w:val="15"/>
                <w:szCs w:val="15"/>
                <w:color w:val="auto"/>
              </w:rPr>
              <w:t>Total assets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2,127.0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line="166" w:lineRule="exact"/>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2,147.8</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260" w:type="dxa"/>
            <w:vAlign w:val="bottom"/>
          </w:tcPr>
          <w:p>
            <w:pPr>
              <w:ind w:left="980"/>
              <w:spacing w:after="0"/>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45.4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45.4</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26.9</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26.9</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Income taxes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6.6</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19.6</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2.4</w:t>
            </w:r>
          </w:p>
        </w:tc>
      </w:tr>
      <w:tr>
        <w:trPr>
          <w:trHeight w:val="166"/>
        </w:trPr>
        <w:tc>
          <w:tcPr>
            <w:tcW w:w="20" w:type="dxa"/>
            <w:vAlign w:val="bottom"/>
          </w:tcPr>
          <w:p>
            <w:pPr>
              <w:spacing w:after="0"/>
              <w:rPr>
                <w:sz w:val="14"/>
                <w:szCs w:val="14"/>
                <w:color w:val="auto"/>
              </w:rPr>
            </w:pPr>
          </w:p>
        </w:tc>
        <w:tc>
          <w:tcPr>
            <w:tcW w:w="5260" w:type="dxa"/>
            <w:vAlign w:val="bottom"/>
            <w:tcBorders>
              <w:bottom w:val="single" w:sz="8" w:color="CCEEFF"/>
            </w:tcBorders>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100.9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100.9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260" w:type="dxa"/>
            <w:vAlign w:val="bottom"/>
          </w:tcPr>
          <w:p>
            <w:pPr>
              <w:ind w:left="140"/>
              <w:spacing w:after="0" w:line="166" w:lineRule="exact"/>
              <w:rPr>
                <w:sz w:val="20"/>
                <w:szCs w:val="20"/>
                <w:color w:val="auto"/>
              </w:rPr>
            </w:pPr>
            <w:r>
              <w:rPr>
                <w:rFonts w:ascii="Arial" w:cs="Arial" w:eastAsia="Arial" w:hAnsi="Arial"/>
                <w:sz w:val="15"/>
                <w:szCs w:val="15"/>
                <w:color w:val="auto"/>
              </w:rPr>
              <w:t>Long-term debt to affiliates</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335.2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(335.2)</w:t>
            </w:r>
          </w:p>
        </w:tc>
        <w:tc>
          <w:tcPr>
            <w:tcW w:w="420" w:type="dxa"/>
            <w:vAlign w:val="bottom"/>
          </w:tcPr>
          <w:p>
            <w:pPr>
              <w:ind w:left="140"/>
              <w:spacing w:after="0" w:line="166" w:lineRule="exact"/>
              <w:rPr>
                <w:sz w:val="20"/>
                <w:szCs w:val="20"/>
                <w:color w:val="auto"/>
              </w:rPr>
            </w:pPr>
            <w:r>
              <w:rPr>
                <w:rFonts w:ascii="Arial" w:cs="Arial" w:eastAsia="Arial" w:hAnsi="Arial"/>
                <w:sz w:val="15"/>
                <w:szCs w:val="15"/>
                <w:color w:val="auto"/>
              </w:rPr>
              <w:t>(f)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debt to third-parties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(b)</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775.0</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Deferred income taxes</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79.7</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79.7</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noncurrent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18.5</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260" w:type="dxa"/>
            <w:vAlign w:val="bottom"/>
          </w:tcPr>
          <w:p>
            <w:pPr>
              <w:ind w:left="300"/>
              <w:spacing w:after="0" w:line="166" w:lineRule="exact"/>
              <w:rPr>
                <w:sz w:val="20"/>
                <w:szCs w:val="20"/>
                <w:color w:val="auto"/>
              </w:rPr>
            </w:pPr>
            <w:r>
              <w:rPr>
                <w:rFonts w:ascii="Arial" w:cs="Arial" w:eastAsia="Arial" w:hAnsi="Arial"/>
                <w:sz w:val="15"/>
                <w:szCs w:val="15"/>
                <w:color w:val="auto"/>
              </w:rPr>
              <w:t>Total liabilities</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534.3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974.1</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Equity:</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420" w:type="dxa"/>
            <w:vAlign w:val="bottom"/>
          </w:tcPr>
          <w:p>
            <w:pPr>
              <w:ind w:left="120"/>
              <w:spacing w:after="0"/>
              <w:rPr>
                <w:sz w:val="20"/>
                <w:szCs w:val="20"/>
                <w:color w:val="auto"/>
              </w:rPr>
            </w:pPr>
            <w:r>
              <w:rPr>
                <w:rFonts w:ascii="Arial" w:cs="Arial" w:eastAsia="Arial" w:hAnsi="Arial"/>
                <w:sz w:val="15"/>
                <w:szCs w:val="15"/>
                <w:color w:val="auto"/>
              </w:rPr>
              <w:t>(g)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1,230.9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1,230.9</w:t>
            </w:r>
          </w:p>
        </w:tc>
      </w:tr>
      <w:tr>
        <w:trPr>
          <w:trHeight w:val="175"/>
        </w:trPr>
        <w:tc>
          <w:tcPr>
            <w:tcW w:w="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Arial" w:cs="Arial" w:eastAsia="Arial" w:hAnsi="Arial"/>
                <w:sz w:val="15"/>
                <w:szCs w:val="15"/>
                <w:color w:val="auto"/>
              </w:rPr>
              <w:t>Parent company investment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w:t>
            </w:r>
          </w:p>
        </w:tc>
        <w:tc>
          <w:tcPr>
            <w:tcW w:w="480" w:type="dxa"/>
            <w:vAlign w:val="bottom"/>
          </w:tcPr>
          <w:p>
            <w:pPr>
              <w:ind w:left="80"/>
              <w:spacing w:after="0"/>
              <w:rPr>
                <w:sz w:val="20"/>
                <w:szCs w:val="20"/>
                <w:color w:val="auto"/>
              </w:rPr>
            </w:pPr>
            <w:r>
              <w:rPr>
                <w:rFonts w:ascii="Arial" w:cs="Arial" w:eastAsia="Arial" w:hAnsi="Arial"/>
                <w:sz w:val="15"/>
                <w:szCs w:val="15"/>
                <w:color w:val="auto"/>
              </w:rPr>
              <w:t>(c)</w:t>
            </w: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(1,646.8)</w:t>
            </w:r>
          </w:p>
        </w:tc>
        <w:tc>
          <w:tcPr>
            <w:tcW w:w="420" w:type="dxa"/>
            <w:vAlign w:val="bottom"/>
          </w:tcPr>
          <w:p>
            <w:pPr>
              <w:ind w:left="120"/>
              <w:spacing w:after="0"/>
              <w:rPr>
                <w:sz w:val="20"/>
                <w:szCs w:val="20"/>
                <w:color w:val="auto"/>
              </w:rPr>
            </w:pPr>
            <w:r>
              <w:rPr>
                <w:rFonts w:ascii="Arial" w:cs="Arial" w:eastAsia="Arial" w:hAnsi="Arial"/>
                <w:sz w:val="15"/>
                <w:szCs w:val="15"/>
                <w:color w:val="auto"/>
              </w:rPr>
              <w:t>(g)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5"/>
        </w:trPr>
        <w:tc>
          <w:tcPr>
            <w:tcW w:w="20" w:type="dxa"/>
            <w:vAlign w:val="bottom"/>
          </w:tcPr>
          <w:p>
            <w:pPr>
              <w:spacing w:after="0"/>
              <w:rPr>
                <w:sz w:val="15"/>
                <w:szCs w:val="15"/>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(60.0)</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260" w:type="dxa"/>
            <w:vAlign w:val="bottom"/>
          </w:tcPr>
          <w:p>
            <w:pPr>
              <w:ind w:left="300"/>
              <w:spacing w:after="0" w:line="166" w:lineRule="exact"/>
              <w:rPr>
                <w:sz w:val="20"/>
                <w:szCs w:val="20"/>
                <w:color w:val="auto"/>
              </w:rPr>
            </w:pPr>
            <w:r>
              <w:rPr>
                <w:rFonts w:ascii="Arial" w:cs="Arial" w:eastAsia="Arial" w:hAnsi="Arial"/>
                <w:sz w:val="15"/>
                <w:szCs w:val="15"/>
                <w:color w:val="auto"/>
              </w:rPr>
              <w:t>Total</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1,591.0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1,172.0</w:t>
            </w:r>
          </w:p>
        </w:tc>
      </w:tr>
      <w:tr>
        <w:trPr>
          <w:trHeight w:val="166"/>
        </w:trPr>
        <w:tc>
          <w:tcPr>
            <w:tcW w:w="20" w:type="dxa"/>
            <w:vAlign w:val="bottom"/>
          </w:tcPr>
          <w:p>
            <w:pPr>
              <w:spacing w:after="0"/>
              <w:rPr>
                <w:sz w:val="14"/>
                <w:szCs w:val="14"/>
                <w:color w:val="auto"/>
              </w:rPr>
            </w:pPr>
          </w:p>
        </w:tc>
        <w:tc>
          <w:tcPr>
            <w:tcW w:w="5260" w:type="dxa"/>
            <w:vAlign w:val="bottom"/>
            <w:tcBorders>
              <w:bottom w:val="single" w:sz="8" w:color="CCEEFF"/>
            </w:tcBorders>
            <w:shd w:val="clear" w:color="auto" w:fill="CCEEFF"/>
          </w:tcPr>
          <w:p>
            <w:pPr>
              <w:ind w:left="300"/>
              <w:spacing w:after="0" w:line="166" w:lineRule="exact"/>
              <w:rPr>
                <w:sz w:val="20"/>
                <w:szCs w:val="20"/>
                <w:color w:val="auto"/>
              </w:rPr>
            </w:pPr>
            <w:r>
              <w:rPr>
                <w:rFonts w:ascii="Arial" w:cs="Arial" w:eastAsia="Arial" w:hAnsi="Arial"/>
                <w:sz w:val="15"/>
                <w:szCs w:val="15"/>
                <w:color w:val="auto"/>
              </w:rPr>
              <w:t>Noncontrolling interests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260" w:type="dxa"/>
            <w:vAlign w:val="bottom"/>
          </w:tcPr>
          <w:p>
            <w:pPr>
              <w:ind w:left="300"/>
              <w:spacing w:after="0" w:line="166" w:lineRule="exact"/>
              <w:rPr>
                <w:sz w:val="20"/>
                <w:szCs w:val="20"/>
                <w:color w:val="auto"/>
              </w:rPr>
            </w:pPr>
            <w:r>
              <w:rPr>
                <w:rFonts w:ascii="Arial" w:cs="Arial" w:eastAsia="Arial" w:hAnsi="Arial"/>
                <w:sz w:val="15"/>
                <w:szCs w:val="15"/>
                <w:color w:val="auto"/>
              </w:rPr>
              <w:t>Total equity</w:t>
            </w:r>
          </w:p>
        </w:tc>
        <w:tc>
          <w:tcPr>
            <w:tcW w:w="12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1,592.7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1,173.7</w:t>
            </w:r>
          </w:p>
        </w:tc>
      </w:tr>
      <w:tr>
        <w:trPr>
          <w:trHeight w:val="206"/>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2,127.0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2,147.8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Unaudited Pro Forma Combined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5"/>
          <w:szCs w:val="15"/>
          <w:b w:val="1"/>
          <w:bCs w:val="1"/>
          <w:color w:val="auto"/>
        </w:rPr>
        <w:t>UNAUDITED PRO FORMA COMBINED STATEMENT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 ENDED DECEMBER 31, 2013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7"/>
              </w:rPr>
              <w:t>Financing</w:t>
            </w:r>
          </w:p>
        </w:tc>
        <w:tc>
          <w:tcPr>
            <w:tcW w:w="36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Distribution and</w:t>
            </w:r>
          </w:p>
        </w:tc>
        <w:tc>
          <w:tcPr>
            <w:tcW w:w="3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5"/>
                <w:szCs w:val="15"/>
                <w:b w:val="1"/>
                <w:bCs w:val="1"/>
                <w:color w:val="auto"/>
                <w:w w:val="96"/>
              </w:rPr>
              <w:t>Pro Forma for the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Adjustments for</w:t>
            </w:r>
          </w:p>
        </w:tc>
        <w:tc>
          <w:tcPr>
            <w:tcW w:w="36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Other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8"/>
              </w:rPr>
              <w:t>Financing and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94"/>
              </w:rPr>
              <w:t>Historical(a)</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Distribution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Adjustments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97"/>
              </w:rPr>
              <w:t>Distribution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1,041.1</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1,041.1</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Cost of goods and services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549.6</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549.6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general &amp; administrative expenses</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69.6</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167.2</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167.2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income</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Borders>
              <w:top w:val="single" w:sz="8" w:color="CCEEFF"/>
            </w:tcBorders>
          </w:tcPr>
          <w:p>
            <w:pPr>
              <w:ind w:left="140"/>
              <w:spacing w:after="0" w:line="166" w:lineRule="exact"/>
              <w:rPr>
                <w:sz w:val="20"/>
                <w:szCs w:val="20"/>
                <w:color w:val="auto"/>
              </w:rPr>
            </w:pPr>
            <w:r>
              <w:rPr>
                <w:rFonts w:ascii="Arial" w:cs="Arial" w:eastAsia="Arial" w:hAnsi="Arial"/>
                <w:sz w:val="15"/>
                <w:szCs w:val="15"/>
                <w:color w:val="auto"/>
              </w:rPr>
              <w:t>Total operating expenses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232.0</w:t>
            </w:r>
          </w:p>
        </w:tc>
        <w:tc>
          <w:tcPr>
            <w:tcW w:w="24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232.0</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259.5</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259.5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 net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(16.9)</w:t>
            </w:r>
          </w:p>
        </w:tc>
        <w:tc>
          <w:tcPr>
            <w:tcW w:w="360" w:type="dxa"/>
            <w:vAlign w:val="bottom"/>
            <w:shd w:val="clear" w:color="auto" w:fill="CCEEFF"/>
          </w:tcPr>
          <w:p>
            <w:pPr>
              <w:ind w:left="60"/>
              <w:spacing w:after="0"/>
              <w:rPr>
                <w:sz w:val="20"/>
                <w:szCs w:val="20"/>
                <w:color w:val="auto"/>
              </w:rPr>
            </w:pPr>
            <w:r>
              <w:rPr>
                <w:rFonts w:ascii="Arial" w:cs="Arial" w:eastAsia="Arial" w:hAnsi="Arial"/>
                <w:sz w:val="15"/>
                <w:szCs w:val="15"/>
                <w:color w:val="auto"/>
              </w:rPr>
              <w:t>(d)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(f)</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Income before income taxes</w:t>
            </w: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239.4</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ind w:left="140"/>
              <w:spacing w:after="0"/>
              <w:rPr>
                <w:sz w:val="20"/>
                <w:szCs w:val="20"/>
                <w:color w:val="auto"/>
              </w:rPr>
            </w:pPr>
            <w:r>
              <w:rPr>
                <w:rFonts w:ascii="Arial" w:cs="Arial" w:eastAsia="Arial" w:hAnsi="Arial"/>
                <w:sz w:val="15"/>
                <w:szCs w:val="15"/>
                <w:color w:val="auto"/>
              </w:rPr>
              <w:t>Income tax provision</w:t>
            </w: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(56.1)</w:t>
            </w:r>
          </w:p>
        </w:tc>
        <w:tc>
          <w:tcPr>
            <w:tcW w:w="116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5"/>
                <w:szCs w:val="15"/>
                <w:color w:val="auto"/>
              </w:rPr>
              <w:t>(h)</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183.3</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190.6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80" w:type="dxa"/>
            <w:vAlign w:val="bottom"/>
          </w:tcPr>
          <w:p>
            <w:pPr>
              <w:spacing w:after="0" w:line="151" w:lineRule="exact"/>
              <w:rPr>
                <w:sz w:val="20"/>
                <w:szCs w:val="20"/>
                <w:color w:val="auto"/>
              </w:rPr>
            </w:pPr>
            <w:r>
              <w:rPr>
                <w:rFonts w:ascii="Arial" w:cs="Arial" w:eastAsia="Arial" w:hAnsi="Arial"/>
                <w:sz w:val="15"/>
                <w:szCs w:val="15"/>
                <w:b w:val="1"/>
                <w:bCs w:val="1"/>
                <w:color w:val="auto"/>
                <w:w w:val="93"/>
              </w:rPr>
              <w:t>Net income attributable to Accommodations Business of Oil States International,</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181.9</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5"/>
                <w:szCs w:val="15"/>
                <w:color w:val="auto"/>
                <w:w w:val="95"/>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189.2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ind w:left="140"/>
              <w:spacing w:after="0" w:line="157" w:lineRule="exact"/>
              <w:rPr>
                <w:sz w:val="20"/>
                <w:szCs w:val="20"/>
                <w:color w:val="auto"/>
              </w:rPr>
            </w:pPr>
            <w:r>
              <w:rPr>
                <w:rFonts w:ascii="Arial" w:cs="Arial" w:eastAsia="Arial" w:hAnsi="Arial"/>
                <w:sz w:val="15"/>
                <w:szCs w:val="15"/>
                <w:b w:val="1"/>
                <w:bCs w:val="1"/>
                <w:color w:val="auto"/>
              </w:rPr>
              <w:t>Inc.</w:t>
            </w:r>
          </w:p>
        </w:tc>
        <w:tc>
          <w:tcPr>
            <w:tcW w:w="1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Earnings Per Share: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1.72</w:t>
            </w:r>
          </w:p>
        </w:tc>
        <w:tc>
          <w:tcPr>
            <w:tcW w:w="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ind w:left="14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360"/>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1.71</w:t>
            </w:r>
          </w:p>
        </w:tc>
        <w:tc>
          <w:tcPr>
            <w:tcW w:w="220" w:type="dxa"/>
            <w:vAlign w:val="bottom"/>
          </w:tcPr>
          <w:p>
            <w:pPr>
              <w:ind w:left="40"/>
              <w:spacing w:after="0"/>
              <w:rPr>
                <w:sz w:val="20"/>
                <w:szCs w:val="20"/>
                <w:color w:val="auto"/>
              </w:rPr>
            </w:pPr>
            <w:r>
              <w:rPr>
                <w:rFonts w:ascii="Arial" w:cs="Arial" w:eastAsia="Arial" w:hAnsi="Arial"/>
                <w:sz w:val="15"/>
                <w:szCs w:val="15"/>
                <w:color w:val="auto"/>
              </w:rPr>
              <w:t>(j)</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Shares Outstanding</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ind w:left="140"/>
              <w:spacing w:after="0"/>
              <w:rPr>
                <w:sz w:val="20"/>
                <w:szCs w:val="20"/>
                <w:color w:val="auto"/>
              </w:rPr>
            </w:pPr>
            <w:r>
              <w:rPr>
                <w:rFonts w:ascii="Arial" w:cs="Arial" w:eastAsia="Arial" w:hAnsi="Arial"/>
                <w:sz w:val="15"/>
                <w:szCs w:val="15"/>
                <w:color w:val="auto"/>
              </w:rPr>
              <w:t>Basic</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109.9</w:t>
            </w:r>
          </w:p>
        </w:tc>
        <w:tc>
          <w:tcPr>
            <w:tcW w:w="220" w:type="dxa"/>
            <w:vAlign w:val="bottom"/>
          </w:tcPr>
          <w:p>
            <w:pPr>
              <w:ind w:left="4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110.3</w:t>
            </w:r>
          </w:p>
        </w:tc>
        <w:tc>
          <w:tcPr>
            <w:tcW w:w="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(j)</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Unaudited Pro Forma Combined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75" w:name="page276"/>
    <w:bookmarkEnd w:id="275"/>
    <w:p>
      <w:pPr>
        <w:jc w:val="center"/>
        <w:ind w:right="200"/>
        <w:spacing w:after="0"/>
        <w:rPr>
          <w:sz w:val="20"/>
          <w:szCs w:val="20"/>
          <w:color w:val="auto"/>
        </w:rPr>
      </w:pPr>
      <w:r>
        <w:rPr>
          <w:rFonts w:ascii="Arial" w:cs="Arial" w:eastAsia="Arial" w:hAnsi="Arial"/>
          <w:sz w:val="15"/>
          <w:szCs w:val="15"/>
          <w:b w:val="1"/>
          <w:bCs w:val="1"/>
          <w:color w:val="auto"/>
        </w:rPr>
        <w:t>NOTES TO THE UNAUDITED PRO FORMA COMBINED FINANCIAL STATEMENTS</w:t>
      </w:r>
    </w:p>
    <w:p>
      <w:pPr>
        <w:spacing w:after="0" w:line="181" w:lineRule="exact"/>
        <w:rPr>
          <w:sz w:val="20"/>
          <w:szCs w:val="20"/>
          <w:color w:val="auto"/>
        </w:rPr>
      </w:pPr>
    </w:p>
    <w:p>
      <w:pPr>
        <w:ind w:left="280" w:hanging="270"/>
        <w:spacing w:after="0"/>
        <w:tabs>
          <w:tab w:leader="none" w:pos="28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Our historical combined financial statements reflect the historical financial position and results of operations of the accommodations business of Oil States.</w:t>
      </w:r>
    </w:p>
    <w:p>
      <w:pPr>
        <w:spacing w:after="0" w:line="177" w:lineRule="exact"/>
        <w:rPr>
          <w:rFonts w:ascii="Arial" w:cs="Arial" w:eastAsia="Arial" w:hAnsi="Arial"/>
          <w:sz w:val="15"/>
          <w:szCs w:val="15"/>
          <w:color w:val="auto"/>
        </w:rPr>
      </w:pPr>
    </w:p>
    <w:p>
      <w:pPr>
        <w:ind w:left="280" w:hanging="270"/>
        <w:spacing w:after="0" w:line="251" w:lineRule="auto"/>
        <w:tabs>
          <w:tab w:leader="none" w:pos="28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Reflects incurrence of $775.0 million of indebtedness, which consists of borrowings under our anticipated U.S. term loan. The expected debt balance at the time of the distribution was determined by senior management based on a review of a number of factors including expected credit ratings, forecasted liquidity and capital requirements, expected operating results and general economic conditions.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Proceeds from new indebtedness at December 31, 2013</w:t>
            </w:r>
          </w:p>
        </w:tc>
        <w:tc>
          <w:tcPr>
            <w:tcW w:w="3040" w:type="dxa"/>
            <w:vAlign w:val="bottom"/>
            <w:gridSpan w:val="2"/>
            <w:shd w:val="clear" w:color="auto" w:fill="CCEEFF"/>
          </w:tcPr>
          <w:p>
            <w:pPr>
              <w:jc w:val="right"/>
              <w:ind w:right="50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w:t>
            </w:r>
          </w:p>
        </w:tc>
        <w:tc>
          <w:tcPr>
            <w:tcW w:w="100" w:type="dxa"/>
            <w:vAlign w:val="bottom"/>
            <w:shd w:val="clear" w:color="auto" w:fill="CCEEFF"/>
          </w:tcPr>
          <w:p>
            <w:pPr>
              <w:spacing w:after="0"/>
              <w:rPr>
                <w:sz w:val="15"/>
                <w:szCs w:val="15"/>
                <w:color w:val="auto"/>
              </w:rPr>
            </w:pPr>
          </w:p>
        </w:tc>
      </w:tr>
      <w:tr>
        <w:trPr>
          <w:trHeight w:val="175"/>
        </w:trPr>
        <w:tc>
          <w:tcPr>
            <w:tcW w:w="5700" w:type="dxa"/>
            <w:vAlign w:val="bottom"/>
            <w:gridSpan w:val="2"/>
          </w:tcPr>
          <w:p>
            <w:pPr>
              <w:spacing w:after="0"/>
              <w:rPr>
                <w:sz w:val="20"/>
                <w:szCs w:val="20"/>
                <w:color w:val="auto"/>
              </w:rPr>
            </w:pPr>
            <w:r>
              <w:rPr>
                <w:rFonts w:ascii="Arial" w:cs="Arial" w:eastAsia="Arial" w:hAnsi="Arial"/>
                <w:sz w:val="15"/>
                <w:szCs w:val="15"/>
                <w:color w:val="auto"/>
              </w:rPr>
              <w:t>Less: Cash payments for debt issuance costs (footnote c)</w:t>
            </w:r>
          </w:p>
        </w:tc>
        <w:tc>
          <w:tcPr>
            <w:tcW w:w="2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(10.0)</w:t>
            </w:r>
          </w:p>
        </w:tc>
      </w:tr>
      <w:tr>
        <w:trPr>
          <w:trHeight w:val="206"/>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Net cash proceeds</w:t>
            </w:r>
          </w:p>
        </w:tc>
        <w:tc>
          <w:tcPr>
            <w:tcW w:w="2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507"/>
              <w:spacing w:after="0" w:line="16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765.0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339" w:lineRule="exact"/>
        <w:rPr>
          <w:sz w:val="20"/>
          <w:szCs w:val="20"/>
          <w:color w:val="auto"/>
        </w:rPr>
      </w:pPr>
    </w:p>
    <w:p>
      <w:pPr>
        <w:ind w:left="280" w:right="20" w:hanging="270"/>
        <w:spacing w:after="0" w:line="248" w:lineRule="auto"/>
        <w:tabs>
          <w:tab w:leader="none" w:pos="28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adjustment assumes the capitalization of debt issuance costs of $10.0 million which will be amortized on a straight-line basis over the term of the credit facility, which approximates the effective interest method. Included in the historical combined balance sheet are historical deferred debt issuance costs related to existing revolving credit facilities in Australia and Canada as of December 31, 2013 totaling $4.2 million which are assumed to be expensed as we expect to replace these existing facilities in connection with the spin-off. The resulting net adjustment is $5.8 million.</w:t>
      </w:r>
    </w:p>
    <w:p>
      <w:pPr>
        <w:spacing w:after="0" w:line="161" w:lineRule="exact"/>
        <w:rPr>
          <w:rFonts w:ascii="Arial" w:cs="Arial" w:eastAsia="Arial" w:hAnsi="Arial"/>
          <w:sz w:val="15"/>
          <w:szCs w:val="15"/>
          <w:color w:val="auto"/>
        </w:rPr>
      </w:pPr>
    </w:p>
    <w:p>
      <w:pPr>
        <w:ind w:left="280" w:hanging="270"/>
        <w:spacing w:after="0"/>
        <w:tabs>
          <w:tab w:leader="none" w:pos="280" w:val="left"/>
        </w:tabs>
        <w:numPr>
          <w:ilvl w:val="0"/>
          <w:numId w:val="276"/>
        </w:numPr>
        <w:rPr>
          <w:rFonts w:ascii="Arial" w:cs="Arial" w:eastAsia="Arial" w:hAnsi="Arial"/>
          <w:sz w:val="12"/>
          <w:szCs w:val="12"/>
          <w:color w:val="auto"/>
        </w:rPr>
      </w:pPr>
      <w:r>
        <w:rPr>
          <w:rFonts w:ascii="Arial" w:cs="Arial" w:eastAsia="Arial" w:hAnsi="Arial"/>
          <w:sz w:val="12"/>
          <w:szCs w:val="12"/>
          <w:color w:val="auto"/>
        </w:rPr>
        <w:t>Represents the incremental interest expense related to the additional debt expected to be incurred upon the spin-off, assuming an annual interest rate of 2.4% on total indebtedness of</w:t>
      </w:r>
    </w:p>
    <w:p>
      <w:pPr>
        <w:spacing w:after="0" w:line="45" w:lineRule="exact"/>
        <w:rPr>
          <w:rFonts w:ascii="Arial" w:cs="Arial" w:eastAsia="Arial" w:hAnsi="Arial"/>
          <w:sz w:val="12"/>
          <w:szCs w:val="12"/>
          <w:color w:val="auto"/>
        </w:rPr>
      </w:pPr>
    </w:p>
    <w:p>
      <w:pPr>
        <w:jc w:val="both"/>
        <w:ind w:left="280" w:right="100"/>
        <w:spacing w:after="0" w:line="244" w:lineRule="auto"/>
        <w:rPr>
          <w:rFonts w:ascii="Arial" w:cs="Arial" w:eastAsia="Arial" w:hAnsi="Arial"/>
          <w:sz w:val="12"/>
          <w:szCs w:val="12"/>
          <w:color w:val="auto"/>
        </w:rPr>
      </w:pPr>
      <w:r>
        <w:rPr>
          <w:rFonts w:ascii="Arial" w:cs="Arial" w:eastAsia="Arial" w:hAnsi="Arial"/>
          <w:sz w:val="15"/>
          <w:szCs w:val="15"/>
          <w:color w:val="auto"/>
        </w:rPr>
        <w:t>$775.0 million. The interest rates for pro forma purposes are based on assumptions of the rates to be effective on the completion of the spin-off. A one-eighth percent change in assumed interest rates for our additional debt would have a pro forma impact of $1.0 million annually. The following chart provides the detail for the pro forma adjustment to interest expense for the financing adjustments:</w:t>
      </w:r>
    </w:p>
    <w:p>
      <w:pPr>
        <w:sectPr>
          <w:pgSz w:w="11900" w:h="16838" w:orient="portrait"/>
          <w:cols w:equalWidth="0" w:num="1">
            <w:col w:w="11140"/>
          </w:cols>
          <w:pgMar w:left="480" w:top="4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Interest expense related to new debt ($775.0 million of indebtedness at an assumed annual interest rate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-80010</wp:posOffset>
            </wp:positionV>
            <wp:extent cx="5815330" cy="1111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15330" cy="111125"/>
                    </a:xfrm>
                    <a:prstGeom prst="rect">
                      <a:avLst/>
                    </a:prstGeom>
                    <a:noFill/>
                  </pic:spPr>
                </pic:pic>
              </a:graphicData>
            </a:graphic>
          </wp:anchor>
        </w:drawing>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Non-cash interest expense related to amortization of pro forma deferred debt issuance costs (footnote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5815330" cy="1181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15330" cy="11811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5"/>
          <w:szCs w:val="15"/>
          <w:color w:val="auto"/>
        </w:rPr>
        <w:t>Eliminate non-cash interest expense related to pre spin-off deferred debt issuance costs</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Total adjustment</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(e)  Reflects the cash distribution to Oil States of $750.0 million.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172"/>
        <w:spacing w:after="0"/>
        <w:rPr>
          <w:sz w:val="20"/>
          <w:szCs w:val="20"/>
          <w:color w:val="auto"/>
        </w:rPr>
      </w:pPr>
      <w:r>
        <w:rPr>
          <w:rFonts w:ascii="Arial" w:cs="Arial" w:eastAsia="Arial" w:hAnsi="Arial"/>
          <w:sz w:val="15"/>
          <w:szCs w:val="15"/>
          <w:b w:val="1"/>
          <w:bCs w:val="1"/>
          <w:color w:val="auto"/>
        </w:rPr>
        <w:t>Year ended</w:t>
      </w:r>
    </w:p>
    <w:p>
      <w:pPr>
        <w:spacing w:after="0" w:line="15" w:lineRule="exact"/>
        <w:rPr>
          <w:sz w:val="20"/>
          <w:szCs w:val="20"/>
          <w:color w:val="auto"/>
        </w:rPr>
      </w:pPr>
    </w:p>
    <w:p>
      <w:pPr>
        <w:jc w:val="center"/>
        <w:ind w:right="1172"/>
        <w:spacing w:after="0"/>
        <w:rPr>
          <w:sz w:val="20"/>
          <w:szCs w:val="20"/>
          <w:color w:val="auto"/>
        </w:rPr>
      </w:pPr>
      <w:r>
        <w:rPr>
          <w:rFonts w:ascii="Arial" w:cs="Arial" w:eastAsia="Arial" w:hAnsi="Arial"/>
          <w:sz w:val="15"/>
          <w:szCs w:val="15"/>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98552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159" w:lineRule="exact"/>
        <w:rPr>
          <w:sz w:val="20"/>
          <w:szCs w:val="20"/>
          <w:color w:val="auto"/>
        </w:rPr>
      </w:pPr>
    </w:p>
    <w:p>
      <w:pPr>
        <w:ind w:left="1248" w:hanging="1248"/>
        <w:spacing w:after="0"/>
        <w:tabs>
          <w:tab w:leader="none" w:pos="1248" w:val="left"/>
        </w:tabs>
        <w:numPr>
          <w:ilvl w:val="0"/>
          <w:numId w:val="277"/>
        </w:numPr>
        <w:rPr>
          <w:rFonts w:ascii="Arial" w:cs="Arial" w:eastAsia="Arial" w:hAnsi="Arial"/>
          <w:sz w:val="12"/>
          <w:szCs w:val="12"/>
          <w:color w:val="auto"/>
        </w:rPr>
      </w:pPr>
      <w:r>
        <w:rPr>
          <w:rFonts w:ascii="Arial" w:cs="Arial" w:eastAsia="Arial" w:hAnsi="Arial"/>
          <w:sz w:val="12"/>
          <w:szCs w:val="12"/>
          <w:color w:val="auto"/>
        </w:rPr>
        <w:t>(18.6)</w:t>
      </w:r>
    </w:p>
    <w:p>
      <w:pPr>
        <w:spacing w:after="0" w:line="45"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2"/>
          <w:szCs w:val="12"/>
          <w:color w:val="auto"/>
        </w:rPr>
        <w:t>(2.0)</w:t>
      </w:r>
    </w:p>
    <w:p>
      <w:pPr>
        <w:spacing w:after="0" w:line="36" w:lineRule="exact"/>
        <w:rPr>
          <w:rFonts w:ascii="Arial" w:cs="Arial" w:eastAsia="Arial" w:hAnsi="Arial"/>
          <w:sz w:val="12"/>
          <w:szCs w:val="12"/>
          <w:color w:val="auto"/>
        </w:rPr>
      </w:pPr>
    </w:p>
    <w:p>
      <w:pPr>
        <w:ind w:left="1368"/>
        <w:spacing w:after="0"/>
        <w:rPr>
          <w:rFonts w:ascii="Arial" w:cs="Arial" w:eastAsia="Arial" w:hAnsi="Arial"/>
          <w:sz w:val="12"/>
          <w:szCs w:val="12"/>
          <w:color w:val="auto"/>
        </w:rPr>
      </w:pPr>
      <w:r>
        <w:rPr>
          <w:rFonts w:ascii="Arial" w:cs="Arial" w:eastAsia="Arial" w:hAnsi="Arial"/>
          <w:sz w:val="15"/>
          <w:szCs w:val="15"/>
          <w:color w:val="auto"/>
        </w:rPr>
        <w:t>3.7</w:t>
      </w:r>
    </w:p>
    <w:p>
      <w:pPr>
        <w:spacing w:after="0" w:line="4" w:lineRule="exact"/>
        <w:rPr>
          <w:sz w:val="20"/>
          <w:szCs w:val="20"/>
          <w:color w:val="auto"/>
        </w:rPr>
      </w:pPr>
    </w:p>
    <w:p>
      <w:pPr>
        <w:ind w:left="1248" w:hanging="1248"/>
        <w:spacing w:after="0"/>
        <w:tabs>
          <w:tab w:leader="none" w:pos="1248" w:val="left"/>
        </w:tabs>
        <w:numPr>
          <w:ilvl w:val="0"/>
          <w:numId w:val="278"/>
        </w:numPr>
        <w:rPr>
          <w:rFonts w:ascii="Arial" w:cs="Arial" w:eastAsia="Arial" w:hAnsi="Arial"/>
          <w:sz w:val="12"/>
          <w:szCs w:val="12"/>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98552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8552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43815</wp:posOffset>
            </wp:positionV>
            <wp:extent cx="98552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85520" cy="6985"/>
                    </a:xfrm>
                    <a:prstGeom prst="rect">
                      <a:avLst/>
                    </a:prstGeom>
                    <a:noFill/>
                  </pic:spPr>
                </pic:pic>
              </a:graphicData>
            </a:graphic>
          </wp:anchor>
        </w:drawing>
      </w:r>
    </w:p>
    <w:p>
      <w:pPr>
        <w:spacing w:after="0" w:line="768" w:lineRule="exact"/>
        <w:rPr>
          <w:sz w:val="20"/>
          <w:szCs w:val="20"/>
          <w:color w:val="auto"/>
        </w:rPr>
      </w:pPr>
    </w:p>
    <w:p>
      <w:pPr>
        <w:sectPr>
          <w:pgSz w:w="11900" w:h="16838" w:orient="portrait"/>
          <w:cols w:equalWidth="0" w:num="2">
            <w:col w:w="7692" w:space="720"/>
            <w:col w:w="2728"/>
          </w:cols>
          <w:pgMar w:left="480" w:top="496" w:right="279" w:bottom="1440" w:gutter="0" w:footer="0" w:header="0"/>
          <w:type w:val="continuous"/>
        </w:sectPr>
      </w:pPr>
    </w:p>
    <w:p>
      <w:pPr>
        <w:ind w:left="280" w:right="300" w:hanging="270"/>
        <w:spacing w:after="0" w:line="383" w:lineRule="auto"/>
        <w:tabs>
          <w:tab w:leader="none" w:pos="280" w:val="left"/>
        </w:tabs>
        <w:numPr>
          <w:ilvl w:val="0"/>
          <w:numId w:val="279"/>
        </w:numPr>
        <w:rPr>
          <w:rFonts w:ascii="Arial" w:cs="Arial" w:eastAsia="Arial" w:hAnsi="Arial"/>
          <w:sz w:val="12"/>
          <w:szCs w:val="12"/>
          <w:color w:val="auto"/>
        </w:rPr>
      </w:pPr>
      <w:r>
        <w:rPr>
          <w:rFonts w:ascii="Arial" w:cs="Arial" w:eastAsia="Arial" w:hAnsi="Arial"/>
          <w:sz w:val="12"/>
          <w:szCs w:val="12"/>
          <w:color w:val="auto"/>
        </w:rPr>
        <w:t>Reflects the contribution of debt to affiliates in connection with the spin-off. The associated net interest expense to affiliates of $18.3 million is eliminated in the pro forma combined statements of income as a distribution adjustment. The elimination of interest expense to affiliates does not have an impact on the pro forma consolidated tax provision.</w:t>
      </w:r>
    </w:p>
    <w:p>
      <w:pPr>
        <w:spacing w:after="0" w:line="84" w:lineRule="exact"/>
        <w:rPr>
          <w:rFonts w:ascii="Arial" w:cs="Arial" w:eastAsia="Arial" w:hAnsi="Arial"/>
          <w:sz w:val="12"/>
          <w:szCs w:val="12"/>
          <w:color w:val="auto"/>
        </w:rPr>
      </w:pPr>
    </w:p>
    <w:p>
      <w:pPr>
        <w:jc w:val="both"/>
        <w:ind w:left="280" w:right="220" w:hanging="270"/>
        <w:spacing w:after="0" w:line="248" w:lineRule="auto"/>
        <w:tabs>
          <w:tab w:leader="none" w:pos="28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Adjustment reflects the pro forma recapitalization of our equity. As of the Distribution Date, Oil States’ net investment in our business will be exchanged to reflect the spin-off of our common stock to Oil States’ shareholders and to reflect the common stock of approximately 108.4 million outstanding shares of common stock having a par value of $0.01 per share, based on the number of shares of Oil States common stock outstanding on December 31, 2013 and a distribution ratio of two shares of Civeo common stock for every one share of Oil States common stock held on the record date.</w:t>
      </w: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60960</wp:posOffset>
            </wp:positionV>
            <wp:extent cx="7292340" cy="336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40"/>
          </w:cols>
          <w:pgMar w:left="480" w:top="496" w:right="279" w:bottom="1440" w:gutter="0" w:footer="0" w:header="0"/>
          <w:type w:val="continuous"/>
        </w:sectPr>
      </w:pPr>
    </w:p>
    <w:bookmarkStart w:id="276" w:name="page277"/>
    <w:bookmarkEnd w:id="276"/>
    <w:p>
      <w:pPr>
        <w:ind w:left="600"/>
        <w:spacing w:after="0"/>
        <w:rPr>
          <w:sz w:val="20"/>
          <w:szCs w:val="20"/>
          <w:color w:val="auto"/>
        </w:rPr>
      </w:pPr>
      <w:r>
        <w:rPr>
          <w:rFonts w:ascii="Arial" w:cs="Arial" w:eastAsia="Arial" w:hAnsi="Arial"/>
          <w:sz w:val="15"/>
          <w:szCs w:val="15"/>
          <w:color w:val="auto"/>
        </w:rPr>
        <w:t>Parent company investment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-102235</wp:posOffset>
            </wp:positionV>
            <wp:extent cx="6176010" cy="1111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76010" cy="11112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5"/>
          <w:szCs w:val="15"/>
          <w:color w:val="auto"/>
        </w:rPr>
        <w:t>Write off of historical debt issuance costs (footnote c)</w:t>
      </w:r>
    </w:p>
    <w:p>
      <w:pPr>
        <w:spacing w:after="0" w:line="11"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Net adjustment to “Parent company investment” associated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-85725</wp:posOffset>
            </wp:positionV>
            <wp:extent cx="6176010" cy="1111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76010" cy="111125"/>
                    </a:xfrm>
                    <a:prstGeom prst="rect">
                      <a:avLst/>
                    </a:prstGeom>
                    <a:noFill/>
                  </pic:spPr>
                </pic:pic>
              </a:graphicData>
            </a:graphic>
          </wp:anchor>
        </w:drawing>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Contribution by Oil States of affiliated debt (footnote f)</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Distribution to Oil States (footnote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-107950</wp:posOffset>
            </wp:positionV>
            <wp:extent cx="6176010" cy="1111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76010" cy="11112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5"/>
          <w:szCs w:val="15"/>
          <w:color w:val="auto"/>
        </w:rPr>
        <w:t>Adjustment for par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8255</wp:posOffset>
            </wp:positionV>
            <wp:extent cx="6176010" cy="1320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76010" cy="132080"/>
                    </a:xfrm>
                    <a:prstGeom prst="rect">
                      <a:avLst/>
                    </a:prstGeom>
                    <a:noFill/>
                  </pic:spPr>
                </pic:pic>
              </a:graphicData>
            </a:graphic>
          </wp:anchor>
        </w:drawing>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Adjustment to additional paid-in capital</w:t>
      </w:r>
    </w:p>
    <w:p>
      <w:pPr>
        <w:spacing w:after="0" w:line="20" w:lineRule="exact"/>
        <w:rPr>
          <w:sz w:val="20"/>
          <w:szCs w:val="20"/>
          <w:color w:val="auto"/>
        </w:rPr>
      </w:pPr>
      <w:r>
        <w:rPr>
          <w:sz w:val="20"/>
          <w:szCs w:val="20"/>
          <w:color w:val="auto"/>
        </w:rPr>
        <w:br w:type="column"/>
      </w:r>
    </w:p>
    <w:p>
      <w:pPr>
        <w:ind w:left="1120" w:hanging="1117"/>
        <w:spacing w:after="0"/>
        <w:tabs>
          <w:tab w:leader="none" w:pos="112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1,651.0</w:t>
      </w:r>
    </w:p>
    <w:p>
      <w:pPr>
        <w:spacing w:after="0" w:line="22" w:lineRule="exact"/>
        <w:rPr>
          <w:rFonts w:ascii="Arial" w:cs="Arial" w:eastAsia="Arial" w:hAnsi="Arial"/>
          <w:sz w:val="14"/>
          <w:szCs w:val="14"/>
          <w:color w:val="auto"/>
        </w:rPr>
      </w:pPr>
    </w:p>
    <w:p>
      <w:pPr>
        <w:ind w:left="1340"/>
        <w:spacing w:after="0"/>
        <w:rPr>
          <w:rFonts w:ascii="Arial" w:cs="Arial" w:eastAsia="Arial" w:hAnsi="Arial"/>
          <w:sz w:val="14"/>
          <w:szCs w:val="14"/>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99250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92505" cy="6985"/>
                    </a:xfrm>
                    <a:prstGeom prst="rect">
                      <a:avLst/>
                    </a:prstGeom>
                    <a:noFill/>
                  </pic:spPr>
                </pic:pic>
              </a:graphicData>
            </a:graphic>
          </wp:anchor>
        </w:drawing>
      </w:r>
    </w:p>
    <w:p>
      <w:pPr>
        <w:spacing w:after="0" w:line="19" w:lineRule="exact"/>
        <w:rPr>
          <w:sz w:val="20"/>
          <w:szCs w:val="20"/>
          <w:color w:val="auto"/>
        </w:rPr>
      </w:pPr>
    </w:p>
    <w:p>
      <w:pPr>
        <w:jc w:val="right"/>
        <w:ind w:right="880"/>
        <w:spacing w:after="0"/>
        <w:rPr>
          <w:sz w:val="20"/>
          <w:szCs w:val="20"/>
          <w:color w:val="auto"/>
        </w:rPr>
      </w:pPr>
      <w:r>
        <w:rPr>
          <w:rFonts w:ascii="Arial" w:cs="Arial" w:eastAsia="Arial" w:hAnsi="Arial"/>
          <w:sz w:val="15"/>
          <w:szCs w:val="15"/>
          <w:color w:val="auto"/>
        </w:rPr>
        <w:t>1,646.8</w:t>
      </w:r>
    </w:p>
    <w:p>
      <w:pPr>
        <w:spacing w:after="0" w:line="11" w:lineRule="exact"/>
        <w:rPr>
          <w:sz w:val="20"/>
          <w:szCs w:val="20"/>
          <w:color w:val="auto"/>
        </w:rPr>
      </w:pPr>
    </w:p>
    <w:p>
      <w:pPr>
        <w:jc w:val="right"/>
        <w:ind w:right="880"/>
        <w:spacing w:after="0"/>
        <w:rPr>
          <w:sz w:val="20"/>
          <w:szCs w:val="20"/>
          <w:color w:val="auto"/>
        </w:rPr>
      </w:pPr>
      <w:r>
        <w:rPr>
          <w:rFonts w:ascii="Arial" w:cs="Arial" w:eastAsia="Arial" w:hAnsi="Arial"/>
          <w:sz w:val="15"/>
          <w:szCs w:val="15"/>
          <w:color w:val="auto"/>
        </w:rPr>
        <w:t>335.2</w:t>
      </w:r>
    </w:p>
    <w:p>
      <w:pPr>
        <w:spacing w:after="0" w:line="2"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(750.0)</w:t>
      </w:r>
    </w:p>
    <w:p>
      <w:pPr>
        <w:spacing w:after="0" w:line="2"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99250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92505" cy="6985"/>
                    </a:xfrm>
                    <a:prstGeom prst="rect">
                      <a:avLst/>
                    </a:prstGeom>
                    <a:noFill/>
                  </pic:spPr>
                </pic:pic>
              </a:graphicData>
            </a:graphic>
          </wp:anchor>
        </w:drawing>
      </w:r>
    </w:p>
    <w:p>
      <w:pPr>
        <w:ind w:left="1120" w:hanging="1117"/>
        <w:spacing w:after="0"/>
        <w:tabs>
          <w:tab w:leader="none" w:pos="112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1,230.9</w:t>
      </w:r>
    </w:p>
    <w:p>
      <w:pPr>
        <w:spacing w:after="0" w:line="244" w:lineRule="exact"/>
        <w:rPr>
          <w:sz w:val="20"/>
          <w:szCs w:val="20"/>
          <w:color w:val="auto"/>
        </w:rPr>
      </w:pPr>
    </w:p>
    <w:p>
      <w:pPr>
        <w:sectPr>
          <w:pgSz w:w="11900" w:h="16838" w:orient="portrait"/>
          <w:cols w:equalWidth="0" w:num="2">
            <w:col w:w="7960" w:space="720"/>
            <w:col w:w="2440"/>
          </w:cols>
          <w:pgMar w:left="480" w:top="500" w:right="299" w:bottom="1440" w:gutter="0" w:footer="0" w:header="0"/>
        </w:sectPr>
      </w:pPr>
    </w:p>
    <w:p>
      <w:pPr>
        <w:spacing w:after="0" w:line="152" w:lineRule="exact"/>
        <w:rPr>
          <w:sz w:val="20"/>
          <w:szCs w:val="20"/>
          <w:color w:val="auto"/>
        </w:rPr>
      </w:pPr>
    </w:p>
    <w:p>
      <w:pPr>
        <w:ind w:left="280" w:right="20" w:hanging="270"/>
        <w:spacing w:after="0" w:line="248" w:lineRule="auto"/>
        <w:tabs>
          <w:tab w:leader="none" w:pos="2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statutory rates in Canada and Australia are 25% and 30%, respectively. The pro forma adjustments were determined assuming U.S. borrowings and using the statutory rate for the U.S. of 35% in the respective tax periods presented.</w:t>
      </w:r>
    </w:p>
    <w:p>
      <w:pPr>
        <w:spacing w:after="0" w:line="161" w:lineRule="exact"/>
        <w:rPr>
          <w:rFonts w:ascii="Arial" w:cs="Arial" w:eastAsia="Arial" w:hAnsi="Arial"/>
          <w:sz w:val="15"/>
          <w:szCs w:val="15"/>
          <w:color w:val="auto"/>
        </w:rPr>
      </w:pPr>
    </w:p>
    <w:p>
      <w:pPr>
        <w:ind w:left="280" w:right="80" w:hanging="270"/>
        <w:spacing w:after="0" w:line="383" w:lineRule="auto"/>
        <w:tabs>
          <w:tab w:leader="none" w:pos="28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Pro forma basic earnings per share and pro forma weighted-average basic shares outstanding are based on the weighted average number of Oil States common shares outstanding for the year ended December 31, 2013, adjusted for a distribution ratio of two shares of Civeo common stock for every one share of Oil States common stock held on the record date.</w:t>
      </w:r>
    </w:p>
    <w:p>
      <w:pPr>
        <w:spacing w:after="0" w:line="84" w:lineRule="exact"/>
        <w:rPr>
          <w:rFonts w:ascii="Arial" w:cs="Arial" w:eastAsia="Arial" w:hAnsi="Arial"/>
          <w:sz w:val="12"/>
          <w:szCs w:val="12"/>
          <w:color w:val="auto"/>
        </w:rPr>
      </w:pPr>
    </w:p>
    <w:p>
      <w:pPr>
        <w:ind w:left="280" w:hanging="270"/>
        <w:spacing w:after="0" w:line="251" w:lineRule="auto"/>
        <w:tabs>
          <w:tab w:leader="none" w:pos="2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Pro forma diluted earnings per share and pro forma weighted-average diluted shares outstanding reflect potential dilution from the issuance of Civeo equity awards to Civeo employees, after giving effect to the distribution. While the actual future impact will depend on various factors, we believe the estimate yields a reasonable approximation of the future diluted impact of the Civeo equity plans.</w:t>
      </w: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60960</wp:posOffset>
            </wp:positionV>
            <wp:extent cx="7292340" cy="336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120"/>
          </w:cols>
          <w:pgMar w:left="480" w:top="500" w:right="299" w:bottom="1440" w:gutter="0" w:footer="0" w:header="0"/>
          <w:type w:val="continuous"/>
        </w:sectPr>
      </w:pPr>
    </w:p>
    <w:bookmarkStart w:id="277" w:name="page278"/>
    <w:bookmarkEnd w:id="277"/>
    <w:p>
      <w:pPr>
        <w:jc w:val="center"/>
        <w:ind w:right="20"/>
        <w:spacing w:after="0"/>
        <w:rPr>
          <w:sz w:val="20"/>
          <w:szCs w:val="20"/>
          <w:color w:val="auto"/>
        </w:rPr>
      </w:pPr>
      <w:r>
        <w:rPr>
          <w:rFonts w:ascii="Arial" w:cs="Arial" w:eastAsia="Arial" w:hAnsi="Arial"/>
          <w:sz w:val="15"/>
          <w:szCs w:val="15"/>
          <w:b w:val="1"/>
          <w:bCs w:val="1"/>
          <w:color w:val="auto"/>
        </w:rPr>
        <w:t>SELECTED HISTORICAL COMBINED FINANCIAL DATA</w:t>
      </w:r>
    </w:p>
    <w:p>
      <w:pPr>
        <w:spacing w:after="0" w:line="181" w:lineRule="exact"/>
        <w:rPr>
          <w:sz w:val="20"/>
          <w:szCs w:val="20"/>
          <w:color w:val="auto"/>
        </w:rPr>
      </w:pPr>
    </w:p>
    <w:p>
      <w:pPr>
        <w:ind w:right="40" w:firstLine="262"/>
        <w:spacing w:after="0" w:line="246" w:lineRule="auto"/>
        <w:rPr>
          <w:sz w:val="20"/>
          <w:szCs w:val="20"/>
          <w:color w:val="auto"/>
        </w:rPr>
      </w:pPr>
      <w:r>
        <w:rPr>
          <w:rFonts w:ascii="Arial" w:cs="Arial" w:eastAsia="Arial" w:hAnsi="Arial"/>
          <w:sz w:val="15"/>
          <w:szCs w:val="15"/>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 of income data for each of the years ended December 31, 2013, 2012 and 2011 are derived from our audited financial statements included elsewhere in this information statement. The balance sheet data as of December 31, 2011 and statement of income data for the year ended December 31, 2010 are derived from our audited combined financial statements not included in this information statement. The balance sheet data as of December 31, 2010 and 2009 and the statement of income data for the year ended December 31, 2009 are derived from our accounting records.</w:t>
      </w:r>
    </w:p>
    <w:p>
      <w:pPr>
        <w:spacing w:after="0" w:line="163" w:lineRule="exact"/>
        <w:rPr>
          <w:sz w:val="20"/>
          <w:szCs w:val="20"/>
          <w:color w:val="auto"/>
        </w:rPr>
      </w:pPr>
    </w:p>
    <w:p>
      <w:pPr>
        <w:ind w:right="220" w:firstLine="262"/>
        <w:spacing w:after="0" w:line="330" w:lineRule="auto"/>
        <w:rPr>
          <w:sz w:val="20"/>
          <w:szCs w:val="20"/>
          <w:color w:val="auto"/>
        </w:rPr>
      </w:pPr>
      <w:r>
        <w:rPr>
          <w:rFonts w:ascii="Arial" w:cs="Arial" w:eastAsia="Arial" w:hAnsi="Arial"/>
          <w:sz w:val="12"/>
          <w:szCs w:val="12"/>
          <w:color w:val="auto"/>
        </w:rPr>
        <w:t>The selected historical combined financial information presented below should be read in conjunction with our combined financial statements and accompanying notes, the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what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left="447"/>
              <w:spacing w:after="0"/>
              <w:rPr>
                <w:sz w:val="20"/>
                <w:szCs w:val="20"/>
                <w:color w:val="auto"/>
              </w:rPr>
            </w:pPr>
            <w:r>
              <w:rPr>
                <w:rFonts w:ascii="Arial" w:cs="Arial" w:eastAsia="Arial" w:hAnsi="Arial"/>
                <w:sz w:val="15"/>
                <w:szCs w:val="15"/>
                <w:b w:val="1"/>
                <w:bCs w:val="1"/>
                <w:color w:val="auto"/>
                <w:w w:val="87"/>
              </w:rPr>
              <w:t>For the year ended December 31,</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67"/>
              <w:spacing w:after="0" w:line="166" w:lineRule="exact"/>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3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12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1,041,104</w:t>
            </w: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1,108,875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864,701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537,690</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481,402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Operating income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259,456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352,929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242,159</w:t>
            </w:r>
          </w:p>
        </w:tc>
        <w:tc>
          <w:tcPr>
            <w:tcW w:w="3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141,459</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138,106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w w:val="97"/>
              </w:rPr>
              <w:t>Net income attributable to Accommodations Business of Oil States</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 Inc.</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181,876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244,721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168,505</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97,514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98,047</w:t>
            </w: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5"/>
                <w:szCs w:val="15"/>
                <w:b w:val="1"/>
                <w:bCs w:val="1"/>
                <w:color w:val="auto"/>
                <w:w w:val="86"/>
              </w:rPr>
              <w:t>As of December 31,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7"/>
              <w:spacing w:after="0" w:line="167" w:lineRule="exact"/>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Arial" w:cs="Arial" w:eastAsia="Arial" w:hAnsi="Arial"/>
                <w:sz w:val="15"/>
                <w:szCs w:val="15"/>
                <w:b w:val="1"/>
                <w:bCs w:val="1"/>
                <w:color w:val="auto"/>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67"/>
              <w:spacing w:after="0" w:line="166" w:lineRule="exact"/>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5"/>
                <w:szCs w:val="15"/>
                <w:color w:val="auto"/>
              </w:rPr>
              <w:t>Total assets</w:t>
            </w:r>
          </w:p>
        </w:tc>
        <w:tc>
          <w:tcPr>
            <w:tcW w:w="1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2,127,050</w:t>
            </w: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2,132,925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1,799,894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1,487,462</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573,699</w:t>
            </w:r>
          </w:p>
        </w:tc>
        <w:tc>
          <w:tcPr>
            <w:tcW w:w="20" w:type="dxa"/>
            <w:vAlign w:val="bottom"/>
          </w:tcPr>
          <w:p>
            <w:pPr>
              <w:spacing w:after="0"/>
              <w:rPr>
                <w:sz w:val="15"/>
                <w:szCs w:val="15"/>
                <w:color w:val="auto"/>
              </w:rPr>
            </w:pPr>
          </w:p>
        </w:tc>
      </w:tr>
      <w:tr>
        <w:trPr>
          <w:trHeight w:val="175"/>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Long-term debt to affiliates</w:t>
            </w: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335,171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358,316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350,530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230,944</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4"/>
        </w:trPr>
        <w:tc>
          <w:tcPr>
            <w:tcW w:w="3260" w:type="dxa"/>
            <w:vAlign w:val="bottom"/>
          </w:tcPr>
          <w:p>
            <w:pPr>
              <w:spacing w:after="0"/>
              <w:rPr>
                <w:sz w:val="20"/>
                <w:szCs w:val="20"/>
                <w:color w:val="auto"/>
              </w:rPr>
            </w:pPr>
            <w:r>
              <w:rPr>
                <w:rFonts w:ascii="Arial" w:cs="Arial" w:eastAsia="Arial" w:hAnsi="Arial"/>
                <w:sz w:val="15"/>
                <w:szCs w:val="15"/>
                <w:color w:val="auto"/>
              </w:rPr>
              <w:t>Long-term debt to third-parties</w:t>
            </w: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123,497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126,972</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183,822</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536"/>
        </w:trPr>
        <w:tc>
          <w:tcPr>
            <w:tcW w:w="3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3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7" w:right="199"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15"/>
          <w:szCs w:val="15"/>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FINANCIAL CONDITION AND RESULTS OF OPERATIONS</w:t>
      </w:r>
    </w:p>
    <w:p>
      <w:pPr>
        <w:spacing w:after="0" w:line="168" w:lineRule="exact"/>
        <w:rPr>
          <w:sz w:val="20"/>
          <w:szCs w:val="20"/>
          <w:color w:val="auto"/>
        </w:rPr>
      </w:pPr>
    </w:p>
    <w:p>
      <w:pPr>
        <w:ind w:right="60" w:firstLine="197"/>
        <w:spacing w:after="0" w:line="248" w:lineRule="auto"/>
        <w:rPr>
          <w:sz w:val="20"/>
          <w:szCs w:val="20"/>
          <w:color w:val="auto"/>
        </w:rPr>
      </w:pPr>
      <w:r>
        <w:rPr>
          <w:rFonts w:ascii="Arial" w:cs="Arial" w:eastAsia="Arial" w:hAnsi="Arial"/>
          <w:sz w:val="15"/>
          <w:szCs w:val="15"/>
          <w:color w:val="auto"/>
        </w:rPr>
        <w:t>Management’s Discussion and Analysis contains “forward-looking statements”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 analysis together with our Combined Financial Statements and the notes to those statements included elsewhere in this information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The Separation and Spin-Off</w:t>
      </w:r>
    </w:p>
    <w:p>
      <w:pPr>
        <w:spacing w:after="0" w:line="181" w:lineRule="exact"/>
        <w:rPr>
          <w:sz w:val="20"/>
          <w:szCs w:val="20"/>
          <w:color w:val="auto"/>
        </w:rPr>
      </w:pPr>
    </w:p>
    <w:p>
      <w:pPr>
        <w:ind w:right="160" w:firstLine="262"/>
        <w:spacing w:after="0" w:line="269" w:lineRule="auto"/>
        <w:rPr>
          <w:sz w:val="20"/>
          <w:szCs w:val="20"/>
          <w:color w:val="auto"/>
        </w:rPr>
      </w:pPr>
      <w:r>
        <w:rPr>
          <w:rFonts w:ascii="Arial" w:cs="Arial" w:eastAsia="Arial" w:hAnsi="Arial"/>
          <w:sz w:val="14"/>
          <w:szCs w:val="14"/>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Civeo common stock to the Oil States shareholders as of the record date of the spin-off. Upon completion of the spin-off, Oil States and Civeo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147" w:lineRule="exact"/>
        <w:rPr>
          <w:sz w:val="20"/>
          <w:szCs w:val="20"/>
          <w:color w:val="auto"/>
        </w:rPr>
      </w:pPr>
    </w:p>
    <w:p>
      <w:pPr>
        <w:ind w:firstLine="262"/>
        <w:spacing w:after="0" w:line="324" w:lineRule="auto"/>
        <w:rPr>
          <w:sz w:val="20"/>
          <w:szCs w:val="20"/>
          <w:color w:val="auto"/>
        </w:rPr>
      </w:pPr>
      <w:r>
        <w:rPr>
          <w:rFonts w:ascii="Arial" w:cs="Arial" w:eastAsia="Arial" w:hAnsi="Arial"/>
          <w:sz w:val="12"/>
          <w:szCs w:val="12"/>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accounts within Civeo have been eliminated. Historically, Oil States has provided services to and funded certain expenses for Civeo.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Civeo been an independent, stand-alone company during the periods presented.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Macroeconomic Environment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provide workforce accommodation to the natural resource industry in Canada, Australia and the U.S. Demand for our services can be attributed to two phases of our customers’ projects:</w:t>
      </w:r>
    </w:p>
    <w:p>
      <w:pPr>
        <w:spacing w:after="0" w:line="46" w:lineRule="exact"/>
        <w:rPr>
          <w:sz w:val="20"/>
          <w:szCs w:val="20"/>
          <w:color w:val="auto"/>
        </w:rPr>
      </w:pPr>
    </w:p>
    <w:p>
      <w:pPr>
        <w:ind w:right="80" w:firstLine="7"/>
        <w:spacing w:after="0" w:line="244" w:lineRule="auto"/>
        <w:tabs>
          <w:tab w:leader="none" w:pos="206" w:val="left"/>
        </w:tabs>
        <w:numPr>
          <w:ilvl w:val="0"/>
          <w:numId w:val="283"/>
        </w:numPr>
        <w:rPr>
          <w:rFonts w:ascii="Arial" w:cs="Arial" w:eastAsia="Arial" w:hAnsi="Arial"/>
          <w:sz w:val="15"/>
          <w:szCs w:val="15"/>
          <w:color w:val="auto"/>
        </w:rPr>
      </w:pPr>
      <w:r>
        <w:rPr>
          <w:rFonts w:ascii="Arial" w:cs="Arial" w:eastAsia="Arial" w:hAnsi="Arial"/>
          <w:sz w:val="15"/>
          <w:szCs w:val="15"/>
          <w:color w:val="auto"/>
        </w:rPr>
        <w:t>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163" w:lineRule="exact"/>
        <w:rPr>
          <w:sz w:val="20"/>
          <w:szCs w:val="20"/>
          <w:color w:val="auto"/>
        </w:rPr>
      </w:pPr>
    </w:p>
    <w:p>
      <w:pPr>
        <w:ind w:firstLine="262"/>
        <w:spacing w:after="0" w:line="312" w:lineRule="auto"/>
        <w:rPr>
          <w:sz w:val="20"/>
          <w:szCs w:val="20"/>
          <w:color w:val="auto"/>
        </w:rPr>
      </w:pPr>
      <w:r>
        <w:rPr>
          <w:rFonts w:ascii="Arial" w:cs="Arial" w:eastAsia="Arial" w:hAnsi="Arial"/>
          <w:sz w:val="12"/>
          <w:szCs w:val="12"/>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2013 averaged $73.58 per barrel compared to $71.80 per barrel in 2012. However, the WCS Basis Differential widened substantially from below $15 per barrel to $18 per barrel as of April 30, 2014, as production increased and demand from U.S. refineries declined due to maintenance requirements. Should the price of WTI decline or the WCS Basis Differential widen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further, our oil sands customers’ may delay additional investments or reduce their spending in the oil sands region.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79" w:name="page280"/>
    <w:bookmarkEnd w:id="279"/>
    <w:p>
      <w:pPr>
        <w:ind w:right="20" w:firstLine="262"/>
        <w:spacing w:after="0" w:line="245" w:lineRule="auto"/>
        <w:rPr>
          <w:sz w:val="20"/>
          <w:szCs w:val="20"/>
          <w:color w:val="auto"/>
        </w:rPr>
      </w:pPr>
      <w:r>
        <w:rPr>
          <w:rFonts w:ascii="Arial" w:cs="Arial" w:eastAsia="Arial" w:hAnsi="Arial"/>
          <w:sz w:val="15"/>
          <w:szCs w:val="15"/>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66" w:lineRule="exact"/>
        <w:rPr>
          <w:sz w:val="20"/>
          <w:szCs w:val="20"/>
          <w:color w:val="auto"/>
        </w:rPr>
      </w:pPr>
    </w:p>
    <w:p>
      <w:pPr>
        <w:ind w:right="40" w:firstLine="335"/>
        <w:spacing w:after="0" w:line="313" w:lineRule="auto"/>
        <w:rPr>
          <w:sz w:val="20"/>
          <w:szCs w:val="20"/>
          <w:color w:val="auto"/>
        </w:rPr>
      </w:pPr>
      <w:r>
        <w:rPr>
          <w:rFonts w:ascii="Arial" w:cs="Arial" w:eastAsia="Arial" w:hAnsi="Arial"/>
          <w:sz w:val="12"/>
          <w:szCs w:val="12"/>
          <w:color w:val="auto"/>
        </w:rPr>
        <w:t>Natural gas prices and WTI crude oil pricing, discussed above, have an impact on the demand for our U.S. accommodations. Prices for natural gas in the United States improved during 2013 and early 2014,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natural gas and lower natural gas prices could have a positive impact on this activity in Canada. Natural gas prices traded at approximately $4.82 per Mcf as of April 30, 2014.</w:t>
      </w:r>
    </w:p>
    <w:p>
      <w:pPr>
        <w:spacing w:after="0" w:line="200" w:lineRule="exact"/>
        <w:rPr>
          <w:sz w:val="20"/>
          <w:szCs w:val="20"/>
          <w:color w:val="auto"/>
        </w:rPr>
      </w:pPr>
    </w:p>
    <w:p>
      <w:pPr>
        <w:ind w:firstLine="262"/>
        <w:spacing w:after="0" w:line="269" w:lineRule="auto"/>
        <w:rPr>
          <w:sz w:val="20"/>
          <w:szCs w:val="20"/>
          <w:color w:val="auto"/>
        </w:rPr>
      </w:pPr>
      <w:r>
        <w:rPr>
          <w:rFonts w:ascii="Arial" w:cs="Arial" w:eastAsia="Arial" w:hAnsi="Arial"/>
          <w:sz w:val="14"/>
          <w:szCs w:val="14"/>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2013 compared to 2012. Met coal prices have decreased materially from over $200/metric ton at the beginning of 2012 to approximately $150/metric ton at the end of 2013.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Recent WTI crude, WCS crude, Queensland hard coking coal and natural gas pricing trends are as follows:</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276"/>
        </w:trPr>
        <w:tc>
          <w:tcPr>
            <w:tcW w:w="1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w w:val="87"/>
              </w:rPr>
              <w:t xml:space="preserve">Average Price </w:t>
            </w:r>
            <w:r>
              <w:rPr>
                <w:rFonts w:ascii="Arial" w:cs="Arial" w:eastAsia="Arial" w:hAnsi="Arial"/>
                <w:sz w:val="24"/>
                <w:szCs w:val="24"/>
                <w:b w:val="1"/>
                <w:bCs w:val="1"/>
                <w:color w:val="auto"/>
                <w:w w:val="87"/>
                <w:vertAlign w:val="superscript"/>
              </w:rPr>
              <w:t>(1)</w:t>
            </w:r>
          </w:p>
        </w:tc>
        <w:tc>
          <w:tcPr>
            <w:tcW w:w="13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151"/>
        </w:trPr>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2"/>
          </w:tcPr>
          <w:p>
            <w:pPr>
              <w:jc w:val="center"/>
              <w:ind w:right="780"/>
              <w:spacing w:after="0" w:line="151" w:lineRule="exact"/>
              <w:rPr>
                <w:sz w:val="20"/>
                <w:szCs w:val="20"/>
                <w:color w:val="auto"/>
              </w:rPr>
            </w:pPr>
            <w:r>
              <w:rPr>
                <w:rFonts w:ascii="Arial" w:cs="Arial" w:eastAsia="Arial" w:hAnsi="Arial"/>
                <w:sz w:val="15"/>
                <w:szCs w:val="15"/>
                <w:b w:val="1"/>
                <w:bCs w:val="1"/>
                <w:color w:val="auto"/>
                <w:w w:val="99"/>
              </w:rPr>
              <w:t>Hard</w:t>
            </w:r>
          </w:p>
        </w:tc>
        <w:tc>
          <w:tcPr>
            <w:tcW w:w="320" w:type="dxa"/>
            <w:vAlign w:val="bottom"/>
          </w:tcPr>
          <w:p>
            <w:pPr>
              <w:spacing w:after="0"/>
              <w:rPr>
                <w:sz w:val="13"/>
                <w:szCs w:val="13"/>
                <w:color w:val="auto"/>
              </w:rPr>
            </w:pPr>
          </w:p>
        </w:tc>
        <w:tc>
          <w:tcPr>
            <w:tcW w:w="1560" w:type="dxa"/>
            <w:vAlign w:val="bottom"/>
          </w:tcPr>
          <w:p>
            <w:pPr>
              <w:jc w:val="center"/>
              <w:ind w:right="227"/>
              <w:spacing w:after="0" w:line="151" w:lineRule="exact"/>
              <w:rPr>
                <w:sz w:val="20"/>
                <w:szCs w:val="20"/>
                <w:color w:val="auto"/>
              </w:rPr>
            </w:pPr>
            <w:r>
              <w:rPr>
                <w:rFonts w:ascii="Arial" w:cs="Arial" w:eastAsia="Arial" w:hAnsi="Arial"/>
                <w:sz w:val="15"/>
                <w:szCs w:val="15"/>
                <w:b w:val="1"/>
                <w:bCs w:val="1"/>
                <w:color w:val="auto"/>
                <w:w w:val="92"/>
              </w:rPr>
              <w:t>Henry Hub</w:t>
            </w:r>
          </w:p>
        </w:tc>
        <w:tc>
          <w:tcPr>
            <w:tcW w:w="160" w:type="dxa"/>
            <w:vAlign w:val="bottom"/>
          </w:tcPr>
          <w:p>
            <w:pPr>
              <w:spacing w:after="0"/>
              <w:rPr>
                <w:sz w:val="13"/>
                <w:szCs w:val="13"/>
                <w:color w:val="auto"/>
              </w:rPr>
            </w:pPr>
          </w:p>
        </w:tc>
      </w:tr>
      <w:tr>
        <w:trPr>
          <w:trHeight w:val="175"/>
        </w:trPr>
        <w:tc>
          <w:tcPr>
            <w:tcW w:w="1840" w:type="dxa"/>
            <w:vAlign w:val="bottom"/>
            <w:gridSpan w:val="2"/>
          </w:tcPr>
          <w:p>
            <w:pPr>
              <w:ind w:left="380"/>
              <w:spacing w:after="0"/>
              <w:rPr>
                <w:sz w:val="20"/>
                <w:szCs w:val="20"/>
                <w:color w:val="auto"/>
              </w:rPr>
            </w:pPr>
            <w:r>
              <w:rPr>
                <w:rFonts w:ascii="Arial" w:cs="Arial" w:eastAsia="Arial" w:hAnsi="Arial"/>
                <w:sz w:val="15"/>
                <w:szCs w:val="15"/>
                <w:b w:val="1"/>
                <w:bCs w:val="1"/>
                <w:color w:val="auto"/>
              </w:rPr>
              <w:t>Quarter ended</w:t>
            </w:r>
          </w:p>
        </w:tc>
        <w:tc>
          <w:tcPr>
            <w:tcW w:w="1360" w:type="dxa"/>
            <w:vAlign w:val="bottom"/>
          </w:tcPr>
          <w:p>
            <w:pPr>
              <w:jc w:val="center"/>
              <w:ind w:left="394"/>
              <w:spacing w:after="0"/>
              <w:rPr>
                <w:sz w:val="20"/>
                <w:szCs w:val="20"/>
                <w:color w:val="auto"/>
              </w:rPr>
            </w:pPr>
            <w:r>
              <w:rPr>
                <w:rFonts w:ascii="Arial" w:cs="Arial" w:eastAsia="Arial" w:hAnsi="Arial"/>
                <w:sz w:val="15"/>
                <w:szCs w:val="15"/>
                <w:b w:val="1"/>
                <w:bCs w:val="1"/>
                <w:color w:val="auto"/>
                <w:w w:val="98"/>
              </w:rPr>
              <w:t>WTI Crude</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left="374"/>
              <w:spacing w:after="0"/>
              <w:rPr>
                <w:sz w:val="20"/>
                <w:szCs w:val="20"/>
                <w:color w:val="auto"/>
              </w:rPr>
            </w:pPr>
            <w:r>
              <w:rPr>
                <w:rFonts w:ascii="Arial" w:cs="Arial" w:eastAsia="Arial" w:hAnsi="Arial"/>
                <w:sz w:val="15"/>
                <w:szCs w:val="15"/>
                <w:b w:val="1"/>
                <w:bCs w:val="1"/>
                <w:color w:val="auto"/>
                <w:w w:val="92"/>
              </w:rPr>
              <w:t>WCS Crude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5"/>
                <w:szCs w:val="15"/>
                <w:b w:val="1"/>
                <w:bCs w:val="1"/>
                <w:color w:val="auto"/>
                <w:w w:val="89"/>
              </w:rPr>
              <w:t>Coking Coal</w:t>
            </w:r>
          </w:p>
        </w:tc>
        <w:tc>
          <w:tcPr>
            <w:tcW w:w="32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0"/>
              </w:rPr>
              <w:t>Natural Gas</w:t>
            </w:r>
          </w:p>
        </w:tc>
      </w:t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left="394"/>
              <w:spacing w:after="0"/>
              <w:rPr>
                <w:sz w:val="20"/>
                <w:szCs w:val="20"/>
                <w:color w:val="auto"/>
              </w:rPr>
            </w:pPr>
            <w:r>
              <w:rPr>
                <w:rFonts w:ascii="Arial" w:cs="Arial" w:eastAsia="Arial" w:hAnsi="Arial"/>
                <w:sz w:val="15"/>
                <w:szCs w:val="15"/>
                <w:b w:val="1"/>
                <w:bCs w:val="1"/>
                <w:color w:val="auto"/>
                <w:w w:val="89"/>
              </w:rPr>
              <w:t>(per bbl)</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left="374"/>
              <w:spacing w:after="0"/>
              <w:rPr>
                <w:sz w:val="20"/>
                <w:szCs w:val="20"/>
                <w:color w:val="auto"/>
              </w:rPr>
            </w:pPr>
            <w:r>
              <w:rPr>
                <w:rFonts w:ascii="Arial" w:cs="Arial" w:eastAsia="Arial" w:hAnsi="Arial"/>
                <w:sz w:val="15"/>
                <w:szCs w:val="15"/>
                <w:b w:val="1"/>
                <w:bCs w:val="1"/>
                <w:color w:val="auto"/>
                <w:w w:val="93"/>
              </w:rPr>
              <w:t>(per bbl)</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5"/>
                <w:szCs w:val="15"/>
                <w:b w:val="1"/>
                <w:bCs w:val="1"/>
                <w:color w:val="auto"/>
                <w:w w:val="88"/>
              </w:rPr>
              <w:t>(per ton)</w:t>
            </w:r>
          </w:p>
        </w:tc>
        <w:tc>
          <w:tcPr>
            <w:tcW w:w="32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0"/>
              </w:rPr>
              <w:t>(per mcf)</w:t>
            </w:r>
          </w:p>
        </w:tc>
      </w:tr>
      <w:tr>
        <w:trPr>
          <w:trHeight w:val="167"/>
        </w:trPr>
        <w:tc>
          <w:tcPr>
            <w:tcW w:w="1680" w:type="dxa"/>
            <w:vAlign w:val="bottom"/>
            <w:tcBorders>
              <w:top w:val="single" w:sz="8" w:color="auto"/>
            </w:tcBorders>
            <w:shd w:val="clear" w:color="auto" w:fill="CCEEFF"/>
          </w:tcPr>
          <w:p>
            <w:pPr>
              <w:jc w:val="center"/>
              <w:spacing w:after="0" w:line="167" w:lineRule="exact"/>
              <w:rPr>
                <w:sz w:val="20"/>
                <w:szCs w:val="20"/>
                <w:color w:val="auto"/>
              </w:rPr>
            </w:pPr>
            <w:r>
              <w:rPr>
                <w:rFonts w:ascii="Arial" w:cs="Arial" w:eastAsia="Arial" w:hAnsi="Arial"/>
                <w:sz w:val="15"/>
                <w:szCs w:val="15"/>
                <w:color w:val="auto"/>
                <w:w w:val="87"/>
              </w:rPr>
              <w:t>12/31/2013</w:t>
            </w:r>
          </w:p>
        </w:tc>
        <w:tc>
          <w:tcPr>
            <w:tcW w:w="160" w:type="dxa"/>
            <w:vAlign w:val="bottom"/>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1234"/>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97.50</w:t>
            </w:r>
          </w:p>
        </w:tc>
        <w:tc>
          <w:tcPr>
            <w:tcW w:w="300" w:type="dxa"/>
            <w:vAlign w:val="bottom"/>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74"/>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ind w:left="120"/>
              <w:spacing w:after="0" w:line="167" w:lineRule="exact"/>
              <w:rPr>
                <w:sz w:val="20"/>
                <w:szCs w:val="20"/>
                <w:color w:val="auto"/>
              </w:rPr>
            </w:pPr>
            <w:r>
              <w:rPr>
                <w:rFonts w:ascii="Arial" w:cs="Arial" w:eastAsia="Arial" w:hAnsi="Arial"/>
                <w:sz w:val="15"/>
                <w:szCs w:val="15"/>
                <w:color w:val="auto"/>
                <w:w w:val="79"/>
              </w:rPr>
              <w:t>66.34</w:t>
            </w:r>
          </w:p>
        </w:tc>
        <w:tc>
          <w:tcPr>
            <w:tcW w:w="28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7"/>
              <w:spacing w:after="0" w:line="167"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980"/>
              <w:spacing w:after="0" w:line="167" w:lineRule="exact"/>
              <w:rPr>
                <w:sz w:val="20"/>
                <w:szCs w:val="20"/>
                <w:color w:val="auto"/>
              </w:rPr>
            </w:pPr>
            <w:r>
              <w:rPr>
                <w:rFonts w:ascii="Arial" w:cs="Arial" w:eastAsia="Arial" w:hAnsi="Arial"/>
                <w:sz w:val="15"/>
                <w:szCs w:val="15"/>
                <w:color w:val="auto"/>
                <w:w w:val="82"/>
              </w:rPr>
              <w:t>143.76</w:t>
            </w:r>
          </w:p>
        </w:tc>
        <w:tc>
          <w:tcPr>
            <w:tcW w:w="30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7"/>
              <w:spacing w:after="0" w:line="167" w:lineRule="exact"/>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ind w:left="1320"/>
              <w:spacing w:after="0" w:line="167" w:lineRule="exact"/>
              <w:rPr>
                <w:sz w:val="20"/>
                <w:szCs w:val="20"/>
                <w:color w:val="auto"/>
              </w:rPr>
            </w:pPr>
            <w:r>
              <w:rPr>
                <w:rFonts w:ascii="Arial" w:cs="Arial" w:eastAsia="Arial" w:hAnsi="Arial"/>
                <w:sz w:val="15"/>
                <w:szCs w:val="15"/>
                <w:color w:val="auto"/>
                <w:w w:val="75"/>
              </w:rPr>
              <w:t>3.85</w:t>
            </w:r>
          </w:p>
        </w:tc>
        <w:tc>
          <w:tcPr>
            <w:tcW w:w="160" w:type="dxa"/>
            <w:vAlign w:val="bottom"/>
            <w:shd w:val="clear" w:color="auto" w:fill="CCEEFF"/>
          </w:tcPr>
          <w:p>
            <w:pPr>
              <w:spacing w:after="0"/>
              <w:rPr>
                <w:sz w:val="14"/>
                <w:szCs w:val="14"/>
                <w:color w:val="auto"/>
              </w:rPr>
            </w:pPr>
          </w:p>
        </w:tc>
      </w:tr>
      <w:tr>
        <w:trPr>
          <w:trHeight w:val="175"/>
        </w:trPr>
        <w:tc>
          <w:tcPr>
            <w:tcW w:w="1680" w:type="dxa"/>
            <w:vAlign w:val="bottom"/>
          </w:tcPr>
          <w:p>
            <w:pPr>
              <w:jc w:val="center"/>
              <w:spacing w:after="0"/>
              <w:rPr>
                <w:sz w:val="20"/>
                <w:szCs w:val="20"/>
                <w:color w:val="auto"/>
              </w:rPr>
            </w:pPr>
            <w:r>
              <w:rPr>
                <w:rFonts w:ascii="Arial" w:cs="Arial" w:eastAsia="Arial" w:hAnsi="Arial"/>
                <w:sz w:val="15"/>
                <w:szCs w:val="15"/>
                <w:color w:val="auto"/>
                <w:w w:val="86"/>
              </w:rPr>
              <w:t>9/30/2013</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105.83</w:t>
            </w:r>
          </w:p>
        </w:tc>
        <w:tc>
          <w:tcPr>
            <w:tcW w:w="1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83.10</w:t>
            </w:r>
          </w:p>
        </w:tc>
        <w:tc>
          <w:tcPr>
            <w:tcW w:w="500" w:type="dxa"/>
            <w:vAlign w:val="bottom"/>
          </w:tcPr>
          <w:p>
            <w:pPr>
              <w:spacing w:after="0"/>
              <w:rPr>
                <w:sz w:val="15"/>
                <w:szCs w:val="15"/>
                <w:color w:val="auto"/>
              </w:rPr>
            </w:pPr>
          </w:p>
        </w:tc>
        <w:tc>
          <w:tcPr>
            <w:tcW w:w="1680" w:type="dxa"/>
            <w:vAlign w:val="bottom"/>
            <w:gridSpan w:val="2"/>
          </w:tcPr>
          <w:p>
            <w:pPr>
              <w:ind w:left="980"/>
              <w:spacing w:after="0"/>
              <w:rPr>
                <w:sz w:val="20"/>
                <w:szCs w:val="20"/>
                <w:color w:val="auto"/>
              </w:rPr>
            </w:pPr>
            <w:r>
              <w:rPr>
                <w:rFonts w:ascii="Arial" w:cs="Arial" w:eastAsia="Arial" w:hAnsi="Arial"/>
                <w:sz w:val="15"/>
                <w:szCs w:val="15"/>
                <w:color w:val="auto"/>
              </w:rPr>
              <w:t>142.21</w:t>
            </w:r>
          </w:p>
        </w:tc>
        <w:tc>
          <w:tcPr>
            <w:tcW w:w="320" w:type="dxa"/>
            <w:vAlign w:val="bottom"/>
          </w:tcPr>
          <w:p>
            <w:pPr>
              <w:spacing w:after="0"/>
              <w:rPr>
                <w:sz w:val="15"/>
                <w:szCs w:val="15"/>
                <w:color w:val="auto"/>
              </w:rPr>
            </w:pPr>
          </w:p>
        </w:tc>
        <w:tc>
          <w:tcPr>
            <w:tcW w:w="1720" w:type="dxa"/>
            <w:vAlign w:val="bottom"/>
            <w:gridSpan w:val="2"/>
          </w:tcPr>
          <w:p>
            <w:pPr>
              <w:ind w:left="1320"/>
              <w:spacing w:after="0"/>
              <w:rPr>
                <w:sz w:val="20"/>
                <w:szCs w:val="20"/>
                <w:color w:val="auto"/>
              </w:rPr>
            </w:pPr>
            <w:r>
              <w:rPr>
                <w:rFonts w:ascii="Arial" w:cs="Arial" w:eastAsia="Arial" w:hAnsi="Arial"/>
                <w:sz w:val="15"/>
                <w:szCs w:val="15"/>
                <w:color w:val="auto"/>
              </w:rPr>
              <w:t>3.55</w:t>
            </w:r>
          </w:p>
        </w:tc>
      </w:tr>
      <w:tr>
        <w:trPr>
          <w:trHeight w:val="175"/>
        </w:trPr>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6/30/2013</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94.05</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77.48</w:t>
            </w:r>
          </w:p>
        </w:tc>
        <w:tc>
          <w:tcPr>
            <w:tcW w:w="5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149.94</w:t>
            </w:r>
          </w:p>
        </w:tc>
        <w:tc>
          <w:tcPr>
            <w:tcW w:w="3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4.02</w:t>
            </w:r>
          </w:p>
        </w:tc>
      </w:tr>
      <w:tr>
        <w:trPr>
          <w:trHeight w:val="175"/>
        </w:trPr>
        <w:tc>
          <w:tcPr>
            <w:tcW w:w="1680" w:type="dxa"/>
            <w:vAlign w:val="bottom"/>
          </w:tcPr>
          <w:p>
            <w:pPr>
              <w:jc w:val="center"/>
              <w:spacing w:after="0"/>
              <w:rPr>
                <w:sz w:val="20"/>
                <w:szCs w:val="20"/>
                <w:color w:val="auto"/>
              </w:rPr>
            </w:pPr>
            <w:r>
              <w:rPr>
                <w:rFonts w:ascii="Arial" w:cs="Arial" w:eastAsia="Arial" w:hAnsi="Arial"/>
                <w:sz w:val="15"/>
                <w:szCs w:val="15"/>
                <w:color w:val="auto"/>
                <w:w w:val="86"/>
              </w:rPr>
              <w:t>3/31/2013</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94.33</w:t>
            </w:r>
          </w:p>
        </w:tc>
        <w:tc>
          <w:tcPr>
            <w:tcW w:w="1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66.86</w:t>
            </w:r>
          </w:p>
        </w:tc>
        <w:tc>
          <w:tcPr>
            <w:tcW w:w="500" w:type="dxa"/>
            <w:vAlign w:val="bottom"/>
          </w:tcPr>
          <w:p>
            <w:pPr>
              <w:spacing w:after="0"/>
              <w:rPr>
                <w:sz w:val="15"/>
                <w:szCs w:val="15"/>
                <w:color w:val="auto"/>
              </w:rPr>
            </w:pPr>
          </w:p>
        </w:tc>
        <w:tc>
          <w:tcPr>
            <w:tcW w:w="1680" w:type="dxa"/>
            <w:vAlign w:val="bottom"/>
            <w:gridSpan w:val="2"/>
          </w:tcPr>
          <w:p>
            <w:pPr>
              <w:ind w:left="980"/>
              <w:spacing w:after="0"/>
              <w:rPr>
                <w:sz w:val="20"/>
                <w:szCs w:val="20"/>
                <w:color w:val="auto"/>
              </w:rPr>
            </w:pPr>
            <w:r>
              <w:rPr>
                <w:rFonts w:ascii="Arial" w:cs="Arial" w:eastAsia="Arial" w:hAnsi="Arial"/>
                <w:sz w:val="15"/>
                <w:szCs w:val="15"/>
                <w:color w:val="auto"/>
              </w:rPr>
              <w:t>167.71</w:t>
            </w:r>
          </w:p>
        </w:tc>
        <w:tc>
          <w:tcPr>
            <w:tcW w:w="320" w:type="dxa"/>
            <w:vAlign w:val="bottom"/>
          </w:tcPr>
          <w:p>
            <w:pPr>
              <w:spacing w:after="0"/>
              <w:rPr>
                <w:sz w:val="15"/>
                <w:szCs w:val="15"/>
                <w:color w:val="auto"/>
              </w:rPr>
            </w:pPr>
          </w:p>
        </w:tc>
        <w:tc>
          <w:tcPr>
            <w:tcW w:w="1720" w:type="dxa"/>
            <w:vAlign w:val="bottom"/>
            <w:gridSpan w:val="2"/>
          </w:tcPr>
          <w:p>
            <w:pPr>
              <w:ind w:left="1320"/>
              <w:spacing w:after="0"/>
              <w:rPr>
                <w:sz w:val="20"/>
                <w:szCs w:val="20"/>
                <w:color w:val="auto"/>
              </w:rPr>
            </w:pPr>
            <w:r>
              <w:rPr>
                <w:rFonts w:ascii="Arial" w:cs="Arial" w:eastAsia="Arial" w:hAnsi="Arial"/>
                <w:sz w:val="15"/>
                <w:szCs w:val="15"/>
                <w:color w:val="auto"/>
              </w:rPr>
              <w:t>3.49</w:t>
            </w:r>
          </w:p>
        </w:tc>
      </w:tr>
      <w:tr>
        <w:trPr>
          <w:trHeight w:val="175"/>
        </w:trPr>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12/31/2012</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88.01</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61.34</w:t>
            </w:r>
          </w:p>
        </w:tc>
        <w:tc>
          <w:tcPr>
            <w:tcW w:w="5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156.79</w:t>
            </w:r>
          </w:p>
        </w:tc>
        <w:tc>
          <w:tcPr>
            <w:tcW w:w="3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3.40</w:t>
            </w:r>
          </w:p>
        </w:tc>
      </w:tr>
      <w:tr>
        <w:trPr>
          <w:trHeight w:val="175"/>
        </w:trPr>
        <w:tc>
          <w:tcPr>
            <w:tcW w:w="1680" w:type="dxa"/>
            <w:vAlign w:val="bottom"/>
          </w:tcPr>
          <w:p>
            <w:pPr>
              <w:jc w:val="center"/>
              <w:spacing w:after="0"/>
              <w:rPr>
                <w:sz w:val="20"/>
                <w:szCs w:val="20"/>
                <w:color w:val="auto"/>
              </w:rPr>
            </w:pPr>
            <w:r>
              <w:rPr>
                <w:rFonts w:ascii="Arial" w:cs="Arial" w:eastAsia="Arial" w:hAnsi="Arial"/>
                <w:sz w:val="15"/>
                <w:szCs w:val="15"/>
                <w:color w:val="auto"/>
                <w:w w:val="86"/>
              </w:rPr>
              <w:t>9/30/2012</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92.17</w:t>
            </w:r>
          </w:p>
        </w:tc>
        <w:tc>
          <w:tcPr>
            <w:tcW w:w="1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76.75</w:t>
            </w:r>
          </w:p>
        </w:tc>
        <w:tc>
          <w:tcPr>
            <w:tcW w:w="500" w:type="dxa"/>
            <w:vAlign w:val="bottom"/>
          </w:tcPr>
          <w:p>
            <w:pPr>
              <w:spacing w:after="0"/>
              <w:rPr>
                <w:sz w:val="15"/>
                <w:szCs w:val="15"/>
                <w:color w:val="auto"/>
              </w:rPr>
            </w:pPr>
          </w:p>
        </w:tc>
        <w:tc>
          <w:tcPr>
            <w:tcW w:w="1680" w:type="dxa"/>
            <w:vAlign w:val="bottom"/>
            <w:gridSpan w:val="2"/>
          </w:tcPr>
          <w:p>
            <w:pPr>
              <w:ind w:left="980"/>
              <w:spacing w:after="0"/>
              <w:rPr>
                <w:sz w:val="20"/>
                <w:szCs w:val="20"/>
                <w:color w:val="auto"/>
              </w:rPr>
            </w:pPr>
            <w:r>
              <w:rPr>
                <w:rFonts w:ascii="Arial" w:cs="Arial" w:eastAsia="Arial" w:hAnsi="Arial"/>
                <w:sz w:val="15"/>
                <w:szCs w:val="15"/>
                <w:color w:val="auto"/>
              </w:rPr>
              <w:t>187.88</w:t>
            </w:r>
          </w:p>
        </w:tc>
        <w:tc>
          <w:tcPr>
            <w:tcW w:w="320" w:type="dxa"/>
            <w:vAlign w:val="bottom"/>
          </w:tcPr>
          <w:p>
            <w:pPr>
              <w:spacing w:after="0"/>
              <w:rPr>
                <w:sz w:val="15"/>
                <w:szCs w:val="15"/>
                <w:color w:val="auto"/>
              </w:rPr>
            </w:pPr>
          </w:p>
        </w:tc>
        <w:tc>
          <w:tcPr>
            <w:tcW w:w="1720" w:type="dxa"/>
            <w:vAlign w:val="bottom"/>
            <w:gridSpan w:val="2"/>
          </w:tcPr>
          <w:p>
            <w:pPr>
              <w:ind w:left="1320"/>
              <w:spacing w:after="0"/>
              <w:rPr>
                <w:sz w:val="20"/>
                <w:szCs w:val="20"/>
                <w:color w:val="auto"/>
              </w:rPr>
            </w:pPr>
            <w:r>
              <w:rPr>
                <w:rFonts w:ascii="Arial" w:cs="Arial" w:eastAsia="Arial" w:hAnsi="Arial"/>
                <w:sz w:val="15"/>
                <w:szCs w:val="15"/>
                <w:color w:val="auto"/>
              </w:rPr>
              <w:t>2.88</w:t>
            </w:r>
          </w:p>
        </w:tc>
      </w:tr>
      <w:tr>
        <w:trPr>
          <w:trHeight w:val="175"/>
        </w:trPr>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6/30/2012</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93.38</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73.53</w:t>
            </w:r>
          </w:p>
        </w:tc>
        <w:tc>
          <w:tcPr>
            <w:tcW w:w="5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216.49</w:t>
            </w:r>
          </w:p>
        </w:tc>
        <w:tc>
          <w:tcPr>
            <w:tcW w:w="3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2.29</w:t>
            </w:r>
          </w:p>
        </w:tc>
      </w:tr>
      <w:tr>
        <w:trPr>
          <w:trHeight w:val="175"/>
        </w:trPr>
        <w:tc>
          <w:tcPr>
            <w:tcW w:w="1680" w:type="dxa"/>
            <w:vAlign w:val="bottom"/>
          </w:tcPr>
          <w:p>
            <w:pPr>
              <w:jc w:val="center"/>
              <w:spacing w:after="0"/>
              <w:rPr>
                <w:sz w:val="20"/>
                <w:szCs w:val="20"/>
                <w:color w:val="auto"/>
              </w:rPr>
            </w:pPr>
            <w:r>
              <w:rPr>
                <w:rFonts w:ascii="Arial" w:cs="Arial" w:eastAsia="Arial" w:hAnsi="Arial"/>
                <w:sz w:val="15"/>
                <w:szCs w:val="15"/>
                <w:color w:val="auto"/>
                <w:w w:val="86"/>
              </w:rPr>
              <w:t>3/31/2012</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102.85</w:t>
            </w:r>
          </w:p>
        </w:tc>
        <w:tc>
          <w:tcPr>
            <w:tcW w:w="1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75.82</w:t>
            </w:r>
          </w:p>
        </w:tc>
        <w:tc>
          <w:tcPr>
            <w:tcW w:w="500" w:type="dxa"/>
            <w:vAlign w:val="bottom"/>
          </w:tcPr>
          <w:p>
            <w:pPr>
              <w:spacing w:after="0"/>
              <w:rPr>
                <w:sz w:val="15"/>
                <w:szCs w:val="15"/>
                <w:color w:val="auto"/>
              </w:rPr>
            </w:pPr>
          </w:p>
        </w:tc>
        <w:tc>
          <w:tcPr>
            <w:tcW w:w="1680" w:type="dxa"/>
            <w:vAlign w:val="bottom"/>
            <w:gridSpan w:val="2"/>
          </w:tcPr>
          <w:p>
            <w:pPr>
              <w:ind w:left="980"/>
              <w:spacing w:after="0"/>
              <w:rPr>
                <w:sz w:val="20"/>
                <w:szCs w:val="20"/>
                <w:color w:val="auto"/>
              </w:rPr>
            </w:pPr>
            <w:r>
              <w:rPr>
                <w:rFonts w:ascii="Arial" w:cs="Arial" w:eastAsia="Arial" w:hAnsi="Arial"/>
                <w:sz w:val="15"/>
                <w:szCs w:val="15"/>
                <w:color w:val="auto"/>
              </w:rPr>
              <w:t>212.20</w:t>
            </w:r>
          </w:p>
        </w:tc>
        <w:tc>
          <w:tcPr>
            <w:tcW w:w="320" w:type="dxa"/>
            <w:vAlign w:val="bottom"/>
          </w:tcPr>
          <w:p>
            <w:pPr>
              <w:spacing w:after="0"/>
              <w:rPr>
                <w:sz w:val="15"/>
                <w:szCs w:val="15"/>
                <w:color w:val="auto"/>
              </w:rPr>
            </w:pPr>
          </w:p>
        </w:tc>
        <w:tc>
          <w:tcPr>
            <w:tcW w:w="1720" w:type="dxa"/>
            <w:vAlign w:val="bottom"/>
            <w:gridSpan w:val="2"/>
          </w:tcPr>
          <w:p>
            <w:pPr>
              <w:ind w:left="1320"/>
              <w:spacing w:after="0"/>
              <w:rPr>
                <w:sz w:val="20"/>
                <w:szCs w:val="20"/>
                <w:color w:val="auto"/>
              </w:rPr>
            </w:pPr>
            <w:r>
              <w:rPr>
                <w:rFonts w:ascii="Arial" w:cs="Arial" w:eastAsia="Arial" w:hAnsi="Arial"/>
                <w:sz w:val="15"/>
                <w:szCs w:val="15"/>
                <w:color w:val="auto"/>
              </w:rPr>
              <w:t>2.44</w:t>
            </w:r>
          </w:p>
        </w:tc>
      </w:tr>
      <w:tr>
        <w:trPr>
          <w:trHeight w:val="175"/>
        </w:trPr>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12/31/2011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94.03</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81.56</w:t>
            </w:r>
          </w:p>
        </w:tc>
        <w:tc>
          <w:tcPr>
            <w:tcW w:w="5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236.69</w:t>
            </w:r>
          </w:p>
        </w:tc>
        <w:tc>
          <w:tcPr>
            <w:tcW w:w="3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3.32</w:t>
            </w:r>
          </w:p>
        </w:tc>
      </w:tr>
      <w:tr>
        <w:trPr>
          <w:trHeight w:val="175"/>
        </w:trPr>
        <w:tc>
          <w:tcPr>
            <w:tcW w:w="1680" w:type="dxa"/>
            <w:vAlign w:val="bottom"/>
          </w:tcPr>
          <w:p>
            <w:pPr>
              <w:jc w:val="center"/>
              <w:spacing w:after="0"/>
              <w:rPr>
                <w:sz w:val="20"/>
                <w:szCs w:val="20"/>
                <w:color w:val="auto"/>
              </w:rPr>
            </w:pPr>
            <w:r>
              <w:rPr>
                <w:rFonts w:ascii="Arial" w:cs="Arial" w:eastAsia="Arial" w:hAnsi="Arial"/>
                <w:sz w:val="15"/>
                <w:szCs w:val="15"/>
                <w:color w:val="auto"/>
                <w:w w:val="86"/>
              </w:rPr>
              <w:t>9/30/2011</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89.71</w:t>
            </w:r>
          </w:p>
        </w:tc>
        <w:tc>
          <w:tcPr>
            <w:tcW w:w="1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75.05</w:t>
            </w:r>
          </w:p>
        </w:tc>
        <w:tc>
          <w:tcPr>
            <w:tcW w:w="500" w:type="dxa"/>
            <w:vAlign w:val="bottom"/>
          </w:tcPr>
          <w:p>
            <w:pPr>
              <w:spacing w:after="0"/>
              <w:rPr>
                <w:sz w:val="15"/>
                <w:szCs w:val="15"/>
                <w:color w:val="auto"/>
              </w:rPr>
            </w:pPr>
          </w:p>
        </w:tc>
        <w:tc>
          <w:tcPr>
            <w:tcW w:w="1680" w:type="dxa"/>
            <w:vAlign w:val="bottom"/>
            <w:gridSpan w:val="2"/>
          </w:tcPr>
          <w:p>
            <w:pPr>
              <w:ind w:left="980"/>
              <w:spacing w:after="0"/>
              <w:rPr>
                <w:sz w:val="20"/>
                <w:szCs w:val="20"/>
                <w:color w:val="auto"/>
              </w:rPr>
            </w:pPr>
            <w:r>
              <w:rPr>
                <w:rFonts w:ascii="Arial" w:cs="Arial" w:eastAsia="Arial" w:hAnsi="Arial"/>
                <w:sz w:val="15"/>
                <w:szCs w:val="15"/>
                <w:color w:val="auto"/>
              </w:rPr>
              <w:t>296.24</w:t>
            </w:r>
          </w:p>
        </w:tc>
        <w:tc>
          <w:tcPr>
            <w:tcW w:w="320" w:type="dxa"/>
            <w:vAlign w:val="bottom"/>
          </w:tcPr>
          <w:p>
            <w:pPr>
              <w:spacing w:after="0"/>
              <w:rPr>
                <w:sz w:val="15"/>
                <w:szCs w:val="15"/>
                <w:color w:val="auto"/>
              </w:rPr>
            </w:pPr>
          </w:p>
        </w:tc>
        <w:tc>
          <w:tcPr>
            <w:tcW w:w="1720" w:type="dxa"/>
            <w:vAlign w:val="bottom"/>
            <w:gridSpan w:val="2"/>
          </w:tcPr>
          <w:p>
            <w:pPr>
              <w:ind w:left="1320"/>
              <w:spacing w:after="0"/>
              <w:rPr>
                <w:sz w:val="20"/>
                <w:szCs w:val="20"/>
                <w:color w:val="auto"/>
              </w:rPr>
            </w:pPr>
            <w:r>
              <w:rPr>
                <w:rFonts w:ascii="Arial" w:cs="Arial" w:eastAsia="Arial" w:hAnsi="Arial"/>
                <w:sz w:val="15"/>
                <w:szCs w:val="15"/>
                <w:color w:val="auto"/>
              </w:rPr>
              <w:t>4.12</w:t>
            </w:r>
          </w:p>
        </w:tc>
      </w:tr>
      <w:tr>
        <w:trPr>
          <w:trHeight w:val="175"/>
        </w:trPr>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6/30/2011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102.51</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84.72</w:t>
            </w:r>
          </w:p>
        </w:tc>
        <w:tc>
          <w:tcPr>
            <w:tcW w:w="5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315.74</w:t>
            </w:r>
          </w:p>
        </w:tc>
        <w:tc>
          <w:tcPr>
            <w:tcW w:w="3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rPr>
              <w:t>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ind w:left="5660" w:right="900" w:hanging="5653"/>
        <w:spacing w:after="0" w:line="776" w:lineRule="auto"/>
        <w:tabs>
          <w:tab w:leader="none" w:pos="269" w:val="left"/>
        </w:tabs>
        <w:numPr>
          <w:ilvl w:val="0"/>
          <w:numId w:val="284"/>
        </w:numPr>
        <w:rPr>
          <w:rFonts w:ascii="Arial" w:cs="Arial" w:eastAsia="Arial" w:hAnsi="Arial"/>
          <w:sz w:val="15"/>
          <w:szCs w:val="15"/>
          <w:color w:val="auto"/>
        </w:rPr>
      </w:pPr>
      <w:r>
        <w:rPr>
          <w:rFonts w:ascii="Arial" w:cs="Arial" w:eastAsia="Arial" w:hAnsi="Arial"/>
          <w:sz w:val="15"/>
          <w:szCs w:val="15"/>
          <w:color w:val="auto"/>
        </w:rPr>
        <w:t>Source: WTI crude and natural gas prices from U.S. Energy Information Administration (EIA), and WCS crude prices and Queensland hard coking coal index from Bloomberg.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7292340"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b w:val="1"/>
          <w:bCs w:val="1"/>
          <w:u w:val="single" w:color="auto"/>
          <w:color w:val="auto"/>
        </w:rPr>
        <w:t>Overview</w:t>
      </w:r>
    </w:p>
    <w:p>
      <w:pPr>
        <w:spacing w:after="0" w:line="181" w:lineRule="exact"/>
        <w:rPr>
          <w:sz w:val="20"/>
          <w:szCs w:val="20"/>
          <w:color w:val="auto"/>
        </w:rPr>
      </w:pPr>
    </w:p>
    <w:p>
      <w:pPr>
        <w:ind w:right="200" w:firstLine="262"/>
        <w:spacing w:after="0" w:line="259" w:lineRule="auto"/>
        <w:rPr>
          <w:sz w:val="20"/>
          <w:szCs w:val="20"/>
          <w:color w:val="auto"/>
        </w:rPr>
      </w:pPr>
      <w:r>
        <w:rPr>
          <w:rFonts w:ascii="Arial" w:cs="Arial" w:eastAsia="Arial" w:hAnsi="Arial"/>
          <w:sz w:val="15"/>
          <w:szCs w:val="15"/>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52" w:lineRule="exact"/>
        <w:rPr>
          <w:sz w:val="20"/>
          <w:szCs w:val="20"/>
          <w:color w:val="auto"/>
        </w:rPr>
      </w:pPr>
    </w:p>
    <w:p>
      <w:pPr>
        <w:ind w:firstLine="262"/>
        <w:spacing w:after="0" w:line="265" w:lineRule="auto"/>
        <w:rPr>
          <w:sz w:val="20"/>
          <w:szCs w:val="20"/>
          <w:color w:val="auto"/>
        </w:rPr>
      </w:pPr>
      <w:r>
        <w:rPr>
          <w:rFonts w:ascii="Arial" w:cs="Arial" w:eastAsia="Arial" w:hAnsi="Arial"/>
          <w:sz w:val="14"/>
          <w:szCs w:val="14"/>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52"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162" w:lineRule="exact"/>
        <w:rPr>
          <w:sz w:val="20"/>
          <w:szCs w:val="20"/>
          <w:color w:val="auto"/>
        </w:rPr>
      </w:pPr>
    </w:p>
    <w:p>
      <w:pPr>
        <w:ind w:right="60" w:firstLine="262"/>
        <w:spacing w:after="0" w:line="267" w:lineRule="auto"/>
        <w:rPr>
          <w:sz w:val="20"/>
          <w:szCs w:val="20"/>
          <w:color w:val="auto"/>
        </w:rPr>
      </w:pPr>
      <w:r>
        <w:rPr>
          <w:rFonts w:ascii="Arial" w:cs="Arial" w:eastAsia="Arial" w:hAnsi="Arial"/>
          <w:sz w:val="14"/>
          <w:szCs w:val="14"/>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However during 2013, particularly at year end, we saw a strengthening U.S. dollar compared to both the Canadian and Australian dollars. During 2013, the Canadian and Australian dollars weakened 7% and 15%, respectively, relative to the U.S. dollar. A strong U.S. dollar is generally viewed positively for our Australian customers as they typically receive U.S. dollar denominated payment for their commodities with expenses denominated in Australian dollars.</w:t>
      </w:r>
    </w:p>
    <w:p>
      <w:pPr>
        <w:spacing w:after="0" w:line="149"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While global demand for oil and natural gas are significant factors influencing our business generally, certain other factors also influence our business, such as the pace of worldwide economic growth.</w:t>
      </w:r>
    </w:p>
    <w:p>
      <w:pPr>
        <w:spacing w:after="0" w:line="152"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color w:val="auto"/>
        </w:rPr>
        <w:t>We continue to monitor the global economy, the demand for crude oil, met coal and natural gas and the resultant impact on the capital spending plans and operations of our customers in order to plan our business. Our capital expenditures in 2013 totaled $292 million compared to $314 million in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72"/>
        </w:trPr>
        <w:tc>
          <w:tcPr>
            <w:tcW w:w="3580" w:type="dxa"/>
            <w:vAlign w:val="bottom"/>
            <w:gridSpan w:val="3"/>
          </w:tcPr>
          <w:p>
            <w:pPr>
              <w:spacing w:after="0"/>
              <w:rPr>
                <w:sz w:val="20"/>
                <w:szCs w:val="20"/>
                <w:color w:val="auto"/>
              </w:rPr>
            </w:pPr>
            <w:r>
              <w:rPr>
                <w:rFonts w:ascii="Arial" w:cs="Arial" w:eastAsia="Arial" w:hAnsi="Arial"/>
                <w:sz w:val="15"/>
                <w:szCs w:val="15"/>
                <w:b w:val="1"/>
                <w:bCs w:val="1"/>
                <w:color w:val="auto"/>
              </w:rPr>
              <w:t>Consolidated Results of Operations (in millions)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Twelve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86"/>
              </w:rPr>
              <w:t>December 31,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267"/>
              <w:spacing w:after="0"/>
              <w:rPr>
                <w:sz w:val="20"/>
                <w:szCs w:val="20"/>
                <w:color w:val="auto"/>
              </w:rPr>
            </w:pPr>
            <w:r>
              <w:rPr>
                <w:rFonts w:ascii="Arial" w:cs="Arial" w:eastAsia="Arial" w:hAnsi="Arial"/>
                <w:sz w:val="15"/>
                <w:szCs w:val="15"/>
                <w:b w:val="1"/>
                <w:bCs w:val="1"/>
                <w:color w:val="auto"/>
                <w:w w:val="89"/>
              </w:rPr>
              <w:t>Variance</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247"/>
              <w:spacing w:after="0"/>
              <w:rPr>
                <w:sz w:val="20"/>
                <w:szCs w:val="20"/>
                <w:color w:val="auto"/>
              </w:rPr>
            </w:pPr>
            <w:r>
              <w:rPr>
                <w:rFonts w:ascii="Arial" w:cs="Arial" w:eastAsia="Arial" w:hAnsi="Arial"/>
                <w:sz w:val="15"/>
                <w:szCs w:val="15"/>
                <w:b w:val="1"/>
                <w:bCs w:val="1"/>
                <w:color w:val="auto"/>
                <w:w w:val="86"/>
              </w:rPr>
              <w:t>Variance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2013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47"/>
              <w:spacing w:after="0"/>
              <w:rPr>
                <w:sz w:val="20"/>
                <w:szCs w:val="20"/>
                <w:color w:val="auto"/>
              </w:rPr>
            </w:pPr>
            <w:r>
              <w:rPr>
                <w:rFonts w:ascii="Arial" w:cs="Arial" w:eastAsia="Arial" w:hAnsi="Arial"/>
                <w:sz w:val="15"/>
                <w:szCs w:val="15"/>
                <w:b w:val="1"/>
                <w:bCs w:val="1"/>
                <w:color w:val="auto"/>
                <w:w w:val="85"/>
              </w:rPr>
              <w:t>2013 vs. 2012</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47"/>
              <w:spacing w:after="0"/>
              <w:rPr>
                <w:sz w:val="20"/>
                <w:szCs w:val="20"/>
                <w:color w:val="auto"/>
              </w:rPr>
            </w:pPr>
            <w:r>
              <w:rPr>
                <w:rFonts w:ascii="Arial" w:cs="Arial" w:eastAsia="Arial" w:hAnsi="Arial"/>
                <w:sz w:val="15"/>
                <w:szCs w:val="15"/>
                <w:b w:val="1"/>
                <w:bCs w:val="1"/>
                <w:color w:val="auto"/>
                <w:w w:val="85"/>
              </w:rPr>
              <w:t>2012 vs. 2011</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7"/>
              <w:spacing w:after="0" w:line="168"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1"/>
              <w:spacing w:after="0" w:line="168"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7"/>
              <w:spacing w:after="0" w:line="168"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11"/>
              <w:spacing w:after="0" w:line="168"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710.5</w:t>
            </w:r>
          </w:p>
        </w:tc>
        <w:tc>
          <w:tcPr>
            <w:tcW w:w="140" w:type="dxa"/>
            <w:vAlign w:val="bottom"/>
          </w:tcPr>
          <w:p>
            <w:pPr>
              <w:spacing w:after="0"/>
              <w:rPr>
                <w:sz w:val="15"/>
                <w:szCs w:val="15"/>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717.2</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(6.7)</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579.9</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137.3</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Australia</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(20.7)</w:t>
            </w:r>
          </w:p>
        </w:tc>
        <w:tc>
          <w:tcPr>
            <w:tcW w:w="3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197.1</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79.1</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115.5</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(40.4)</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(35%)</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87.7</w:t>
            </w: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27.8</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1,041.1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1,108.9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(67.8)</w:t>
            </w:r>
          </w:p>
        </w:tc>
        <w:tc>
          <w:tcPr>
            <w:tcW w:w="34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line="166" w:lineRule="exact"/>
              <w:rPr>
                <w:sz w:val="20"/>
                <w:szCs w:val="20"/>
                <w:color w:val="auto"/>
              </w:rPr>
            </w:pPr>
            <w:r>
              <w:rPr>
                <w:rFonts w:ascii="Arial" w:cs="Arial" w:eastAsia="Arial" w:hAnsi="Arial"/>
                <w:sz w:val="11"/>
                <w:szCs w:val="11"/>
                <w:color w:val="auto"/>
              </w:rPr>
              <w:t>(6%</w:t>
            </w:r>
            <w:r>
              <w:rPr>
                <w:rFonts w:ascii="Arial" w:cs="Arial" w:eastAsia="Arial" w:hAnsi="Arial"/>
                <w:sz w:val="19"/>
                <w:szCs w:val="19"/>
                <w:color w:val="auto"/>
                <w:vertAlign w:val="superscript"/>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864.7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244.2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1"/>
                <w:szCs w:val="11"/>
                <w:color w:val="auto"/>
              </w:rPr>
              <w:t>28</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399.0</w:t>
            </w:r>
          </w:p>
        </w:tc>
        <w:tc>
          <w:tcPr>
            <w:tcW w:w="140" w:type="dxa"/>
            <w:vAlign w:val="bottom"/>
          </w:tcPr>
          <w:p>
            <w:pPr>
              <w:spacing w:after="0"/>
              <w:rPr>
                <w:sz w:val="15"/>
                <w:szCs w:val="15"/>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386.9</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12.1</w:t>
            </w: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334.4</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52.5</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Australia</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(8.5)</w:t>
            </w:r>
          </w:p>
        </w:tc>
        <w:tc>
          <w:tcPr>
            <w:tcW w:w="3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74.0</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30.6</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60.9</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(6.4)</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48.0</w:t>
            </w: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12.9</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549.6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552.4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(2.8)</w:t>
            </w:r>
          </w:p>
        </w:tc>
        <w:tc>
          <w:tcPr>
            <w:tcW w:w="34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line="166" w:lineRule="exact"/>
              <w:rPr>
                <w:sz w:val="20"/>
                <w:szCs w:val="20"/>
                <w:color w:val="auto"/>
              </w:rPr>
            </w:pPr>
            <w:r>
              <w:rPr>
                <w:rFonts w:ascii="Arial" w:cs="Arial" w:eastAsia="Arial" w:hAnsi="Arial"/>
                <w:sz w:val="11"/>
                <w:szCs w:val="11"/>
                <w:color w:val="auto"/>
              </w:rPr>
              <w:t>(1%</w:t>
            </w:r>
            <w:r>
              <w:rPr>
                <w:rFonts w:ascii="Arial" w:cs="Arial" w:eastAsia="Arial" w:hAnsi="Arial"/>
                <w:sz w:val="19"/>
                <w:szCs w:val="19"/>
                <w:color w:val="auto"/>
                <w:vertAlign w:val="superscript"/>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456.4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96.0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1"/>
                <w:szCs w:val="11"/>
                <w:color w:val="auto"/>
              </w:rPr>
              <w:t>21</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311.5</w:t>
            </w:r>
          </w:p>
        </w:tc>
        <w:tc>
          <w:tcPr>
            <w:tcW w:w="140" w:type="dxa"/>
            <w:vAlign w:val="bottom"/>
          </w:tcPr>
          <w:p>
            <w:pPr>
              <w:spacing w:after="0"/>
              <w:rPr>
                <w:sz w:val="15"/>
                <w:szCs w:val="15"/>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330.3</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(18.8)</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(6%)</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245.5</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84.8</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Australia</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w:t>
            </w:r>
          </w:p>
        </w:tc>
        <w:tc>
          <w:tcPr>
            <w:tcW w:w="3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123.1</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48.5</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54.6</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(34.0)</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39.7</w:t>
            </w: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14.9</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491.5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556.5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(65.0)</w:t>
            </w:r>
          </w:p>
        </w:tc>
        <w:tc>
          <w:tcPr>
            <w:tcW w:w="34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line="166" w:lineRule="exact"/>
              <w:rPr>
                <w:sz w:val="20"/>
                <w:szCs w:val="20"/>
                <w:color w:val="auto"/>
              </w:rPr>
            </w:pPr>
            <w:r>
              <w:rPr>
                <w:rFonts w:ascii="Arial" w:cs="Arial" w:eastAsia="Arial" w:hAnsi="Arial"/>
                <w:sz w:val="11"/>
                <w:szCs w:val="11"/>
                <w:color w:val="auto"/>
              </w:rPr>
              <w:t>(12%</w:t>
            </w:r>
            <w:r>
              <w:rPr>
                <w:rFonts w:ascii="Arial" w:cs="Arial" w:eastAsia="Arial" w:hAnsi="Arial"/>
                <w:sz w:val="19"/>
                <w:szCs w:val="19"/>
                <w:color w:val="auto"/>
                <w:vertAlign w:val="superscript"/>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408.3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148.2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1"/>
                <w:szCs w:val="11"/>
                <w:color w:val="auto"/>
              </w:rPr>
              <w:t>36</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190.8</w:t>
            </w:r>
          </w:p>
        </w:tc>
        <w:tc>
          <w:tcPr>
            <w:tcW w:w="140" w:type="dxa"/>
            <w:vAlign w:val="bottom"/>
          </w:tcPr>
          <w:p>
            <w:pPr>
              <w:spacing w:after="0"/>
              <w:rPr>
                <w:sz w:val="15"/>
                <w:szCs w:val="15"/>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226.4</w:t>
            </w:r>
          </w:p>
        </w:tc>
        <w:tc>
          <w:tcPr>
            <w:tcW w:w="2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(35.6)</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(16%)</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162.3</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64.1</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Australia</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99.2</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(24.0)</w:t>
            </w:r>
          </w:p>
        </w:tc>
        <w:tc>
          <w:tcPr>
            <w:tcW w:w="3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63.2</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36.0</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1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31.4</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(33.3)</w:t>
            </w:r>
          </w:p>
        </w:tc>
        <w:tc>
          <w:tcPr>
            <w:tcW w:w="3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(106%)</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19.6</w:t>
            </w: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11.8</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(0.5)</w:t>
            </w:r>
          </w:p>
        </w:tc>
        <w:tc>
          <w:tcPr>
            <w:tcW w:w="3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60" w:type="dxa"/>
            <w:vAlign w:val="bottom"/>
            <w:gridSpan w:val="2"/>
          </w:tcPr>
          <w:p>
            <w:pPr>
              <w:spacing w:after="0" w:line="166" w:lineRule="exact"/>
              <w:rPr>
                <w:sz w:val="20"/>
                <w:szCs w:val="20"/>
                <w:color w:val="auto"/>
              </w:rPr>
            </w:pPr>
            <w:r>
              <w:rPr>
                <w:rFonts w:ascii="Arial" w:cs="Arial" w:eastAsia="Arial" w:hAnsi="Arial"/>
                <w:sz w:val="15"/>
                <w:szCs w:val="15"/>
                <w:color w:val="auto"/>
              </w:rPr>
              <w:t>Total</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259.5</w:t>
            </w:r>
          </w:p>
        </w:tc>
        <w:tc>
          <w:tcPr>
            <w:tcW w:w="140" w:type="dxa"/>
            <w:vAlign w:val="bottom"/>
          </w:tcPr>
          <w:p>
            <w:pPr>
              <w:spacing w:after="0"/>
              <w:rPr>
                <w:sz w:val="14"/>
                <w:szCs w:val="14"/>
                <w:color w:val="auto"/>
              </w:rPr>
            </w:pPr>
          </w:p>
        </w:tc>
        <w:tc>
          <w:tcPr>
            <w:tcW w:w="300" w:type="dxa"/>
            <w:vAlign w:val="bottom"/>
            <w:gridSpan w:val="2"/>
          </w:tcPr>
          <w:p>
            <w:pPr>
              <w:jc w:val="right"/>
              <w:ind w:right="47"/>
              <w:spacing w:after="0" w:line="16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352.9</w:t>
            </w:r>
          </w:p>
        </w:tc>
        <w:tc>
          <w:tcPr>
            <w:tcW w:w="240" w:type="dxa"/>
            <w:vAlign w:val="bottom"/>
          </w:tcPr>
          <w:p>
            <w:pPr>
              <w:spacing w:after="0"/>
              <w:rPr>
                <w:sz w:val="14"/>
                <w:szCs w:val="14"/>
                <w:color w:val="auto"/>
              </w:rPr>
            </w:pPr>
          </w:p>
        </w:tc>
        <w:tc>
          <w:tcPr>
            <w:tcW w:w="240" w:type="dxa"/>
            <w:vAlign w:val="bottom"/>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(93.4)</w:t>
            </w:r>
          </w:p>
        </w:tc>
        <w:tc>
          <w:tcPr>
            <w:tcW w:w="340" w:type="dxa"/>
            <w:vAlign w:val="bottom"/>
          </w:tcPr>
          <w:p>
            <w:pPr>
              <w:spacing w:after="0"/>
              <w:rPr>
                <w:sz w:val="14"/>
                <w:szCs w:val="14"/>
                <w:color w:val="auto"/>
              </w:rPr>
            </w:pPr>
          </w:p>
        </w:tc>
        <w:tc>
          <w:tcPr>
            <w:tcW w:w="820" w:type="dxa"/>
            <w:vAlign w:val="bottom"/>
            <w:gridSpan w:val="2"/>
          </w:tcPr>
          <w:p>
            <w:pPr>
              <w:jc w:val="right"/>
              <w:ind w:right="200"/>
              <w:spacing w:after="0" w:line="166" w:lineRule="exact"/>
              <w:rPr>
                <w:sz w:val="20"/>
                <w:szCs w:val="20"/>
                <w:color w:val="auto"/>
              </w:rPr>
            </w:pPr>
            <w:r>
              <w:rPr>
                <w:rFonts w:ascii="Arial" w:cs="Arial" w:eastAsia="Arial" w:hAnsi="Arial"/>
                <w:sz w:val="11"/>
                <w:szCs w:val="11"/>
                <w:color w:val="auto"/>
              </w:rPr>
              <w:t>(26%</w:t>
            </w:r>
            <w:r>
              <w:rPr>
                <w:rFonts w:ascii="Arial" w:cs="Arial" w:eastAsia="Arial" w:hAnsi="Arial"/>
                <w:sz w:val="19"/>
                <w:szCs w:val="19"/>
                <w:color w:val="auto"/>
                <w:vertAlign w:val="superscript"/>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242.2</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110.7</w:t>
            </w:r>
          </w:p>
        </w:tc>
        <w:tc>
          <w:tcPr>
            <w:tcW w:w="340" w:type="dxa"/>
            <w:vAlign w:val="bottom"/>
          </w:tcPr>
          <w:p>
            <w:pPr>
              <w:spacing w:after="0"/>
              <w:rPr>
                <w:sz w:val="14"/>
                <w:szCs w:val="14"/>
                <w:color w:val="auto"/>
              </w:rPr>
            </w:pPr>
          </w:p>
        </w:tc>
        <w:tc>
          <w:tcPr>
            <w:tcW w:w="700" w:type="dxa"/>
            <w:vAlign w:val="bottom"/>
            <w:gridSpan w:val="2"/>
          </w:tcPr>
          <w:p>
            <w:pPr>
              <w:jc w:val="right"/>
              <w:spacing w:after="0" w:line="166" w:lineRule="exact"/>
              <w:rPr>
                <w:sz w:val="20"/>
                <w:szCs w:val="20"/>
                <w:color w:val="auto"/>
              </w:rPr>
            </w:pPr>
            <w:r>
              <w:rPr>
                <w:rFonts w:ascii="Arial" w:cs="Arial" w:eastAsia="Arial" w:hAnsi="Arial"/>
                <w:sz w:val="11"/>
                <w:szCs w:val="11"/>
                <w:color w:val="auto"/>
              </w:rPr>
              <w:t>46</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YEAR ENDED DECEMBER 31, 2013 COMPARED TO YEAR ENDED DECEMBER 31, 2012</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We reported net income attributable to the Accommodations business for the year ended December 31, 2013 of $181.9 million. This result compares to net income attributable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Accommodations business of $244.7 million reported for the year ended December 31, 2012, which included a gain of $17.9 million from a favorable contract settlement reported in our U.S.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accommodations segment.</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Revenues decreased $67.8 million, or 6%, in 2013 compared to 2012.</w:t>
      </w:r>
    </w:p>
    <w:p>
      <w:pPr>
        <w:spacing w:after="0" w:line="181"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Our Canadian segment reported revenues in 2013 that were $6.7 million, or 1%, lower than those in 2012. The decrease in Canadian accommodations revenue primarily resulted from a 9% reduction in Revenue per Available Room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61" w:lineRule="exact"/>
        <w:rPr>
          <w:sz w:val="20"/>
          <w:szCs w:val="20"/>
          <w:color w:val="auto"/>
        </w:rPr>
      </w:pPr>
    </w:p>
    <w:p>
      <w:pPr>
        <w:jc w:val="both"/>
        <w:ind w:right="280" w:firstLine="262"/>
        <w:spacing w:after="0" w:line="271" w:lineRule="auto"/>
        <w:rPr>
          <w:sz w:val="20"/>
          <w:szCs w:val="20"/>
          <w:color w:val="auto"/>
        </w:rPr>
      </w:pPr>
      <w:r>
        <w:rPr>
          <w:rFonts w:ascii="Arial" w:cs="Arial" w:eastAsia="Arial" w:hAnsi="Arial"/>
          <w:sz w:val="14"/>
          <w:szCs w:val="14"/>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147" w:lineRule="exact"/>
        <w:rPr>
          <w:sz w:val="20"/>
          <w:szCs w:val="20"/>
          <w:color w:val="auto"/>
        </w:rPr>
      </w:pPr>
    </w:p>
    <w:p>
      <w:pPr>
        <w:ind w:right="140" w:firstLine="262"/>
        <w:spacing w:after="0" w:line="251" w:lineRule="auto"/>
        <w:rPr>
          <w:sz w:val="20"/>
          <w:szCs w:val="20"/>
          <w:color w:val="auto"/>
        </w:rPr>
      </w:pPr>
      <w:r>
        <w:rPr>
          <w:rFonts w:ascii="Arial" w:cs="Arial" w:eastAsia="Arial" w:hAnsi="Arial"/>
          <w:sz w:val="15"/>
          <w:szCs w:val="15"/>
          <w:color w:val="auto"/>
        </w:rPr>
        <w:t>Our U.S. segment reported revenues in 2013 that were $40.4 million, or 35%, below 2012. The decrease in U.S. accommodations revenue primarily due to lower utilization of our rooms due to a reduced rig count and weather related issues in the Bakken as well as reduced pricing due to high levels of competition . Additionally, 2012 results included $18.3 million in revenue from a favorable contract settlement reported during the first quarter of 2012.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81" w:right="219" w:bottom="1440" w:gutter="0" w:footer="0" w:header="0"/>
        </w:sectPr>
      </w:pPr>
    </w:p>
    <w:bookmarkStart w:id="282" w:name="page283"/>
    <w:bookmarkEnd w:id="282"/>
    <w:p>
      <w:pPr>
        <w:ind w:right="100" w:firstLine="262"/>
        <w:spacing w:after="0" w:line="248" w:lineRule="auto"/>
        <w:rPr>
          <w:sz w:val="20"/>
          <w:szCs w:val="20"/>
          <w:color w:val="auto"/>
        </w:rPr>
      </w:pPr>
      <w:r>
        <w:rPr>
          <w:rFonts w:ascii="Arial" w:cs="Arial" w:eastAsia="Arial" w:hAnsi="Arial"/>
          <w:sz w:val="15"/>
          <w:szCs w:val="15"/>
          <w:b w:val="1"/>
          <w:bCs w:val="1"/>
          <w:color w:val="auto"/>
        </w:rPr>
        <w:t xml:space="preserve">Cost of Sales and Service. </w:t>
      </w:r>
      <w:r>
        <w:rPr>
          <w:rFonts w:ascii="Arial" w:cs="Arial" w:eastAsia="Arial" w:hAnsi="Arial"/>
          <w:sz w:val="15"/>
          <w:szCs w:val="15"/>
          <w:color w:val="auto"/>
        </w:rPr>
        <w:t>Our combined cost of sales decreased $2.8 million, or 1%, in 2013 compared to 2012 primarily due to weaker Canadian and Australian dollars relative to the U.S.</w:t>
      </w:r>
      <w:r>
        <w:rPr>
          <w:rFonts w:ascii="Arial" w:cs="Arial" w:eastAsia="Arial" w:hAnsi="Arial"/>
          <w:sz w:val="15"/>
          <w:szCs w:val="15"/>
          <w:b w:val="1"/>
          <w:bCs w:val="1"/>
          <w:color w:val="auto"/>
        </w:rPr>
        <w:t xml:space="preserve"> </w:t>
      </w:r>
      <w:r>
        <w:rPr>
          <w:rFonts w:ascii="Arial" w:cs="Arial" w:eastAsia="Arial" w:hAnsi="Arial"/>
          <w:sz w:val="15"/>
          <w:szCs w:val="15"/>
          <w:color w:val="auto"/>
        </w:rPr>
        <w:t>dollar and lower manufacturing costs, partially offset by increased room capacity in Canada and Australia. Our gross margin as a percentage of revenues decreased from 50% in 2012 to 47% in 2013 in part due to the favorable contract settlement reported in our U.S. accommodations segment in 2012. Excluding the favorable contract settlement, our gross margin as a percentage of revenues would have been 49% in 2012. The decrease in gross margin as a percentage of revenues from the adjusted 49% in 2012 to 47% in 2013 was primarily due to lower contracted rates in Canada.</w:t>
      </w:r>
    </w:p>
    <w:p>
      <w:pPr>
        <w:spacing w:after="0" w:line="162" w:lineRule="exact"/>
        <w:rPr>
          <w:sz w:val="20"/>
          <w:szCs w:val="20"/>
          <w:color w:val="auto"/>
        </w:rPr>
      </w:pPr>
    </w:p>
    <w:p>
      <w:pPr>
        <w:ind w:right="120" w:firstLine="262"/>
        <w:spacing w:after="0" w:line="259" w:lineRule="auto"/>
        <w:rPr>
          <w:sz w:val="20"/>
          <w:szCs w:val="20"/>
          <w:color w:val="auto"/>
        </w:rPr>
      </w:pPr>
      <w:r>
        <w:rPr>
          <w:rFonts w:ascii="Arial" w:cs="Arial" w:eastAsia="Arial" w:hAnsi="Arial"/>
          <w:sz w:val="15"/>
          <w:szCs w:val="15"/>
          <w:color w:val="auto"/>
        </w:rPr>
        <w:t>Our Canadian segment cost of sales increased $12.1 million, or 3%, in 2013 compared to 2012 due primarily to increased room capacity at Henday and Conklin lodges as well as the start-up of Anzac Lodge. Our Canadian segment gross margin as a percentage of revenues fell from 46% in 2012 to 44% in 2013.</w:t>
      </w:r>
    </w:p>
    <w:p>
      <w:pPr>
        <w:spacing w:after="0" w:line="152" w:lineRule="exact"/>
        <w:rPr>
          <w:sz w:val="20"/>
          <w:szCs w:val="20"/>
          <w:color w:val="auto"/>
        </w:rPr>
      </w:pPr>
    </w:p>
    <w:p>
      <w:pPr>
        <w:ind w:right="300" w:firstLine="262"/>
        <w:spacing w:after="0" w:line="383" w:lineRule="auto"/>
        <w:rPr>
          <w:sz w:val="20"/>
          <w:szCs w:val="20"/>
          <w:color w:val="auto"/>
        </w:rPr>
      </w:pPr>
      <w:r>
        <w:rPr>
          <w:rFonts w:ascii="Arial" w:cs="Arial" w:eastAsia="Arial" w:hAnsi="Arial"/>
          <w:sz w:val="12"/>
          <w:szCs w:val="12"/>
          <w:color w:val="auto"/>
        </w:rPr>
        <w:t>Our Australian segment cost of sales decreased $8.5 million, or 8%, in 2013 compared to 2012 primarily due to a weaker Australian dollar relative to the U.S. dollar and lower occupancy partially offset by an increased room capacity of 15%. Our Australian accommodations segment gross margin as a percentage of revenues was flat at 62% in 2013 compared to 2012.</w:t>
      </w:r>
    </w:p>
    <w:p>
      <w:pPr>
        <w:spacing w:after="0" w:line="84" w:lineRule="exact"/>
        <w:rPr>
          <w:sz w:val="20"/>
          <w:szCs w:val="20"/>
          <w:color w:val="auto"/>
        </w:rPr>
      </w:pPr>
    </w:p>
    <w:p>
      <w:pPr>
        <w:ind w:right="40" w:firstLine="262"/>
        <w:spacing w:after="0" w:line="247" w:lineRule="auto"/>
        <w:rPr>
          <w:sz w:val="20"/>
          <w:szCs w:val="20"/>
          <w:color w:val="auto"/>
        </w:rPr>
      </w:pPr>
      <w:r>
        <w:rPr>
          <w:rFonts w:ascii="Arial" w:cs="Arial" w:eastAsia="Arial" w:hAnsi="Arial"/>
          <w:sz w:val="15"/>
          <w:szCs w:val="15"/>
          <w:color w:val="auto"/>
        </w:rPr>
        <w:t>Our U.S. segment cost of sales decreased $6.4 million, or 11%, in 2013 compared to 2012 primarily due to lower revenues in the segment. Our U.S. accommodations segment gross margin as a percentage of revenues decreased from 47% in 2012, which was heavily influenced by $17.9 million in gross profit due to a favorable contract settlement, to 27% in 2013. Excluding the contract settlement, gross margin in the U.S. would have been 38%.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158" w:lineRule="exact"/>
        <w:rPr>
          <w:sz w:val="20"/>
          <w:szCs w:val="20"/>
          <w:color w:val="auto"/>
        </w:rPr>
      </w:pPr>
    </w:p>
    <w:p>
      <w:pPr>
        <w:ind w:firstLine="262"/>
        <w:spacing w:after="0" w:line="390" w:lineRule="auto"/>
        <w:rPr>
          <w:sz w:val="20"/>
          <w:szCs w:val="20"/>
          <w:color w:val="auto"/>
        </w:rPr>
      </w:pPr>
      <w:r>
        <w:rPr>
          <w:rFonts w:ascii="Arial" w:cs="Arial" w:eastAsia="Arial" w:hAnsi="Arial"/>
          <w:sz w:val="12"/>
          <w:szCs w:val="12"/>
          <w:b w:val="1"/>
          <w:bCs w:val="1"/>
          <w:color w:val="auto"/>
        </w:rPr>
        <w:t>Selling, General and Administrative Expenses</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Selling, general and administrative (SG&amp;A) expense increased $5.4 million, or 8%, in 2013 compared to 2012 primarily due to increased bad</w:t>
      </w:r>
      <w:r>
        <w:rPr>
          <w:rFonts w:ascii="Arial" w:cs="Arial" w:eastAsia="Arial" w:hAnsi="Arial"/>
          <w:sz w:val="12"/>
          <w:szCs w:val="12"/>
          <w:b w:val="1"/>
          <w:bCs w:val="1"/>
          <w:color w:val="auto"/>
        </w:rPr>
        <w:t xml:space="preserve"> </w:t>
      </w:r>
      <w:r>
        <w:rPr>
          <w:rFonts w:ascii="Arial" w:cs="Arial" w:eastAsia="Arial" w:hAnsi="Arial"/>
          <w:sz w:val="12"/>
          <w:szCs w:val="12"/>
          <w:color w:val="auto"/>
        </w:rPr>
        <w:t>debt expense, professional fees, rent and employee-related costs, partially offset by the weakening of the Australian and Canadian dollars relative to the U.S. dollar in 2013 compared to 2012.</w:t>
      </w:r>
    </w:p>
    <w:p>
      <w:pPr>
        <w:spacing w:after="0" w:line="76" w:lineRule="exact"/>
        <w:rPr>
          <w:sz w:val="20"/>
          <w:szCs w:val="20"/>
          <w:color w:val="auto"/>
        </w:rPr>
      </w:pPr>
    </w:p>
    <w:p>
      <w:pPr>
        <w:ind w:right="100" w:firstLine="262"/>
        <w:spacing w:after="0" w:line="264"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Depreciation and amortization expense increased $28.2 million, or 20%, in 2013 compared to 2012 primarily due to capital expenditures made in Canadian</w:t>
      </w:r>
      <w:r>
        <w:rPr>
          <w:rFonts w:ascii="Arial" w:cs="Arial" w:eastAsia="Arial" w:hAnsi="Arial"/>
          <w:sz w:val="15"/>
          <w:szCs w:val="15"/>
          <w:b w:val="1"/>
          <w:bCs w:val="1"/>
          <w:color w:val="auto"/>
        </w:rPr>
        <w:t xml:space="preserve"> </w:t>
      </w:r>
      <w:r>
        <w:rPr>
          <w:rFonts w:ascii="Arial" w:cs="Arial" w:eastAsia="Arial" w:hAnsi="Arial"/>
          <w:sz w:val="15"/>
          <w:szCs w:val="15"/>
          <w:color w:val="auto"/>
        </w:rPr>
        <w:t>lodges and Australian villages during 2012 and 2013.</w:t>
      </w:r>
    </w:p>
    <w:p>
      <w:pPr>
        <w:spacing w:after="0" w:line="145" w:lineRule="exact"/>
        <w:rPr>
          <w:sz w:val="20"/>
          <w:szCs w:val="20"/>
          <w:color w:val="auto"/>
        </w:rPr>
      </w:pPr>
    </w:p>
    <w:p>
      <w:pPr>
        <w:ind w:right="60" w:firstLine="262"/>
        <w:spacing w:after="0" w:line="250" w:lineRule="auto"/>
        <w:rPr>
          <w:sz w:val="20"/>
          <w:szCs w:val="20"/>
          <w:color w:val="auto"/>
        </w:rPr>
      </w:pPr>
      <w:r>
        <w:rPr>
          <w:rFonts w:ascii="Arial" w:cs="Arial" w:eastAsia="Arial" w:hAnsi="Arial"/>
          <w:sz w:val="15"/>
          <w:szCs w:val="15"/>
          <w:b w:val="1"/>
          <w:bCs w:val="1"/>
          <w:color w:val="auto"/>
        </w:rPr>
        <w:t xml:space="preserve">Operating Income. </w:t>
      </w:r>
      <w:r>
        <w:rPr>
          <w:rFonts w:ascii="Arial" w:cs="Arial" w:eastAsia="Arial" w:hAnsi="Arial"/>
          <w:sz w:val="15"/>
          <w:szCs w:val="15"/>
          <w:color w:val="auto"/>
        </w:rPr>
        <w:t>Consolidated operating income decreased $93.4 million, or 26%, in 2013 compared to 2012 primarily due to the favorable contract settlement reported in our U.S.</w:t>
      </w:r>
      <w:r>
        <w:rPr>
          <w:rFonts w:ascii="Arial" w:cs="Arial" w:eastAsia="Arial" w:hAnsi="Arial"/>
          <w:sz w:val="15"/>
          <w:szCs w:val="15"/>
          <w:b w:val="1"/>
          <w:bCs w:val="1"/>
          <w:color w:val="auto"/>
        </w:rPr>
        <w:t xml:space="preserve"> </w:t>
      </w:r>
      <w:r>
        <w:rPr>
          <w:rFonts w:ascii="Arial" w:cs="Arial" w:eastAsia="Arial" w:hAnsi="Arial"/>
          <w:sz w:val="15"/>
          <w:szCs w:val="15"/>
          <w:color w:val="auto"/>
        </w:rPr>
        <w:t>accommodations segment in 2012, the lower RevPAR in Canada, lower occupancy levels in Australia, increased depreciation expense on accommodations assets and lower utilization for our U.S. accommodations assets, partially offset by an increase in average available rooms in 2013 compared to 2012 and a gain of $4.0 million from a reduction in the fair value of a liability associated with contingent acquisition consideration in our U.S. accommodations segment.</w:t>
      </w:r>
    </w:p>
    <w:p>
      <w:pPr>
        <w:spacing w:after="0" w:line="156" w:lineRule="exact"/>
        <w:rPr>
          <w:sz w:val="20"/>
          <w:szCs w:val="20"/>
          <w:color w:val="auto"/>
        </w:rPr>
      </w:pPr>
    </w:p>
    <w:p>
      <w:pPr>
        <w:ind w:right="80" w:firstLine="262"/>
        <w:spacing w:after="0" w:line="332" w:lineRule="auto"/>
        <w:rPr>
          <w:sz w:val="20"/>
          <w:szCs w:val="20"/>
          <w:color w:val="auto"/>
        </w:rPr>
      </w:pPr>
      <w:r>
        <w:rPr>
          <w:rFonts w:ascii="Arial" w:cs="Arial" w:eastAsia="Arial" w:hAnsi="Arial"/>
          <w:sz w:val="12"/>
          <w:szCs w:val="12"/>
          <w:b w:val="1"/>
          <w:bCs w:val="1"/>
          <w:color w:val="auto"/>
        </w:rPr>
        <w:t>Interest Expense and Interest Income</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Net interest expense, including interest expense and income to/from affiliates, decreased by $2.3 million, or 9%, in 2013 compared to 2012 primarily</w:t>
      </w:r>
      <w:r>
        <w:rPr>
          <w:rFonts w:ascii="Arial" w:cs="Arial" w:eastAsia="Arial" w:hAnsi="Arial"/>
          <w:sz w:val="12"/>
          <w:szCs w:val="12"/>
          <w:b w:val="1"/>
          <w:bCs w:val="1"/>
          <w:color w:val="auto"/>
        </w:rPr>
        <w:t xml:space="preserve"> </w:t>
      </w:r>
      <w:r>
        <w:rPr>
          <w:rFonts w:ascii="Arial" w:cs="Arial" w:eastAsia="Arial" w:hAnsi="Arial"/>
          <w:sz w:val="12"/>
          <w:szCs w:val="12"/>
          <w:color w:val="auto"/>
        </w:rPr>
        <w:t>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11" w:lineRule="exact"/>
        <w:rPr>
          <w:sz w:val="20"/>
          <w:szCs w:val="20"/>
          <w:color w:val="auto"/>
        </w:rPr>
      </w:pPr>
    </w:p>
    <w:p>
      <w:pPr>
        <w:ind w:right="40" w:firstLine="262"/>
        <w:spacing w:after="0" w:line="250" w:lineRule="auto"/>
        <w:rPr>
          <w:sz w:val="20"/>
          <w:szCs w:val="20"/>
          <w:color w:val="auto"/>
        </w:rPr>
      </w:pPr>
      <w:r>
        <w:rPr>
          <w:rFonts w:ascii="Arial" w:cs="Arial" w:eastAsia="Arial" w:hAnsi="Arial"/>
          <w:sz w:val="15"/>
          <w:szCs w:val="15"/>
          <w:b w:val="1"/>
          <w:bCs w:val="1"/>
          <w:color w:val="auto"/>
        </w:rPr>
        <w:t>Income Tax Expense</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Our income tax provision in 2013 totaled $56.1 million, or 23% of pretax income, compared to income tax expense of $84.3 million, or 26% of pretax income, in 2012.</w:t>
      </w:r>
      <w:r>
        <w:rPr>
          <w:rFonts w:ascii="Arial" w:cs="Arial" w:eastAsia="Arial" w:hAnsi="Arial"/>
          <w:sz w:val="15"/>
          <w:szCs w:val="15"/>
          <w:b w:val="1"/>
          <w:bCs w:val="1"/>
          <w:color w:val="auto"/>
        </w:rPr>
        <w:t xml:space="preserve"> </w:t>
      </w:r>
      <w:r>
        <w:rPr>
          <w:rFonts w:ascii="Arial" w:cs="Arial" w:eastAsia="Arial" w:hAnsi="Arial"/>
          <w:sz w:val="15"/>
          <w:szCs w:val="15"/>
          <w:color w:val="auto"/>
        </w:rPr>
        <w:t>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b w:val="1"/>
          <w:bCs w:val="1"/>
          <w:u w:val="single" w:color="auto"/>
          <w:color w:val="auto"/>
        </w:rPr>
        <w:t>YEAR ENDED DECEMBER 31, 2012 COMPARED TO YEAR ENDED DECEMBER 31, 2011</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reported net income for the year ended December 31, 2012 of $244.7 million including a pre-tax gain of $17.9 million from a favorable contract settlement reported in our U.S.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accommodations segment. These results compare to net income for the year ended December 31, 2011 of $168.5 million.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reported revenues in 2012 that were $244.2 million, or 28%, above 2011. The increase in revenue primarily resulted from expanded room capacity in Canada and Australia along with</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$17.9 million in revenue from a favorable contract settlement reported in our U.S. accommodations segment during the first quarter of 2012. Revenues, average available rooms and RevPAR for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our lodges and villages increased 35%, 23% and 10%, respectively, in 2012 compared to 2011.</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Combined revenues increased $244.2 million, or 28%, in 2012 compared to 2011.</w:t>
      </w:r>
    </w:p>
    <w:p>
      <w:pPr>
        <w:spacing w:after="0" w:line="181" w:lineRule="exact"/>
        <w:rPr>
          <w:sz w:val="20"/>
          <w:szCs w:val="20"/>
          <w:color w:val="auto"/>
        </w:rPr>
      </w:pPr>
    </w:p>
    <w:p>
      <w:pPr>
        <w:ind w:right="380" w:firstLine="262"/>
        <w:spacing w:after="0" w:line="383" w:lineRule="auto"/>
        <w:rPr>
          <w:sz w:val="20"/>
          <w:szCs w:val="20"/>
          <w:color w:val="auto"/>
        </w:rPr>
      </w:pPr>
      <w:r>
        <w:rPr>
          <w:rFonts w:ascii="Arial" w:cs="Arial" w:eastAsia="Arial" w:hAnsi="Arial"/>
          <w:sz w:val="12"/>
          <w:szCs w:val="12"/>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84" w:lineRule="exact"/>
        <w:rPr>
          <w:sz w:val="20"/>
          <w:szCs w:val="20"/>
          <w:color w:val="auto"/>
        </w:rPr>
      </w:pPr>
    </w:p>
    <w:p>
      <w:pPr>
        <w:ind w:right="360" w:firstLine="262"/>
        <w:spacing w:after="0" w:line="294" w:lineRule="auto"/>
        <w:rPr>
          <w:sz w:val="20"/>
          <w:szCs w:val="20"/>
          <w:color w:val="auto"/>
        </w:rPr>
      </w:pPr>
      <w:r>
        <w:rPr>
          <w:rFonts w:ascii="Arial" w:cs="Arial" w:eastAsia="Arial" w:hAnsi="Arial"/>
          <w:sz w:val="14"/>
          <w:szCs w:val="14"/>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130" w:lineRule="exact"/>
        <w:rPr>
          <w:sz w:val="20"/>
          <w:szCs w:val="20"/>
          <w:color w:val="auto"/>
        </w:rPr>
      </w:pPr>
    </w:p>
    <w:p>
      <w:pPr>
        <w:ind w:right="100" w:firstLine="262"/>
        <w:spacing w:after="0" w:line="259" w:lineRule="auto"/>
        <w:rPr>
          <w:sz w:val="20"/>
          <w:szCs w:val="20"/>
          <w:color w:val="auto"/>
        </w:rPr>
      </w:pPr>
      <w:r>
        <w:rPr>
          <w:rFonts w:ascii="Arial" w:cs="Arial" w:eastAsia="Arial" w:hAnsi="Arial"/>
          <w:sz w:val="15"/>
          <w:szCs w:val="15"/>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148" w:lineRule="exact"/>
        <w:rPr>
          <w:sz w:val="20"/>
          <w:szCs w:val="20"/>
          <w:color w:val="auto"/>
        </w:rPr>
      </w:pPr>
    </w:p>
    <w:p>
      <w:pPr>
        <w:ind w:right="20" w:firstLine="262"/>
        <w:spacing w:after="0" w:line="253" w:lineRule="auto"/>
        <w:rPr>
          <w:sz w:val="20"/>
          <w:szCs w:val="20"/>
          <w:color w:val="auto"/>
        </w:rPr>
      </w:pPr>
      <w:r>
        <w:rPr>
          <w:rFonts w:ascii="Arial" w:cs="Arial" w:eastAsia="Arial" w:hAnsi="Arial"/>
          <w:sz w:val="15"/>
          <w:szCs w:val="15"/>
          <w:b w:val="1"/>
          <w:bCs w:val="1"/>
          <w:color w:val="auto"/>
        </w:rPr>
        <w:t xml:space="preserve">Cost of Sales and Service. </w:t>
      </w:r>
      <w:r>
        <w:rPr>
          <w:rFonts w:ascii="Arial" w:cs="Arial" w:eastAsia="Arial" w:hAnsi="Arial"/>
          <w:sz w:val="15"/>
          <w:szCs w:val="15"/>
          <w:color w:val="auto"/>
        </w:rPr>
        <w:t>Our combined cost of sales increased $96.0 million, or 21%, in 2012 compared to 2011. This cost of sales increase was primarily related to the increase in available</w:t>
      </w:r>
      <w:r>
        <w:rPr>
          <w:rFonts w:ascii="Arial" w:cs="Arial" w:eastAsia="Arial" w:hAnsi="Arial"/>
          <w:sz w:val="15"/>
          <w:szCs w:val="15"/>
          <w:b w:val="1"/>
          <w:bCs w:val="1"/>
          <w:color w:val="auto"/>
        </w:rPr>
        <w:t xml:space="preserve"> </w:t>
      </w:r>
      <w:r>
        <w:rPr>
          <w:rFonts w:ascii="Arial" w:cs="Arial" w:eastAsia="Arial" w:hAnsi="Arial"/>
          <w:sz w:val="15"/>
          <w:szCs w:val="15"/>
          <w:color w:val="auto"/>
        </w:rPr>
        <w:t>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158" w:lineRule="exact"/>
        <w:rPr>
          <w:sz w:val="20"/>
          <w:szCs w:val="20"/>
          <w:color w:val="auto"/>
        </w:rPr>
      </w:pPr>
    </w:p>
    <w:p>
      <w:pPr>
        <w:ind w:right="60" w:firstLine="262"/>
        <w:spacing w:after="0" w:line="277" w:lineRule="auto"/>
        <w:rPr>
          <w:sz w:val="20"/>
          <w:szCs w:val="20"/>
          <w:color w:val="auto"/>
        </w:rPr>
      </w:pPr>
      <w:r>
        <w:rPr>
          <w:rFonts w:ascii="Arial" w:cs="Arial" w:eastAsia="Arial" w:hAnsi="Arial"/>
          <w:sz w:val="14"/>
          <w:szCs w:val="14"/>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142" w:lineRule="exact"/>
        <w:rPr>
          <w:sz w:val="20"/>
          <w:szCs w:val="20"/>
          <w:color w:val="auto"/>
        </w:rPr>
      </w:pPr>
    </w:p>
    <w:p>
      <w:pPr>
        <w:ind w:right="440" w:firstLine="262"/>
        <w:spacing w:after="0" w:line="383" w:lineRule="auto"/>
        <w:rPr>
          <w:sz w:val="20"/>
          <w:szCs w:val="20"/>
          <w:color w:val="auto"/>
        </w:rPr>
      </w:pPr>
      <w:r>
        <w:rPr>
          <w:rFonts w:ascii="Arial" w:cs="Arial" w:eastAsia="Arial" w:hAnsi="Arial"/>
          <w:sz w:val="12"/>
          <w:szCs w:val="12"/>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84"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15"/>
          <w:szCs w:val="15"/>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154" w:lineRule="exact"/>
        <w:rPr>
          <w:sz w:val="20"/>
          <w:szCs w:val="20"/>
          <w:color w:val="auto"/>
        </w:rPr>
      </w:pPr>
    </w:p>
    <w:p>
      <w:pPr>
        <w:ind w:right="200" w:firstLine="262"/>
        <w:spacing w:after="0" w:line="264" w:lineRule="auto"/>
        <w:rPr>
          <w:sz w:val="20"/>
          <w:szCs w:val="20"/>
          <w:color w:val="auto"/>
        </w:rPr>
      </w:pPr>
      <w:r>
        <w:rPr>
          <w:rFonts w:ascii="Arial" w:cs="Arial" w:eastAsia="Arial" w:hAnsi="Arial"/>
          <w:sz w:val="15"/>
          <w:szCs w:val="15"/>
          <w:b w:val="1"/>
          <w:bCs w:val="1"/>
          <w:color w:val="auto"/>
        </w:rPr>
        <w:t>Selling, General and Administrative Expenses</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Selling, general and administrative (SG&amp;A) expense increased $9.8 million, or 18%, in 2012 compared to 2011 primarily due to increased</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employee-related costs related to higher total headcount.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84" w:name="page285"/>
    <w:bookmarkEnd w:id="284"/>
    <w:p>
      <w:pPr>
        <w:ind w:right="140" w:firstLine="262"/>
        <w:spacing w:after="0" w:line="264"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Depreciation and amortization expense increased $28.3 million, or 26%, in 2012 compared to 2011 primarily due to capital expenditures made during 2011</w:t>
      </w:r>
      <w:r>
        <w:rPr>
          <w:rFonts w:ascii="Arial" w:cs="Arial" w:eastAsia="Arial" w:hAnsi="Arial"/>
          <w:sz w:val="15"/>
          <w:szCs w:val="15"/>
          <w:b w:val="1"/>
          <w:bCs w:val="1"/>
          <w:color w:val="auto"/>
        </w:rPr>
        <w:t xml:space="preserve"> </w:t>
      </w:r>
      <w:r>
        <w:rPr>
          <w:rFonts w:ascii="Arial" w:cs="Arial" w:eastAsia="Arial" w:hAnsi="Arial"/>
          <w:sz w:val="15"/>
          <w:szCs w:val="15"/>
          <w:color w:val="auto"/>
        </w:rPr>
        <w:t>and 2012 largely related to investments in our Canadian and Australian lodges and villages.</w:t>
      </w:r>
    </w:p>
    <w:p>
      <w:pPr>
        <w:spacing w:after="0" w:line="145" w:lineRule="exact"/>
        <w:rPr>
          <w:sz w:val="20"/>
          <w:szCs w:val="20"/>
          <w:color w:val="auto"/>
        </w:rPr>
      </w:pPr>
    </w:p>
    <w:p>
      <w:pPr>
        <w:ind w:right="140" w:firstLine="262"/>
        <w:spacing w:after="0" w:line="253" w:lineRule="auto"/>
        <w:rPr>
          <w:sz w:val="20"/>
          <w:szCs w:val="20"/>
          <w:color w:val="auto"/>
        </w:rPr>
      </w:pPr>
      <w:r>
        <w:rPr>
          <w:rFonts w:ascii="Arial" w:cs="Arial" w:eastAsia="Arial" w:hAnsi="Arial"/>
          <w:sz w:val="15"/>
          <w:szCs w:val="15"/>
          <w:b w:val="1"/>
          <w:bCs w:val="1"/>
          <w:color w:val="auto"/>
        </w:rPr>
        <w:t xml:space="preserve">Operating Income. </w:t>
      </w:r>
      <w:r>
        <w:rPr>
          <w:rFonts w:ascii="Arial" w:cs="Arial" w:eastAsia="Arial" w:hAnsi="Arial"/>
          <w:sz w:val="15"/>
          <w:szCs w:val="15"/>
          <w:color w:val="auto"/>
        </w:rPr>
        <w:t>Consolidated operating income increased $110.7 million, or 46%, in 2012 compared to 2011 primarily as a result of an increase in operating income from our Canadian</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of $64.1 million, or 39%, due to expanded room capacity and higher Australian operating income of $36.0 million, or 57%, along with the favorable contract settlement reported in our U.S. accommodations segment.</w:t>
      </w:r>
    </w:p>
    <w:p>
      <w:pPr>
        <w:spacing w:after="0" w:line="154" w:lineRule="exact"/>
        <w:rPr>
          <w:sz w:val="20"/>
          <w:szCs w:val="20"/>
          <w:color w:val="auto"/>
        </w:rPr>
      </w:pPr>
    </w:p>
    <w:p>
      <w:pPr>
        <w:ind w:right="260" w:firstLine="262"/>
        <w:spacing w:after="0" w:line="390" w:lineRule="auto"/>
        <w:rPr>
          <w:sz w:val="20"/>
          <w:szCs w:val="20"/>
          <w:color w:val="auto"/>
        </w:rPr>
      </w:pPr>
      <w:r>
        <w:rPr>
          <w:rFonts w:ascii="Arial" w:cs="Arial" w:eastAsia="Arial" w:hAnsi="Arial"/>
          <w:sz w:val="12"/>
          <w:szCs w:val="12"/>
          <w:b w:val="1"/>
          <w:bCs w:val="1"/>
          <w:color w:val="auto"/>
        </w:rPr>
        <w:t>Interest Expense and Interest Income</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Net interest expense, including interest expense and income to/from affiliates, increased $6.1 million, or 31%, in 2012 compared to 2011 primarily</w:t>
      </w:r>
      <w:r>
        <w:rPr>
          <w:rFonts w:ascii="Arial" w:cs="Arial" w:eastAsia="Arial" w:hAnsi="Arial"/>
          <w:sz w:val="12"/>
          <w:szCs w:val="12"/>
          <w:b w:val="1"/>
          <w:bCs w:val="1"/>
          <w:color w:val="auto"/>
        </w:rPr>
        <w:t xml:space="preserve"> </w:t>
      </w:r>
      <w:r>
        <w:rPr>
          <w:rFonts w:ascii="Arial" w:cs="Arial" w:eastAsia="Arial" w:hAnsi="Arial"/>
          <w:sz w:val="12"/>
          <w:szCs w:val="12"/>
          <w:color w:val="auto"/>
        </w:rPr>
        <w:t>due to increased outstanding debt levels with affiliates. Interest income decreased as a result of lower interest rates, partially offset by increased cash balances in interest bearing accounts.</w:t>
      </w:r>
    </w:p>
    <w:p>
      <w:pPr>
        <w:spacing w:after="0" w:line="76" w:lineRule="exact"/>
        <w:rPr>
          <w:sz w:val="20"/>
          <w:szCs w:val="20"/>
          <w:color w:val="auto"/>
        </w:rPr>
      </w:pPr>
    </w:p>
    <w:p>
      <w:pPr>
        <w:jc w:val="both"/>
        <w:ind w:right="300" w:firstLine="262"/>
        <w:spacing w:after="0" w:line="347" w:lineRule="auto"/>
        <w:rPr>
          <w:sz w:val="20"/>
          <w:szCs w:val="20"/>
          <w:color w:val="auto"/>
        </w:rPr>
      </w:pPr>
      <w:r>
        <w:rPr>
          <w:rFonts w:ascii="Arial" w:cs="Arial" w:eastAsia="Arial" w:hAnsi="Arial"/>
          <w:sz w:val="12"/>
          <w:szCs w:val="12"/>
          <w:b w:val="1"/>
          <w:bCs w:val="1"/>
          <w:color w:val="auto"/>
        </w:rPr>
        <w:t>Income Tax Expense</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Our income tax provision for 2012 totaled $84.3 million, or 26% of pretax income, compared to income tax expense of $55.1 million, or 25% of pretax income, for</w:t>
      </w:r>
      <w:r>
        <w:rPr>
          <w:rFonts w:ascii="Arial" w:cs="Arial" w:eastAsia="Arial" w:hAnsi="Arial"/>
          <w:sz w:val="12"/>
          <w:szCs w:val="12"/>
          <w:b w:val="1"/>
          <w:bCs w:val="1"/>
          <w:color w:val="auto"/>
        </w:rPr>
        <w:t xml:space="preserve"> </w:t>
      </w:r>
      <w:r>
        <w:rPr>
          <w:rFonts w:ascii="Arial" w:cs="Arial" w:eastAsia="Arial" w:hAnsi="Arial"/>
          <w:sz w:val="12"/>
          <w:szCs w:val="12"/>
          <w:color w:val="auto"/>
        </w:rPr>
        <w:t>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77" w:lineRule="exact"/>
        <w:rPr>
          <w:sz w:val="20"/>
          <w:szCs w:val="20"/>
          <w:color w:val="auto"/>
        </w:rPr>
      </w:pPr>
    </w:p>
    <w:p>
      <w:pPr>
        <w:jc w:val="both"/>
        <w:ind w:right="140" w:firstLine="262"/>
        <w:spacing w:after="0" w:line="343" w:lineRule="auto"/>
        <w:rPr>
          <w:sz w:val="20"/>
          <w:szCs w:val="20"/>
          <w:color w:val="auto"/>
        </w:rPr>
      </w:pPr>
      <w:r>
        <w:rPr>
          <w:rFonts w:ascii="Arial" w:cs="Arial" w:eastAsia="Arial" w:hAnsi="Arial"/>
          <w:sz w:val="12"/>
          <w:szCs w:val="12"/>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08" w:lineRule="exact"/>
        <w:rPr>
          <w:sz w:val="20"/>
          <w:szCs w:val="20"/>
          <w:color w:val="auto"/>
        </w:rPr>
      </w:pPr>
    </w:p>
    <w:p>
      <w:pPr>
        <w:ind w:right="100" w:firstLine="262"/>
        <w:spacing w:after="0" w:line="271" w:lineRule="auto"/>
        <w:rPr>
          <w:sz w:val="20"/>
          <w:szCs w:val="20"/>
          <w:color w:val="auto"/>
        </w:rPr>
      </w:pPr>
      <w:r>
        <w:rPr>
          <w:rFonts w:ascii="Arial" w:cs="Arial" w:eastAsia="Arial" w:hAnsi="Arial"/>
          <w:sz w:val="14"/>
          <w:szCs w:val="14"/>
          <w:color w:val="auto"/>
        </w:rPr>
        <w:t>Cash totaling $337.4 million was provided by operations during the year ended December 31, 2013 compared to cash totaling $432.7 million provided by operations during the year ended December 31, 2012. The decrease in operating cash flow in 2013 compared to 2012 was primarily due to weaker Canadian and Australian dollars relative to the U.S. dollar and lower occupancy levels in the lodges and villages. During the year ended December 31, 2013, changes in working capital used $26.4 million of cash flow compared to $33.0 million generated from working capital for the year ended December 31, 2012. The primary changes in working capital were related to purchases of inventory and a reduction in taxes payable.</w:t>
      </w:r>
    </w:p>
    <w:p>
      <w:pPr>
        <w:spacing w:after="0" w:line="147" w:lineRule="exact"/>
        <w:rPr>
          <w:sz w:val="20"/>
          <w:szCs w:val="20"/>
          <w:color w:val="auto"/>
        </w:rPr>
      </w:pPr>
    </w:p>
    <w:p>
      <w:pPr>
        <w:ind w:right="280" w:firstLine="262"/>
        <w:spacing w:after="0" w:line="277" w:lineRule="auto"/>
        <w:rPr>
          <w:sz w:val="20"/>
          <w:szCs w:val="20"/>
          <w:color w:val="auto"/>
        </w:rPr>
      </w:pPr>
      <w:r>
        <w:rPr>
          <w:rFonts w:ascii="Arial" w:cs="Arial" w:eastAsia="Arial" w:hAnsi="Arial"/>
          <w:sz w:val="14"/>
          <w:szCs w:val="14"/>
          <w:color w:val="auto"/>
        </w:rPr>
        <w:t>Cash was used in investing activities during the years ended December 31, 2013 and 2012 in the amounts of $284.2 million and $305.7 million, respectively. Capital expenditures totaled $291.7 million and $314.0 million during the years ended December 31, 2013 and 2012, respectively. Capital expenditures in both years consisted principally of construction and installation of assets for our lodges and villages primarily in support of Canadian oil sands projects and Australian mining production and development projects.</w:t>
      </w:r>
    </w:p>
    <w:p>
      <w:pPr>
        <w:spacing w:after="0" w:line="142" w:lineRule="exact"/>
        <w:rPr>
          <w:sz w:val="20"/>
          <w:szCs w:val="20"/>
          <w:color w:val="auto"/>
        </w:rPr>
      </w:pPr>
    </w:p>
    <w:p>
      <w:pPr>
        <w:ind w:right="140" w:firstLine="262"/>
        <w:spacing w:after="0" w:line="271" w:lineRule="auto"/>
        <w:rPr>
          <w:sz w:val="20"/>
          <w:szCs w:val="20"/>
          <w:color w:val="auto"/>
        </w:rPr>
      </w:pPr>
      <w:r>
        <w:rPr>
          <w:rFonts w:ascii="Arial" w:cs="Arial" w:eastAsia="Arial" w:hAnsi="Arial"/>
          <w:sz w:val="14"/>
          <w:szCs w:val="14"/>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w:t>
      </w:r>
    </w:p>
    <w:p>
      <w:pPr>
        <w:spacing w:after="0" w:line="147" w:lineRule="exact"/>
        <w:rPr>
          <w:sz w:val="20"/>
          <w:szCs w:val="20"/>
          <w:color w:val="auto"/>
        </w:rPr>
      </w:pPr>
    </w:p>
    <w:p>
      <w:pPr>
        <w:ind w:right="140" w:firstLine="262"/>
        <w:spacing w:after="0" w:line="259" w:lineRule="auto"/>
        <w:rPr>
          <w:sz w:val="20"/>
          <w:szCs w:val="20"/>
          <w:color w:val="auto"/>
        </w:rPr>
      </w:pPr>
      <w:r>
        <w:rPr>
          <w:rFonts w:ascii="Arial" w:cs="Arial" w:eastAsia="Arial" w:hAnsi="Arial"/>
          <w:sz w:val="15"/>
          <w:szCs w:val="15"/>
          <w:color w:val="auto"/>
        </w:rPr>
        <w:t>Based on management’s judgment of asset classifications, we believe the following table represents the components of capital expenditures for the years ended December 31, 2013, 2012 and 2011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w w:val="92"/>
              </w:rPr>
              <w:t>Year Ended December 31,</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Borders>
              <w:bottom w:val="single" w:sz="8" w:color="auto"/>
            </w:tcBorders>
          </w:tcPr>
          <w:p>
            <w:pPr>
              <w:jc w:val="right"/>
              <w:ind w:right="67"/>
              <w:spacing w:after="0" w:line="168" w:lineRule="exact"/>
              <w:rPr>
                <w:sz w:val="20"/>
                <w:szCs w:val="20"/>
                <w:color w:val="auto"/>
              </w:rPr>
            </w:pPr>
            <w:r>
              <w:rPr>
                <w:rFonts w:ascii="Arial" w:cs="Arial" w:eastAsia="Arial" w:hAnsi="Arial"/>
                <w:sz w:val="15"/>
                <w:szCs w:val="15"/>
                <w:b w:val="1"/>
                <w:bCs w:val="1"/>
                <w:color w:val="auto"/>
              </w:rPr>
              <w:t>2013</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7"/>
              <w:spacing w:after="0" w:line="168"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vMerge w:val="restart"/>
          </w:tcPr>
          <w:p>
            <w:pPr>
              <w:spacing w:after="0"/>
              <w:rPr>
                <w:sz w:val="14"/>
                <w:szCs w:val="14"/>
                <w:color w:val="auto"/>
              </w:rPr>
            </w:pPr>
          </w:p>
        </w:tc>
        <w:tc>
          <w:tcPr>
            <w:tcW w:w="3020" w:type="dxa"/>
            <w:vAlign w:val="bottom"/>
          </w:tcPr>
          <w:p>
            <w:pPr>
              <w:spacing w:after="0"/>
              <w:rPr>
                <w:sz w:val="14"/>
                <w:szCs w:val="14"/>
                <w:color w:val="auto"/>
              </w:rPr>
            </w:pPr>
          </w:p>
        </w:tc>
        <w:tc>
          <w:tcPr>
            <w:tcW w:w="26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vMerge w:val="continue"/>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Development</w:t>
            </w:r>
          </w:p>
        </w:tc>
        <w:tc>
          <w:tcPr>
            <w:tcW w:w="2620" w:type="dxa"/>
            <w:vAlign w:val="bottom"/>
            <w:gridSpan w:val="2"/>
            <w:shd w:val="clear" w:color="auto" w:fill="CCEEFF"/>
          </w:tcPr>
          <w:p>
            <w:pPr>
              <w:jc w:val="right"/>
              <w:ind w:right="927"/>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540" w:type="dxa"/>
            <w:vAlign w:val="bottom"/>
            <w:gridSpan w:val="2"/>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w:t>
            </w:r>
          </w:p>
        </w:tc>
        <w:tc>
          <w:tcPr>
            <w:tcW w:w="100" w:type="dxa"/>
            <w:vAlign w:val="bottom"/>
            <w:shd w:val="clear" w:color="auto" w:fill="CCEEFF"/>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Land banking</w:t>
            </w: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Mobile/open camp</w:t>
            </w:r>
          </w:p>
        </w:tc>
        <w:tc>
          <w:tcPr>
            <w:tcW w:w="1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gridSpan w:val="2"/>
          </w:tcPr>
          <w:p>
            <w:pPr>
              <w:ind w:left="860"/>
              <w:spacing w:after="0"/>
              <w:rPr>
                <w:sz w:val="20"/>
                <w:szCs w:val="20"/>
                <w:color w:val="auto"/>
              </w:rPr>
            </w:pPr>
            <w:r>
              <w:rPr>
                <w:rFonts w:ascii="Arial" w:cs="Arial" w:eastAsia="Arial" w:hAnsi="Arial"/>
                <w:sz w:val="15"/>
                <w:szCs w:val="15"/>
                <w:color w:val="auto"/>
              </w:rPr>
              <w:t>Other</w:t>
            </w:r>
          </w:p>
        </w:tc>
        <w:tc>
          <w:tcPr>
            <w:tcW w:w="15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302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Total capital expenditures</w:t>
            </w:r>
          </w:p>
        </w:tc>
        <w:tc>
          <w:tcPr>
            <w:tcW w:w="15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27"/>
              <w:spacing w:after="0" w:line="16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291.7</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314.0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348.5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20" w:type="dxa"/>
            <w:vAlign w:val="bottom"/>
            <w:gridSpan w:val="2"/>
          </w:tcPr>
          <w:p>
            <w:pPr>
              <w:jc w:val="right"/>
              <w:ind w:right="647"/>
              <w:spacing w:after="0"/>
              <w:rPr>
                <w:sz w:val="20"/>
                <w:szCs w:val="20"/>
                <w:color w:val="auto"/>
              </w:rPr>
            </w:pPr>
            <w:r>
              <w:rPr>
                <w:rFonts w:ascii="Arial" w:cs="Arial" w:eastAsia="Arial" w:hAnsi="Arial"/>
                <w:sz w:val="15"/>
                <w:szCs w:val="15"/>
                <w:color w:val="auto"/>
              </w:rPr>
              <w:t>66</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7" w:right="199" w:bottom="1440" w:gutter="0" w:footer="0" w:header="0"/>
        </w:sectPr>
      </w:pPr>
    </w:p>
    <w:bookmarkStart w:id="285" w:name="page286"/>
    <w:bookmarkEnd w:id="285"/>
    <w:p>
      <w:pPr>
        <w:ind w:firstLine="262"/>
        <w:spacing w:after="0" w:line="266" w:lineRule="auto"/>
        <w:rPr>
          <w:sz w:val="20"/>
          <w:szCs w:val="20"/>
          <w:color w:val="auto"/>
        </w:rPr>
      </w:pPr>
      <w:r>
        <w:rPr>
          <w:rFonts w:ascii="Arial" w:cs="Arial" w:eastAsia="Arial" w:hAnsi="Arial"/>
          <w:sz w:val="14"/>
          <w:szCs w:val="14"/>
          <w:color w:val="auto"/>
        </w:rPr>
        <w:t>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 Development capital expenditures in 2011 were primarily related to the expansion of Wapasu Creek Lodge and initial construction of the Henday Lodge, both located in Canada. Development spending in Australia, included expansion at the Coppabella, Dysart, Moranbah and Middlemount villages and commencement of the initial construction of the Karratha, Narrabri and Calliope villages.</w:t>
      </w:r>
    </w:p>
    <w:p>
      <w:pPr>
        <w:spacing w:after="0" w:line="150"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Open and mobile camp spending in 2013 was primarily related to additions to our Canadian mobile camp assets as well as spending on our Boundary open camp in Estevan, Saskatchewan and open camp locations in Killdeer, North Dakota and Pecos, Texas . Capital spending on mobile camp units and open camps in 2012 was primarily related to additions to our well site and Canadian mobile camp assets as well as our open camp locations in Three Rivers, Texas; Estevan, Saskatchewan; and Red Earth, Alberta. Mobile and open camp spending in 2011 was primarily related to additions to our Canadian mobile camp assets.</w:t>
      </w:r>
    </w:p>
    <w:p>
      <w:pPr>
        <w:spacing w:after="0" w:line="161" w:lineRule="exact"/>
        <w:rPr>
          <w:sz w:val="20"/>
          <w:szCs w:val="20"/>
          <w:color w:val="auto"/>
        </w:rPr>
      </w:pPr>
    </w:p>
    <w:p>
      <w:pPr>
        <w:ind w:right="100" w:firstLine="262"/>
        <w:spacing w:after="0" w:line="266" w:lineRule="auto"/>
        <w:rPr>
          <w:sz w:val="20"/>
          <w:szCs w:val="20"/>
          <w:color w:val="auto"/>
        </w:rPr>
      </w:pPr>
      <w:r>
        <w:rPr>
          <w:rFonts w:ascii="Arial" w:cs="Arial" w:eastAsia="Arial" w:hAnsi="Arial"/>
          <w:sz w:val="14"/>
          <w:szCs w:val="14"/>
          <w:color w:val="auto"/>
        </w:rPr>
        <w:t>We primarily utilize our internal manufacturing capabilities to construct our accommodations properties. We capitalize direct construction, engineering and installation costs and related overhead costs for these assets. In addition, we capitalize interest expense depending on the size and duration of a construction project. Interest expense on the combined statements of income is net of capitalized interest of $0.8 million, $3.5 million and $5.1 million, respectively, for the years ended December 31, 2013, 2012 and 2011. Capitalized interest varies year-to-year due to the level of development spending and debt levels outstanding. We currently expect to spend a total of approximately $325 million to $375 million for capital expenditures during 2014 primarily to expand existing and develop new accommodation assets. We expect to fund these capital expenditures with cash available,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50" w:lineRule="exact"/>
        <w:rPr>
          <w:sz w:val="20"/>
          <w:szCs w:val="20"/>
          <w:color w:val="auto"/>
        </w:rPr>
      </w:pPr>
    </w:p>
    <w:p>
      <w:pPr>
        <w:ind w:right="40" w:firstLine="262"/>
        <w:spacing w:after="0" w:line="248" w:lineRule="auto"/>
        <w:rPr>
          <w:sz w:val="20"/>
          <w:szCs w:val="20"/>
          <w:color w:val="auto"/>
        </w:rPr>
      </w:pPr>
      <w:r>
        <w:rPr>
          <w:rFonts w:ascii="Arial" w:cs="Arial" w:eastAsia="Arial" w:hAnsi="Arial"/>
          <w:sz w:val="15"/>
          <w:szCs w:val="15"/>
          <w:color w:val="auto"/>
        </w:rPr>
        <w:t>Net cash of $30.3 million was provided by financing activities during 2013, primarily due to contributions from Oil States and partially offset by the repayment of all amounts outstanding under our Canadian term loan and repayments under our Australian credit facility. Net cash of $1.5 million was provided by financing activities during 2012, primarily as a result of contributions from Oil States , partially offset by repayments on our Canadian term loan and Australian credit facility, payment of financing costs related to the Australian credit facility and the repayment of the remaining outstanding balance of a note with the former owners of Mountain West.</w:t>
      </w:r>
    </w:p>
    <w:p>
      <w:pPr>
        <w:spacing w:after="0" w:line="161" w:lineRule="exact"/>
        <w:rPr>
          <w:sz w:val="20"/>
          <w:szCs w:val="20"/>
          <w:color w:val="auto"/>
        </w:rPr>
      </w:pPr>
    </w:p>
    <w:p>
      <w:pPr>
        <w:ind w:right="40" w:firstLine="262"/>
        <w:spacing w:after="0" w:line="264" w:lineRule="auto"/>
        <w:rPr>
          <w:sz w:val="20"/>
          <w:szCs w:val="20"/>
          <w:color w:val="auto"/>
        </w:rPr>
      </w:pPr>
      <w:r>
        <w:rPr>
          <w:rFonts w:ascii="Arial" w:cs="Arial" w:eastAsia="Arial" w:hAnsi="Arial"/>
          <w:sz w:val="14"/>
          <w:szCs w:val="14"/>
          <w:color w:val="auto"/>
        </w:rPr>
        <w:t>To provide us with additional liquidity following the spin-off, we anticipate that we will enter into a credit facility with availability in Canada, Australia and the U.S and a U.S. term loan facility, as further described below. Borrowings under our credit facility and our term loan facility are expected to fund the anticipated cash distribution of $750.0 million to Oil States at closing as well as for general corporate purposes. We believe that cash on hand, cash flow from operations and available borrowings under our new credit facility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86" w:name="page287"/>
    <w:bookmarkEnd w:id="286"/>
    <w:p>
      <w:pPr>
        <w:ind w:left="260"/>
        <w:spacing w:after="0"/>
        <w:rPr>
          <w:sz w:val="20"/>
          <w:szCs w:val="20"/>
          <w:color w:val="auto"/>
        </w:rPr>
      </w:pPr>
      <w:r>
        <w:rPr>
          <w:rFonts w:ascii="Arial" w:cs="Arial" w:eastAsia="Arial" w:hAnsi="Arial"/>
          <w:sz w:val="12"/>
          <w:szCs w:val="12"/>
          <w:b w:val="1"/>
          <w:bCs w:val="1"/>
          <w:color w:val="auto"/>
        </w:rPr>
        <w:t xml:space="preserve">Credit Facilities and Long Term Debt. </w:t>
      </w:r>
      <w:r>
        <w:rPr>
          <w:rFonts w:ascii="Arial" w:cs="Arial" w:eastAsia="Arial" w:hAnsi="Arial"/>
          <w:sz w:val="12"/>
          <w:szCs w:val="12"/>
          <w:color w:val="auto"/>
        </w:rPr>
        <w:t>We have historically relied on Oil States for financial support and cash management. Following the spin-off, our capital structure and sources of</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liquidity will change. In connection with the spin-off, we expect to enter into (i) a $650.0 million, 5-year revolving credit facility which is currently expected to be allocated as follows: (A) a</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$450.0 million senior secured revolving credit facility in favor of Civeo, as borrower, (B) a $100.0 million senior secured revolving credit facility in favor of certain of our Canadian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as borrowers, and (C) a $100.0 million senior secured revolving credit facility in favor of one of our Australian subsidiaries, as borrower and (ii) a $775.0 million, 5-year term loan facility in an</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amount to be determined up to $775.0 million in favor of Civeo. U.S. Dollar amounts outstanding under the credit facilities are expected to bear interest at a variable rate equal to LIBOR plus 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margin of 1.75% to 2.75%, or a base rate plus 0.75% to 1.75%, based on our total leverage, in each case based on a ratio of our total leverage to EBITDA (as defined in the credit facilities).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Canadian Dollar amounts outstanding under the credit facilities are expected to bear interest at a variable rate equal to CDOR plus a margin of 1.75% to 2.75%, or a base rate plus a margin of</w:t>
      </w:r>
    </w:p>
    <w:p>
      <w:pPr>
        <w:spacing w:after="0" w:line="37"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0.75% to 1.75%, in each case based on a ratio of our total leverage to EBITDA (as defined in the credit facilities). Australian Dollar amounts outstanding under the credit facilities are expected to bear interest at a variable rate equal to BBSY plus a margin of 1.75% to 2.75%, based on a ratio of our total leverage to EBITDA (as defined in the credit facilities). We expect to pay certain customary fees with respect to the credit facility.</w:t>
      </w:r>
    </w:p>
    <w:p>
      <w:pPr>
        <w:spacing w:after="0" w:line="164" w:lineRule="exact"/>
        <w:rPr>
          <w:sz w:val="20"/>
          <w:szCs w:val="20"/>
          <w:color w:val="auto"/>
        </w:rPr>
      </w:pPr>
    </w:p>
    <w:p>
      <w:pPr>
        <w:ind w:right="240" w:firstLine="262"/>
        <w:spacing w:after="0" w:line="251" w:lineRule="auto"/>
        <w:rPr>
          <w:sz w:val="20"/>
          <w:szCs w:val="20"/>
          <w:color w:val="auto"/>
        </w:rPr>
      </w:pPr>
      <w:r>
        <w:rPr>
          <w:rFonts w:ascii="Arial" w:cs="Arial" w:eastAsia="Arial" w:hAnsi="Arial"/>
          <w:sz w:val="15"/>
          <w:szCs w:val="15"/>
          <w:color w:val="auto"/>
        </w:rPr>
        <w:t>We expect that the credit facility will contain customary affirmative and negative covenants that, among other things, will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154" w:lineRule="exact"/>
        <w:rPr>
          <w:sz w:val="20"/>
          <w:szCs w:val="20"/>
          <w:color w:val="auto"/>
        </w:rPr>
      </w:pPr>
    </w:p>
    <w:p>
      <w:pPr>
        <w:ind w:right="100" w:firstLine="262"/>
        <w:spacing w:after="0" w:line="273" w:lineRule="auto"/>
        <w:rPr>
          <w:sz w:val="20"/>
          <w:szCs w:val="20"/>
          <w:color w:val="auto"/>
        </w:rPr>
      </w:pPr>
      <w:r>
        <w:rPr>
          <w:rFonts w:ascii="Arial" w:cs="Arial" w:eastAsia="Arial" w:hAnsi="Arial"/>
          <w:sz w:val="14"/>
          <w:szCs w:val="14"/>
          <w:b w:val="1"/>
          <w:bCs w:val="1"/>
          <w:color w:val="auto"/>
        </w:rPr>
        <w:t xml:space="preserve">Dividends. </w:t>
      </w:r>
      <w:r>
        <w:rPr>
          <w:rFonts w:ascii="Arial" w:cs="Arial" w:eastAsia="Arial" w:hAnsi="Arial"/>
          <w:sz w:val="14"/>
          <w:szCs w:val="14"/>
          <w:color w:val="auto"/>
        </w:rPr>
        <w:t>Our board of directors has approved a dividend policy pursuant to which, following the spin-off, we intend to pay a quarterly dividend in the amount of $0.13 per share, which we</w:t>
      </w:r>
      <w:r>
        <w:rPr>
          <w:rFonts w:ascii="Arial" w:cs="Arial" w:eastAsia="Arial" w:hAnsi="Arial"/>
          <w:sz w:val="14"/>
          <w:szCs w:val="14"/>
          <w:b w:val="1"/>
          <w:bCs w:val="1"/>
          <w:color w:val="auto"/>
        </w:rPr>
        <w:t xml:space="preserve"> </w:t>
      </w:r>
      <w:r>
        <w:rPr>
          <w:rFonts w:ascii="Arial" w:cs="Arial" w:eastAsia="Arial" w:hAnsi="Arial"/>
          <w:sz w:val="14"/>
          <w:szCs w:val="14"/>
          <w:color w:val="auto"/>
        </w:rPr>
        <w:t>intend to commence payment of in the third quarter. However, the amount per share of our dividend payments may be changed in the future without advance notice.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“—Tax Matters.”</w:t>
      </w:r>
    </w:p>
    <w:p>
      <w:pPr>
        <w:spacing w:after="0" w:line="142" w:lineRule="exact"/>
        <w:rPr>
          <w:sz w:val="20"/>
          <w:szCs w:val="20"/>
          <w:color w:val="auto"/>
        </w:rPr>
      </w:pPr>
    </w:p>
    <w:p>
      <w:pPr>
        <w:ind w:right="260" w:firstLine="262"/>
        <w:spacing w:after="0" w:line="264" w:lineRule="auto"/>
        <w:rPr>
          <w:sz w:val="20"/>
          <w:szCs w:val="20"/>
          <w:color w:val="auto"/>
        </w:rPr>
      </w:pPr>
      <w:r>
        <w:rPr>
          <w:rFonts w:ascii="Arial" w:cs="Arial" w:eastAsia="Arial" w:hAnsi="Arial"/>
          <w:sz w:val="15"/>
          <w:szCs w:val="15"/>
          <w:b w:val="1"/>
          <w:bCs w:val="1"/>
          <w:color w:val="auto"/>
        </w:rPr>
        <w:t xml:space="preserve">Contractual Obligations. </w:t>
      </w:r>
      <w:r>
        <w:rPr>
          <w:rFonts w:ascii="Arial" w:cs="Arial" w:eastAsia="Arial" w:hAnsi="Arial"/>
          <w:sz w:val="15"/>
          <w:szCs w:val="15"/>
          <w:color w:val="auto"/>
        </w:rPr>
        <w:t>The following summarizes our contractual obligations at December 31, 2013, and the effect such obligations are expected to have on our liquidity and cash flow</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next five years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w w:val="85"/>
              </w:rPr>
              <w:t>Payments due by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Arial" w:cs="Arial" w:eastAsia="Arial" w:hAnsi="Arial"/>
                <w:sz w:val="15"/>
                <w:szCs w:val="15"/>
                <w:b w:val="1"/>
                <w:bCs w:val="1"/>
                <w:color w:val="auto"/>
              </w:rPr>
              <w:t>Total</w:t>
            </w:r>
          </w:p>
        </w:tc>
        <w:tc>
          <w:tcPr>
            <w:tcW w:w="3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Arial" w:cs="Arial" w:eastAsia="Arial" w:hAnsi="Arial"/>
                <w:sz w:val="15"/>
                <w:szCs w:val="15"/>
                <w:b w:val="1"/>
                <w:bCs w:val="1"/>
                <w:color w:val="auto"/>
                <w:w w:val="85"/>
              </w:rPr>
              <w:t>Less than 1 year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line="168" w:lineRule="exact"/>
              <w:rPr>
                <w:sz w:val="20"/>
                <w:szCs w:val="20"/>
                <w:color w:val="auto"/>
              </w:rPr>
            </w:pPr>
            <w:r>
              <w:rPr>
                <w:rFonts w:ascii="Arial" w:cs="Arial" w:eastAsia="Arial" w:hAnsi="Arial"/>
                <w:sz w:val="15"/>
                <w:szCs w:val="15"/>
                <w:b w:val="1"/>
                <w:bCs w:val="1"/>
                <w:color w:val="auto"/>
                <w:w w:val="98"/>
              </w:rPr>
              <w:t>1 - 3 years</w:t>
            </w:r>
          </w:p>
        </w:tc>
        <w:tc>
          <w:tcPr>
            <w:tcW w:w="16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Arial" w:cs="Arial" w:eastAsia="Arial" w:hAnsi="Arial"/>
                <w:sz w:val="15"/>
                <w:szCs w:val="15"/>
                <w:b w:val="1"/>
                <w:bCs w:val="1"/>
                <w:color w:val="auto"/>
              </w:rPr>
              <w:t>3 - 5 years</w:t>
            </w:r>
          </w:p>
        </w:tc>
        <w:tc>
          <w:tcPr>
            <w:tcW w:w="1140" w:type="dxa"/>
            <w:vAlign w:val="bottom"/>
            <w:gridSpan w:val="2"/>
          </w:tcPr>
          <w:p>
            <w:pPr>
              <w:spacing w:after="0" w:line="168" w:lineRule="exact"/>
              <w:rPr>
                <w:sz w:val="20"/>
                <w:szCs w:val="20"/>
                <w:color w:val="auto"/>
              </w:rPr>
            </w:pPr>
            <w:r>
              <w:rPr>
                <w:rFonts w:ascii="Arial" w:cs="Arial" w:eastAsia="Arial" w:hAnsi="Arial"/>
                <w:sz w:val="15"/>
                <w:szCs w:val="15"/>
                <w:b w:val="1"/>
                <w:bCs w:val="1"/>
                <w:color w:val="auto"/>
                <w:w w:val="87"/>
              </w:rPr>
              <w:t>More than 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Contractual cash obligations</w:t>
            </w: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Total debt, including capital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335,171</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335,171</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45,525</w:t>
            </w:r>
          </w:p>
        </w:tc>
        <w:tc>
          <w:tcPr>
            <w:tcW w:w="300" w:type="dxa"/>
            <w:vAlign w:val="bottom"/>
            <w:tcBorders>
              <w:right w:val="single" w:sz="8" w:color="CCEEFF"/>
            </w:tcBorders>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45,525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Non-cancelable operating lease obligations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43,233</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5,992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10,364</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8,148</w:t>
            </w: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18,729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Asset retirement obligations - expected cash payments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21,808</w:t>
            </w:r>
          </w:p>
        </w:tc>
        <w:tc>
          <w:tcPr>
            <w:tcW w:w="300" w:type="dxa"/>
            <w:vAlign w:val="bottom"/>
            <w:tcBorders>
              <w:right w:val="single" w:sz="8" w:color="CCEEFF"/>
            </w:tcBorders>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512</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20" w:type="dxa"/>
            <w:vAlign w:val="bottom"/>
            <w:gridSpan w:val="2"/>
          </w:tcPr>
          <w:p>
            <w:pPr>
              <w:spacing w:after="0" w:line="166" w:lineRule="exact"/>
              <w:rPr>
                <w:sz w:val="20"/>
                <w:szCs w:val="20"/>
                <w:color w:val="auto"/>
              </w:rPr>
            </w:pPr>
            <w:r>
              <w:rPr>
                <w:rFonts w:ascii="Arial" w:cs="Arial" w:eastAsia="Arial" w:hAnsi="Arial"/>
                <w:sz w:val="15"/>
                <w:szCs w:val="15"/>
                <w:color w:val="auto"/>
              </w:rPr>
              <w:t>Total contractual cash obligations</w:t>
            </w:r>
          </w:p>
        </w:tc>
        <w:tc>
          <w:tcPr>
            <w:tcW w:w="240" w:type="dxa"/>
            <w:vAlign w:val="bottom"/>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6" w:lineRule="exact"/>
              <w:rPr>
                <w:sz w:val="20"/>
                <w:szCs w:val="20"/>
                <w:color w:val="auto"/>
              </w:rPr>
            </w:pPr>
            <w:r>
              <w:rPr>
                <w:rFonts w:ascii="Arial" w:cs="Arial" w:eastAsia="Arial" w:hAnsi="Arial"/>
                <w:sz w:val="15"/>
                <w:szCs w:val="15"/>
                <w:color w:val="auto"/>
              </w:rPr>
              <w:t>445,737</w:t>
            </w:r>
          </w:p>
        </w:tc>
        <w:tc>
          <w:tcPr>
            <w:tcW w:w="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6" w:lineRule="exact"/>
              <w:rPr>
                <w:sz w:val="20"/>
                <w:szCs w:val="20"/>
                <w:color w:val="auto"/>
              </w:rPr>
            </w:pPr>
            <w:r>
              <w:rPr>
                <w:rFonts w:ascii="Arial" w:cs="Arial" w:eastAsia="Arial" w:hAnsi="Arial"/>
                <w:sz w:val="15"/>
                <w:szCs w:val="15"/>
                <w:color w:val="auto"/>
              </w:rPr>
              <w:t>52,108</w:t>
            </w:r>
          </w:p>
        </w:tc>
        <w:tc>
          <w:tcPr>
            <w:tcW w:w="38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10,407</w:t>
            </w:r>
          </w:p>
        </w:tc>
        <w:tc>
          <w:tcPr>
            <w:tcW w:w="160" w:type="dxa"/>
            <w:vAlign w:val="bottom"/>
          </w:tcPr>
          <w:p>
            <w:pPr>
              <w:jc w:val="right"/>
              <w:ind w:right="7"/>
              <w:spacing w:after="0" w:line="166"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8,660</w:t>
            </w:r>
          </w:p>
        </w:tc>
        <w:tc>
          <w:tcPr>
            <w:tcW w:w="36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374,562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60" w:firstLine="262"/>
        <w:spacing w:after="0" w:line="259" w:lineRule="auto"/>
        <w:rPr>
          <w:sz w:val="20"/>
          <w:szCs w:val="20"/>
          <w:color w:val="auto"/>
        </w:rPr>
      </w:pPr>
      <w:r>
        <w:rPr>
          <w:rFonts w:ascii="Arial" w:cs="Arial" w:eastAsia="Arial" w:hAnsi="Arial"/>
          <w:sz w:val="15"/>
          <w:szCs w:val="15"/>
          <w:color w:val="auto"/>
        </w:rPr>
        <w:t>Our debt obligations at December 31, 2013 are included in our combined balance sheet, which is a part of our Combined Financial Statements included in this Form 10. We have not entered into any material leases subsequent to December 31, 2013.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87" w:name="page288"/>
    <w:bookmarkEnd w:id="287"/>
    <w:p>
      <w:pPr>
        <w:ind w:right="40" w:firstLine="262"/>
        <w:spacing w:after="0" w:line="259" w:lineRule="auto"/>
        <w:rPr>
          <w:sz w:val="20"/>
          <w:szCs w:val="20"/>
          <w:color w:val="auto"/>
        </w:rPr>
      </w:pPr>
      <w:r>
        <w:rPr>
          <w:rFonts w:ascii="Arial" w:cs="Arial" w:eastAsia="Arial" w:hAnsi="Arial"/>
          <w:sz w:val="15"/>
          <w:szCs w:val="15"/>
          <w:color w:val="auto"/>
        </w:rPr>
        <w:t>Due to the uncertainty with respect to the timing of future cash flows associated with our uncertain tax positions at December 31, 2013, we are unable to make reasonably reliable estimates of the period of cash settlement with the respective taxing authorities.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Effects of Inflation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revenues and results of operations have not been materially impacted by inflation in the past three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December 31, 2013, we had no off-balance sheet arrangements as defined in Item 303(a)(4)(ii)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 Matters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primary deferred tax assets at December 31, 2013, are related to deductible goodwill and other intangibles, and our asset retirement obligation.</w:t>
      </w:r>
    </w:p>
    <w:p>
      <w:pPr>
        <w:spacing w:after="0" w:line="177" w:lineRule="exact"/>
        <w:rPr>
          <w:sz w:val="20"/>
          <w:szCs w:val="20"/>
          <w:color w:val="auto"/>
        </w:rPr>
      </w:pPr>
    </w:p>
    <w:p>
      <w:pPr>
        <w:ind w:right="320" w:firstLine="262"/>
        <w:spacing w:after="0" w:line="259" w:lineRule="auto"/>
        <w:rPr>
          <w:sz w:val="20"/>
          <w:szCs w:val="20"/>
          <w:color w:val="auto"/>
        </w:rPr>
      </w:pPr>
      <w:r>
        <w:rPr>
          <w:rFonts w:ascii="Arial" w:cs="Arial" w:eastAsia="Arial" w:hAnsi="Arial"/>
          <w:sz w:val="15"/>
          <w:szCs w:val="15"/>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52" w:lineRule="exact"/>
        <w:rPr>
          <w:sz w:val="20"/>
          <w:szCs w:val="20"/>
          <w:color w:val="auto"/>
        </w:rPr>
      </w:pPr>
    </w:p>
    <w:p>
      <w:pPr>
        <w:ind w:right="80" w:firstLine="262"/>
        <w:spacing w:after="0" w:line="277" w:lineRule="auto"/>
        <w:rPr>
          <w:sz w:val="20"/>
          <w:szCs w:val="20"/>
          <w:color w:val="auto"/>
        </w:rPr>
      </w:pPr>
      <w:r>
        <w:rPr>
          <w:rFonts w:ascii="Arial" w:cs="Arial" w:eastAsia="Arial" w:hAnsi="Arial"/>
          <w:sz w:val="14"/>
          <w:szCs w:val="14"/>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Critical Accounting Policies</w:t>
      </w:r>
    </w:p>
    <w:p>
      <w:pPr>
        <w:spacing w:after="0" w:line="177" w:lineRule="exact"/>
        <w:rPr>
          <w:sz w:val="20"/>
          <w:szCs w:val="20"/>
          <w:color w:val="auto"/>
        </w:rPr>
      </w:pPr>
    </w:p>
    <w:p>
      <w:pPr>
        <w:ind w:firstLine="262"/>
        <w:spacing w:after="0" w:line="269" w:lineRule="auto"/>
        <w:rPr>
          <w:sz w:val="20"/>
          <w:szCs w:val="20"/>
          <w:color w:val="auto"/>
        </w:rPr>
      </w:pPr>
      <w:r>
        <w:rPr>
          <w:rFonts w:ascii="Arial" w:cs="Arial" w:eastAsia="Arial" w:hAnsi="Arial"/>
          <w:sz w:val="14"/>
          <w:szCs w:val="14"/>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Accounting for Contingencies</w:t>
      </w:r>
    </w:p>
    <w:p>
      <w:pPr>
        <w:spacing w:after="0" w:line="177" w:lineRule="exact"/>
        <w:rPr>
          <w:sz w:val="20"/>
          <w:szCs w:val="20"/>
          <w:color w:val="auto"/>
        </w:rPr>
      </w:pPr>
    </w:p>
    <w:p>
      <w:pPr>
        <w:ind w:right="20" w:firstLine="262"/>
        <w:spacing w:after="0" w:line="267"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Tangible and Intangible Assets, including Goodwill</w:t>
      </w:r>
    </w:p>
    <w:p>
      <w:pPr>
        <w:spacing w:after="0" w:line="177" w:lineRule="exact"/>
        <w:rPr>
          <w:sz w:val="20"/>
          <w:szCs w:val="20"/>
          <w:color w:val="auto"/>
        </w:rPr>
      </w:pPr>
    </w:p>
    <w:p>
      <w:pPr>
        <w:ind w:right="20" w:firstLine="262"/>
        <w:spacing w:after="0" w:line="266" w:lineRule="auto"/>
        <w:rPr>
          <w:sz w:val="20"/>
          <w:szCs w:val="20"/>
          <w:color w:val="auto"/>
        </w:rPr>
      </w:pPr>
      <w:r>
        <w:rPr>
          <w:rFonts w:ascii="Arial" w:cs="Arial" w:eastAsia="Arial" w:hAnsi="Arial"/>
          <w:sz w:val="14"/>
          <w:szCs w:val="14"/>
          <w:color w:val="auto"/>
        </w:rPr>
        <w:t>Our goodwill totaled $261.0 million, or 12%, of our total assets, as of December 31, 2013. Our other intangible assets totaled $75.7 million, or 4%, of our total assets, as of December 31, 2013.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288" w:name="page289"/>
    <w:bookmarkEnd w:id="288"/>
    <w:p>
      <w:pPr>
        <w:ind w:firstLine="262"/>
        <w:spacing w:after="0" w:line="309" w:lineRule="auto"/>
        <w:rPr>
          <w:sz w:val="20"/>
          <w:szCs w:val="20"/>
          <w:color w:val="auto"/>
        </w:rPr>
      </w:pPr>
      <w:r>
        <w:rPr>
          <w:rFonts w:ascii="Arial" w:cs="Arial" w:eastAsia="Arial" w:hAnsi="Arial"/>
          <w:sz w:val="12"/>
          <w:szCs w:val="12"/>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2013,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2013, our quantitative assessment indicated that the fair value of each of our reporting units is greater than its carrying amount.</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Revenue and Cost Recognition</w:t>
      </w:r>
    </w:p>
    <w:p>
      <w:pPr>
        <w:spacing w:after="0" w:line="177"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89" w:name="page290"/>
    <w:bookmarkEnd w:id="289"/>
    <w:p>
      <w:pPr>
        <w:ind w:right="260" w:firstLine="262"/>
        <w:spacing w:after="0" w:line="383" w:lineRule="auto"/>
        <w:rPr>
          <w:sz w:val="20"/>
          <w:szCs w:val="20"/>
          <w:color w:val="auto"/>
        </w:rPr>
      </w:pPr>
      <w:r>
        <w:rPr>
          <w:rFonts w:ascii="Arial" w:cs="Arial" w:eastAsia="Arial" w:hAnsi="Arial"/>
          <w:sz w:val="12"/>
          <w:szCs w:val="12"/>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Valuation Allowances</w:t>
      </w:r>
    </w:p>
    <w:p>
      <w:pPr>
        <w:spacing w:after="0" w:line="177" w:lineRule="exact"/>
        <w:rPr>
          <w:sz w:val="20"/>
          <w:szCs w:val="20"/>
          <w:color w:val="auto"/>
        </w:rPr>
      </w:pPr>
    </w:p>
    <w:p>
      <w:pPr>
        <w:ind w:right="100" w:firstLine="262"/>
        <w:spacing w:after="0" w:line="383" w:lineRule="auto"/>
        <w:rPr>
          <w:sz w:val="20"/>
          <w:szCs w:val="20"/>
          <w:color w:val="auto"/>
        </w:rPr>
      </w:pPr>
      <w:r>
        <w:rPr>
          <w:rFonts w:ascii="Arial" w:cs="Arial" w:eastAsia="Arial" w:hAnsi="Arial"/>
          <w:sz w:val="12"/>
          <w:szCs w:val="12"/>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Estimation of Useful Lives</w:t>
      </w:r>
    </w:p>
    <w:p>
      <w:pPr>
        <w:spacing w:after="0" w:line="177" w:lineRule="exact"/>
        <w:rPr>
          <w:sz w:val="20"/>
          <w:szCs w:val="20"/>
          <w:color w:val="auto"/>
        </w:rPr>
      </w:pPr>
    </w:p>
    <w:p>
      <w:pPr>
        <w:ind w:right="120" w:firstLine="262"/>
        <w:spacing w:after="0" w:line="343" w:lineRule="auto"/>
        <w:rPr>
          <w:sz w:val="20"/>
          <w:szCs w:val="20"/>
          <w:color w:val="auto"/>
        </w:rPr>
      </w:pPr>
      <w:r>
        <w:rPr>
          <w:rFonts w:ascii="Arial" w:cs="Arial" w:eastAsia="Arial" w:hAnsi="Arial"/>
          <w:sz w:val="12"/>
          <w:szCs w:val="12"/>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Stock-Based Compensation</w:t>
      </w:r>
    </w:p>
    <w:p>
      <w:pPr>
        <w:spacing w:after="0" w:line="177" w:lineRule="exact"/>
        <w:rPr>
          <w:sz w:val="20"/>
          <w:szCs w:val="20"/>
          <w:color w:val="auto"/>
        </w:rPr>
      </w:pPr>
    </w:p>
    <w:p>
      <w:pPr>
        <w:ind w:firstLine="262"/>
        <w:spacing w:after="0" w:line="265" w:lineRule="auto"/>
        <w:rPr>
          <w:sz w:val="20"/>
          <w:szCs w:val="20"/>
          <w:color w:val="auto"/>
        </w:rPr>
      </w:pPr>
      <w:r>
        <w:rPr>
          <w:rFonts w:ascii="Arial" w:cs="Arial" w:eastAsia="Arial" w:hAnsi="Arial"/>
          <w:sz w:val="14"/>
          <w:szCs w:val="14"/>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Income Taxes</w:t>
      </w:r>
    </w:p>
    <w:p>
      <w:pPr>
        <w:spacing w:after="0" w:line="177" w:lineRule="exact"/>
        <w:rPr>
          <w:sz w:val="20"/>
          <w:szCs w:val="20"/>
          <w:color w:val="auto"/>
        </w:rPr>
      </w:pPr>
    </w:p>
    <w:p>
      <w:pPr>
        <w:ind w:right="20" w:firstLine="262"/>
        <w:spacing w:after="0" w:line="251" w:lineRule="auto"/>
        <w:rPr>
          <w:sz w:val="20"/>
          <w:szCs w:val="20"/>
          <w:color w:val="auto"/>
        </w:rPr>
      </w:pPr>
      <w:r>
        <w:rPr>
          <w:rFonts w:ascii="Arial" w:cs="Arial" w:eastAsia="Arial" w:hAnsi="Arial"/>
          <w:sz w:val="15"/>
          <w:szCs w:val="15"/>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58" w:lineRule="exact"/>
        <w:rPr>
          <w:sz w:val="20"/>
          <w:szCs w:val="20"/>
          <w:color w:val="auto"/>
        </w:rPr>
      </w:pPr>
    </w:p>
    <w:p>
      <w:pPr>
        <w:ind w:right="280" w:firstLine="262"/>
        <w:spacing w:after="0" w:line="251" w:lineRule="auto"/>
        <w:rPr>
          <w:sz w:val="20"/>
          <w:szCs w:val="20"/>
          <w:color w:val="auto"/>
        </w:rPr>
      </w:pPr>
      <w:r>
        <w:rPr>
          <w:rFonts w:ascii="Arial" w:cs="Arial" w:eastAsia="Arial" w:hAnsi="Arial"/>
          <w:sz w:val="15"/>
          <w:szCs w:val="15"/>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158" w:lineRule="exact"/>
        <w:rPr>
          <w:sz w:val="20"/>
          <w:szCs w:val="20"/>
          <w:color w:val="auto"/>
        </w:rPr>
      </w:pPr>
    </w:p>
    <w:p>
      <w:pPr>
        <w:ind w:right="40" w:firstLine="262"/>
        <w:spacing w:after="0" w:line="294" w:lineRule="auto"/>
        <w:rPr>
          <w:sz w:val="20"/>
          <w:szCs w:val="20"/>
          <w:color w:val="auto"/>
        </w:rPr>
      </w:pPr>
      <w:r>
        <w:rPr>
          <w:rFonts w:ascii="Arial" w:cs="Arial" w:eastAsia="Arial" w:hAnsi="Arial"/>
          <w:sz w:val="14"/>
          <w:szCs w:val="14"/>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90" w:name="page291"/>
    <w:bookmarkEnd w:id="290"/>
    <w:p>
      <w:pPr>
        <w:ind w:firstLine="262"/>
        <w:spacing w:after="0" w:line="269" w:lineRule="auto"/>
        <w:rPr>
          <w:sz w:val="20"/>
          <w:szCs w:val="20"/>
          <w:color w:val="auto"/>
        </w:rPr>
      </w:pPr>
      <w:r>
        <w:rPr>
          <w:rFonts w:ascii="Arial" w:cs="Arial" w:eastAsia="Arial" w:hAnsi="Arial"/>
          <w:sz w:val="14"/>
          <w:szCs w:val="14"/>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47" w:lineRule="exact"/>
        <w:rPr>
          <w:sz w:val="20"/>
          <w:szCs w:val="20"/>
          <w:color w:val="auto"/>
        </w:rPr>
      </w:pPr>
    </w:p>
    <w:p>
      <w:pPr>
        <w:ind w:right="320" w:firstLine="262"/>
        <w:spacing w:after="0" w:line="251" w:lineRule="auto"/>
        <w:rPr>
          <w:sz w:val="20"/>
          <w:szCs w:val="20"/>
          <w:color w:val="auto"/>
        </w:rPr>
      </w:pPr>
      <w:r>
        <w:rPr>
          <w:rFonts w:ascii="Arial" w:cs="Arial" w:eastAsia="Arial" w:hAnsi="Arial"/>
          <w:sz w:val="15"/>
          <w:szCs w:val="15"/>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Recent Accounting Pronouncements</w:t>
      </w:r>
    </w:p>
    <w:p>
      <w:pPr>
        <w:spacing w:after="0" w:line="177" w:lineRule="exact"/>
        <w:rPr>
          <w:sz w:val="20"/>
          <w:szCs w:val="20"/>
          <w:color w:val="auto"/>
        </w:rPr>
      </w:pPr>
    </w:p>
    <w:p>
      <w:pPr>
        <w:jc w:val="both"/>
        <w:ind w:right="200" w:firstLine="262"/>
        <w:spacing w:after="0" w:line="251" w:lineRule="auto"/>
        <w:rPr>
          <w:sz w:val="20"/>
          <w:szCs w:val="20"/>
          <w:color w:val="auto"/>
        </w:rPr>
      </w:pPr>
      <w:r>
        <w:rPr>
          <w:rFonts w:ascii="Arial" w:cs="Arial" w:eastAsia="Arial" w:hAnsi="Arial"/>
          <w:sz w:val="15"/>
          <w:szCs w:val="15"/>
          <w:color w:val="auto"/>
        </w:rPr>
        <w:t>From time to time, new accounting pronouncements are issued by the Financial Accounting Standards Board (the “FASB”), which are adopted by the 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5"/>
          <w:szCs w:val="15"/>
          <w:b w:val="1"/>
          <w:bCs w:val="1"/>
          <w:color w:val="auto"/>
        </w:rPr>
        <w:t>BUSINESS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Company</w:t>
      </w:r>
    </w:p>
    <w:p>
      <w:pPr>
        <w:spacing w:after="0" w:line="181"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52" w:lineRule="exact"/>
        <w:rPr>
          <w:sz w:val="20"/>
          <w:szCs w:val="20"/>
          <w:color w:val="auto"/>
        </w:rPr>
      </w:pPr>
    </w:p>
    <w:p>
      <w:pPr>
        <w:jc w:val="both"/>
        <w:ind w:right="20" w:firstLine="262"/>
        <w:spacing w:after="0" w:line="271" w:lineRule="auto"/>
        <w:rPr>
          <w:sz w:val="20"/>
          <w:szCs w:val="20"/>
          <w:color w:val="auto"/>
        </w:rPr>
      </w:pPr>
      <w:r>
        <w:rPr>
          <w:rFonts w:ascii="Arial" w:cs="Arial" w:eastAsia="Arial" w:hAnsi="Arial"/>
          <w:sz w:val="14"/>
          <w:szCs w:val="14"/>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100330</wp:posOffset>
            </wp:positionV>
            <wp:extent cx="2068195" cy="1943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68195" cy="194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production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2013, we generated $1.0 billion in revenue and $259.5 million in operating income.</w:t>
      </w:r>
    </w:p>
    <w:p>
      <w:pPr>
        <w:spacing w:after="0" w:line="298"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We have long-standing relationships with many of our customers, many of whom are large investment grade energy and mining companies. This customer profile provides us with a stable and recurring revenue base.</w:t>
      </w:r>
    </w:p>
    <w:p>
      <w:pPr>
        <w:spacing w:after="0" w:line="152" w:lineRule="exact"/>
        <w:rPr>
          <w:sz w:val="20"/>
          <w:szCs w:val="20"/>
          <w:color w:val="auto"/>
        </w:rPr>
      </w:pPr>
    </w:p>
    <w:p>
      <w:pPr>
        <w:ind w:right="80" w:firstLine="262"/>
        <w:spacing w:after="0" w:line="320" w:lineRule="auto"/>
        <w:rPr>
          <w:sz w:val="20"/>
          <w:szCs w:val="20"/>
          <w:color w:val="auto"/>
        </w:rPr>
      </w:pPr>
      <w:r>
        <w:rPr>
          <w:rFonts w:ascii="Arial" w:cs="Arial" w:eastAsia="Arial" w:hAnsi="Arial"/>
          <w:sz w:val="12"/>
          <w:szCs w:val="12"/>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7" w:right="239" w:bottom="1440" w:gutter="0" w:footer="0" w:header="0"/>
        </w:sectPr>
      </w:pPr>
    </w:p>
    <w:bookmarkStart w:id="292" w:name="page293"/>
    <w:bookmarkEnd w:id="292"/>
    <w:p>
      <w:pPr>
        <w:jc w:val="both"/>
        <w:ind w:firstLine="262"/>
        <w:spacing w:after="0" w:line="246" w:lineRule="auto"/>
        <w:rPr>
          <w:sz w:val="20"/>
          <w:szCs w:val="20"/>
          <w:color w:val="auto"/>
        </w:rPr>
      </w:pPr>
      <w:r>
        <w:rPr>
          <w:rFonts w:ascii="Arial" w:cs="Arial" w:eastAsia="Arial" w:hAnsi="Arial"/>
          <w:sz w:val="15"/>
          <w:szCs w:val="15"/>
          <w:color w:val="auto"/>
        </w:rPr>
        <w:t>For the year ended December 31, 2013, we generated $1.0 billion in revenues and $259.5 million in operating income. For the year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more than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5"/>
                <w:szCs w:val="15"/>
                <w:b w:val="1"/>
                <w:bCs w:val="1"/>
                <w:color w:val="auto"/>
              </w:rPr>
              <w:t>Twelve Months Ended December 31,</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4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5"/>
                <w:szCs w:val="15"/>
                <w:b w:val="1"/>
                <w:bCs w:val="1"/>
                <w:color w:val="auto"/>
              </w:rPr>
              <w:t>2013</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7"/>
              <w:spacing w:after="0" w:line="168" w:lineRule="exact"/>
              <w:rPr>
                <w:sz w:val="20"/>
                <w:szCs w:val="20"/>
                <w:color w:val="auto"/>
              </w:rPr>
            </w:pPr>
            <w:r>
              <w:rPr>
                <w:rFonts w:ascii="Arial" w:cs="Arial" w:eastAsia="Arial" w:hAnsi="Arial"/>
                <w:sz w:val="15"/>
                <w:szCs w:val="15"/>
                <w:b w:val="1"/>
                <w:bCs w:val="1"/>
                <w:color w:val="auto"/>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60" w:type="dxa"/>
            <w:vAlign w:val="bottom"/>
            <w:gridSpan w:val="2"/>
          </w:tcPr>
          <w:p>
            <w:pPr>
              <w:jc w:val="right"/>
              <w:spacing w:after="0" w:line="166" w:lineRule="exact"/>
              <w:rPr>
                <w:sz w:val="20"/>
                <w:szCs w:val="20"/>
                <w:color w:val="auto"/>
              </w:rPr>
            </w:pPr>
            <w:r>
              <w:rPr>
                <w:rFonts w:ascii="Arial" w:cs="Arial" w:eastAsia="Arial" w:hAnsi="Arial"/>
                <w:sz w:val="15"/>
                <w:szCs w:val="15"/>
                <w:b w:val="1"/>
                <w:bCs w:val="1"/>
                <w:color w:val="auto"/>
                <w:w w:val="90"/>
              </w:rPr>
              <w:t>(In millions, except for</w:t>
            </w:r>
          </w:p>
        </w:tc>
        <w:tc>
          <w:tcPr>
            <w:tcW w:w="3560" w:type="dxa"/>
            <w:vAlign w:val="bottom"/>
            <w:gridSpan w:val="7"/>
          </w:tcPr>
          <w:p>
            <w:pPr>
              <w:jc w:val="right"/>
              <w:ind w:right="200"/>
              <w:spacing w:after="0" w:line="166" w:lineRule="exact"/>
              <w:rPr>
                <w:sz w:val="20"/>
                <w:szCs w:val="20"/>
                <w:color w:val="auto"/>
              </w:rPr>
            </w:pPr>
            <w:r>
              <w:rPr>
                <w:rFonts w:ascii="Arial" w:cs="Arial" w:eastAsia="Arial" w:hAnsi="Arial"/>
                <w:sz w:val="15"/>
                <w:szCs w:val="15"/>
                <w:b w:val="1"/>
                <w:bCs w:val="1"/>
                <w:color w:val="auto"/>
                <w:w w:val="86"/>
              </w:rPr>
              <w:t>average available lodges/villages rooms and RevPAR)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Lodge/Village Revenue (1)</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Canada</w:t>
            </w:r>
          </w:p>
        </w:tc>
        <w:tc>
          <w:tcPr>
            <w:tcW w:w="940" w:type="dxa"/>
            <w:vAlign w:val="bottom"/>
          </w:tcPr>
          <w:p>
            <w:pPr>
              <w:jc w:val="right"/>
              <w:ind w:right="824"/>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7"/>
              <w:spacing w:after="0"/>
              <w:rPr>
                <w:sz w:val="20"/>
                <w:szCs w:val="20"/>
                <w:color w:val="auto"/>
              </w:rPr>
            </w:pPr>
            <w:r>
              <w:rPr>
                <w:rFonts w:ascii="Arial" w:cs="Arial" w:eastAsia="Arial" w:hAnsi="Arial"/>
                <w:sz w:val="15"/>
                <w:szCs w:val="15"/>
                <w:color w:val="auto"/>
              </w:rPr>
              <w:t>548.7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550.2</w:t>
            </w:r>
          </w:p>
        </w:tc>
        <w:tc>
          <w:tcPr>
            <w:tcW w:w="240" w:type="dxa"/>
            <w:vAlign w:val="bottom"/>
          </w:tcPr>
          <w:p>
            <w:pPr>
              <w:spacing w:after="0"/>
              <w:rPr>
                <w:sz w:val="15"/>
                <w:szCs w:val="15"/>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413.3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Australia</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255.5</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273.7</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Pr>
          <w:p>
            <w:pPr>
              <w:ind w:left="520"/>
              <w:spacing w:after="0" w:line="166" w:lineRule="exact"/>
              <w:rPr>
                <w:sz w:val="20"/>
                <w:szCs w:val="20"/>
                <w:color w:val="auto"/>
              </w:rPr>
            </w:pPr>
            <w:r>
              <w:rPr>
                <w:rFonts w:ascii="Arial" w:cs="Arial" w:eastAsia="Arial" w:hAnsi="Arial"/>
                <w:sz w:val="15"/>
                <w:szCs w:val="15"/>
                <w:color w:val="auto"/>
              </w:rPr>
              <w:t>Total Lodge/Village Revenue</w:t>
            </w:r>
          </w:p>
        </w:tc>
        <w:tc>
          <w:tcPr>
            <w:tcW w:w="940" w:type="dxa"/>
            <w:vAlign w:val="bottom"/>
          </w:tcPr>
          <w:p>
            <w:pPr>
              <w:jc w:val="right"/>
              <w:ind w:right="824"/>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7"/>
              <w:spacing w:after="0" w:line="166" w:lineRule="exact"/>
              <w:rPr>
                <w:sz w:val="20"/>
                <w:szCs w:val="20"/>
                <w:color w:val="auto"/>
              </w:rPr>
            </w:pPr>
            <w:r>
              <w:rPr>
                <w:rFonts w:ascii="Arial" w:cs="Arial" w:eastAsia="Arial" w:hAnsi="Arial"/>
                <w:sz w:val="15"/>
                <w:szCs w:val="15"/>
                <w:color w:val="auto"/>
              </w:rPr>
              <w:t>804.2</w:t>
            </w:r>
          </w:p>
        </w:tc>
        <w:tc>
          <w:tcPr>
            <w:tcW w:w="340" w:type="dxa"/>
            <w:vAlign w:val="bottom"/>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823.9</w:t>
            </w:r>
          </w:p>
        </w:tc>
        <w:tc>
          <w:tcPr>
            <w:tcW w:w="24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609.7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Mobile and Open Camp Revenue</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Canada</w:t>
            </w:r>
          </w:p>
        </w:tc>
        <w:tc>
          <w:tcPr>
            <w:tcW w:w="940" w:type="dxa"/>
            <w:vAlign w:val="bottom"/>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161.8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167.0</w:t>
            </w: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Australia</w:t>
            </w:r>
          </w:p>
        </w:tc>
        <w:tc>
          <w:tcPr>
            <w:tcW w:w="940" w:type="dxa"/>
            <w:vAlign w:val="bottom"/>
          </w:tcPr>
          <w:p>
            <w:pPr>
              <w:spacing w:after="0"/>
              <w:rPr>
                <w:sz w:val="15"/>
                <w:szCs w:val="15"/>
                <w:color w:val="auto"/>
              </w:rPr>
            </w:pPr>
          </w:p>
        </w:tc>
        <w:tc>
          <w:tcPr>
            <w:tcW w:w="76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Pr>
          <w:p>
            <w:pPr>
              <w:ind w:left="520"/>
              <w:spacing w:after="0" w:line="166" w:lineRule="exact"/>
              <w:rPr>
                <w:sz w:val="20"/>
                <w:szCs w:val="20"/>
                <w:color w:val="auto"/>
              </w:rPr>
            </w:pPr>
            <w:r>
              <w:rPr>
                <w:rFonts w:ascii="Arial" w:cs="Arial" w:eastAsia="Arial" w:hAnsi="Arial"/>
                <w:sz w:val="15"/>
                <w:szCs w:val="15"/>
                <w:color w:val="auto"/>
              </w:rPr>
              <w:t>Total Mobile and Open Camp Revenue</w:t>
            </w:r>
          </w:p>
        </w:tc>
        <w:tc>
          <w:tcPr>
            <w:tcW w:w="940" w:type="dxa"/>
            <w:vAlign w:val="bottom"/>
          </w:tcPr>
          <w:p>
            <w:pPr>
              <w:jc w:val="right"/>
              <w:ind w:right="824"/>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7"/>
              <w:spacing w:after="0" w:line="166" w:lineRule="exact"/>
              <w:rPr>
                <w:sz w:val="20"/>
                <w:szCs w:val="20"/>
                <w:color w:val="auto"/>
              </w:rPr>
            </w:pPr>
            <w:r>
              <w:rPr>
                <w:rFonts w:ascii="Arial" w:cs="Arial" w:eastAsia="Arial" w:hAnsi="Arial"/>
                <w:sz w:val="15"/>
                <w:szCs w:val="15"/>
                <w:color w:val="auto"/>
              </w:rPr>
              <w:t>236.9</w:t>
            </w:r>
          </w:p>
        </w:tc>
        <w:tc>
          <w:tcPr>
            <w:tcW w:w="340" w:type="dxa"/>
            <w:vAlign w:val="bottom"/>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285.0</w:t>
            </w:r>
          </w:p>
        </w:tc>
        <w:tc>
          <w:tcPr>
            <w:tcW w:w="24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255.0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20" w:type="dxa"/>
            <w:vAlign w:val="bottom"/>
            <w:tcBorders>
              <w:right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Total Revenue</w:t>
            </w:r>
          </w:p>
        </w:tc>
        <w:tc>
          <w:tcPr>
            <w:tcW w:w="94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1,041.1</w:t>
            </w: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1,108.9</w:t>
            </w:r>
          </w:p>
        </w:tc>
        <w:tc>
          <w:tcPr>
            <w:tcW w:w="24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864.7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2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Average Available Lodge/Village Rooms (2)</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Canada</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11,541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10,660</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8,985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Australia</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8,925</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7,761</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Pr>
          <w:p>
            <w:pPr>
              <w:ind w:left="520"/>
              <w:spacing w:after="0" w:line="166" w:lineRule="exact"/>
              <w:rPr>
                <w:sz w:val="20"/>
                <w:szCs w:val="20"/>
                <w:color w:val="auto"/>
              </w:rPr>
            </w:pPr>
            <w:r>
              <w:rPr>
                <w:rFonts w:ascii="Arial" w:cs="Arial" w:eastAsia="Arial" w:hAnsi="Arial"/>
                <w:sz w:val="15"/>
                <w:szCs w:val="15"/>
                <w:color w:val="auto"/>
              </w:rPr>
              <w:t>Total Lodge/Village Rooms</w:t>
            </w:r>
          </w:p>
        </w:tc>
        <w:tc>
          <w:tcPr>
            <w:tcW w:w="940" w:type="dxa"/>
            <w:vAlign w:val="bottom"/>
          </w:tcPr>
          <w:p>
            <w:pPr>
              <w:spacing w:after="0"/>
              <w:rPr>
                <w:sz w:val="14"/>
                <w:szCs w:val="14"/>
                <w:color w:val="auto"/>
              </w:rPr>
            </w:pPr>
          </w:p>
        </w:tc>
        <w:tc>
          <w:tcPr>
            <w:tcW w:w="760" w:type="dxa"/>
            <w:vAlign w:val="bottom"/>
            <w:gridSpan w:val="2"/>
          </w:tcPr>
          <w:p>
            <w:pPr>
              <w:jc w:val="right"/>
              <w:ind w:right="167"/>
              <w:spacing w:after="0" w:line="166" w:lineRule="exact"/>
              <w:rPr>
                <w:sz w:val="20"/>
                <w:szCs w:val="20"/>
                <w:color w:val="auto"/>
              </w:rPr>
            </w:pPr>
            <w:r>
              <w:rPr>
                <w:rFonts w:ascii="Arial" w:cs="Arial" w:eastAsia="Arial" w:hAnsi="Arial"/>
                <w:sz w:val="15"/>
                <w:szCs w:val="15"/>
                <w:color w:val="auto"/>
              </w:rPr>
              <w:t>20,466</w:t>
            </w:r>
          </w:p>
        </w:tc>
        <w:tc>
          <w:tcPr>
            <w:tcW w:w="340" w:type="dxa"/>
            <w:vAlign w:val="bottom"/>
          </w:tcPr>
          <w:p>
            <w:pPr>
              <w:spacing w:after="0"/>
              <w:rPr>
                <w:sz w:val="14"/>
                <w:szCs w:val="14"/>
                <w:color w:val="auto"/>
              </w:rPr>
            </w:pPr>
          </w:p>
        </w:tc>
        <w:tc>
          <w:tcPr>
            <w:tcW w:w="13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18,421</w:t>
            </w:r>
          </w:p>
        </w:tc>
        <w:tc>
          <w:tcPr>
            <w:tcW w:w="380" w:type="dxa"/>
            <w:vAlign w:val="bottom"/>
          </w:tcPr>
          <w:p>
            <w:pPr>
              <w:spacing w:after="0"/>
              <w:rPr>
                <w:sz w:val="14"/>
                <w:szCs w:val="14"/>
                <w:color w:val="auto"/>
              </w:rPr>
            </w:pPr>
          </w:p>
        </w:tc>
        <w:tc>
          <w:tcPr>
            <w:tcW w:w="12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14,997</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42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RevPAR for Lodges and Villages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Canada</w:t>
            </w:r>
          </w:p>
        </w:tc>
        <w:tc>
          <w:tcPr>
            <w:tcW w:w="940" w:type="dxa"/>
            <w:vAlign w:val="bottom"/>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130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141</w:t>
            </w: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Australia</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Borders>
              <w:bottom w:val="single" w:sz="8" w:color="CCEEFF"/>
              <w:right w:val="single" w:sz="8" w:color="CCEEFF"/>
            </w:tcBorders>
            <w:shd w:val="clear" w:color="auto" w:fill="CCEEFF"/>
          </w:tcPr>
          <w:p>
            <w:pPr>
              <w:ind w:left="520"/>
              <w:spacing w:after="0" w:line="166" w:lineRule="exact"/>
              <w:rPr>
                <w:sz w:val="20"/>
                <w:szCs w:val="20"/>
                <w:color w:val="auto"/>
              </w:rPr>
            </w:pPr>
            <w:r>
              <w:rPr>
                <w:rFonts w:ascii="Arial" w:cs="Arial" w:eastAsia="Arial" w:hAnsi="Arial"/>
                <w:sz w:val="15"/>
                <w:szCs w:val="15"/>
                <w:color w:val="auto"/>
              </w:rPr>
              <w:t>Total RevPAR for Lodges and Villages</w:t>
            </w:r>
          </w:p>
        </w:tc>
        <w:tc>
          <w:tcPr>
            <w:tcW w:w="94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108</w:t>
            </w: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123</w:t>
            </w: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111</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Occupancy in Lodges and Villages (3)</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Canada</w:t>
            </w:r>
          </w:p>
        </w:tc>
        <w:tc>
          <w:tcPr>
            <w:tcW w:w="940" w:type="dxa"/>
            <w:vAlign w:val="bottom"/>
          </w:tcPr>
          <w:p>
            <w:pPr>
              <w:spacing w:after="0"/>
              <w:rPr>
                <w:sz w:val="15"/>
                <w:szCs w:val="15"/>
                <w:color w:val="auto"/>
              </w:rPr>
            </w:pPr>
          </w:p>
        </w:tc>
        <w:tc>
          <w:tcPr>
            <w:tcW w:w="760" w:type="dxa"/>
            <w:vAlign w:val="bottom"/>
            <w:gridSpan w:val="2"/>
          </w:tcPr>
          <w:p>
            <w:pPr>
              <w:jc w:val="right"/>
              <w:ind w:right="47"/>
              <w:spacing w:after="0"/>
              <w:rPr>
                <w:sz w:val="20"/>
                <w:szCs w:val="20"/>
                <w:color w:val="auto"/>
              </w:rPr>
            </w:pPr>
            <w:r>
              <w:rPr>
                <w:rFonts w:ascii="Arial" w:cs="Arial" w:eastAsia="Arial" w:hAnsi="Arial"/>
                <w:sz w:val="15"/>
                <w:szCs w:val="15"/>
                <w:color w:val="auto"/>
              </w:rPr>
              <w:t>92%</w:t>
            </w: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93%</w:t>
            </w:r>
          </w:p>
        </w:tc>
        <w:tc>
          <w:tcPr>
            <w:tcW w:w="3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Australia</w:t>
            </w:r>
          </w:p>
        </w:tc>
        <w:tc>
          <w:tcPr>
            <w:tcW w:w="94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rPr>
              <w:t>83%</w:t>
            </w:r>
          </w:p>
        </w:tc>
        <w:tc>
          <w:tcPr>
            <w:tcW w:w="340" w:type="dxa"/>
            <w:vAlign w:val="bottom"/>
            <w:shd w:val="clear" w:color="auto" w:fill="CCEEFF"/>
          </w:tcPr>
          <w:p>
            <w:pPr>
              <w:spacing w:after="0"/>
              <w:rPr>
                <w:sz w:val="15"/>
                <w:szCs w:val="15"/>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w:t>
            </w: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420" w:type="dxa"/>
            <w:vAlign w:val="bottom"/>
          </w:tcPr>
          <w:p>
            <w:pPr>
              <w:ind w:left="520"/>
              <w:spacing w:after="0" w:line="166" w:lineRule="exact"/>
              <w:rPr>
                <w:sz w:val="20"/>
                <w:szCs w:val="20"/>
                <w:color w:val="auto"/>
              </w:rPr>
            </w:pPr>
            <w:r>
              <w:rPr>
                <w:rFonts w:ascii="Arial" w:cs="Arial" w:eastAsia="Arial" w:hAnsi="Arial"/>
                <w:sz w:val="15"/>
                <w:szCs w:val="15"/>
                <w:color w:val="auto"/>
              </w:rPr>
              <w:t>Total Occupancy in Lodges and Villages</w:t>
            </w:r>
          </w:p>
        </w:tc>
        <w:tc>
          <w:tcPr>
            <w:tcW w:w="940" w:type="dxa"/>
            <w:vAlign w:val="bottom"/>
          </w:tcPr>
          <w:p>
            <w:pPr>
              <w:spacing w:after="0"/>
              <w:rPr>
                <w:sz w:val="14"/>
                <w:szCs w:val="14"/>
                <w:color w:val="auto"/>
              </w:rPr>
            </w:pPr>
          </w:p>
        </w:tc>
        <w:tc>
          <w:tcPr>
            <w:tcW w:w="760" w:type="dxa"/>
            <w:vAlign w:val="bottom"/>
            <w:gridSpan w:val="2"/>
          </w:tcPr>
          <w:p>
            <w:pPr>
              <w:jc w:val="right"/>
              <w:ind w:right="47"/>
              <w:spacing w:after="0" w:line="166" w:lineRule="exact"/>
              <w:rPr>
                <w:sz w:val="20"/>
                <w:szCs w:val="20"/>
                <w:color w:val="auto"/>
              </w:rPr>
            </w:pPr>
            <w:r>
              <w:rPr>
                <w:rFonts w:ascii="Arial" w:cs="Arial" w:eastAsia="Arial" w:hAnsi="Arial"/>
                <w:sz w:val="15"/>
                <w:szCs w:val="15"/>
                <w:color w:val="auto"/>
              </w:rPr>
              <w:t>87%</w:t>
            </w:r>
          </w:p>
        </w:tc>
        <w:tc>
          <w:tcPr>
            <w:tcW w:w="340" w:type="dxa"/>
            <w:vAlign w:val="bottom"/>
          </w:tcPr>
          <w:p>
            <w:pPr>
              <w:spacing w:after="0"/>
              <w:rPr>
                <w:sz w:val="14"/>
                <w:szCs w:val="14"/>
                <w:color w:val="auto"/>
              </w:rPr>
            </w:pPr>
          </w:p>
        </w:tc>
        <w:tc>
          <w:tcPr>
            <w:tcW w:w="1380" w:type="dxa"/>
            <w:vAlign w:val="bottom"/>
            <w:gridSpan w:val="2"/>
          </w:tcPr>
          <w:p>
            <w:pPr>
              <w:jc w:val="right"/>
              <w:ind w:right="120"/>
              <w:spacing w:after="0" w:line="166" w:lineRule="exact"/>
              <w:rPr>
                <w:sz w:val="20"/>
                <w:szCs w:val="20"/>
                <w:color w:val="auto"/>
              </w:rPr>
            </w:pPr>
            <w:r>
              <w:rPr>
                <w:rFonts w:ascii="Arial" w:cs="Arial" w:eastAsia="Arial" w:hAnsi="Arial"/>
                <w:sz w:val="15"/>
                <w:szCs w:val="15"/>
                <w:color w:val="auto"/>
              </w:rPr>
              <w:t>93%</w:t>
            </w:r>
          </w:p>
        </w:tc>
        <w:tc>
          <w:tcPr>
            <w:tcW w:w="380" w:type="dxa"/>
            <w:vAlign w:val="bottom"/>
          </w:tcPr>
          <w:p>
            <w:pPr>
              <w:spacing w:after="0"/>
              <w:rPr>
                <w:sz w:val="14"/>
                <w:szCs w:val="14"/>
                <w:color w:val="auto"/>
              </w:rPr>
            </w:pPr>
          </w:p>
        </w:tc>
        <w:tc>
          <w:tcPr>
            <w:tcW w:w="12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42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Average Exchange Rate</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Canadian dollar to US dollar</w:t>
            </w:r>
          </w:p>
        </w:tc>
        <w:tc>
          <w:tcPr>
            <w:tcW w:w="940" w:type="dxa"/>
            <w:vAlign w:val="bottom"/>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0.9711</w:t>
            </w: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1.0006</w:t>
            </w: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20" w:type="dxa"/>
            <w:vAlign w:val="bottom"/>
          </w:tcPr>
          <w:p>
            <w:pPr>
              <w:ind w:left="240"/>
              <w:spacing w:after="0"/>
              <w:rPr>
                <w:sz w:val="20"/>
                <w:szCs w:val="20"/>
                <w:color w:val="auto"/>
              </w:rPr>
            </w:pPr>
            <w:r>
              <w:rPr>
                <w:rFonts w:ascii="Arial" w:cs="Arial" w:eastAsia="Arial" w:hAnsi="Arial"/>
                <w:sz w:val="15"/>
                <w:szCs w:val="15"/>
                <w:color w:val="auto"/>
              </w:rPr>
              <w:t>Australian dollar to US dollar</w:t>
            </w:r>
          </w:p>
        </w:tc>
        <w:tc>
          <w:tcPr>
            <w:tcW w:w="940" w:type="dxa"/>
            <w:vAlign w:val="bottom"/>
          </w:tcPr>
          <w:p>
            <w:pPr>
              <w:spacing w:after="0"/>
              <w:rPr>
                <w:sz w:val="15"/>
                <w:szCs w:val="15"/>
                <w:color w:val="auto"/>
              </w:rPr>
            </w:pPr>
          </w:p>
        </w:tc>
        <w:tc>
          <w:tcPr>
            <w:tcW w:w="760" w:type="dxa"/>
            <w:vAlign w:val="bottom"/>
            <w:gridSpan w:val="2"/>
          </w:tcPr>
          <w:p>
            <w:pPr>
              <w:jc w:val="right"/>
              <w:ind w:right="167"/>
              <w:spacing w:after="0"/>
              <w:rPr>
                <w:sz w:val="20"/>
                <w:szCs w:val="20"/>
                <w:color w:val="auto"/>
              </w:rPr>
            </w:pPr>
            <w:r>
              <w:rPr>
                <w:rFonts w:ascii="Arial" w:cs="Arial" w:eastAsia="Arial" w:hAnsi="Arial"/>
                <w:sz w:val="15"/>
                <w:szCs w:val="15"/>
                <w:color w:val="auto"/>
              </w:rPr>
              <w:t>0.9650</w:t>
            </w:r>
          </w:p>
        </w:tc>
        <w:tc>
          <w:tcPr>
            <w:tcW w:w="3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1.0359</w:t>
            </w:r>
          </w:p>
        </w:tc>
        <w:tc>
          <w:tcPr>
            <w:tcW w:w="3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1.0324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834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21" w:lineRule="exact"/>
        <w:rPr>
          <w:sz w:val="20"/>
          <w:szCs w:val="20"/>
          <w:color w:val="auto"/>
        </w:rPr>
      </w:pPr>
    </w:p>
    <w:p>
      <w:pPr>
        <w:ind w:left="260" w:hanging="253"/>
        <w:spacing w:after="0"/>
        <w:tabs>
          <w:tab w:leader="none" w:pos="26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1" w:lineRule="exact"/>
        <w:rPr>
          <w:rFonts w:ascii="Arial" w:cs="Arial" w:eastAsia="Arial" w:hAnsi="Arial"/>
          <w:sz w:val="15"/>
          <w:szCs w:val="15"/>
          <w:color w:val="auto"/>
        </w:rPr>
      </w:pPr>
    </w:p>
    <w:p>
      <w:pPr>
        <w:ind w:left="260" w:hanging="253"/>
        <w:spacing w:after="0"/>
        <w:tabs>
          <w:tab w:leader="none" w:pos="26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Average available rooms include rooms that are utilized for our personnel.</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 of service rooms.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293" w:name="page294"/>
    <w:bookmarkEnd w:id="293"/>
    <w:p>
      <w:pPr>
        <w:ind w:right="220" w:firstLine="262"/>
        <w:spacing w:after="0" w:line="259" w:lineRule="auto"/>
        <w:rPr>
          <w:sz w:val="20"/>
          <w:szCs w:val="20"/>
          <w:color w:val="auto"/>
        </w:rPr>
      </w:pPr>
      <w:r>
        <w:rPr>
          <w:rFonts w:ascii="Arial" w:cs="Arial" w:eastAsia="Arial" w:hAnsi="Arial"/>
          <w:sz w:val="15"/>
          <w:szCs w:val="15"/>
          <w:color w:val="auto"/>
        </w:rPr>
        <w:t>We have grown our average available room count by 196% since 2010 through our acquisition of The MAC as well as a disciplined capital expenditure program. Over the same period, we have more than doubled our revenue related to major villages and lodges.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Competitive Strengths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 Own, Operate model with solutions that span the lifecycle of the customers’ projects</w:t>
      </w:r>
    </w:p>
    <w:p>
      <w:pPr>
        <w:spacing w:after="0" w:line="177" w:lineRule="exact"/>
        <w:rPr>
          <w:sz w:val="20"/>
          <w:szCs w:val="20"/>
          <w:color w:val="auto"/>
        </w:rPr>
      </w:pPr>
    </w:p>
    <w:p>
      <w:pPr>
        <w:ind w:firstLine="262"/>
        <w:spacing w:after="0" w:line="265" w:lineRule="auto"/>
        <w:rPr>
          <w:sz w:val="20"/>
          <w:szCs w:val="20"/>
          <w:color w:val="auto"/>
        </w:rPr>
      </w:pPr>
      <w:r>
        <w:rPr>
          <w:rFonts w:ascii="Arial" w:cs="Arial" w:eastAsia="Arial" w:hAnsi="Arial"/>
          <w:sz w:val="14"/>
          <w:szCs w:val="14"/>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52" w:lineRule="exact"/>
        <w:rPr>
          <w:sz w:val="20"/>
          <w:szCs w:val="20"/>
          <w:color w:val="auto"/>
        </w:rPr>
      </w:pPr>
    </w:p>
    <w:p>
      <w:pPr>
        <w:ind w:right="20" w:firstLine="262"/>
        <w:spacing w:after="0" w:line="267" w:lineRule="auto"/>
        <w:rPr>
          <w:sz w:val="20"/>
          <w:szCs w:val="20"/>
          <w:color w:val="auto"/>
        </w:rPr>
      </w:pPr>
      <w:r>
        <w:rPr>
          <w:rFonts w:ascii="Arial" w:cs="Arial" w:eastAsia="Arial" w:hAnsi="Arial"/>
          <w:sz w:val="14"/>
          <w:szCs w:val="14"/>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Reputation and experience</w:t>
      </w:r>
    </w:p>
    <w:p>
      <w:pPr>
        <w:spacing w:after="0" w:line="177" w:lineRule="exact"/>
        <w:rPr>
          <w:sz w:val="20"/>
          <w:szCs w:val="20"/>
          <w:color w:val="auto"/>
        </w:rPr>
      </w:pPr>
    </w:p>
    <w:p>
      <w:pPr>
        <w:ind w:right="140" w:firstLine="262"/>
        <w:spacing w:after="0" w:line="264" w:lineRule="auto"/>
        <w:rPr>
          <w:sz w:val="20"/>
          <w:szCs w:val="20"/>
          <w:color w:val="auto"/>
        </w:rPr>
      </w:pPr>
      <w:r>
        <w:rPr>
          <w:rFonts w:ascii="Arial" w:cs="Arial" w:eastAsia="Arial" w:hAnsi="Arial"/>
          <w:sz w:val="14"/>
          <w:szCs w:val="14"/>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High quality asset base in areas with long term visibility creates a more stable revenue base</w:t>
      </w:r>
    </w:p>
    <w:p>
      <w:pPr>
        <w:spacing w:after="0" w:line="177" w:lineRule="exact"/>
        <w:rPr>
          <w:sz w:val="20"/>
          <w:szCs w:val="20"/>
          <w:color w:val="auto"/>
        </w:rPr>
      </w:pPr>
    </w:p>
    <w:p>
      <w:pPr>
        <w:ind w:right="40" w:firstLine="262"/>
        <w:spacing w:after="0" w:line="269" w:lineRule="auto"/>
        <w:rPr>
          <w:sz w:val="20"/>
          <w:szCs w:val="20"/>
          <w:color w:val="auto"/>
        </w:rPr>
      </w:pPr>
      <w:r>
        <w:rPr>
          <w:rFonts w:ascii="Arial" w:cs="Arial" w:eastAsia="Arial" w:hAnsi="Arial"/>
          <w:sz w:val="14"/>
          <w:szCs w:val="14"/>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294" w:name="page295"/>
    <w:bookmarkEnd w:id="294"/>
    <w:p>
      <w:pPr>
        <w:ind w:firstLine="262"/>
        <w:spacing w:after="0" w:line="320" w:lineRule="auto"/>
        <w:rPr>
          <w:sz w:val="20"/>
          <w:szCs w:val="20"/>
          <w:color w:val="auto"/>
        </w:rPr>
      </w:pPr>
      <w:r>
        <w:rPr>
          <w:rFonts w:ascii="Arial" w:cs="Arial" w:eastAsia="Arial" w:hAnsi="Arial"/>
          <w:sz w:val="12"/>
          <w:szCs w:val="12"/>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Land banking focus with a pipeline of approved developments</w:t>
      </w:r>
    </w:p>
    <w:p>
      <w:pPr>
        <w:spacing w:after="0" w:line="177" w:lineRule="exact"/>
        <w:rPr>
          <w:sz w:val="20"/>
          <w:szCs w:val="20"/>
          <w:color w:val="auto"/>
        </w:rPr>
      </w:pPr>
    </w:p>
    <w:p>
      <w:pPr>
        <w:ind w:firstLine="262"/>
        <w:spacing w:after="0" w:line="330" w:lineRule="auto"/>
        <w:rPr>
          <w:sz w:val="20"/>
          <w:szCs w:val="20"/>
          <w:color w:val="auto"/>
        </w:rPr>
      </w:pPr>
      <w:r>
        <w:rPr>
          <w:rFonts w:ascii="Arial" w:cs="Arial" w:eastAsia="Arial" w:hAnsi="Arial"/>
          <w:sz w:val="12"/>
          <w:szCs w:val="12"/>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build large-scale accommodation facilities without firm customer commitments.</w:t>
      </w:r>
    </w:p>
    <w:p>
      <w:pPr>
        <w:spacing w:after="0" w:line="115" w:lineRule="exact"/>
        <w:rPr>
          <w:sz w:val="20"/>
          <w:szCs w:val="20"/>
          <w:color w:val="auto"/>
        </w:rPr>
      </w:pPr>
    </w:p>
    <w:p>
      <w:pPr>
        <w:ind w:right="120" w:firstLine="262"/>
        <w:spacing w:after="0" w:line="330" w:lineRule="auto"/>
        <w:rPr>
          <w:sz w:val="20"/>
          <w:szCs w:val="20"/>
          <w:color w:val="auto"/>
        </w:rPr>
      </w:pPr>
      <w:r>
        <w:rPr>
          <w:rFonts w:ascii="Arial" w:cs="Arial" w:eastAsia="Arial" w:hAnsi="Arial"/>
          <w:sz w:val="12"/>
          <w:szCs w:val="12"/>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 necessary permitting and regulatory approvals. We believe this will allow us to respond promptly to future room demand in emerging regions.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Significant operational and financial scale</w:t>
      </w:r>
    </w:p>
    <w:p>
      <w:pPr>
        <w:spacing w:after="0" w:line="177" w:lineRule="exact"/>
        <w:rPr>
          <w:sz w:val="20"/>
          <w:szCs w:val="20"/>
          <w:color w:val="auto"/>
        </w:rPr>
      </w:pPr>
    </w:p>
    <w:p>
      <w:pPr>
        <w:ind w:right="20" w:firstLine="262"/>
        <w:spacing w:after="0" w:line="315" w:lineRule="auto"/>
        <w:rPr>
          <w:sz w:val="20"/>
          <w:szCs w:val="20"/>
          <w:color w:val="auto"/>
        </w:rPr>
      </w:pPr>
      <w:r>
        <w:rPr>
          <w:rFonts w:ascii="Arial" w:cs="Arial" w:eastAsia="Arial" w:hAnsi="Arial"/>
          <w:sz w:val="12"/>
          <w:szCs w:val="12"/>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00"/>
          </w:cols>
          <w:pgMar w:left="220" w:top="501" w:right="279"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b w:val="1"/>
          <w:bCs w:val="1"/>
          <w:u w:val="single" w:color="auto"/>
          <w:color w:val="auto"/>
        </w:rPr>
        <w:t>Our Business Strategy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Pursue growth in existing markets through existing and undeveloped locations</w:t>
      </w:r>
    </w:p>
    <w:p>
      <w:pPr>
        <w:spacing w:after="0" w:line="177" w:lineRule="exact"/>
        <w:rPr>
          <w:sz w:val="20"/>
          <w:szCs w:val="20"/>
          <w:color w:val="auto"/>
        </w:rPr>
      </w:pPr>
    </w:p>
    <w:p>
      <w:pPr>
        <w:ind w:right="140" w:firstLine="262"/>
        <w:spacing w:after="0" w:line="267" w:lineRule="auto"/>
        <w:rPr>
          <w:sz w:val="20"/>
          <w:szCs w:val="20"/>
          <w:color w:val="auto"/>
        </w:rPr>
      </w:pPr>
      <w:r>
        <w:rPr>
          <w:rFonts w:ascii="Arial" w:cs="Arial" w:eastAsia="Arial" w:hAnsi="Arial"/>
          <w:sz w:val="14"/>
          <w:szCs w:val="14"/>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an early mover in regions with emerging accommodation demand.</w:t>
      </w:r>
    </w:p>
    <w:p>
      <w:pPr>
        <w:spacing w:after="0" w:line="149" w:lineRule="exact"/>
        <w:rPr>
          <w:sz w:val="20"/>
          <w:szCs w:val="20"/>
          <w:color w:val="auto"/>
        </w:rPr>
      </w:pPr>
    </w:p>
    <w:p>
      <w:pPr>
        <w:ind w:firstLine="262"/>
        <w:spacing w:after="0" w:line="269" w:lineRule="auto"/>
        <w:rPr>
          <w:sz w:val="20"/>
          <w:szCs w:val="20"/>
          <w:color w:val="auto"/>
        </w:rPr>
      </w:pPr>
      <w:r>
        <w:rPr>
          <w:rFonts w:ascii="Arial" w:cs="Arial" w:eastAsia="Arial" w:hAnsi="Arial"/>
          <w:sz w:val="14"/>
          <w:szCs w:val="14"/>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discipline based on returns focused investment and flexible financial structure</w:t>
      </w:r>
    </w:p>
    <w:p>
      <w:pPr>
        <w:spacing w:after="0" w:line="177" w:lineRule="exact"/>
        <w:rPr>
          <w:sz w:val="20"/>
          <w:szCs w:val="20"/>
          <w:color w:val="auto"/>
        </w:rPr>
      </w:pPr>
    </w:p>
    <w:p>
      <w:pPr>
        <w:ind w:right="80" w:firstLine="262"/>
        <w:spacing w:after="0" w:line="271" w:lineRule="auto"/>
        <w:rPr>
          <w:sz w:val="20"/>
          <w:szCs w:val="20"/>
          <w:color w:val="auto"/>
        </w:rPr>
      </w:pPr>
      <w:r>
        <w:rPr>
          <w:rFonts w:ascii="Arial" w:cs="Arial" w:eastAsia="Arial" w:hAnsi="Arial"/>
          <w:sz w:val="14"/>
          <w:szCs w:val="14"/>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47" w:lineRule="exact"/>
        <w:rPr>
          <w:sz w:val="20"/>
          <w:szCs w:val="20"/>
          <w:color w:val="auto"/>
        </w:rPr>
      </w:pPr>
    </w:p>
    <w:p>
      <w:pPr>
        <w:ind w:right="220" w:firstLine="262"/>
        <w:spacing w:after="0" w:line="277" w:lineRule="auto"/>
        <w:rPr>
          <w:sz w:val="20"/>
          <w:szCs w:val="20"/>
          <w:color w:val="auto"/>
        </w:rPr>
      </w:pPr>
      <w:r>
        <w:rPr>
          <w:rFonts w:ascii="Arial" w:cs="Arial" w:eastAsia="Arial" w:hAnsi="Arial"/>
          <w:sz w:val="14"/>
          <w:szCs w:val="14"/>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Selectively pursue acquisition opportunities</w:t>
      </w:r>
    </w:p>
    <w:p>
      <w:pPr>
        <w:spacing w:after="0" w:line="177" w:lineRule="exact"/>
        <w:rPr>
          <w:sz w:val="20"/>
          <w:szCs w:val="20"/>
          <w:color w:val="auto"/>
        </w:rPr>
      </w:pPr>
    </w:p>
    <w:p>
      <w:pPr>
        <w:jc w:val="both"/>
        <w:ind w:right="320" w:firstLine="262"/>
        <w:spacing w:after="0" w:line="251" w:lineRule="auto"/>
        <w:rPr>
          <w:sz w:val="20"/>
          <w:szCs w:val="20"/>
          <w:color w:val="auto"/>
        </w:rPr>
      </w:pPr>
      <w:r>
        <w:rPr>
          <w:rFonts w:ascii="Arial" w:cs="Arial" w:eastAsia="Arial" w:hAnsi="Arial"/>
          <w:sz w:val="15"/>
          <w:szCs w:val="15"/>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158" w:lineRule="exact"/>
        <w:rPr>
          <w:sz w:val="20"/>
          <w:szCs w:val="20"/>
          <w:color w:val="auto"/>
        </w:rPr>
      </w:pPr>
    </w:p>
    <w:p>
      <w:pPr>
        <w:ind w:right="60" w:firstLine="262"/>
        <w:spacing w:after="0" w:line="343" w:lineRule="auto"/>
        <w:rPr>
          <w:sz w:val="20"/>
          <w:szCs w:val="20"/>
          <w:color w:val="auto"/>
        </w:rPr>
      </w:pPr>
      <w:r>
        <w:rPr>
          <w:rFonts w:ascii="Arial" w:cs="Arial" w:eastAsia="Arial" w:hAnsi="Arial"/>
          <w:sz w:val="12"/>
          <w:szCs w:val="12"/>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296" w:name="page297"/>
    <w:bookmarkEnd w:id="296"/>
    <w:p>
      <w:pPr>
        <w:spacing w:after="0"/>
        <w:rPr>
          <w:sz w:val="20"/>
          <w:szCs w:val="20"/>
          <w:color w:val="auto"/>
        </w:rPr>
      </w:pPr>
      <w:r>
        <w:rPr>
          <w:rFonts w:ascii="Arial" w:cs="Arial" w:eastAsia="Arial" w:hAnsi="Arial"/>
          <w:sz w:val="15"/>
          <w:szCs w:val="15"/>
          <w:b w:val="1"/>
          <w:bCs w:val="1"/>
          <w:i w:val="1"/>
          <w:iCs w:val="1"/>
          <w:color w:val="auto"/>
        </w:rPr>
        <w:t>Pursue growth into new segments and sectors</w:t>
      </w:r>
    </w:p>
    <w:p>
      <w:pPr>
        <w:spacing w:after="0" w:line="177" w:lineRule="exact"/>
        <w:rPr>
          <w:sz w:val="20"/>
          <w:szCs w:val="20"/>
          <w:color w:val="auto"/>
        </w:rPr>
      </w:pPr>
    </w:p>
    <w:p>
      <w:pPr>
        <w:ind w:right="20" w:firstLine="262"/>
        <w:spacing w:after="0" w:line="277" w:lineRule="auto"/>
        <w:rPr>
          <w:sz w:val="20"/>
          <w:szCs w:val="20"/>
          <w:color w:val="auto"/>
        </w:rPr>
      </w:pPr>
      <w:r>
        <w:rPr>
          <w:rFonts w:ascii="Arial" w:cs="Arial" w:eastAsia="Arial" w:hAnsi="Arial"/>
          <w:sz w:val="14"/>
          <w:szCs w:val="14"/>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42" w:lineRule="exact"/>
        <w:rPr>
          <w:sz w:val="20"/>
          <w:szCs w:val="20"/>
          <w:color w:val="auto"/>
        </w:rPr>
      </w:pPr>
    </w:p>
    <w:p>
      <w:pPr>
        <w:ind w:right="180" w:firstLine="262"/>
        <w:spacing w:after="0" w:line="343" w:lineRule="auto"/>
        <w:rPr>
          <w:sz w:val="20"/>
          <w:szCs w:val="20"/>
          <w:color w:val="auto"/>
        </w:rPr>
      </w:pPr>
      <w:r>
        <w:rPr>
          <w:rFonts w:ascii="Arial" w:cs="Arial" w:eastAsia="Arial" w:hAnsi="Arial"/>
          <w:sz w:val="12"/>
          <w:szCs w:val="12"/>
          <w:color w:val="auto"/>
        </w:rPr>
        <w:t>Additionally, we have opportunities to provide additional personnel related services to our existing customer base. As a trusted partner on issues related to people and as an expert in remote workforce logistics, we are assessing the opportunity to manage or assist in the logistics of our guests’ journey from home to our properties to work and back home, including reservations management, flight centers and bus terminals. We believe that the spin-off will enhance our ability to enter new sectors and expand our logistical services to the customer.</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History</w:t>
      </w:r>
    </w:p>
    <w:p>
      <w:pPr>
        <w:spacing w:after="0" w:line="181"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161" w:lineRule="exact"/>
        <w:rPr>
          <w:sz w:val="20"/>
          <w:szCs w:val="20"/>
          <w:color w:val="auto"/>
        </w:rPr>
      </w:pPr>
    </w:p>
    <w:p>
      <w:pPr>
        <w:ind w:right="140" w:firstLine="262"/>
        <w:spacing w:after="0" w:line="324" w:lineRule="auto"/>
        <w:rPr>
          <w:sz w:val="20"/>
          <w:szCs w:val="20"/>
          <w:color w:val="auto"/>
        </w:rPr>
      </w:pPr>
      <w:r>
        <w:rPr>
          <w:rFonts w:ascii="Arial" w:cs="Arial" w:eastAsia="Arial" w:hAnsi="Arial"/>
          <w:sz w:val="12"/>
          <w:szCs w:val="12"/>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118"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158"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62" w:lineRule="exact"/>
        <w:rPr>
          <w:sz w:val="20"/>
          <w:szCs w:val="20"/>
          <w:color w:val="auto"/>
        </w:rPr>
      </w:pPr>
    </w:p>
    <w:p>
      <w:pPr>
        <w:ind w:right="220" w:firstLine="262"/>
        <w:spacing w:after="0" w:line="269" w:lineRule="auto"/>
        <w:rPr>
          <w:sz w:val="20"/>
          <w:szCs w:val="20"/>
          <w:color w:val="auto"/>
        </w:rPr>
      </w:pPr>
      <w:r>
        <w:rPr>
          <w:rFonts w:ascii="Arial" w:cs="Arial" w:eastAsia="Arial" w:hAnsi="Arial"/>
          <w:sz w:val="14"/>
          <w:szCs w:val="14"/>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b w:val="1"/>
          <w:bCs w:val="1"/>
          <w:u w:val="single" w:color="auto"/>
          <w:color w:val="auto"/>
        </w:rPr>
        <w:t>Our Industry</w:t>
      </w:r>
    </w:p>
    <w:p>
      <w:pPr>
        <w:spacing w:after="0" w:line="181" w:lineRule="exact"/>
        <w:rPr>
          <w:sz w:val="20"/>
          <w:szCs w:val="20"/>
          <w:color w:val="auto"/>
        </w:rPr>
      </w:pPr>
    </w:p>
    <w:p>
      <w:pPr>
        <w:ind w:right="80" w:firstLine="262"/>
        <w:spacing w:after="0" w:line="246" w:lineRule="auto"/>
        <w:rPr>
          <w:sz w:val="20"/>
          <w:szCs w:val="20"/>
          <w:color w:val="auto"/>
        </w:rPr>
      </w:pPr>
      <w:r>
        <w:rPr>
          <w:rFonts w:ascii="Arial" w:cs="Arial" w:eastAsia="Arial" w:hAnsi="Arial"/>
          <w:sz w:val="15"/>
          <w:szCs w:val="15"/>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163" w:lineRule="exact"/>
        <w:rPr>
          <w:sz w:val="20"/>
          <w:szCs w:val="20"/>
          <w:color w:val="auto"/>
        </w:rPr>
      </w:pPr>
    </w:p>
    <w:p>
      <w:pPr>
        <w:ind w:right="220" w:firstLine="262"/>
        <w:spacing w:after="0" w:line="343" w:lineRule="auto"/>
        <w:rPr>
          <w:sz w:val="20"/>
          <w:szCs w:val="20"/>
          <w:color w:val="auto"/>
        </w:rPr>
      </w:pPr>
      <w:r>
        <w:rPr>
          <w:rFonts w:ascii="Arial" w:cs="Arial" w:eastAsia="Arial" w:hAnsi="Arial"/>
          <w:sz w:val="12"/>
          <w:szCs w:val="12"/>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08" w:lineRule="exact"/>
        <w:rPr>
          <w:sz w:val="20"/>
          <w:szCs w:val="20"/>
          <w:color w:val="auto"/>
        </w:rPr>
      </w:pPr>
    </w:p>
    <w:p>
      <w:pPr>
        <w:ind w:right="200" w:firstLine="262"/>
        <w:spacing w:after="0" w:line="251" w:lineRule="auto"/>
        <w:rPr>
          <w:sz w:val="20"/>
          <w:szCs w:val="20"/>
          <w:color w:val="auto"/>
        </w:rPr>
      </w:pPr>
      <w:r>
        <w:rPr>
          <w:rFonts w:ascii="Arial" w:cs="Arial" w:eastAsia="Arial" w:hAnsi="Arial"/>
          <w:sz w:val="15"/>
          <w:szCs w:val="15"/>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w:t>
      </w:r>
    </w:p>
    <w:p>
      <w:pPr>
        <w:spacing w:after="0" w:line="158" w:lineRule="exact"/>
        <w:rPr>
          <w:sz w:val="20"/>
          <w:szCs w:val="20"/>
          <w:color w:val="auto"/>
        </w:rPr>
      </w:pPr>
    </w:p>
    <w:p>
      <w:pPr>
        <w:ind w:right="60" w:firstLine="262"/>
        <w:spacing w:after="0" w:line="251" w:lineRule="auto"/>
        <w:rPr>
          <w:sz w:val="20"/>
          <w:szCs w:val="20"/>
          <w:color w:val="auto"/>
        </w:rPr>
      </w:pPr>
      <w:r>
        <w:rPr>
          <w:rFonts w:ascii="Arial" w:cs="Arial" w:eastAsia="Arial" w:hAnsi="Arial"/>
          <w:sz w:val="15"/>
          <w:szCs w:val="15"/>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ten years, customers have moved away from the insourcing business model recognizing that accommodations are non-core investments for their business.</w:t>
      </w:r>
    </w:p>
    <w:p>
      <w:pPr>
        <w:spacing w:after="0" w:line="158"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55" w:lineRule="exact"/>
        <w:rPr>
          <w:sz w:val="20"/>
          <w:szCs w:val="20"/>
          <w:color w:val="auto"/>
        </w:rPr>
      </w:pPr>
    </w:p>
    <w:p>
      <w:pPr>
        <w:ind w:right="20" w:firstLine="262"/>
        <w:spacing w:after="0" w:line="265" w:lineRule="auto"/>
        <w:rPr>
          <w:sz w:val="20"/>
          <w:szCs w:val="20"/>
          <w:color w:val="auto"/>
        </w:rPr>
      </w:pPr>
      <w:r>
        <w:rPr>
          <w:rFonts w:ascii="Arial" w:cs="Arial" w:eastAsia="Arial" w:hAnsi="Arial"/>
          <w:sz w:val="14"/>
          <w:szCs w:val="14"/>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7" w:right="239" w:bottom="1440" w:gutter="0" w:footer="0" w:header="0"/>
        </w:sectPr>
      </w:pPr>
    </w:p>
    <w:bookmarkStart w:id="298" w:name="page299"/>
    <w:bookmarkEnd w:id="298"/>
    <w:p>
      <w:pPr>
        <w:spacing w:after="0"/>
        <w:rPr>
          <w:sz w:val="20"/>
          <w:szCs w:val="20"/>
          <w:color w:val="auto"/>
        </w:rPr>
      </w:pPr>
      <w:r>
        <w:rPr>
          <w:rFonts w:ascii="Arial" w:cs="Arial" w:eastAsia="Arial" w:hAnsi="Arial"/>
          <w:sz w:val="15"/>
          <w:szCs w:val="15"/>
          <w:b w:val="1"/>
          <w:bCs w:val="1"/>
          <w:u w:val="single" w:color="auto"/>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7" w:lineRule="exact"/>
        <w:rPr>
          <w:sz w:val="20"/>
          <w:szCs w:val="20"/>
          <w:color w:val="auto"/>
        </w:rPr>
      </w:pPr>
    </w:p>
    <w:p>
      <w:pPr>
        <w:ind w:right="380" w:firstLine="262"/>
        <w:spacing w:after="0" w:line="343" w:lineRule="auto"/>
        <w:rPr>
          <w:sz w:val="20"/>
          <w:szCs w:val="20"/>
          <w:color w:val="auto"/>
        </w:rPr>
      </w:pPr>
      <w:r>
        <w:rPr>
          <w:rFonts w:ascii="Arial" w:cs="Arial" w:eastAsia="Arial" w:hAnsi="Arial"/>
          <w:sz w:val="12"/>
          <w:szCs w:val="12"/>
          <w:color w:val="auto"/>
        </w:rPr>
        <w:t>During the year ended December 31, 2013, we generated approximately 68% of our revenue and 74% of our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Market</w:t>
      </w:r>
    </w:p>
    <w:p>
      <w:pPr>
        <w:spacing w:after="0" w:line="177" w:lineRule="exact"/>
        <w:rPr>
          <w:sz w:val="20"/>
          <w:szCs w:val="20"/>
          <w:color w:val="auto"/>
        </w:rPr>
      </w:pPr>
    </w:p>
    <w:p>
      <w:pPr>
        <w:jc w:val="both"/>
        <w:ind w:right="100" w:firstLine="262"/>
        <w:spacing w:after="0" w:line="343" w:lineRule="auto"/>
        <w:rPr>
          <w:sz w:val="20"/>
          <w:szCs w:val="20"/>
          <w:color w:val="auto"/>
        </w:rPr>
      </w:pPr>
      <w:r>
        <w:rPr>
          <w:rFonts w:ascii="Arial" w:cs="Arial" w:eastAsia="Arial" w:hAnsi="Arial"/>
          <w:sz w:val="12"/>
          <w:szCs w:val="12"/>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08" w:lineRule="exact"/>
        <w:rPr>
          <w:sz w:val="20"/>
          <w:szCs w:val="20"/>
          <w:color w:val="auto"/>
        </w:rPr>
      </w:pPr>
    </w:p>
    <w:p>
      <w:pPr>
        <w:ind w:right="40" w:firstLine="262"/>
        <w:spacing w:after="0" w:line="271" w:lineRule="auto"/>
        <w:rPr>
          <w:sz w:val="20"/>
          <w:szCs w:val="20"/>
          <w:color w:val="auto"/>
        </w:rPr>
      </w:pPr>
      <w:r>
        <w:rPr>
          <w:rFonts w:ascii="Arial" w:cs="Arial" w:eastAsia="Arial" w:hAnsi="Arial"/>
          <w:sz w:val="14"/>
          <w:szCs w:val="14"/>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km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47" w:lineRule="exact"/>
        <w:rPr>
          <w:sz w:val="20"/>
          <w:szCs w:val="20"/>
          <w:color w:val="auto"/>
        </w:rPr>
      </w:pPr>
    </w:p>
    <w:p>
      <w:pPr>
        <w:ind w:firstLine="262"/>
        <w:spacing w:after="0" w:line="315" w:lineRule="auto"/>
        <w:rPr>
          <w:sz w:val="20"/>
          <w:szCs w:val="20"/>
          <w:color w:val="auto"/>
        </w:rPr>
      </w:pPr>
      <w:r>
        <w:rPr>
          <w:rFonts w:ascii="Arial" w:cs="Arial" w:eastAsia="Arial" w:hAnsi="Arial"/>
          <w:sz w:val="12"/>
          <w:szCs w:val="12"/>
          <w:color w:val="auto"/>
        </w:rPr>
        <w:t xml:space="preserve">Activity in the Athabasca oil sands region generated over three-fourths of our Canadian revenue in 2013.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2"/>
          <w:szCs w:val="12"/>
          <w:i w:val="1"/>
          <w:iCs w:val="1"/>
          <w:color w:val="auto"/>
        </w:rPr>
        <w:t>in situ</w:t>
      </w:r>
      <w:r>
        <w:rPr>
          <w:rFonts w:ascii="Arial" w:cs="Arial" w:eastAsia="Arial" w:hAnsi="Arial"/>
          <w:sz w:val="12"/>
          <w:szCs w:val="12"/>
          <w:color w:val="auto"/>
        </w:rPr>
        <w:t xml:space="preserve"> operations and pipeline expansion activity. </w:t>
      </w:r>
      <w:r>
        <w:rPr>
          <w:rFonts w:ascii="Arial" w:cs="Arial" w:eastAsia="Arial" w:hAnsi="Arial"/>
          <w:sz w:val="12"/>
          <w:szCs w:val="12"/>
          <w:i w:val="1"/>
          <w:iCs w:val="1"/>
          <w:color w:val="auto"/>
        </w:rPr>
        <w:t>In situ</w:t>
      </w:r>
      <w:r>
        <w:rPr>
          <w:rFonts w:ascii="Arial" w:cs="Arial" w:eastAsia="Arial" w:hAnsi="Arial"/>
          <w:sz w:val="12"/>
          <w:szCs w:val="12"/>
          <w:color w:val="auto"/>
        </w:rPr>
        <w:t xml:space="preserve"> methods are used on reserves that are too deep for traditional mining methods. </w:t>
      </w:r>
      <w:r>
        <w:rPr>
          <w:rFonts w:ascii="Arial" w:cs="Arial" w:eastAsia="Arial" w:hAnsi="Arial"/>
          <w:sz w:val="12"/>
          <w:szCs w:val="12"/>
          <w:i w:val="1"/>
          <w:iCs w:val="1"/>
          <w:color w:val="auto"/>
        </w:rPr>
        <w:t>In situ</w:t>
      </w:r>
      <w:r>
        <w:rPr>
          <w:rFonts w:ascii="Arial" w:cs="Arial" w:eastAsia="Arial" w:hAnsi="Arial"/>
          <w:sz w:val="12"/>
          <w:szCs w:val="12"/>
          <w:color w:val="auto"/>
        </w:rPr>
        <w:t xml:space="preserve"> technology typically injects steam to the deep oil sands in place to separate the bitumen from the sand and pumps it to the surface where it undergoes the same upgrading treatment as the mined bitumen. Reserves requiring </w:t>
      </w:r>
      <w:r>
        <w:rPr>
          <w:rFonts w:ascii="Arial" w:cs="Arial" w:eastAsia="Arial" w:hAnsi="Arial"/>
          <w:sz w:val="12"/>
          <w:szCs w:val="12"/>
          <w:i w:val="1"/>
          <w:iCs w:val="1"/>
          <w:color w:val="auto"/>
        </w:rPr>
        <w:t>in situ</w:t>
      </w:r>
      <w:r>
        <w:rPr>
          <w:rFonts w:ascii="Arial" w:cs="Arial" w:eastAsia="Arial" w:hAnsi="Arial"/>
          <w:sz w:val="12"/>
          <w:szCs w:val="12"/>
          <w:color w:val="auto"/>
        </w:rPr>
        <w:t xml:space="preserve"> techniques of extraction represent 80% of the established recoverable reserves in Alberta. </w:t>
      </w:r>
      <w:r>
        <w:rPr>
          <w:rFonts w:ascii="Arial" w:cs="Arial" w:eastAsia="Arial" w:hAnsi="Arial"/>
          <w:sz w:val="12"/>
          <w:szCs w:val="12"/>
          <w:i w:val="1"/>
          <w:iCs w:val="1"/>
          <w:color w:val="auto"/>
        </w:rPr>
        <w:t>In situ</w:t>
      </w:r>
      <w:r>
        <w:rPr>
          <w:rFonts w:ascii="Arial" w:cs="Arial" w:eastAsia="Arial" w:hAnsi="Arial"/>
          <w:sz w:val="12"/>
          <w:szCs w:val="12"/>
          <w:color w:val="auto"/>
        </w:rPr>
        <w:t xml:space="preserve"> operations generally require less capital and personnel and produce lower volumes of bitumen per development, with higher ongoing operating expense per barrel of bitumen produced.</w:t>
      </w:r>
    </w:p>
    <w:p>
      <w:pPr>
        <w:spacing w:after="0" w:line="125" w:lineRule="exact"/>
        <w:rPr>
          <w:sz w:val="20"/>
          <w:szCs w:val="20"/>
          <w:color w:val="auto"/>
        </w:rPr>
      </w:pPr>
    </w:p>
    <w:p>
      <w:pPr>
        <w:ind w:right="80" w:firstLine="262"/>
        <w:spacing w:after="0" w:line="277" w:lineRule="auto"/>
        <w:rPr>
          <w:sz w:val="20"/>
          <w:szCs w:val="20"/>
          <w:color w:val="auto"/>
        </w:rPr>
      </w:pPr>
      <w:r>
        <w:rPr>
          <w:rFonts w:ascii="Arial" w:cs="Arial" w:eastAsia="Arial" w:hAnsi="Arial"/>
          <w:sz w:val="14"/>
          <w:szCs w:val="14"/>
          <w:color w:val="auto"/>
        </w:rPr>
        <w:t>In February 2014, Oil States announced that our Canadian segment had begun construction on McClelland Lake Lodge in the northern Athabasca oil sands. The lodge will have an initial capacity of 1,561 rooms and the potential to reach 1,997 rooms. We plan to open the lodge in the summer of 2014 and reach our full initial capacity in the fourth quarter of 2014. McClelland Lake Lodge will initially support a new oil sands mining project in the region under a three-year contract for the majority of the rentable rooms.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299" w:name="page300"/>
    <w:bookmarkEnd w:id="299"/>
    <w:p>
      <w:pPr>
        <w:spacing w:after="0"/>
        <w:rPr>
          <w:sz w:val="20"/>
          <w:szCs w:val="20"/>
          <w:color w:val="auto"/>
        </w:rPr>
      </w:pPr>
      <w:r>
        <w:rPr>
          <w:rFonts w:ascii="Arial" w:cs="Arial" w:eastAsia="Arial" w:hAnsi="Arial"/>
          <w:sz w:val="15"/>
          <w:szCs w:val="15"/>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133350</wp:posOffset>
            </wp:positionV>
            <wp:extent cx="2803525" cy="19983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0352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080" w:type="dxa"/>
            <w:vAlign w:val="bottom"/>
          </w:tcPr>
          <w:p>
            <w:pPr>
              <w:ind w:left="240"/>
              <w:spacing w:after="0"/>
              <w:rPr>
                <w:sz w:val="20"/>
                <w:szCs w:val="20"/>
                <w:color w:val="auto"/>
              </w:rPr>
            </w:pPr>
            <w:r>
              <w:rPr>
                <w:rFonts w:ascii="Arial" w:cs="Arial" w:eastAsia="Arial" w:hAnsi="Arial"/>
                <w:sz w:val="15"/>
                <w:szCs w:val="15"/>
                <w:i w:val="1"/>
                <w:iCs w:val="1"/>
                <w:color w:val="auto"/>
              </w:rPr>
              <w:t>Rooms in our Canadian Lodges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280"/>
              <w:spacing w:after="0"/>
              <w:rPr>
                <w:sz w:val="20"/>
                <w:szCs w:val="20"/>
                <w:color w:val="auto"/>
              </w:rPr>
            </w:pPr>
            <w:r>
              <w:rPr>
                <w:rFonts w:ascii="Arial" w:cs="Arial" w:eastAsia="Arial" w:hAnsi="Arial"/>
                <w:sz w:val="15"/>
                <w:szCs w:val="15"/>
                <w:b w:val="1"/>
                <w:bCs w:val="1"/>
                <w:color w:val="auto"/>
              </w:rPr>
              <w:t>Extraction</w:t>
            </w: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80" w:type="dxa"/>
            <w:vAlign w:val="bottom"/>
            <w:tcBorders>
              <w:bottom w:val="single" w:sz="8" w:color="auto"/>
            </w:tcBorders>
          </w:tcPr>
          <w:p>
            <w:pPr>
              <w:ind w:left="1320"/>
              <w:spacing w:after="0" w:line="166" w:lineRule="exact"/>
              <w:rPr>
                <w:sz w:val="20"/>
                <w:szCs w:val="20"/>
                <w:color w:val="auto"/>
              </w:rPr>
            </w:pPr>
            <w:r>
              <w:rPr>
                <w:rFonts w:ascii="Arial" w:cs="Arial" w:eastAsia="Arial" w:hAnsi="Arial"/>
                <w:sz w:val="15"/>
                <w:szCs w:val="15"/>
                <w:b w:val="1"/>
                <w:bCs w:val="1"/>
                <w:color w:val="auto"/>
              </w:rPr>
              <w:t>Lodges</w:t>
            </w:r>
          </w:p>
        </w:tc>
        <w:tc>
          <w:tcPr>
            <w:tcW w:w="100" w:type="dxa"/>
            <w:vAlign w:val="bottom"/>
          </w:tcPr>
          <w:p>
            <w:pPr>
              <w:spacing w:after="0"/>
              <w:rPr>
                <w:sz w:val="14"/>
                <w:szCs w:val="14"/>
                <w:color w:val="auto"/>
              </w:rPr>
            </w:pPr>
          </w:p>
        </w:tc>
        <w:tc>
          <w:tcPr>
            <w:tcW w:w="1260" w:type="dxa"/>
            <w:vAlign w:val="bottom"/>
            <w:tcBorders>
              <w:bottom w:val="single" w:sz="8" w:color="auto"/>
            </w:tcBorders>
          </w:tcPr>
          <w:p>
            <w:pPr>
              <w:ind w:left="420"/>
              <w:spacing w:after="0" w:line="166" w:lineRule="exact"/>
              <w:rPr>
                <w:sz w:val="20"/>
                <w:szCs w:val="20"/>
                <w:color w:val="auto"/>
              </w:rPr>
            </w:pPr>
            <w:r>
              <w:rPr>
                <w:rFonts w:ascii="Arial" w:cs="Arial" w:eastAsia="Arial" w:hAnsi="Arial"/>
                <w:sz w:val="15"/>
                <w:szCs w:val="15"/>
                <w:b w:val="1"/>
                <w:bCs w:val="1"/>
                <w:color w:val="auto"/>
              </w:rPr>
              <w:t>Region</w:t>
            </w:r>
          </w:p>
        </w:tc>
        <w:tc>
          <w:tcPr>
            <w:tcW w:w="220" w:type="dxa"/>
            <w:vAlign w:val="bottom"/>
          </w:tcPr>
          <w:p>
            <w:pPr>
              <w:spacing w:after="0"/>
              <w:rPr>
                <w:sz w:val="14"/>
                <w:szCs w:val="14"/>
                <w:color w:val="auto"/>
              </w:rPr>
            </w:pPr>
          </w:p>
        </w:tc>
        <w:tc>
          <w:tcPr>
            <w:tcW w:w="1240" w:type="dxa"/>
            <w:vAlign w:val="bottom"/>
            <w:tcBorders>
              <w:bottom w:val="single" w:sz="8" w:color="auto"/>
            </w:tcBorders>
          </w:tcPr>
          <w:p>
            <w:pPr>
              <w:ind w:left="300"/>
              <w:spacing w:after="0" w:line="166" w:lineRule="exact"/>
              <w:rPr>
                <w:sz w:val="20"/>
                <w:szCs w:val="20"/>
                <w:color w:val="auto"/>
              </w:rPr>
            </w:pPr>
            <w:r>
              <w:rPr>
                <w:rFonts w:ascii="Arial" w:cs="Arial" w:eastAsia="Arial" w:hAnsi="Arial"/>
                <w:sz w:val="15"/>
                <w:szCs w:val="15"/>
                <w:b w:val="1"/>
                <w:bCs w:val="1"/>
                <w:color w:val="auto"/>
              </w:rPr>
              <w:t>Technique</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407"/>
              <w:spacing w:after="0" w:line="166" w:lineRule="exact"/>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4"/>
                <w:szCs w:val="14"/>
                <w:color w:val="auto"/>
              </w:rPr>
            </w:pPr>
          </w:p>
        </w:tc>
        <w:tc>
          <w:tcPr>
            <w:tcW w:w="1240" w:type="dxa"/>
            <w:vAlign w:val="bottom"/>
            <w:tcBorders>
              <w:bottom w:val="single" w:sz="8" w:color="auto"/>
            </w:tcBorders>
          </w:tcPr>
          <w:p>
            <w:pPr>
              <w:jc w:val="right"/>
              <w:ind w:right="407"/>
              <w:spacing w:after="0" w:line="166"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1220" w:type="dxa"/>
            <w:vAlign w:val="bottom"/>
            <w:tcBorders>
              <w:bottom w:val="single" w:sz="8" w:color="auto"/>
            </w:tcBorders>
          </w:tcPr>
          <w:p>
            <w:pPr>
              <w:jc w:val="right"/>
              <w:ind w:right="407"/>
              <w:spacing w:after="0" w:line="166"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spacing w:after="0"/>
              <w:rPr>
                <w:sz w:val="14"/>
                <w:szCs w:val="14"/>
                <w:color w:val="auto"/>
              </w:rPr>
            </w:pP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Wapasu</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N. Athabasca</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5,174</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5,174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Henday</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N. Athabasca</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mining/in situ</w:t>
            </w:r>
          </w:p>
        </w:tc>
        <w:tc>
          <w:tcPr>
            <w:tcW w:w="1240" w:type="dxa"/>
            <w:vAlign w:val="bottom"/>
          </w:tcPr>
          <w:p>
            <w:pPr>
              <w:jc w:val="right"/>
              <w:spacing w:after="0"/>
              <w:rPr>
                <w:sz w:val="20"/>
                <w:szCs w:val="20"/>
                <w:color w:val="auto"/>
              </w:rPr>
            </w:pPr>
            <w:r>
              <w:rPr>
                <w:rFonts w:ascii="Arial" w:cs="Arial" w:eastAsia="Arial" w:hAnsi="Arial"/>
                <w:sz w:val="15"/>
                <w:szCs w:val="15"/>
                <w:color w:val="auto"/>
              </w:rPr>
              <w:t>1,698</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1,698</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Athabasca</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N. Athabasca</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1,877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Beaver River</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N. Athabasca</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mining</w:t>
            </w:r>
          </w:p>
        </w:tc>
        <w:tc>
          <w:tcPr>
            <w:tcW w:w="1240" w:type="dxa"/>
            <w:vAlign w:val="bottom"/>
          </w:tcPr>
          <w:p>
            <w:pPr>
              <w:jc w:val="right"/>
              <w:spacing w:after="0"/>
              <w:rPr>
                <w:sz w:val="20"/>
                <w:szCs w:val="20"/>
                <w:color w:val="auto"/>
              </w:rPr>
            </w:pPr>
            <w:r>
              <w:rPr>
                <w:rFonts w:ascii="Arial" w:cs="Arial" w:eastAsia="Arial" w:hAnsi="Arial"/>
                <w:sz w:val="15"/>
                <w:szCs w:val="15"/>
                <w:color w:val="auto"/>
              </w:rPr>
              <w:t>1,094</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876</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Conklin</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S. Athabasca</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mining/in situ</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948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Anzac</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S. Athabasca</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in situ</w:t>
            </w:r>
          </w:p>
        </w:tc>
        <w:tc>
          <w:tcPr>
            <w:tcW w:w="1240" w:type="dxa"/>
            <w:vAlign w:val="bottom"/>
          </w:tcPr>
          <w:p>
            <w:pPr>
              <w:jc w:val="right"/>
              <w:spacing w:after="0"/>
              <w:rPr>
                <w:sz w:val="20"/>
                <w:szCs w:val="20"/>
                <w:color w:val="auto"/>
              </w:rPr>
            </w:pPr>
            <w:r>
              <w:rPr>
                <w:rFonts w:ascii="Arial" w:cs="Arial" w:eastAsia="Arial" w:hAnsi="Arial"/>
                <w:sz w:val="15"/>
                <w:szCs w:val="15"/>
                <w:color w:val="auto"/>
              </w:rPr>
              <w:t>526</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Lakeside</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 Athabasca</w:t>
            </w:r>
          </w:p>
        </w:tc>
        <w:tc>
          <w:tcPr>
            <w:tcW w:w="2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mining</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80" w:type="dxa"/>
            <w:vAlign w:val="bottom"/>
          </w:tcPr>
          <w:p>
            <w:pPr>
              <w:ind w:left="140"/>
              <w:spacing w:after="0" w:line="166" w:lineRule="exact"/>
              <w:rPr>
                <w:sz w:val="20"/>
                <w:szCs w:val="20"/>
                <w:color w:val="auto"/>
              </w:rPr>
            </w:pPr>
            <w:r>
              <w:rPr>
                <w:rFonts w:ascii="Arial" w:cs="Arial" w:eastAsia="Arial" w:hAnsi="Arial"/>
                <w:sz w:val="15"/>
                <w:szCs w:val="15"/>
                <w:color w:val="auto"/>
              </w:rPr>
              <w:t>Total Rooms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line="166" w:lineRule="exact"/>
              <w:rPr>
                <w:sz w:val="20"/>
                <w:szCs w:val="20"/>
                <w:color w:val="auto"/>
              </w:rPr>
            </w:pPr>
            <w:r>
              <w:rPr>
                <w:rFonts w:ascii="Arial" w:cs="Arial" w:eastAsia="Arial" w:hAnsi="Arial"/>
                <w:sz w:val="15"/>
                <w:szCs w:val="15"/>
                <w:color w:val="auto"/>
              </w:rPr>
              <w:t>11,595</w:t>
            </w:r>
          </w:p>
        </w:tc>
        <w:tc>
          <w:tcPr>
            <w:tcW w:w="180" w:type="dxa"/>
            <w:vAlign w:val="bottom"/>
          </w:tcPr>
          <w:p>
            <w:pPr>
              <w:spacing w:after="0"/>
              <w:rPr>
                <w:sz w:val="14"/>
                <w:szCs w:val="14"/>
                <w:color w:val="auto"/>
              </w:rPr>
            </w:pPr>
          </w:p>
        </w:tc>
        <w:tc>
          <w:tcPr>
            <w:tcW w:w="144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11,083</w:t>
            </w:r>
          </w:p>
        </w:tc>
        <w:tc>
          <w:tcPr>
            <w:tcW w:w="13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9,896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firstLine="262"/>
        <w:spacing w:after="0" w:line="265" w:lineRule="auto"/>
        <w:rPr>
          <w:sz w:val="20"/>
          <w:szCs w:val="20"/>
          <w:color w:val="auto"/>
        </w:rPr>
      </w:pPr>
      <w:r>
        <w:rPr>
          <w:rFonts w:ascii="Arial" w:cs="Arial" w:eastAsia="Arial" w:hAnsi="Arial"/>
          <w:sz w:val="14"/>
          <w:szCs w:val="14"/>
          <w:color w:val="auto"/>
        </w:rPr>
        <w:t xml:space="preserve">Our oil sands lodges support construction and operating personnel for maintenance and expansionary projects as well as ongoing operations associated with surface mining and </w:t>
      </w:r>
      <w:r>
        <w:rPr>
          <w:rFonts w:ascii="Arial" w:cs="Arial" w:eastAsia="Arial" w:hAnsi="Arial"/>
          <w:sz w:val="14"/>
          <w:szCs w:val="14"/>
          <w:i w:val="1"/>
          <w:iCs w:val="1"/>
          <w:color w:val="auto"/>
        </w:rPr>
        <w:t>in situ</w:t>
      </w:r>
      <w:r>
        <w:rPr>
          <w:rFonts w:ascii="Arial" w:cs="Arial" w:eastAsia="Arial" w:hAnsi="Arial"/>
          <w:sz w:val="14"/>
          <w:szCs w:val="14"/>
          <w:color w:val="auto"/>
        </w:rPr>
        <w:t xml:space="preserve"> oil sands projects generally under medium-term contracts (two to three years). All of our lodge properties are located on land with leases obtained from the province of Alberta with initial terms of ten years. Our leases have expiration dates that range from 2015 to 2026. Currently, only 33% of our Canadian lodge rooms are on land with leases expiring prior to December 31, 2017. Thus far, we have successfully renewed or extended all expiring land leases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2013, we added 512 rooms (net of retirements) to our major oil sands lodges. Our Wapasu Creek Lodge is equivalent in size to the largest hotels in North America.</w:t>
      </w:r>
    </w:p>
    <w:p>
      <w:pPr>
        <w:spacing w:after="0" w:line="152" w:lineRule="exact"/>
        <w:rPr>
          <w:sz w:val="20"/>
          <w:szCs w:val="20"/>
          <w:color w:val="auto"/>
        </w:rPr>
      </w:pPr>
    </w:p>
    <w:p>
      <w:pPr>
        <w:ind w:right="80" w:firstLine="262"/>
        <w:spacing w:after="0" w:line="251" w:lineRule="auto"/>
        <w:rPr>
          <w:sz w:val="20"/>
          <w:szCs w:val="20"/>
          <w:color w:val="auto"/>
        </w:rPr>
      </w:pPr>
      <w:r>
        <w:rPr>
          <w:rFonts w:ascii="Arial" w:cs="Arial" w:eastAsia="Arial" w:hAnsi="Arial"/>
          <w:sz w:val="15"/>
          <w:szCs w:val="15"/>
          <w:color w:val="auto"/>
        </w:rPr>
        <w:t>Over 75% of our Canadian revenue in 2013 was generated by our seven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675" w:right="219" w:bottom="1440" w:gutter="0" w:footer="0" w:header="0"/>
        </w:sectPr>
      </w:pPr>
    </w:p>
    <w:bookmarkStart w:id="300" w:name="page301"/>
    <w:bookmarkEnd w:id="300"/>
    <w:p>
      <w:pPr>
        <w:ind w:left="260"/>
        <w:spacing w:after="0"/>
        <w:rPr>
          <w:sz w:val="20"/>
          <w:szCs w:val="20"/>
          <w:color w:val="auto"/>
        </w:rPr>
      </w:pPr>
      <w:r>
        <w:rPr>
          <w:rFonts w:ascii="Arial" w:cs="Arial" w:eastAsia="Arial" w:hAnsi="Arial"/>
          <w:sz w:val="15"/>
          <w:szCs w:val="15"/>
          <w:i w:val="1"/>
          <w:iCs w:val="1"/>
          <w:color w:val="auto"/>
        </w:rPr>
        <w:t>Open Camps</w:t>
      </w:r>
    </w:p>
    <w:p>
      <w:pPr>
        <w:spacing w:after="0" w:line="177"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Waskada and Redvers, which are on leased land. We are currently working to renew these leases, which expire in 2014.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23" w:lineRule="exact"/>
        <w:rPr>
          <w:sz w:val="20"/>
          <w:szCs w:val="20"/>
          <w:color w:val="auto"/>
        </w:rPr>
      </w:pPr>
    </w:p>
    <w:p>
      <w:pPr>
        <w:ind w:right="40" w:firstLine="262"/>
        <w:spacing w:after="0" w:line="271" w:lineRule="auto"/>
        <w:rPr>
          <w:sz w:val="20"/>
          <w:szCs w:val="20"/>
          <w:color w:val="auto"/>
        </w:rPr>
      </w:pPr>
      <w:r>
        <w:rPr>
          <w:rFonts w:ascii="Arial" w:cs="Arial" w:eastAsia="Arial" w:hAnsi="Arial"/>
          <w:sz w:val="14"/>
          <w:szCs w:val="14"/>
          <w:color w:val="auto"/>
        </w:rPr>
        <w:t xml:space="preserve">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w:t>
      </w:r>
      <w:r>
        <w:rPr>
          <w:rFonts w:ascii="Arial" w:cs="Arial" w:eastAsia="Arial" w:hAnsi="Arial"/>
          <w:sz w:val="14"/>
          <w:szCs w:val="14"/>
          <w:i w:val="1"/>
          <w:iCs w:val="1"/>
          <w:color w:val="auto"/>
        </w:rPr>
        <w:t>in situ</w:t>
      </w:r>
      <w:r>
        <w:rPr>
          <w:rFonts w:ascii="Arial" w:cs="Arial" w:eastAsia="Arial" w:hAnsi="Arial"/>
          <w:sz w:val="14"/>
          <w:szCs w:val="14"/>
          <w:color w:val="auto"/>
        </w:rPr>
        <w:t xml:space="preserve">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Rooms in our Canadian Open Camps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Open Camps</w:t>
            </w:r>
          </w:p>
        </w:tc>
        <w:tc>
          <w:tcPr>
            <w:tcW w:w="120" w:type="dxa"/>
            <w:vAlign w:val="bottom"/>
          </w:tcPr>
          <w:p>
            <w:pPr>
              <w:spacing w:after="0"/>
              <w:rPr>
                <w:sz w:val="16"/>
                <w:szCs w:val="16"/>
                <w:color w:val="auto"/>
              </w:rPr>
            </w:pPr>
          </w:p>
        </w:tc>
        <w:tc>
          <w:tcPr>
            <w:tcW w:w="2580" w:type="dxa"/>
            <w:vAlign w:val="bottom"/>
            <w:gridSpan w:val="2"/>
            <w:vMerge w:val="restart"/>
          </w:tcPr>
          <w:p>
            <w:pPr>
              <w:ind w:left="960"/>
              <w:spacing w:after="0"/>
              <w:rPr>
                <w:sz w:val="20"/>
                <w:szCs w:val="20"/>
                <w:color w:val="auto"/>
              </w:rPr>
            </w:pPr>
            <w:r>
              <w:rPr>
                <w:rFonts w:ascii="Arial" w:cs="Arial" w:eastAsia="Arial" w:hAnsi="Arial"/>
                <w:sz w:val="15"/>
                <w:szCs w:val="15"/>
                <w:b w:val="1"/>
                <w:bCs w:val="1"/>
                <w:color w:val="auto"/>
              </w:rPr>
              <w:t>Province</w:t>
            </w:r>
          </w:p>
        </w:tc>
        <w:tc>
          <w:tcPr>
            <w:tcW w:w="1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As of December 31,</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Arial" w:cs="Arial" w:eastAsia="Arial" w:hAnsi="Arial"/>
                <w:sz w:val="15"/>
                <w:szCs w:val="15"/>
                <w:b w:val="1"/>
                <w:bCs w:val="1"/>
                <w:color w:val="auto"/>
              </w:rPr>
              <w:t>2013</w:t>
            </w:r>
          </w:p>
        </w:tc>
        <w:tc>
          <w:tcPr>
            <w:tcW w:w="2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1540" w:type="dxa"/>
            <w:vAlign w:val="bottom"/>
          </w:tcPr>
          <w:p>
            <w:pPr>
              <w:jc w:val="right"/>
              <w:ind w:right="56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Mariana Lake</w:t>
            </w:r>
          </w:p>
        </w:tc>
        <w:tc>
          <w:tcPr>
            <w:tcW w:w="120" w:type="dxa"/>
            <w:vAlign w:val="bottom"/>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Alberta</w:t>
            </w:r>
          </w:p>
        </w:tc>
        <w:tc>
          <w:tcPr>
            <w:tcW w:w="100" w:type="dxa"/>
            <w:vAlign w:val="bottom"/>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486</w:t>
            </w:r>
          </w:p>
        </w:tc>
        <w:tc>
          <w:tcPr>
            <w:tcW w:w="20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478</w:t>
            </w:r>
          </w:p>
        </w:tc>
        <w:tc>
          <w:tcPr>
            <w:tcW w:w="200" w:type="dxa"/>
            <w:vAlign w:val="bottom"/>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Arial" w:cs="Arial" w:eastAsia="Arial" w:hAnsi="Arial"/>
                <w:sz w:val="15"/>
                <w:szCs w:val="15"/>
                <w:color w:val="auto"/>
              </w:rPr>
              <w:t>Boundary</w:t>
            </w:r>
          </w:p>
        </w:tc>
        <w:tc>
          <w:tcPr>
            <w:tcW w:w="2700" w:type="dxa"/>
            <w:vAlign w:val="bottom"/>
            <w:gridSpan w:val="3"/>
          </w:tcPr>
          <w:p>
            <w:pPr>
              <w:ind w:left="120"/>
              <w:spacing w:after="0"/>
              <w:rPr>
                <w:sz w:val="20"/>
                <w:szCs w:val="20"/>
                <w:color w:val="auto"/>
              </w:rPr>
            </w:pPr>
            <w:r>
              <w:rPr>
                <w:rFonts w:ascii="Arial" w:cs="Arial" w:eastAsia="Arial" w:hAnsi="Arial"/>
                <w:sz w:val="15"/>
                <w:szCs w:val="15"/>
                <w:color w:val="auto"/>
              </w:rPr>
              <w:t>Saskatchewan</w:t>
            </w:r>
          </w:p>
        </w:tc>
        <w:tc>
          <w:tcPr>
            <w:tcW w:w="1760" w:type="dxa"/>
            <w:vAlign w:val="bottom"/>
            <w:gridSpan w:val="2"/>
          </w:tcPr>
          <w:p>
            <w:pPr>
              <w:jc w:val="right"/>
              <w:ind w:right="200"/>
              <w:spacing w:after="0"/>
              <w:rPr>
                <w:sz w:val="20"/>
                <w:szCs w:val="20"/>
                <w:color w:val="auto"/>
              </w:rPr>
            </w:pPr>
            <w:r>
              <w:rPr>
                <w:rFonts w:ascii="Arial" w:cs="Arial" w:eastAsia="Arial" w:hAnsi="Arial"/>
                <w:sz w:val="15"/>
                <w:szCs w:val="15"/>
                <w:color w:val="auto"/>
              </w:rPr>
              <w:t>346</w:t>
            </w:r>
          </w:p>
        </w:tc>
        <w:tc>
          <w:tcPr>
            <w:tcW w:w="1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Waskada</w:t>
            </w:r>
          </w:p>
        </w:tc>
        <w:tc>
          <w:tcPr>
            <w:tcW w:w="2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Manitoba</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196</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Arial" w:cs="Arial" w:eastAsia="Arial" w:hAnsi="Arial"/>
                <w:sz w:val="15"/>
                <w:szCs w:val="15"/>
                <w:color w:val="auto"/>
              </w:rPr>
              <w:t>Red Earth</w:t>
            </w:r>
          </w:p>
        </w:tc>
        <w:tc>
          <w:tcPr>
            <w:tcW w:w="2700" w:type="dxa"/>
            <w:vAlign w:val="bottom"/>
            <w:gridSpan w:val="3"/>
          </w:tcPr>
          <w:p>
            <w:pPr>
              <w:ind w:left="120"/>
              <w:spacing w:after="0"/>
              <w:rPr>
                <w:sz w:val="20"/>
                <w:szCs w:val="20"/>
                <w:color w:val="auto"/>
              </w:rPr>
            </w:pPr>
            <w:r>
              <w:rPr>
                <w:rFonts w:ascii="Arial" w:cs="Arial" w:eastAsia="Arial" w:hAnsi="Arial"/>
                <w:sz w:val="15"/>
                <w:szCs w:val="15"/>
                <w:color w:val="auto"/>
              </w:rPr>
              <w:t>Alberta</w:t>
            </w:r>
          </w:p>
        </w:tc>
        <w:tc>
          <w:tcPr>
            <w:tcW w:w="1760" w:type="dxa"/>
            <w:vAlign w:val="bottom"/>
            <w:gridSpan w:val="2"/>
          </w:tcPr>
          <w:p>
            <w:pPr>
              <w:jc w:val="right"/>
              <w:ind w:right="200"/>
              <w:spacing w:after="0"/>
              <w:rPr>
                <w:sz w:val="20"/>
                <w:szCs w:val="20"/>
                <w:color w:val="auto"/>
              </w:rPr>
            </w:pPr>
            <w:r>
              <w:rPr>
                <w:rFonts w:ascii="Arial" w:cs="Arial" w:eastAsia="Arial" w:hAnsi="Arial"/>
                <w:sz w:val="15"/>
                <w:szCs w:val="15"/>
                <w:color w:val="auto"/>
              </w:rPr>
              <w:t>114</w:t>
            </w:r>
          </w:p>
        </w:tc>
        <w:tc>
          <w:tcPr>
            <w:tcW w:w="1540" w:type="dxa"/>
            <w:vAlign w:val="bottom"/>
          </w:tcPr>
          <w:p>
            <w:pPr>
              <w:jc w:val="right"/>
              <w:spacing w:after="0"/>
              <w:rPr>
                <w:sz w:val="20"/>
                <w:szCs w:val="20"/>
                <w:color w:val="auto"/>
              </w:rPr>
            </w:pPr>
            <w:r>
              <w:rPr>
                <w:rFonts w:ascii="Arial" w:cs="Arial" w:eastAsia="Arial" w:hAnsi="Arial"/>
                <w:sz w:val="15"/>
                <w:szCs w:val="15"/>
                <w:color w:val="auto"/>
              </w:rPr>
              <w:t>92</w:t>
            </w:r>
          </w:p>
        </w:tc>
        <w:tc>
          <w:tcPr>
            <w:tcW w:w="20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Redvers</w:t>
            </w:r>
          </w:p>
        </w:tc>
        <w:tc>
          <w:tcPr>
            <w:tcW w:w="2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Saskatchewan</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102</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102</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Arial" w:cs="Arial" w:eastAsia="Arial" w:hAnsi="Arial"/>
                <w:sz w:val="15"/>
                <w:szCs w:val="15"/>
                <w:color w:val="auto"/>
              </w:rPr>
              <w:t>Geetla</w:t>
            </w:r>
          </w:p>
        </w:tc>
        <w:tc>
          <w:tcPr>
            <w:tcW w:w="2700" w:type="dxa"/>
            <w:vAlign w:val="bottom"/>
            <w:gridSpan w:val="3"/>
          </w:tcPr>
          <w:p>
            <w:pPr>
              <w:ind w:left="120"/>
              <w:spacing w:after="0"/>
              <w:rPr>
                <w:sz w:val="20"/>
                <w:szCs w:val="20"/>
                <w:color w:val="auto"/>
              </w:rPr>
            </w:pPr>
            <w:r>
              <w:rPr>
                <w:rFonts w:ascii="Arial" w:cs="Arial" w:eastAsia="Arial" w:hAnsi="Arial"/>
                <w:sz w:val="15"/>
                <w:szCs w:val="15"/>
                <w:color w:val="auto"/>
              </w:rPr>
              <w:t>British Columbia</w:t>
            </w:r>
          </w:p>
        </w:tc>
        <w:tc>
          <w:tcPr>
            <w:tcW w:w="1560" w:type="dxa"/>
            <w:vAlign w:val="bottom"/>
          </w:tcPr>
          <w:p>
            <w:pPr>
              <w:jc w:val="right"/>
              <w:spacing w:after="0"/>
              <w:rPr>
                <w:sz w:val="20"/>
                <w:szCs w:val="20"/>
                <w:color w:val="auto"/>
              </w:rPr>
            </w:pPr>
            <w:r>
              <w:rPr>
                <w:rFonts w:ascii="Arial" w:cs="Arial" w:eastAsia="Arial" w:hAnsi="Arial"/>
                <w:sz w:val="15"/>
                <w:szCs w:val="15"/>
                <w:color w:val="auto"/>
              </w:rPr>
              <w:t>81</w:t>
            </w:r>
          </w:p>
        </w:tc>
        <w:tc>
          <w:tcPr>
            <w:tcW w:w="20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Christina Lake</w:t>
            </w: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5"/>
                <w:szCs w:val="15"/>
                <w:color w:val="auto"/>
              </w:rPr>
              <w:t>Alberta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tcPr>
          <w:p>
            <w:pPr>
              <w:ind w:left="140"/>
              <w:spacing w:after="0" w:line="166" w:lineRule="exact"/>
              <w:rPr>
                <w:sz w:val="20"/>
                <w:szCs w:val="20"/>
                <w:color w:val="auto"/>
              </w:rPr>
            </w:pPr>
            <w:r>
              <w:rPr>
                <w:rFonts w:ascii="Arial" w:cs="Arial" w:eastAsia="Arial" w:hAnsi="Arial"/>
                <w:sz w:val="15"/>
                <w:szCs w:val="15"/>
                <w:color w:val="auto"/>
              </w:rPr>
              <w:t>Total Rooms</w:t>
            </w: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line="166" w:lineRule="exact"/>
              <w:rPr>
                <w:sz w:val="20"/>
                <w:szCs w:val="20"/>
                <w:color w:val="auto"/>
              </w:rPr>
            </w:pPr>
            <w:r>
              <w:rPr>
                <w:rFonts w:ascii="Arial" w:cs="Arial" w:eastAsia="Arial" w:hAnsi="Arial"/>
                <w:sz w:val="15"/>
                <w:szCs w:val="15"/>
                <w:color w:val="auto"/>
              </w:rPr>
              <w:t>1,390</w:t>
            </w:r>
          </w:p>
        </w:tc>
        <w:tc>
          <w:tcPr>
            <w:tcW w:w="200" w:type="dxa"/>
            <w:vAlign w:val="bottom"/>
          </w:tcPr>
          <w:p>
            <w:pPr>
              <w:spacing w:after="0"/>
              <w:rPr>
                <w:sz w:val="14"/>
                <w:szCs w:val="14"/>
                <w:color w:val="auto"/>
              </w:rPr>
            </w:pPr>
          </w:p>
        </w:tc>
        <w:tc>
          <w:tcPr>
            <w:tcW w:w="174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1,013</w:t>
            </w:r>
          </w:p>
        </w:tc>
        <w:tc>
          <w:tcPr>
            <w:tcW w:w="164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Mobile Fleet</w:t>
      </w:r>
    </w:p>
    <w:p>
      <w:pPr>
        <w:spacing w:after="0" w:line="177" w:lineRule="exact"/>
        <w:rPr>
          <w:sz w:val="20"/>
          <w:szCs w:val="20"/>
          <w:color w:val="auto"/>
        </w:rPr>
      </w:pPr>
    </w:p>
    <w:p>
      <w:pPr>
        <w:ind w:firstLine="262"/>
        <w:spacing w:after="0" w:line="269" w:lineRule="auto"/>
        <w:rPr>
          <w:sz w:val="20"/>
          <w:szCs w:val="20"/>
          <w:color w:val="auto"/>
        </w:rPr>
      </w:pPr>
      <w:r>
        <w:rPr>
          <w:rFonts w:ascii="Arial" w:cs="Arial" w:eastAsia="Arial" w:hAnsi="Arial"/>
          <w:sz w:val="14"/>
          <w:szCs w:val="14"/>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147" w:lineRule="exact"/>
        <w:rPr>
          <w:sz w:val="20"/>
          <w:szCs w:val="20"/>
          <w:color w:val="auto"/>
        </w:rPr>
      </w:pPr>
    </w:p>
    <w:p>
      <w:pPr>
        <w:jc w:val="both"/>
        <w:ind w:right="120" w:firstLine="262"/>
        <w:spacing w:after="0" w:line="251" w:lineRule="auto"/>
        <w:rPr>
          <w:sz w:val="20"/>
          <w:szCs w:val="20"/>
          <w:color w:val="auto"/>
        </w:rPr>
      </w:pPr>
      <w:r>
        <w:rPr>
          <w:rFonts w:ascii="Arial" w:cs="Arial" w:eastAsia="Arial" w:hAnsi="Arial"/>
          <w:sz w:val="15"/>
          <w:szCs w:val="15"/>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Australia</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7" w:lineRule="exact"/>
        <w:rPr>
          <w:sz w:val="20"/>
          <w:szCs w:val="20"/>
          <w:color w:val="auto"/>
        </w:rPr>
      </w:pPr>
    </w:p>
    <w:p>
      <w:pPr>
        <w:ind w:right="20" w:firstLine="262"/>
        <w:spacing w:after="0" w:line="330" w:lineRule="auto"/>
        <w:rPr>
          <w:sz w:val="20"/>
          <w:szCs w:val="20"/>
          <w:color w:val="auto"/>
        </w:rPr>
      </w:pPr>
      <w:r>
        <w:rPr>
          <w:rFonts w:ascii="Arial" w:cs="Arial" w:eastAsia="Arial" w:hAnsi="Arial"/>
          <w:sz w:val="12"/>
          <w:szCs w:val="12"/>
          <w:color w:val="auto"/>
        </w:rPr>
        <w:t>During the year ended December 31, 2013, we generated 25% of our revenue and 29% of our operating income from our Australian operations. As of December 31, 2013, we had 9,262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2013, we added 644 rooms to our Australian villages. In the third quarter of 2013, we opened our new Boggabri Village, consisting of 508 rooms, to serve the Gunnedah Basin.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301" w:name="page302"/>
    <w:bookmarkEnd w:id="301"/>
    <w:p>
      <w:pPr>
        <w:spacing w:after="0"/>
        <w:rPr>
          <w:sz w:val="20"/>
          <w:szCs w:val="20"/>
          <w:color w:val="auto"/>
        </w:rPr>
      </w:pPr>
      <w:r>
        <w:rPr>
          <w:rFonts w:ascii="Arial" w:cs="Arial" w:eastAsia="Arial" w:hAnsi="Arial"/>
          <w:sz w:val="15"/>
          <w:szCs w:val="15"/>
          <w:b w:val="1"/>
          <w:bCs w:val="1"/>
          <w:i w:val="1"/>
          <w:iCs w:val="1"/>
          <w:color w:val="auto"/>
        </w:rPr>
        <w:t>Australian Market</w:t>
      </w:r>
    </w:p>
    <w:p>
      <w:pPr>
        <w:spacing w:after="0" w:line="177"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55" w:lineRule="exact"/>
        <w:rPr>
          <w:sz w:val="20"/>
          <w:szCs w:val="20"/>
          <w:color w:val="auto"/>
        </w:rPr>
      </w:pPr>
    </w:p>
    <w:p>
      <w:pPr>
        <w:ind w:right="100" w:firstLine="262"/>
        <w:spacing w:after="0" w:line="248" w:lineRule="auto"/>
        <w:rPr>
          <w:sz w:val="20"/>
          <w:szCs w:val="20"/>
          <w:color w:val="auto"/>
        </w:rPr>
      </w:pPr>
      <w:r>
        <w:rPr>
          <w:rFonts w:ascii="Arial" w:cs="Arial" w:eastAsia="Arial" w:hAnsi="Arial"/>
          <w:sz w:val="15"/>
          <w:szCs w:val="15"/>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161" w:lineRule="exact"/>
        <w:rPr>
          <w:sz w:val="20"/>
          <w:szCs w:val="20"/>
          <w:color w:val="auto"/>
        </w:rPr>
      </w:pPr>
    </w:p>
    <w:p>
      <w:pPr>
        <w:ind w:right="140" w:firstLine="262"/>
        <w:spacing w:after="0" w:line="269" w:lineRule="auto"/>
        <w:rPr>
          <w:sz w:val="20"/>
          <w:szCs w:val="20"/>
          <w:color w:val="auto"/>
        </w:rPr>
      </w:pPr>
      <w:r>
        <w:rPr>
          <w:rFonts w:ascii="Arial" w:cs="Arial" w:eastAsia="Arial" w:hAnsi="Arial"/>
          <w:sz w:val="14"/>
          <w:szCs w:val="14"/>
          <w:color w:val="auto"/>
        </w:rPr>
        <w:t>Our five villages in the Bowen Basin of central Queensland generated 83% of our Australian revenue in 2013.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147" w:lineRule="exact"/>
        <w:rPr>
          <w:sz w:val="20"/>
          <w:szCs w:val="20"/>
          <w:color w:val="auto"/>
        </w:rPr>
      </w:pPr>
    </w:p>
    <w:p>
      <w:pPr>
        <w:ind w:right="80" w:firstLine="262"/>
        <w:spacing w:after="0" w:line="248" w:lineRule="auto"/>
        <w:rPr>
          <w:sz w:val="20"/>
          <w:szCs w:val="20"/>
          <w:color w:val="auto"/>
        </w:rPr>
      </w:pPr>
      <w:r>
        <w:rPr>
          <w:rFonts w:ascii="Arial" w:cs="Arial" w:eastAsia="Arial" w:hAnsi="Arial"/>
          <w:sz w:val="15"/>
          <w:szCs w:val="15"/>
          <w:color w:val="auto"/>
        </w:rPr>
        <w:t>Beyond the Bowen Basin, we serve several emerging markets with our five additional villages. At the end of 2013, we had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 related to gold mining, iron ore port expansions and LNG facilities operations on the Northwest Shelf through our Kambalda and Karratha villages.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302" w:name="page303"/>
    <w:bookmarkEnd w:id="302"/>
    <w:p>
      <w:pPr>
        <w:spacing w:after="0"/>
        <w:rPr>
          <w:sz w:val="20"/>
          <w:szCs w:val="20"/>
          <w:color w:val="auto"/>
        </w:rPr>
      </w:pPr>
      <w:r>
        <w:rPr>
          <w:rFonts w:ascii="Arial" w:cs="Arial" w:eastAsia="Arial" w:hAnsi="Arial"/>
          <w:sz w:val="15"/>
          <w:szCs w:val="15"/>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119380</wp:posOffset>
            </wp:positionV>
            <wp:extent cx="2803525" cy="19983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0352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080" w:type="dxa"/>
            <w:vAlign w:val="bottom"/>
          </w:tcPr>
          <w:p>
            <w:pPr>
              <w:ind w:left="240"/>
              <w:spacing w:after="0"/>
              <w:rPr>
                <w:sz w:val="20"/>
                <w:szCs w:val="20"/>
                <w:color w:val="auto"/>
              </w:rPr>
            </w:pPr>
            <w:r>
              <w:rPr>
                <w:rFonts w:ascii="Arial" w:cs="Arial" w:eastAsia="Arial" w:hAnsi="Arial"/>
                <w:sz w:val="15"/>
                <w:szCs w:val="15"/>
                <w:i w:val="1"/>
                <w:iCs w:val="1"/>
                <w:color w:val="auto"/>
              </w:rPr>
              <w:t>Rooms in our Australian Villages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5"/>
                <w:szCs w:val="15"/>
                <w:b w:val="1"/>
                <w:bCs w:val="1"/>
                <w:color w:val="auto"/>
              </w:rPr>
              <w:t>Resource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3080" w:type="dxa"/>
            <w:vAlign w:val="bottom"/>
          </w:tcPr>
          <w:p>
            <w:pPr>
              <w:ind w:left="1280"/>
              <w:spacing w:after="0" w:line="166" w:lineRule="exact"/>
              <w:rPr>
                <w:sz w:val="20"/>
                <w:szCs w:val="20"/>
                <w:color w:val="auto"/>
              </w:rPr>
            </w:pPr>
            <w:r>
              <w:rPr>
                <w:rFonts w:ascii="Arial" w:cs="Arial" w:eastAsia="Arial" w:hAnsi="Arial"/>
                <w:sz w:val="15"/>
                <w:szCs w:val="15"/>
                <w:b w:val="1"/>
                <w:bCs w:val="1"/>
                <w:color w:val="auto"/>
              </w:rPr>
              <w:t>Villages</w:t>
            </w:r>
          </w:p>
        </w:tc>
        <w:tc>
          <w:tcPr>
            <w:tcW w:w="100" w:type="dxa"/>
            <w:vAlign w:val="bottom"/>
          </w:tcPr>
          <w:p>
            <w:pPr>
              <w:spacing w:after="0"/>
              <w:rPr>
                <w:sz w:val="14"/>
                <w:szCs w:val="14"/>
                <w:color w:val="auto"/>
              </w:rPr>
            </w:pPr>
          </w:p>
        </w:tc>
        <w:tc>
          <w:tcPr>
            <w:tcW w:w="1260" w:type="dxa"/>
            <w:vAlign w:val="bottom"/>
          </w:tcPr>
          <w:p>
            <w:pPr>
              <w:ind w:left="460"/>
              <w:spacing w:after="0" w:line="166" w:lineRule="exact"/>
              <w:rPr>
                <w:sz w:val="20"/>
                <w:szCs w:val="20"/>
                <w:color w:val="auto"/>
              </w:rPr>
            </w:pPr>
            <w:r>
              <w:rPr>
                <w:rFonts w:ascii="Arial" w:cs="Arial" w:eastAsia="Arial" w:hAnsi="Arial"/>
                <w:sz w:val="15"/>
                <w:szCs w:val="15"/>
                <w:b w:val="1"/>
                <w:bCs w:val="1"/>
                <w:color w:val="auto"/>
              </w:rPr>
              <w:t>Basin</w:t>
            </w:r>
          </w:p>
        </w:tc>
        <w:tc>
          <w:tcPr>
            <w:tcW w:w="220" w:type="dxa"/>
            <w:vAlign w:val="bottom"/>
          </w:tcPr>
          <w:p>
            <w:pPr>
              <w:spacing w:after="0"/>
              <w:rPr>
                <w:sz w:val="14"/>
                <w:szCs w:val="14"/>
                <w:color w:val="auto"/>
              </w:rPr>
            </w:pPr>
          </w:p>
        </w:tc>
        <w:tc>
          <w:tcPr>
            <w:tcW w:w="1460" w:type="dxa"/>
            <w:vAlign w:val="bottom"/>
            <w:gridSpan w:val="2"/>
          </w:tcPr>
          <w:p>
            <w:pPr>
              <w:ind w:left="240"/>
              <w:spacing w:after="0" w:line="166" w:lineRule="exact"/>
              <w:rPr>
                <w:sz w:val="20"/>
                <w:szCs w:val="20"/>
                <w:color w:val="auto"/>
              </w:rPr>
            </w:pPr>
            <w:r>
              <w:rPr>
                <w:rFonts w:ascii="Arial" w:cs="Arial" w:eastAsia="Arial" w:hAnsi="Arial"/>
                <w:sz w:val="15"/>
                <w:szCs w:val="15"/>
                <w:b w:val="1"/>
                <w:bCs w:val="1"/>
                <w:color w:val="auto"/>
              </w:rPr>
              <w:t>Commodity</w:t>
            </w:r>
          </w:p>
        </w:tc>
        <w:tc>
          <w:tcPr>
            <w:tcW w:w="1240" w:type="dxa"/>
            <w:vAlign w:val="bottom"/>
          </w:tcPr>
          <w:p>
            <w:pPr>
              <w:jc w:val="right"/>
              <w:ind w:right="407"/>
              <w:spacing w:after="0" w:line="166" w:lineRule="exact"/>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4"/>
                <w:szCs w:val="14"/>
                <w:color w:val="auto"/>
              </w:rPr>
            </w:pPr>
          </w:p>
        </w:tc>
        <w:tc>
          <w:tcPr>
            <w:tcW w:w="1240" w:type="dxa"/>
            <w:vAlign w:val="bottom"/>
          </w:tcPr>
          <w:p>
            <w:pPr>
              <w:jc w:val="right"/>
              <w:ind w:right="407"/>
              <w:spacing w:after="0" w:line="166"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1220" w:type="dxa"/>
            <w:vAlign w:val="bottom"/>
          </w:tcPr>
          <w:p>
            <w:pPr>
              <w:jc w:val="right"/>
              <w:ind w:right="407"/>
              <w:spacing w:after="0" w:line="166"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0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Coppabella</w:t>
            </w:r>
          </w:p>
        </w:tc>
        <w:tc>
          <w:tcPr>
            <w:tcW w:w="100" w:type="dxa"/>
            <w:vAlign w:val="bottom"/>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Bowen</w:t>
            </w:r>
          </w:p>
        </w:tc>
        <w:tc>
          <w:tcPr>
            <w:tcW w:w="22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met coal</w:t>
            </w:r>
          </w:p>
        </w:tc>
        <w:tc>
          <w:tcPr>
            <w:tcW w:w="22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3,048</w:t>
            </w:r>
          </w:p>
        </w:tc>
        <w:tc>
          <w:tcPr>
            <w:tcW w:w="18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2,912</w:t>
            </w:r>
          </w:p>
        </w:tc>
        <w:tc>
          <w:tcPr>
            <w:tcW w:w="200" w:type="dxa"/>
            <w:vAlign w:val="bottom"/>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2,556</w:t>
            </w: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Dysart</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Bowen</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met coal</w:t>
            </w:r>
          </w:p>
        </w:tc>
        <w:tc>
          <w:tcPr>
            <w:tcW w:w="1240" w:type="dxa"/>
            <w:vAlign w:val="bottom"/>
          </w:tcPr>
          <w:p>
            <w:pPr>
              <w:jc w:val="right"/>
              <w:spacing w:after="0"/>
              <w:rPr>
                <w:sz w:val="20"/>
                <w:szCs w:val="20"/>
                <w:color w:val="auto"/>
              </w:rPr>
            </w:pPr>
            <w:r>
              <w:rPr>
                <w:rFonts w:ascii="Arial" w:cs="Arial" w:eastAsia="Arial" w:hAnsi="Arial"/>
                <w:sz w:val="15"/>
                <w:szCs w:val="15"/>
                <w:color w:val="auto"/>
              </w:rPr>
              <w:t>1,912</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1,912</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1,491</w:t>
            </w: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Moranbah</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Bowen</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met coal</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1,180</w:t>
            </w: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Middlemount</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Bowen</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met coal</w:t>
            </w:r>
          </w:p>
        </w:tc>
        <w:tc>
          <w:tcPr>
            <w:tcW w:w="1240" w:type="dxa"/>
            <w:vAlign w:val="bottom"/>
          </w:tcPr>
          <w:p>
            <w:pPr>
              <w:jc w:val="right"/>
              <w:spacing w:after="0"/>
              <w:rPr>
                <w:sz w:val="20"/>
                <w:szCs w:val="20"/>
                <w:color w:val="auto"/>
              </w:rPr>
            </w:pPr>
            <w:r>
              <w:rPr>
                <w:rFonts w:ascii="Arial" w:cs="Arial" w:eastAsia="Arial" w:hAnsi="Arial"/>
                <w:sz w:val="15"/>
                <w:szCs w:val="15"/>
                <w:color w:val="auto"/>
              </w:rPr>
              <w:t>816</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816</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816</w:t>
            </w: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Boggabri</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Gunnedah</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met/thermal coal</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Narrabri</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Gunnedah</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met/thermal coal</w:t>
            </w:r>
          </w:p>
        </w:tc>
        <w:tc>
          <w:tcPr>
            <w:tcW w:w="1240" w:type="dxa"/>
            <w:vAlign w:val="bottom"/>
          </w:tcPr>
          <w:p>
            <w:pPr>
              <w:jc w:val="right"/>
              <w:spacing w:after="0"/>
              <w:rPr>
                <w:sz w:val="20"/>
                <w:szCs w:val="20"/>
                <w:color w:val="auto"/>
              </w:rPr>
            </w:pPr>
            <w:r>
              <w:rPr>
                <w:rFonts w:ascii="Arial" w:cs="Arial" w:eastAsia="Arial" w:hAnsi="Arial"/>
                <w:sz w:val="15"/>
                <w:szCs w:val="15"/>
                <w:color w:val="auto"/>
              </w:rPr>
              <w:t>502</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502</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242</w:t>
            </w: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Nebo</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Bowen</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met coal</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490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490</w:t>
            </w:r>
          </w:p>
        </w:tc>
      </w:tr>
      <w:tr>
        <w:trPr>
          <w:trHeight w:val="175"/>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Calliope</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LNG</w:t>
            </w:r>
          </w:p>
        </w:tc>
        <w:tc>
          <w:tcPr>
            <w:tcW w:w="1240" w:type="dxa"/>
            <w:vAlign w:val="bottom"/>
          </w:tcPr>
          <w:p>
            <w:pPr>
              <w:jc w:val="right"/>
              <w:spacing w:after="0"/>
              <w:rPr>
                <w:sz w:val="20"/>
                <w:szCs w:val="20"/>
                <w:color w:val="auto"/>
              </w:rPr>
            </w:pPr>
            <w:r>
              <w:rPr>
                <w:rFonts w:ascii="Arial" w:cs="Arial" w:eastAsia="Arial" w:hAnsi="Arial"/>
                <w:sz w:val="15"/>
                <w:szCs w:val="15"/>
                <w:color w:val="auto"/>
              </w:rPr>
              <w:t>300</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300</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300</w:t>
            </w:r>
          </w:p>
        </w:tc>
      </w:tr>
      <w:tr>
        <w:trPr>
          <w:trHeight w:val="175"/>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Kambalda</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Gold</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w:t>
            </w:r>
          </w:p>
        </w:tc>
      </w:tr>
      <w:tr>
        <w:trPr>
          <w:trHeight w:val="175"/>
        </w:trPr>
        <w:tc>
          <w:tcPr>
            <w:tcW w:w="3100" w:type="dxa"/>
            <w:vAlign w:val="bottom"/>
            <w:gridSpan w:val="2"/>
          </w:tcPr>
          <w:p>
            <w:pPr>
              <w:spacing w:after="0"/>
              <w:rPr>
                <w:sz w:val="20"/>
                <w:szCs w:val="20"/>
                <w:color w:val="auto"/>
              </w:rPr>
            </w:pPr>
            <w:r>
              <w:rPr>
                <w:rFonts w:ascii="Arial" w:cs="Arial" w:eastAsia="Arial" w:hAnsi="Arial"/>
                <w:sz w:val="15"/>
                <w:szCs w:val="15"/>
                <w:color w:val="auto"/>
              </w:rPr>
              <w:t>Karratha</w:t>
            </w:r>
          </w:p>
        </w:tc>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Pilbara</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LNG, iron ore</w:t>
            </w:r>
          </w:p>
        </w:tc>
        <w:tc>
          <w:tcPr>
            <w:tcW w:w="1240" w:type="dxa"/>
            <w:vAlign w:val="bottom"/>
          </w:tcPr>
          <w:p>
            <w:pPr>
              <w:jc w:val="right"/>
              <w:spacing w:after="0"/>
              <w:rPr>
                <w:sz w:val="20"/>
                <w:szCs w:val="20"/>
                <w:color w:val="auto"/>
              </w:rPr>
            </w:pPr>
            <w:r>
              <w:rPr>
                <w:rFonts w:ascii="Arial" w:cs="Arial" w:eastAsia="Arial" w:hAnsi="Arial"/>
                <w:sz w:val="15"/>
                <w:szCs w:val="15"/>
                <w:color w:val="auto"/>
              </w:rPr>
              <w:t>208</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208</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06"/>
        </w:trPr>
        <w:tc>
          <w:tcPr>
            <w:tcW w:w="20" w:type="dxa"/>
            <w:vAlign w:val="bottom"/>
          </w:tcPr>
          <w:p>
            <w:pPr>
              <w:spacing w:after="0"/>
              <w:rPr>
                <w:sz w:val="17"/>
                <w:szCs w:val="17"/>
                <w:color w:val="auto"/>
              </w:rPr>
            </w:pPr>
          </w:p>
        </w:tc>
        <w:tc>
          <w:tcPr>
            <w:tcW w:w="3080" w:type="dxa"/>
            <w:vAlign w:val="bottom"/>
            <w:tcBorders>
              <w:bottom w:val="single" w:sz="8" w:color="CCEEFF"/>
            </w:tcBorders>
            <w:shd w:val="clear" w:color="auto" w:fill="CCEEFF"/>
          </w:tcPr>
          <w:p>
            <w:pPr>
              <w:ind w:left="140"/>
              <w:spacing w:after="0" w:line="166" w:lineRule="exact"/>
              <w:rPr>
                <w:sz w:val="20"/>
                <w:szCs w:val="20"/>
                <w:color w:val="auto"/>
              </w:rPr>
            </w:pPr>
            <w:r>
              <w:rPr>
                <w:rFonts w:ascii="Arial" w:cs="Arial" w:eastAsia="Arial" w:hAnsi="Arial"/>
                <w:sz w:val="15"/>
                <w:szCs w:val="15"/>
                <w:color w:val="auto"/>
              </w:rPr>
              <w:t>Total Rooms</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9,262</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8,618</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7,313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ind w:firstLine="262"/>
        <w:spacing w:after="0" w:line="343" w:lineRule="auto"/>
        <w:rPr>
          <w:sz w:val="20"/>
          <w:szCs w:val="20"/>
          <w:color w:val="auto"/>
        </w:rPr>
      </w:pPr>
      <w:r>
        <w:rPr>
          <w:rFonts w:ascii="Arial" w:cs="Arial" w:eastAsia="Arial" w:hAnsi="Arial"/>
          <w:sz w:val="12"/>
          <w:szCs w:val="12"/>
          <w:color w:val="auto"/>
        </w:rPr>
        <w:t>Our Australian accommodations segment operated ten villages with 9,262 rooms as of December 31,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08"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15"/>
          <w:szCs w:val="15"/>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158" w:lineRule="exact"/>
        <w:rPr>
          <w:sz w:val="20"/>
          <w:szCs w:val="20"/>
          <w:color w:val="auto"/>
        </w:rPr>
      </w:pPr>
    </w:p>
    <w:p>
      <w:pPr>
        <w:ind w:right="80" w:firstLine="262"/>
        <w:spacing w:after="0" w:line="330" w:lineRule="auto"/>
        <w:rPr>
          <w:sz w:val="20"/>
          <w:szCs w:val="20"/>
          <w:color w:val="auto"/>
        </w:rPr>
      </w:pPr>
      <w:r>
        <w:rPr>
          <w:rFonts w:ascii="Arial" w:cs="Arial" w:eastAsia="Arial" w:hAnsi="Arial"/>
          <w:sz w:val="12"/>
          <w:szCs w:val="12"/>
          <w:color w:val="auto"/>
        </w:rPr>
        <w:t>In 2011, we opened Narrabri village, the first village of its kind in New South Wales, to service met coal mines and coal seam gas in the Gunnedah Basin. Our newest village, Boggabri, opened in the third quarter of 2013. Boggabri Village, whose first stage of 508 rooms opened in 2013,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80"/>
          </w:cols>
          <w:pgMar w:left="220" w:top="500" w:right="299" w:bottom="1440" w:gutter="0" w:footer="0" w:header="0"/>
        </w:sectPr>
      </w:pPr>
    </w:p>
    <w:bookmarkStart w:id="303" w:name="page304"/>
    <w:bookmarkEnd w:id="303"/>
    <w:p>
      <w:pPr>
        <w:spacing w:after="0"/>
        <w:rPr>
          <w:sz w:val="20"/>
          <w:szCs w:val="20"/>
          <w:color w:val="auto"/>
        </w:rPr>
      </w:pPr>
      <w:r>
        <w:rPr>
          <w:rFonts w:ascii="Arial" w:cs="Arial" w:eastAsia="Arial" w:hAnsi="Arial"/>
          <w:sz w:val="15"/>
          <w:szCs w:val="15"/>
          <w:b w:val="1"/>
          <w:bCs w:val="1"/>
          <w:u w:val="single" w:color="auto"/>
          <w:color w:val="auto"/>
        </w:rPr>
        <w:t>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7" w:lineRule="exact"/>
        <w:rPr>
          <w:sz w:val="20"/>
          <w:szCs w:val="20"/>
          <w:color w:val="auto"/>
        </w:rPr>
      </w:pPr>
    </w:p>
    <w:p>
      <w:pPr>
        <w:ind w:firstLine="262"/>
        <w:spacing w:after="0" w:line="343" w:lineRule="auto"/>
        <w:rPr>
          <w:sz w:val="20"/>
          <w:szCs w:val="20"/>
          <w:color w:val="auto"/>
        </w:rPr>
      </w:pPr>
      <w:r>
        <w:rPr>
          <w:rFonts w:ascii="Arial" w:cs="Arial" w:eastAsia="Arial" w:hAnsi="Arial"/>
          <w:sz w:val="12"/>
          <w:szCs w:val="12"/>
          <w:color w:val="auto"/>
        </w:rPr>
        <w:t>During the year ended December 31, 2013, our U.S. business generated 7% of our revenue at an operating loss. Our U.S. business is focused primarily on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States Market</w:t>
      </w:r>
    </w:p>
    <w:p>
      <w:pPr>
        <w:spacing w:after="0" w:line="177"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2831465" cy="19983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3146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Mobile Fleet</w:t>
      </w:r>
    </w:p>
    <w:p>
      <w:pPr>
        <w:spacing w:after="0" w:line="177" w:lineRule="exact"/>
        <w:rPr>
          <w:sz w:val="20"/>
          <w:szCs w:val="20"/>
          <w:color w:val="auto"/>
        </w:rPr>
      </w:pPr>
    </w:p>
    <w:p>
      <w:pPr>
        <w:ind w:right="200" w:firstLine="262"/>
        <w:spacing w:after="0" w:line="259" w:lineRule="auto"/>
        <w:rPr>
          <w:sz w:val="20"/>
          <w:szCs w:val="20"/>
          <w:color w:val="auto"/>
        </w:rPr>
      </w:pPr>
      <w:r>
        <w:rPr>
          <w:rFonts w:ascii="Arial" w:cs="Arial" w:eastAsia="Arial" w:hAnsi="Arial"/>
          <w:sz w:val="15"/>
          <w:szCs w:val="15"/>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52" w:lineRule="exact"/>
        <w:rPr>
          <w:sz w:val="20"/>
          <w:szCs w:val="20"/>
          <w:color w:val="auto"/>
        </w:rPr>
      </w:pPr>
    </w:p>
    <w:p>
      <w:pPr>
        <w:ind w:right="120" w:firstLine="262"/>
        <w:spacing w:after="0" w:line="259" w:lineRule="auto"/>
        <w:rPr>
          <w:sz w:val="20"/>
          <w:szCs w:val="20"/>
          <w:color w:val="auto"/>
        </w:rPr>
      </w:pPr>
      <w:r>
        <w:rPr>
          <w:rFonts w:ascii="Arial" w:cs="Arial" w:eastAsia="Arial" w:hAnsi="Arial"/>
          <w:sz w:val="15"/>
          <w:szCs w:val="15"/>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6" w:right="259" w:bottom="1440" w:gutter="0" w:footer="0" w:header="0"/>
        </w:sectPr>
      </w:pPr>
    </w:p>
    <w:bookmarkStart w:id="304" w:name="page305"/>
    <w:bookmarkEnd w:id="304"/>
    <w:tbl>
      <w:tblPr>
        <w:tblLayout w:type="fixed"/>
        <w:tblInd w:w="260" w:type="dxa"/>
        <w:tblCellMar>
          <w:top w:w="0" w:type="dxa"/>
          <w:left w:w="0" w:type="dxa"/>
          <w:bottom w:w="0" w:type="dxa"/>
          <w:right w:w="0" w:type="dxa"/>
        </w:tblCellMar>
      </w:tblPr>
      <w:tr>
        <w:trPr>
          <w:trHeight w:val="184"/>
        </w:trPr>
        <w:tc>
          <w:tcPr>
            <w:tcW w:w="4860" w:type="dxa"/>
            <w:vAlign w:val="bottom"/>
            <w:gridSpan w:val="2"/>
          </w:tcPr>
          <w:p>
            <w:pPr>
              <w:spacing w:after="0"/>
              <w:rPr>
                <w:sz w:val="20"/>
                <w:szCs w:val="20"/>
                <w:color w:val="auto"/>
              </w:rPr>
            </w:pPr>
            <w:r>
              <w:rPr>
                <w:rFonts w:ascii="Arial" w:cs="Arial" w:eastAsia="Arial" w:hAnsi="Arial"/>
                <w:sz w:val="15"/>
                <w:szCs w:val="15"/>
                <w:i w:val="1"/>
                <w:iCs w:val="1"/>
                <w:color w:val="auto"/>
              </w:rPr>
              <w:t>Open Camps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320" w:type="dxa"/>
            <w:vAlign w:val="bottom"/>
          </w:tcPr>
          <w:p>
            <w:pPr>
              <w:spacing w:after="0"/>
              <w:rPr>
                <w:sz w:val="24"/>
                <w:szCs w:val="24"/>
                <w:color w:val="auto"/>
              </w:rPr>
            </w:pPr>
          </w:p>
        </w:tc>
        <w:tc>
          <w:tcPr>
            <w:tcW w:w="4540" w:type="dxa"/>
            <w:vAlign w:val="bottom"/>
            <w:vMerge w:val="restart"/>
          </w:tcPr>
          <w:p>
            <w:pPr>
              <w:spacing w:after="0"/>
              <w:rPr>
                <w:sz w:val="20"/>
                <w:szCs w:val="20"/>
                <w:color w:val="auto"/>
              </w:rPr>
            </w:pPr>
            <w:r>
              <w:rPr>
                <w:rFonts w:ascii="Arial" w:cs="Arial" w:eastAsia="Arial" w:hAnsi="Arial"/>
                <w:sz w:val="15"/>
                <w:szCs w:val="15"/>
                <w:b w:val="1"/>
                <w:bCs w:val="1"/>
                <w:color w:val="auto"/>
              </w:rPr>
              <w:t>United States Open Camp Rooms</w:t>
            </w:r>
          </w:p>
        </w:tc>
        <w:tc>
          <w:tcPr>
            <w:tcW w:w="100" w:type="dxa"/>
            <w:vAlign w:val="bottom"/>
          </w:tcPr>
          <w:p>
            <w:pPr>
              <w:spacing w:after="0"/>
              <w:rPr>
                <w:sz w:val="24"/>
                <w:szCs w:val="2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87"/>
              </w:rPr>
              <w:t>State</w:t>
            </w:r>
          </w:p>
        </w:tc>
        <w:tc>
          <w:tcPr>
            <w:tcW w:w="1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w w:val="99"/>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Arial" w:cs="Arial" w:eastAsia="Arial" w:hAnsi="Arial"/>
                <w:sz w:val="15"/>
                <w:szCs w:val="15"/>
                <w:b w:val="1"/>
                <w:bCs w:val="1"/>
                <w:color w:val="auto"/>
              </w:rPr>
              <w:t>2013</w:t>
            </w:r>
          </w:p>
        </w:tc>
        <w:tc>
          <w:tcPr>
            <w:tcW w:w="1420" w:type="dxa"/>
            <w:vAlign w:val="bottom"/>
            <w:gridSpan w:val="2"/>
          </w:tcPr>
          <w:p>
            <w:pPr>
              <w:jc w:val="right"/>
              <w:ind w:right="387"/>
              <w:spacing w:after="0" w:line="168" w:lineRule="exact"/>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4"/>
                <w:szCs w:val="14"/>
                <w:color w:val="auto"/>
              </w:rPr>
            </w:pPr>
          </w:p>
        </w:tc>
        <w:tc>
          <w:tcPr>
            <w:tcW w:w="1220" w:type="dxa"/>
            <w:vAlign w:val="bottom"/>
          </w:tcPr>
          <w:p>
            <w:pPr>
              <w:jc w:val="right"/>
              <w:ind w:right="38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454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Three Rivers Lodge</w:t>
            </w:r>
          </w:p>
        </w:tc>
        <w:tc>
          <w:tcPr>
            <w:tcW w:w="1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w w:val="93"/>
              </w:rPr>
              <w:t>TX</w:t>
            </w:r>
          </w:p>
        </w:tc>
        <w:tc>
          <w:tcPr>
            <w:tcW w:w="220" w:type="dxa"/>
            <w:vAlign w:val="bottom"/>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274</w:t>
            </w:r>
          </w:p>
        </w:tc>
        <w:tc>
          <w:tcPr>
            <w:tcW w:w="200" w:type="dxa"/>
            <w:vAlign w:val="bottom"/>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106</w:t>
            </w:r>
          </w:p>
        </w:tc>
        <w:tc>
          <w:tcPr>
            <w:tcW w:w="200" w:type="dxa"/>
            <w:vAlign w:val="bottom"/>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Stanley House</w:t>
            </w: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color w:val="auto"/>
              </w:rPr>
              <w:t>ND</w:t>
            </w:r>
          </w:p>
        </w:tc>
        <w:tc>
          <w:tcPr>
            <w:tcW w:w="1260" w:type="dxa"/>
            <w:vAlign w:val="bottom"/>
          </w:tcPr>
          <w:p>
            <w:pPr>
              <w:jc w:val="right"/>
              <w:spacing w:after="0"/>
              <w:rPr>
                <w:sz w:val="20"/>
                <w:szCs w:val="20"/>
                <w:color w:val="auto"/>
              </w:rPr>
            </w:pPr>
            <w:r>
              <w:rPr>
                <w:rFonts w:ascii="Arial" w:cs="Arial" w:eastAsia="Arial" w:hAnsi="Arial"/>
                <w:sz w:val="15"/>
                <w:szCs w:val="15"/>
                <w:color w:val="auto"/>
              </w:rPr>
              <w:t>199</w:t>
            </w:r>
          </w:p>
        </w:tc>
        <w:tc>
          <w:tcPr>
            <w:tcW w:w="1620" w:type="dxa"/>
            <w:vAlign w:val="bottom"/>
            <w:gridSpan w:val="3"/>
          </w:tcPr>
          <w:p>
            <w:pPr>
              <w:jc w:val="right"/>
              <w:ind w:right="200"/>
              <w:spacing w:after="0"/>
              <w:rPr>
                <w:sz w:val="20"/>
                <w:szCs w:val="20"/>
                <w:color w:val="auto"/>
              </w:rPr>
            </w:pPr>
            <w:r>
              <w:rPr>
                <w:rFonts w:ascii="Arial" w:cs="Arial" w:eastAsia="Arial" w:hAnsi="Arial"/>
                <w:sz w:val="15"/>
                <w:szCs w:val="15"/>
                <w:color w:val="auto"/>
              </w:rPr>
              <w:t>199</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West Permian Lodge</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3"/>
              </w:rPr>
              <w:t>TX</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Arial" w:cs="Arial" w:eastAsia="Arial" w:hAnsi="Arial"/>
                <w:sz w:val="15"/>
                <w:szCs w:val="15"/>
                <w:color w:val="auto"/>
              </w:rPr>
              <w:t>Killdeer Lodge</w:t>
            </w: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color w:val="auto"/>
              </w:rPr>
              <w:t>ND</w:t>
            </w:r>
          </w:p>
        </w:tc>
        <w:tc>
          <w:tcPr>
            <w:tcW w:w="1260" w:type="dxa"/>
            <w:vAlign w:val="bottom"/>
          </w:tcPr>
          <w:p>
            <w:pPr>
              <w:jc w:val="right"/>
              <w:spacing w:after="0"/>
              <w:rPr>
                <w:sz w:val="20"/>
                <w:szCs w:val="20"/>
                <w:color w:val="auto"/>
              </w:rPr>
            </w:pPr>
            <w:r>
              <w:rPr>
                <w:rFonts w:ascii="Arial" w:cs="Arial" w:eastAsia="Arial" w:hAnsi="Arial"/>
                <w:sz w:val="15"/>
                <w:szCs w:val="15"/>
                <w:color w:val="auto"/>
              </w:rPr>
              <w:t>126</w:t>
            </w:r>
          </w:p>
        </w:tc>
        <w:tc>
          <w:tcPr>
            <w:tcW w:w="2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540" w:type="dxa"/>
            <w:vAlign w:val="bottom"/>
            <w:tcBorders>
              <w:bottom w:val="single" w:sz="8" w:color="CCEEFF"/>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Total United States Open Camp Rooms</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765</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305</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40" w:firstLine="262"/>
        <w:spacing w:after="0" w:line="383" w:lineRule="auto"/>
        <w:rPr>
          <w:sz w:val="20"/>
          <w:szCs w:val="20"/>
          <w:color w:val="auto"/>
        </w:rPr>
      </w:pPr>
      <w:r>
        <w:rPr>
          <w:rFonts w:ascii="Arial" w:cs="Arial" w:eastAsia="Arial" w:hAnsi="Arial"/>
          <w:sz w:val="12"/>
          <w:szCs w:val="12"/>
          <w:color w:val="auto"/>
        </w:rPr>
        <w:t>We have four open camps in the U.S. comprised of 765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Manufacturing</w:t>
      </w:r>
    </w:p>
    <w:p>
      <w:pPr>
        <w:spacing w:after="0" w:line="181" w:lineRule="exact"/>
        <w:rPr>
          <w:sz w:val="20"/>
          <w:szCs w:val="20"/>
          <w:color w:val="auto"/>
        </w:rPr>
      </w:pPr>
    </w:p>
    <w:p>
      <w:pPr>
        <w:ind w:right="120" w:firstLine="262"/>
        <w:spacing w:after="0" w:line="317" w:lineRule="auto"/>
        <w:rPr>
          <w:sz w:val="20"/>
          <w:szCs w:val="20"/>
          <w:color w:val="auto"/>
        </w:rPr>
      </w:pPr>
      <w:r>
        <w:rPr>
          <w:rFonts w:ascii="Arial" w:cs="Arial" w:eastAsia="Arial" w:hAnsi="Arial"/>
          <w:sz w:val="12"/>
          <w:szCs w:val="12"/>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123" w:lineRule="exact"/>
        <w:rPr>
          <w:sz w:val="20"/>
          <w:szCs w:val="20"/>
          <w:color w:val="auto"/>
        </w:rPr>
      </w:pPr>
    </w:p>
    <w:p>
      <w:pPr>
        <w:ind w:right="160" w:firstLine="262"/>
        <w:spacing w:after="0" w:line="383" w:lineRule="auto"/>
        <w:rPr>
          <w:sz w:val="20"/>
          <w:szCs w:val="20"/>
          <w:color w:val="auto"/>
        </w:rPr>
      </w:pPr>
      <w:r>
        <w:rPr>
          <w:rFonts w:ascii="Arial" w:cs="Arial" w:eastAsia="Arial" w:hAnsi="Arial"/>
          <w:sz w:val="12"/>
          <w:szCs w:val="12"/>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Community Relations</w:t>
      </w:r>
    </w:p>
    <w:p>
      <w:pPr>
        <w:spacing w:after="0" w:line="181" w:lineRule="exact"/>
        <w:rPr>
          <w:sz w:val="20"/>
          <w:szCs w:val="20"/>
          <w:color w:val="auto"/>
        </w:rPr>
      </w:pPr>
    </w:p>
    <w:p>
      <w:pPr>
        <w:ind w:right="20" w:firstLine="262"/>
        <w:spacing w:after="0" w:line="247" w:lineRule="auto"/>
        <w:rPr>
          <w:sz w:val="20"/>
          <w:szCs w:val="20"/>
          <w:color w:val="auto"/>
        </w:rPr>
      </w:pPr>
      <w:r>
        <w:rPr>
          <w:rFonts w:ascii="Arial" w:cs="Arial" w:eastAsia="Arial" w:hAnsi="Arial"/>
          <w:sz w:val="15"/>
          <w:szCs w:val="15"/>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62"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305" w:name="page306"/>
    <w:bookmarkEnd w:id="305"/>
    <w:p>
      <w:pPr>
        <w:spacing w:after="0"/>
        <w:rPr>
          <w:sz w:val="20"/>
          <w:szCs w:val="20"/>
          <w:color w:val="auto"/>
        </w:rPr>
      </w:pPr>
      <w:r>
        <w:rPr>
          <w:rFonts w:ascii="Arial" w:cs="Arial" w:eastAsia="Arial" w:hAnsi="Arial"/>
          <w:sz w:val="15"/>
          <w:szCs w:val="15"/>
          <w:b w:val="1"/>
          <w:bCs w:val="1"/>
          <w:u w:val="single" w:color="auto"/>
          <w:color w:val="auto"/>
        </w:rPr>
        <w:t>Customers and Competitors</w:t>
      </w:r>
    </w:p>
    <w:p>
      <w:pPr>
        <w:spacing w:after="0" w:line="181" w:lineRule="exact"/>
        <w:rPr>
          <w:sz w:val="20"/>
          <w:szCs w:val="20"/>
          <w:color w:val="auto"/>
        </w:rPr>
      </w:pPr>
    </w:p>
    <w:p>
      <w:pPr>
        <w:ind w:right="80" w:firstLine="262"/>
        <w:spacing w:after="0" w:line="343" w:lineRule="auto"/>
        <w:rPr>
          <w:sz w:val="20"/>
          <w:szCs w:val="20"/>
          <w:color w:val="auto"/>
        </w:rPr>
      </w:pPr>
      <w:r>
        <w:rPr>
          <w:rFonts w:ascii="Arial" w:cs="Arial" w:eastAsia="Arial" w:hAnsi="Arial"/>
          <w:sz w:val="12"/>
          <w:szCs w:val="12"/>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2013 were Imperial Oil Limited (a company controlled by ExxonMobil Corporation) and Fluor Canada Ltd and BM Alliance Coal Operations Pty Ltd (an alliance between BHP Billiton and Mitsubishi) in Australia.</w:t>
      </w:r>
    </w:p>
    <w:p>
      <w:pPr>
        <w:spacing w:after="0" w:line="108" w:lineRule="exact"/>
        <w:rPr>
          <w:sz w:val="20"/>
          <w:szCs w:val="20"/>
          <w:color w:val="auto"/>
        </w:rPr>
      </w:pPr>
    </w:p>
    <w:p>
      <w:pPr>
        <w:ind w:right="60" w:firstLine="262"/>
        <w:spacing w:after="0" w:line="277" w:lineRule="auto"/>
        <w:rPr>
          <w:sz w:val="20"/>
          <w:szCs w:val="20"/>
          <w:color w:val="auto"/>
        </w:rPr>
      </w:pPr>
      <w:r>
        <w:rPr>
          <w:rFonts w:ascii="Arial" w:cs="Arial" w:eastAsia="Arial" w:hAnsi="Arial"/>
          <w:sz w:val="14"/>
          <w:szCs w:val="14"/>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142" w:lineRule="exact"/>
        <w:rPr>
          <w:sz w:val="20"/>
          <w:szCs w:val="20"/>
          <w:color w:val="auto"/>
        </w:rPr>
      </w:pPr>
    </w:p>
    <w:p>
      <w:pPr>
        <w:ind w:right="260" w:firstLine="262"/>
        <w:spacing w:after="0" w:line="259" w:lineRule="auto"/>
        <w:rPr>
          <w:sz w:val="20"/>
          <w:szCs w:val="20"/>
          <w:color w:val="auto"/>
        </w:rPr>
      </w:pPr>
      <w:r>
        <w:rPr>
          <w:rFonts w:ascii="Arial" w:cs="Arial" w:eastAsia="Arial" w:hAnsi="Arial"/>
          <w:sz w:val="15"/>
          <w:szCs w:val="15"/>
          <w:color w:val="auto"/>
        </w:rPr>
        <w:t>Our primary competitors in Australia to our village accommodations are Ausco Modular (a subsidiary of Algeco Scotsman) and Fleetwood Corporation. We also compete against Aramark Corporation, Sodexo and Compass Group PLC for facility management services.</w:t>
      </w:r>
    </w:p>
    <w:p>
      <w:pPr>
        <w:spacing w:after="0" w:line="152" w:lineRule="exact"/>
        <w:rPr>
          <w:sz w:val="20"/>
          <w:szCs w:val="20"/>
          <w:color w:val="auto"/>
        </w:rPr>
      </w:pPr>
    </w:p>
    <w:p>
      <w:pPr>
        <w:ind w:right="560" w:firstLine="262"/>
        <w:spacing w:after="0" w:line="259" w:lineRule="auto"/>
        <w:rPr>
          <w:sz w:val="20"/>
          <w:szCs w:val="20"/>
          <w:color w:val="auto"/>
        </w:rPr>
      </w:pPr>
      <w:r>
        <w:rPr>
          <w:rFonts w:ascii="Arial" w:cs="Arial" w:eastAsia="Arial" w:hAnsi="Arial"/>
          <w:sz w:val="15"/>
          <w:szCs w:val="15"/>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52" w:lineRule="exact"/>
        <w:rPr>
          <w:sz w:val="20"/>
          <w:szCs w:val="20"/>
          <w:color w:val="auto"/>
        </w:rPr>
      </w:pPr>
    </w:p>
    <w:p>
      <w:pPr>
        <w:ind w:right="100" w:firstLine="262"/>
        <w:spacing w:after="0" w:line="251" w:lineRule="auto"/>
        <w:rPr>
          <w:sz w:val="20"/>
          <w:szCs w:val="20"/>
          <w:color w:val="auto"/>
        </w:rPr>
      </w:pPr>
      <w:r>
        <w:rPr>
          <w:rFonts w:ascii="Arial" w:cs="Arial" w:eastAsia="Arial" w:hAnsi="Arial"/>
          <w:sz w:val="15"/>
          <w:szCs w:val="15"/>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Our Lodge and Village Contracts</w:t>
      </w:r>
    </w:p>
    <w:p>
      <w:pPr>
        <w:spacing w:after="0" w:line="181" w:lineRule="exact"/>
        <w:rPr>
          <w:sz w:val="20"/>
          <w:szCs w:val="20"/>
          <w:color w:val="auto"/>
        </w:rPr>
      </w:pPr>
    </w:p>
    <w:p>
      <w:pPr>
        <w:ind w:right="60" w:firstLine="262"/>
        <w:spacing w:after="0" w:line="267" w:lineRule="auto"/>
        <w:rPr>
          <w:sz w:val="20"/>
          <w:szCs w:val="20"/>
          <w:color w:val="auto"/>
        </w:rPr>
      </w:pPr>
      <w:r>
        <w:rPr>
          <w:rFonts w:ascii="Arial" w:cs="Arial" w:eastAsia="Arial" w:hAnsi="Arial"/>
          <w:sz w:val="14"/>
          <w:szCs w:val="14"/>
          <w:color w:val="auto"/>
        </w:rPr>
        <w:t>Revenues from our lodges and villages represented over 75% of our consolidated revenues in 2013. Our customers typically contract for accommodations services under take-or-pay contracts with terms that most often range from two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2013, we had 69% of our rooms committed for 2014 and 42% of our rooms committed for 2015.</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December 31, 2013, we had 17,618 rooms under contract, or 84% of our available rooms. The table below details the expiration of those contracts: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540" w:type="dxa"/>
            <w:vAlign w:val="bottom"/>
          </w:tcPr>
          <w:p>
            <w:pPr>
              <w:jc w:val="right"/>
              <w:ind w:right="147"/>
              <w:spacing w:after="0"/>
              <w:rPr>
                <w:sz w:val="20"/>
                <w:szCs w:val="20"/>
                <w:color w:val="auto"/>
              </w:rPr>
            </w:pPr>
            <w:r>
              <w:rPr>
                <w:rFonts w:ascii="Arial" w:cs="Arial" w:eastAsia="Arial" w:hAnsi="Arial"/>
                <w:sz w:val="15"/>
                <w:szCs w:val="15"/>
                <w:b w:val="1"/>
                <w:bCs w:val="1"/>
                <w:color w:val="auto"/>
              </w:rPr>
              <w:t>Contracted Room</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1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5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Expiration</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7"/>
        </w:trPr>
        <w:tc>
          <w:tcPr>
            <w:tcW w:w="1160" w:type="dxa"/>
            <w:vAlign w:val="bottom"/>
          </w:tcPr>
          <w:p>
            <w:pPr>
              <w:spacing w:after="0"/>
              <w:rPr>
                <w:sz w:val="14"/>
                <w:szCs w:val="14"/>
                <w:color w:val="auto"/>
              </w:rPr>
            </w:pPr>
          </w:p>
        </w:tc>
        <w:tc>
          <w:tcPr>
            <w:tcW w:w="25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2014</w:t>
            </w:r>
          </w:p>
        </w:tc>
        <w:tc>
          <w:tcPr>
            <w:tcW w:w="49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5,509</w:t>
            </w:r>
          </w:p>
        </w:tc>
        <w:tc>
          <w:tcPr>
            <w:tcW w:w="100" w:type="dxa"/>
            <w:vAlign w:val="bottom"/>
            <w:shd w:val="clear" w:color="auto" w:fill="CCEEFF"/>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2015</w:t>
            </w:r>
          </w:p>
        </w:tc>
        <w:tc>
          <w:tcPr>
            <w:tcW w:w="6500" w:type="dxa"/>
            <w:vAlign w:val="bottom"/>
            <w:gridSpan w:val="2"/>
          </w:tcPr>
          <w:p>
            <w:pPr>
              <w:jc w:val="right"/>
              <w:spacing w:after="0"/>
              <w:rPr>
                <w:sz w:val="20"/>
                <w:szCs w:val="20"/>
                <w:color w:val="auto"/>
              </w:rPr>
            </w:pPr>
            <w:r>
              <w:rPr>
                <w:rFonts w:ascii="Arial" w:cs="Arial" w:eastAsia="Arial" w:hAnsi="Arial"/>
                <w:sz w:val="15"/>
                <w:szCs w:val="15"/>
                <w:color w:val="auto"/>
              </w:rPr>
              <w:t>6,773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6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1,131</w:t>
            </w: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2017</w:t>
            </w:r>
          </w:p>
        </w:tc>
        <w:tc>
          <w:tcPr>
            <w:tcW w:w="6500" w:type="dxa"/>
            <w:vAlign w:val="bottom"/>
            <w:gridSpan w:val="2"/>
          </w:tcPr>
          <w:p>
            <w:pPr>
              <w:jc w:val="right"/>
              <w:spacing w:after="0"/>
              <w:rPr>
                <w:sz w:val="20"/>
                <w:szCs w:val="20"/>
                <w:color w:val="auto"/>
              </w:rPr>
            </w:pPr>
            <w:r>
              <w:rPr>
                <w:rFonts w:ascii="Arial" w:cs="Arial" w:eastAsia="Arial" w:hAnsi="Arial"/>
                <w:sz w:val="15"/>
                <w:szCs w:val="15"/>
                <w:color w:val="auto"/>
              </w:rPr>
              <w:t>1,898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6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10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720" w:type="dxa"/>
            <w:vAlign w:val="bottom"/>
            <w:gridSpan w:val="2"/>
          </w:tcPr>
          <w:p>
            <w:pPr>
              <w:ind w:left="1160"/>
              <w:spacing w:after="0"/>
              <w:rPr>
                <w:sz w:val="20"/>
                <w:szCs w:val="20"/>
                <w:color w:val="auto"/>
              </w:rPr>
            </w:pPr>
            <w:r>
              <w:rPr>
                <w:rFonts w:ascii="Arial" w:cs="Arial" w:eastAsia="Arial" w:hAnsi="Arial"/>
                <w:sz w:val="15"/>
                <w:szCs w:val="15"/>
                <w:color w:val="auto"/>
              </w:rPr>
              <w:t>Thereafter</w:t>
            </w:r>
          </w:p>
        </w:tc>
        <w:tc>
          <w:tcPr>
            <w:tcW w:w="6500" w:type="dxa"/>
            <w:vAlign w:val="bottom"/>
            <w:gridSpan w:val="2"/>
          </w:tcPr>
          <w:p>
            <w:pPr>
              <w:jc w:val="right"/>
              <w:spacing w:after="0"/>
              <w:rPr>
                <w:sz w:val="20"/>
                <w:szCs w:val="20"/>
                <w:color w:val="auto"/>
              </w:rPr>
            </w:pPr>
            <w:r>
              <w:rPr>
                <w:rFonts w:ascii="Arial" w:cs="Arial" w:eastAsia="Arial" w:hAnsi="Arial"/>
                <w:sz w:val="15"/>
                <w:szCs w:val="15"/>
                <w:color w:val="auto"/>
              </w:rPr>
              <w:t>1,738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6"/>
        </w:trPr>
        <w:tc>
          <w:tcPr>
            <w:tcW w:w="1160" w:type="dxa"/>
            <w:vAlign w:val="bottom"/>
          </w:tcPr>
          <w:p>
            <w:pPr>
              <w:spacing w:after="0"/>
              <w:rPr>
                <w:sz w:val="17"/>
                <w:szCs w:val="17"/>
                <w:color w:val="auto"/>
              </w:rPr>
            </w:pPr>
          </w:p>
        </w:tc>
        <w:tc>
          <w:tcPr>
            <w:tcW w:w="2560" w:type="dxa"/>
            <w:vAlign w:val="bottom"/>
            <w:tcBorders>
              <w:bottom w:val="single" w:sz="8" w:color="CCEEFF"/>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Total</w:t>
            </w:r>
          </w:p>
        </w:tc>
        <w:tc>
          <w:tcPr>
            <w:tcW w:w="49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17,618</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518"/>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60" w:type="dxa"/>
            <w:vAlign w:val="bottom"/>
          </w:tcPr>
          <w:p>
            <w:pPr>
              <w:jc w:val="right"/>
              <w:ind w:right="2807"/>
              <w:spacing w:after="0"/>
              <w:rPr>
                <w:sz w:val="20"/>
                <w:szCs w:val="20"/>
                <w:color w:val="auto"/>
              </w:rPr>
            </w:pPr>
            <w:r>
              <w:rPr>
                <w:rFonts w:ascii="Arial" w:cs="Arial" w:eastAsia="Arial" w:hAnsi="Arial"/>
                <w:sz w:val="15"/>
                <w:szCs w:val="15"/>
                <w:color w:val="auto"/>
              </w:rPr>
              <w:t>87</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06" w:name="page307"/>
    <w:bookmarkEnd w:id="306"/>
    <w:p>
      <w:pPr>
        <w:ind w:right="100" w:firstLine="262"/>
        <w:spacing w:after="0" w:line="259" w:lineRule="auto"/>
        <w:rPr>
          <w:sz w:val="20"/>
          <w:szCs w:val="20"/>
          <w:color w:val="auto"/>
        </w:rPr>
      </w:pPr>
      <w:r>
        <w:rPr>
          <w:rFonts w:ascii="Arial" w:cs="Arial" w:eastAsia="Arial" w:hAnsi="Arial"/>
          <w:sz w:val="15"/>
          <w:szCs w:val="15"/>
          <w:color w:val="auto"/>
        </w:rPr>
        <w:t>The contracts expire throughout the year and for many of the near term expirations, we are in the process of negotiating extensions or new commitments. We cannot assure that we can renew existing contracts or obtain new business on the same or better terms.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Seasonality of Operations</w:t>
      </w:r>
    </w:p>
    <w:p>
      <w:pPr>
        <w:spacing w:after="0" w:line="181" w:lineRule="exact"/>
        <w:rPr>
          <w:sz w:val="20"/>
          <w:szCs w:val="20"/>
          <w:color w:val="auto"/>
        </w:rPr>
      </w:pPr>
    </w:p>
    <w:p>
      <w:pPr>
        <w:ind w:right="100" w:firstLine="262"/>
        <w:spacing w:after="0" w:line="246" w:lineRule="auto"/>
        <w:rPr>
          <w:sz w:val="20"/>
          <w:szCs w:val="20"/>
          <w:color w:val="auto"/>
        </w:rPr>
      </w:pPr>
      <w:r>
        <w:rPr>
          <w:rFonts w:ascii="Arial" w:cs="Arial" w:eastAsia="Arial" w:hAnsi="Arial"/>
          <w:sz w:val="15"/>
          <w:szCs w:val="15"/>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Employees</w:t>
      </w:r>
    </w:p>
    <w:p>
      <w:pPr>
        <w:spacing w:after="0" w:line="181" w:lineRule="exact"/>
        <w:rPr>
          <w:sz w:val="20"/>
          <w:szCs w:val="20"/>
          <w:color w:val="auto"/>
        </w:rPr>
      </w:pPr>
    </w:p>
    <w:p>
      <w:pPr>
        <w:ind w:right="100" w:firstLine="262"/>
        <w:spacing w:after="0" w:line="294" w:lineRule="auto"/>
        <w:rPr>
          <w:sz w:val="20"/>
          <w:szCs w:val="20"/>
          <w:color w:val="auto"/>
        </w:rPr>
      </w:pPr>
      <w:r>
        <w:rPr>
          <w:rFonts w:ascii="Arial" w:cs="Arial" w:eastAsia="Arial" w:hAnsi="Arial"/>
          <w:sz w:val="14"/>
          <w:szCs w:val="14"/>
          <w:color w:val="auto"/>
        </w:rPr>
        <w:t>As of December 31, 2013, we had 4,068 full-time employees on a consolidated basis, 69% of whom are in Canada, 15% of whom are in Australia and 16% of whom are in the U.S. We were party to collective bargaining agreements covering 1,823 employees located in Canada and 543 employees located in Australia as of December 31, 2013.</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Government Regulation</w:t>
      </w:r>
    </w:p>
    <w:p>
      <w:pPr>
        <w:spacing w:after="0" w:line="181" w:lineRule="exact"/>
        <w:rPr>
          <w:sz w:val="20"/>
          <w:szCs w:val="20"/>
          <w:color w:val="auto"/>
        </w:rPr>
      </w:pPr>
    </w:p>
    <w:p>
      <w:pPr>
        <w:ind w:right="60" w:firstLine="262"/>
        <w:spacing w:after="0" w:line="266" w:lineRule="auto"/>
        <w:rPr>
          <w:sz w:val="20"/>
          <w:szCs w:val="20"/>
          <w:color w:val="auto"/>
        </w:rPr>
      </w:pPr>
      <w:r>
        <w:rPr>
          <w:rFonts w:ascii="Arial" w:cs="Arial" w:eastAsia="Arial" w:hAnsi="Arial"/>
          <w:sz w:val="14"/>
          <w:szCs w:val="14"/>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50" w:lineRule="exact"/>
        <w:rPr>
          <w:sz w:val="20"/>
          <w:szCs w:val="20"/>
          <w:color w:val="auto"/>
        </w:rPr>
      </w:pPr>
    </w:p>
    <w:p>
      <w:pPr>
        <w:ind w:right="100" w:firstLine="262"/>
        <w:spacing w:after="0" w:line="264" w:lineRule="auto"/>
        <w:rPr>
          <w:sz w:val="20"/>
          <w:szCs w:val="20"/>
          <w:color w:val="auto"/>
        </w:rPr>
      </w:pPr>
      <w:r>
        <w:rPr>
          <w:rFonts w:ascii="Arial" w:cs="Arial" w:eastAsia="Arial" w:hAnsi="Arial"/>
          <w:sz w:val="14"/>
          <w:szCs w:val="14"/>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55"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07" w:name="page308"/>
    <w:bookmarkEnd w:id="307"/>
    <w:p>
      <w:pPr>
        <w:ind w:right="20" w:firstLine="262"/>
        <w:spacing w:after="0" w:line="251" w:lineRule="auto"/>
        <w:rPr>
          <w:sz w:val="20"/>
          <w:szCs w:val="20"/>
          <w:color w:val="auto"/>
        </w:rPr>
      </w:pPr>
      <w:r>
        <w:rPr>
          <w:rFonts w:ascii="Arial" w:cs="Arial" w:eastAsia="Arial" w:hAnsi="Arial"/>
          <w:sz w:val="15"/>
          <w:szCs w:val="15"/>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58" w:lineRule="exact"/>
        <w:rPr>
          <w:sz w:val="20"/>
          <w:szCs w:val="20"/>
          <w:color w:val="auto"/>
        </w:rPr>
      </w:pPr>
    </w:p>
    <w:p>
      <w:pPr>
        <w:ind w:right="60" w:firstLine="262"/>
        <w:spacing w:after="0" w:line="265" w:lineRule="auto"/>
        <w:rPr>
          <w:sz w:val="20"/>
          <w:szCs w:val="20"/>
          <w:color w:val="auto"/>
        </w:rPr>
      </w:pPr>
      <w:r>
        <w:rPr>
          <w:rFonts w:ascii="Arial" w:cs="Arial" w:eastAsia="Arial" w:hAnsi="Arial"/>
          <w:sz w:val="14"/>
          <w:szCs w:val="14"/>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52" w:lineRule="exact"/>
        <w:rPr>
          <w:sz w:val="20"/>
          <w:szCs w:val="20"/>
          <w:color w:val="auto"/>
        </w:rPr>
      </w:pPr>
    </w:p>
    <w:p>
      <w:pPr>
        <w:ind w:right="40" w:firstLine="262"/>
        <w:spacing w:after="0" w:line="315" w:lineRule="auto"/>
        <w:rPr>
          <w:sz w:val="20"/>
          <w:szCs w:val="20"/>
          <w:color w:val="auto"/>
        </w:rPr>
      </w:pPr>
      <w:r>
        <w:rPr>
          <w:rFonts w:ascii="Arial" w:cs="Arial" w:eastAsia="Arial" w:hAnsi="Arial"/>
          <w:sz w:val="12"/>
          <w:szCs w:val="12"/>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300" w:lineRule="exact"/>
        <w:rPr>
          <w:sz w:val="20"/>
          <w:szCs w:val="20"/>
          <w:color w:val="auto"/>
        </w:rPr>
      </w:pPr>
    </w:p>
    <w:p>
      <w:pPr>
        <w:ind w:firstLine="262"/>
        <w:spacing w:after="0" w:line="264" w:lineRule="auto"/>
        <w:rPr>
          <w:sz w:val="20"/>
          <w:szCs w:val="20"/>
          <w:color w:val="auto"/>
        </w:rPr>
      </w:pPr>
      <w:r>
        <w:rPr>
          <w:rFonts w:ascii="Arial" w:cs="Arial" w:eastAsia="Arial" w:hAnsi="Arial"/>
          <w:sz w:val="14"/>
          <w:szCs w:val="14"/>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08" w:name="page309"/>
    <w:bookmarkEnd w:id="308"/>
    <w:p>
      <w:pPr>
        <w:ind w:right="20" w:firstLine="262"/>
        <w:spacing w:after="0" w:line="263" w:lineRule="auto"/>
        <w:rPr>
          <w:sz w:val="20"/>
          <w:szCs w:val="20"/>
          <w:color w:val="auto"/>
        </w:rPr>
      </w:pPr>
      <w:r>
        <w:rPr>
          <w:rFonts w:ascii="Arial" w:cs="Arial" w:eastAsia="Arial" w:hAnsi="Arial"/>
          <w:sz w:val="14"/>
          <w:szCs w:val="14"/>
          <w:color w:val="auto"/>
        </w:rPr>
        <w:t>Our Australian accommodations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 In addition, the Australian Commonwealth Government’s carbon pricing mechanism (“CPM”) commenced on July 1, 2012. Under the CPM, entities that are responsible for facilities that meet specified emissions thresholds will be required to purchase and surrender permits representing their carbon emissions. The CPM is intended to operate as a carbon trading scheme, commencing with a three year fixed price period, followed by a flexible price cap-and-trade emissions trading scheme. Although our Australian accommodations facilities are currently below the emissions thresholds specified by the CPM and are, thus, not affected by the CPM, this could change in the future and the resultant change could have an adverse effect on our Australian operations and financial results.</w:t>
      </w:r>
    </w:p>
    <w:p>
      <w:pPr>
        <w:spacing w:after="0" w:line="156" w:lineRule="exact"/>
        <w:rPr>
          <w:sz w:val="20"/>
          <w:szCs w:val="20"/>
          <w:color w:val="auto"/>
        </w:rPr>
      </w:pPr>
    </w:p>
    <w:p>
      <w:pPr>
        <w:ind w:right="260" w:firstLine="262"/>
        <w:spacing w:after="0" w:line="330" w:lineRule="auto"/>
        <w:rPr>
          <w:sz w:val="20"/>
          <w:szCs w:val="20"/>
          <w:color w:val="auto"/>
        </w:rPr>
      </w:pPr>
      <w:r>
        <w:rPr>
          <w:rFonts w:ascii="Arial" w:cs="Arial" w:eastAsia="Arial" w:hAnsi="Arial"/>
          <w:sz w:val="12"/>
          <w:szCs w:val="12"/>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15" w:lineRule="exact"/>
        <w:rPr>
          <w:sz w:val="20"/>
          <w:szCs w:val="20"/>
          <w:color w:val="auto"/>
        </w:rPr>
      </w:pPr>
    </w:p>
    <w:p>
      <w:pPr>
        <w:ind w:firstLine="262"/>
        <w:spacing w:after="0" w:line="310" w:lineRule="auto"/>
        <w:rPr>
          <w:sz w:val="20"/>
          <w:szCs w:val="20"/>
          <w:color w:val="auto"/>
        </w:rPr>
      </w:pPr>
      <w:r>
        <w:rPr>
          <w:rFonts w:ascii="Arial" w:cs="Arial" w:eastAsia="Arial" w:hAnsi="Arial"/>
          <w:sz w:val="12"/>
          <w:szCs w:val="12"/>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 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09" w:name="page310"/>
    <w:bookmarkEnd w:id="309"/>
    <w:p>
      <w:pPr>
        <w:ind w:right="20" w:firstLine="262"/>
        <w:spacing w:after="0" w:line="310" w:lineRule="auto"/>
        <w:rPr>
          <w:sz w:val="20"/>
          <w:szCs w:val="20"/>
          <w:color w:val="auto"/>
        </w:rPr>
      </w:pPr>
      <w:r>
        <w:rPr>
          <w:rFonts w:ascii="Arial" w:cs="Arial" w:eastAsia="Arial" w:hAnsi="Arial"/>
          <w:sz w:val="12"/>
          <w:szCs w:val="12"/>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302" w:lineRule="exact"/>
        <w:rPr>
          <w:sz w:val="20"/>
          <w:szCs w:val="20"/>
          <w:color w:val="auto"/>
        </w:rPr>
      </w:pPr>
    </w:p>
    <w:p>
      <w:pPr>
        <w:ind w:right="60" w:firstLine="262"/>
        <w:spacing w:after="0" w:line="320" w:lineRule="auto"/>
        <w:rPr>
          <w:sz w:val="20"/>
          <w:szCs w:val="20"/>
          <w:color w:val="auto"/>
        </w:rPr>
      </w:pPr>
      <w:r>
        <w:rPr>
          <w:rFonts w:ascii="Arial" w:cs="Arial" w:eastAsia="Arial" w:hAnsi="Arial"/>
          <w:sz w:val="12"/>
          <w:szCs w:val="12"/>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Properties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presents information about our principal properties and facilities. Except as indicated below, we own all of the properties or facilities listed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9"/>
              </w:rPr>
              <w:t>Approximate</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6"/>
              </w:rPr>
              <w:t>Square</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ind w:left="1340"/>
              <w:spacing w:after="0"/>
              <w:rPr>
                <w:sz w:val="20"/>
                <w:szCs w:val="20"/>
                <w:color w:val="auto"/>
              </w:rPr>
            </w:pPr>
            <w:r>
              <w:rPr>
                <w:rFonts w:ascii="Arial" w:cs="Arial" w:eastAsia="Arial" w:hAnsi="Arial"/>
                <w:sz w:val="15"/>
                <w:szCs w:val="15"/>
                <w:b w:val="1"/>
                <w:bCs w:val="1"/>
                <w:color w:val="auto"/>
              </w:rPr>
              <w:t>Location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Footage/Acreage</w:t>
            </w:r>
          </w:p>
        </w:tc>
        <w:tc>
          <w:tcPr>
            <w:tcW w:w="120" w:type="dxa"/>
            <w:vAlign w:val="bottom"/>
          </w:tcPr>
          <w:p>
            <w:pPr>
              <w:spacing w:after="0"/>
              <w:rPr>
                <w:sz w:val="16"/>
                <w:szCs w:val="16"/>
                <w:color w:val="auto"/>
              </w:rPr>
            </w:pPr>
          </w:p>
        </w:tc>
        <w:tc>
          <w:tcPr>
            <w:tcW w:w="4880" w:type="dxa"/>
            <w:vAlign w:val="bottom"/>
            <w:tcBorders>
              <w:bottom w:val="single" w:sz="8" w:color="auto"/>
            </w:tcBorders>
          </w:tcPr>
          <w:p>
            <w:pPr>
              <w:ind w:left="2080"/>
              <w:spacing w:after="0"/>
              <w:rPr>
                <w:sz w:val="20"/>
                <w:szCs w:val="20"/>
                <w:color w:val="auto"/>
              </w:rPr>
            </w:pPr>
            <w:r>
              <w:rPr>
                <w:rFonts w:ascii="Arial" w:cs="Arial" w:eastAsia="Arial" w:hAnsi="Arial"/>
                <w:sz w:val="15"/>
                <w:szCs w:val="15"/>
                <w:b w:val="1"/>
                <w:bCs w:val="1"/>
                <w:color w:val="auto"/>
              </w:rPr>
              <w:t>Description</w:t>
            </w:r>
          </w:p>
        </w:tc>
        <w:tc>
          <w:tcPr>
            <w:tcW w:w="20" w:type="dxa"/>
            <w:vAlign w:val="bottom"/>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4" w:lineRule="exact"/>
              <w:rPr>
                <w:sz w:val="20"/>
                <w:szCs w:val="20"/>
                <w:color w:val="auto"/>
              </w:rPr>
            </w:pPr>
            <w:r>
              <w:rPr>
                <w:rFonts w:ascii="Arial" w:cs="Arial" w:eastAsia="Arial" w:hAnsi="Arial"/>
                <w:sz w:val="15"/>
                <w:szCs w:val="15"/>
                <w:color w:val="auto"/>
              </w:rPr>
              <w:t>United States:</w:t>
            </w: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Houston, Texas (lease)</w:t>
            </w:r>
          </w:p>
        </w:tc>
        <w:tc>
          <w:tcPr>
            <w:tcW w:w="1580" w:type="dxa"/>
            <w:vAlign w:val="bottom"/>
            <w:gridSpan w:val="2"/>
          </w:tcPr>
          <w:p>
            <w:pPr>
              <w:jc w:val="center"/>
              <w:ind w:left="27"/>
              <w:spacing w:after="0"/>
              <w:rPr>
                <w:sz w:val="20"/>
                <w:szCs w:val="20"/>
                <w:color w:val="auto"/>
              </w:rPr>
            </w:pPr>
            <w:r>
              <w:rPr>
                <w:rFonts w:ascii="Arial" w:cs="Arial" w:eastAsia="Arial" w:hAnsi="Arial"/>
                <w:sz w:val="15"/>
                <w:szCs w:val="15"/>
                <w:color w:val="auto"/>
                <w:w w:val="85"/>
              </w:rPr>
              <w:t>8,900</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Principal executive offices</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Johnstown, Colorado</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153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Manufacturing facility and yard</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Killdeer, North Dakota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42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Open camp</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Pecos, Texas</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35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Open camp</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Dickinson, North Dakota (lease)</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26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Mobile asset facility and yard</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Vernal, Utah (lease)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21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Mobile asset facility and yard</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860" w:type="dxa"/>
            <w:vAlign w:val="bottom"/>
            <w:gridSpan w:val="2"/>
          </w:tcPr>
          <w:p>
            <w:pPr>
              <w:ind w:left="140"/>
              <w:spacing w:after="0"/>
              <w:rPr>
                <w:sz w:val="20"/>
                <w:szCs w:val="20"/>
                <w:color w:val="auto"/>
              </w:rPr>
            </w:pPr>
            <w:r>
              <w:rPr>
                <w:rFonts w:ascii="Arial" w:cs="Arial" w:eastAsia="Arial" w:hAnsi="Arial"/>
                <w:sz w:val="15"/>
                <w:szCs w:val="15"/>
                <w:color w:val="auto"/>
              </w:rPr>
              <w:t>Carrizo Springs, Texas (leased land)</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20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Open camp (closed)</w:t>
            </w:r>
          </w:p>
        </w:tc>
        <w:tc>
          <w:tcPr>
            <w:tcW w:w="20" w:type="dxa"/>
            <w:vAlign w:val="bottom"/>
          </w:tcPr>
          <w:p>
            <w:pPr>
              <w:spacing w:after="0"/>
              <w:rPr>
                <w:sz w:val="15"/>
                <w:szCs w:val="15"/>
                <w:color w:val="auto"/>
              </w:rPr>
            </w:pPr>
          </w:p>
        </w:tc>
      </w:tr>
      <w:tr>
        <w:trPr>
          <w:trHeight w:val="57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gridSpan w:val="2"/>
          </w:tcPr>
          <w:p>
            <w:pPr>
              <w:jc w:val="center"/>
              <w:ind w:left="47"/>
              <w:spacing w:after="0"/>
              <w:rPr>
                <w:sz w:val="20"/>
                <w:szCs w:val="20"/>
                <w:color w:val="auto"/>
              </w:rPr>
            </w:pPr>
            <w:r>
              <w:rPr>
                <w:rFonts w:ascii="Arial" w:cs="Arial" w:eastAsia="Arial" w:hAnsi="Arial"/>
                <w:sz w:val="15"/>
                <w:szCs w:val="15"/>
                <w:color w:val="auto"/>
                <w:w w:val="83"/>
              </w:rPr>
              <w:t>91</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500" w:right="19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9"/>
              </w:rPr>
              <w:t>Approximate</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6"/>
              </w:rPr>
              <w:t>Square</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ind w:left="1580"/>
              <w:spacing w:after="0"/>
              <w:rPr>
                <w:sz w:val="20"/>
                <w:szCs w:val="20"/>
                <w:color w:val="auto"/>
              </w:rPr>
            </w:pPr>
            <w:r>
              <w:rPr>
                <w:rFonts w:ascii="Arial" w:cs="Arial" w:eastAsia="Arial" w:hAnsi="Arial"/>
                <w:sz w:val="15"/>
                <w:szCs w:val="15"/>
                <w:b w:val="1"/>
                <w:bCs w:val="1"/>
                <w:color w:val="auto"/>
              </w:rPr>
              <w:t>Location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Footage/Acreage</w:t>
            </w:r>
          </w:p>
        </w:tc>
        <w:tc>
          <w:tcPr>
            <w:tcW w:w="120" w:type="dxa"/>
            <w:vAlign w:val="bottom"/>
          </w:tcPr>
          <w:p>
            <w:pPr>
              <w:spacing w:after="0"/>
              <w:rPr>
                <w:sz w:val="16"/>
                <w:szCs w:val="16"/>
                <w:color w:val="auto"/>
              </w:rPr>
            </w:pPr>
          </w:p>
        </w:tc>
        <w:tc>
          <w:tcPr>
            <w:tcW w:w="4880" w:type="dxa"/>
            <w:vAlign w:val="bottom"/>
            <w:tcBorders>
              <w:bottom w:val="single" w:sz="8" w:color="auto"/>
            </w:tcBorders>
          </w:tcPr>
          <w:p>
            <w:pPr>
              <w:ind w:left="208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gridSpan w:val="3"/>
            <w:shd w:val="clear" w:color="auto" w:fill="CCEEFF"/>
          </w:tcPr>
          <w:p>
            <w:pPr>
              <w:ind w:left="140"/>
              <w:spacing w:after="0" w:line="167" w:lineRule="exact"/>
              <w:rPr>
                <w:sz w:val="20"/>
                <w:szCs w:val="20"/>
                <w:color w:val="auto"/>
              </w:rPr>
            </w:pPr>
            <w:r>
              <w:rPr>
                <w:rFonts w:ascii="Arial" w:cs="Arial" w:eastAsia="Arial" w:hAnsi="Arial"/>
                <w:sz w:val="15"/>
                <w:szCs w:val="15"/>
                <w:color w:val="auto"/>
              </w:rPr>
              <w:t>Casper, Wyoming (lease)</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83"/>
              </w:rPr>
              <w:t>14 acres</w:t>
            </w:r>
          </w:p>
        </w:tc>
        <w:tc>
          <w:tcPr>
            <w:tcW w:w="120" w:type="dxa"/>
            <w:vAlign w:val="bottom"/>
            <w:shd w:val="clear" w:color="auto" w:fill="CCEEFF"/>
          </w:tcPr>
          <w:p>
            <w:pPr>
              <w:spacing w:after="0"/>
              <w:rPr>
                <w:sz w:val="14"/>
                <w:szCs w:val="14"/>
                <w:color w:val="auto"/>
              </w:rPr>
            </w:pPr>
          </w:p>
        </w:tc>
        <w:tc>
          <w:tcPr>
            <w:tcW w:w="48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Accommodations facility and yard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Belle Chasse, Louisiana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10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Manufacturing facility and yard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Three Rivers, Texas (lease)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9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Open camp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Big Piney, Wyoming (lease)</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1"/>
              </w:rPr>
              <w:t>7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Mobile asset facility and yard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Stanley, North Dakota (lease)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7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Open camp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Englewood, Colorado (lease)</w:t>
            </w:r>
          </w:p>
        </w:tc>
        <w:tc>
          <w:tcPr>
            <w:tcW w:w="1580" w:type="dxa"/>
            <w:vAlign w:val="bottom"/>
            <w:gridSpan w:val="2"/>
          </w:tcPr>
          <w:p>
            <w:pPr>
              <w:jc w:val="center"/>
              <w:ind w:left="27"/>
              <w:spacing w:after="0"/>
              <w:rPr>
                <w:sz w:val="20"/>
                <w:szCs w:val="20"/>
                <w:color w:val="auto"/>
              </w:rPr>
            </w:pPr>
            <w:r>
              <w:rPr>
                <w:rFonts w:ascii="Arial" w:cs="Arial" w:eastAsia="Arial" w:hAnsi="Arial"/>
                <w:sz w:val="15"/>
                <w:szCs w:val="15"/>
                <w:color w:val="auto"/>
                <w:w w:val="85"/>
              </w:rPr>
              <w:t>5,480</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Sales office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Windsor, Colorado (lease)</w:t>
            </w:r>
          </w:p>
        </w:tc>
        <w:tc>
          <w:tcPr>
            <w:tcW w:w="15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5"/>
              </w:rPr>
              <w:t>4,933</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Sales office</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color w:val="auto"/>
              </w:rPr>
              <w:t>Canada:</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Fort McMurray, Alberta (leased land)</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4"/>
              </w:rPr>
              <w:t>240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Wapasu Creek and Henday Lodges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Fort McMurray, Alberta (leased land)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140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Pebble Beach open camp (closed)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Fort McMurray, Alberta (leased land)</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4"/>
              </w:rPr>
              <w:t>135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Conklin Lodge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Fort McMurray, Alberta (leased land)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128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Beaver River and Athabasca Lodges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Fort McMurray, Alberta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45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Christina Lake Lodge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Acheson, Alberta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40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Office and warehouse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Edmonton, Alberta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33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Manufacturing facility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Grimshaw, Alberta (lease)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Equipment yard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Fort McMurray, Alberta (leased land)</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18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Anzac Lodge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Nisku, Alberta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1"/>
              </w:rPr>
              <w:t>9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Manufacturing facility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Edmonton, Alberta (lease)</w:t>
            </w:r>
          </w:p>
        </w:tc>
        <w:tc>
          <w:tcPr>
            <w:tcW w:w="1580" w:type="dxa"/>
            <w:vAlign w:val="bottom"/>
            <w:gridSpan w:val="2"/>
          </w:tcPr>
          <w:p>
            <w:pPr>
              <w:jc w:val="center"/>
              <w:ind w:left="27"/>
              <w:spacing w:after="0"/>
              <w:rPr>
                <w:sz w:val="20"/>
                <w:szCs w:val="20"/>
                <w:color w:val="auto"/>
              </w:rPr>
            </w:pPr>
            <w:r>
              <w:rPr>
                <w:rFonts w:ascii="Arial" w:cs="Arial" w:eastAsia="Arial" w:hAnsi="Arial"/>
                <w:sz w:val="15"/>
                <w:szCs w:val="15"/>
                <w:color w:val="auto"/>
                <w:w w:val="87"/>
              </w:rPr>
              <w:t>86,376</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Office and warehouse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Edmonton, Alberta (lease)</w:t>
            </w:r>
          </w:p>
        </w:tc>
        <w:tc>
          <w:tcPr>
            <w:tcW w:w="15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71,654</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Manufacturing facility and yard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Edmonton, Alberta (lease)</w:t>
            </w:r>
          </w:p>
        </w:tc>
        <w:tc>
          <w:tcPr>
            <w:tcW w:w="1580" w:type="dxa"/>
            <w:vAlign w:val="bottom"/>
            <w:gridSpan w:val="2"/>
          </w:tcPr>
          <w:p>
            <w:pPr>
              <w:jc w:val="center"/>
              <w:ind w:left="27"/>
              <w:spacing w:after="0"/>
              <w:rPr>
                <w:sz w:val="20"/>
                <w:szCs w:val="20"/>
                <w:color w:val="auto"/>
              </w:rPr>
            </w:pPr>
            <w:r>
              <w:rPr>
                <w:rFonts w:ascii="Arial" w:cs="Arial" w:eastAsia="Arial" w:hAnsi="Arial"/>
                <w:sz w:val="15"/>
                <w:szCs w:val="15"/>
                <w:color w:val="auto"/>
                <w:w w:val="87"/>
              </w:rPr>
              <w:t>28,253</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Office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Edmonton, Alberta (lease)</w:t>
            </w:r>
          </w:p>
        </w:tc>
        <w:tc>
          <w:tcPr>
            <w:tcW w:w="15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16,130</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Office</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color w:val="auto"/>
              </w:rPr>
              <w:t>Australia:</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Coppabella, Queensland, Australia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4"/>
              </w:rPr>
              <w:t>198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Coppabella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Calliope, Queensland, Australia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124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Calliope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Narrabri, New South Wales, Australia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82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Narrabri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Boggabri, New South Wales, Australia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52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Boggabri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Dysart, Queensland, Australia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50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Dysart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Middlemount, Queensland, Australia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37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Middlemount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Karratha, Western Australia, Australia (own and lease)</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34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Karratha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Kambalda, Western Australia, Australia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27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Kambalda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Nebo, Queensland, Australia</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3"/>
              </w:rPr>
              <w:t>26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Nebo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Moranbah, Queensland, Australia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17 acres</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Moranbah Village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Ormeau, Queensland, Australia (lease)</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1"/>
              </w:rPr>
              <w:t>3 acres</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Manufacturing facility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Sydney, New South Wales, Australia (lease)</w:t>
            </w:r>
          </w:p>
        </w:tc>
        <w:tc>
          <w:tcPr>
            <w:tcW w:w="15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17,276</w:t>
            </w: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Office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60" w:type="dxa"/>
            <w:vAlign w:val="bottom"/>
            <w:gridSpan w:val="3"/>
          </w:tcPr>
          <w:p>
            <w:pPr>
              <w:ind w:left="140"/>
              <w:spacing w:after="0"/>
              <w:rPr>
                <w:sz w:val="20"/>
                <w:szCs w:val="20"/>
                <w:color w:val="auto"/>
              </w:rPr>
            </w:pPr>
            <w:r>
              <w:rPr>
                <w:rFonts w:ascii="Arial" w:cs="Arial" w:eastAsia="Arial" w:hAnsi="Arial"/>
                <w:sz w:val="15"/>
                <w:szCs w:val="15"/>
                <w:color w:val="auto"/>
              </w:rPr>
              <w:t>Brisbane, Queensland, Australia (lease)</w:t>
            </w:r>
          </w:p>
        </w:tc>
        <w:tc>
          <w:tcPr>
            <w:tcW w:w="1580" w:type="dxa"/>
            <w:vAlign w:val="bottom"/>
            <w:gridSpan w:val="2"/>
          </w:tcPr>
          <w:p>
            <w:pPr>
              <w:jc w:val="center"/>
              <w:ind w:left="27"/>
              <w:spacing w:after="0"/>
              <w:rPr>
                <w:sz w:val="20"/>
                <w:szCs w:val="20"/>
                <w:color w:val="auto"/>
              </w:rPr>
            </w:pPr>
            <w:r>
              <w:rPr>
                <w:rFonts w:ascii="Arial" w:cs="Arial" w:eastAsia="Arial" w:hAnsi="Arial"/>
                <w:sz w:val="15"/>
                <w:szCs w:val="15"/>
                <w:color w:val="auto"/>
                <w:w w:val="85"/>
              </w:rPr>
              <w:t>7,115</w:t>
            </w:r>
          </w:p>
        </w:tc>
        <w:tc>
          <w:tcPr>
            <w:tcW w:w="5000" w:type="dxa"/>
            <w:vAlign w:val="bottom"/>
            <w:gridSpan w:val="2"/>
          </w:tcPr>
          <w:p>
            <w:pPr>
              <w:ind w:left="120"/>
              <w:spacing w:after="0"/>
              <w:rPr>
                <w:sz w:val="20"/>
                <w:szCs w:val="20"/>
                <w:color w:val="auto"/>
              </w:rPr>
            </w:pPr>
            <w:r>
              <w:rPr>
                <w:rFonts w:ascii="Arial" w:cs="Arial" w:eastAsia="Arial" w:hAnsi="Arial"/>
                <w:sz w:val="15"/>
                <w:szCs w:val="15"/>
                <w:color w:val="auto"/>
              </w:rPr>
              <w:t>Office</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460" w:firstLine="262"/>
        <w:spacing w:after="0" w:line="259" w:lineRule="auto"/>
        <w:rPr>
          <w:sz w:val="20"/>
          <w:szCs w:val="20"/>
          <w:color w:val="auto"/>
        </w:rPr>
      </w:pPr>
      <w:r>
        <w:rPr>
          <w:rFonts w:ascii="Arial" w:cs="Arial" w:eastAsia="Arial" w:hAnsi="Arial"/>
          <w:sz w:val="15"/>
          <w:szCs w:val="15"/>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Leased land for our lodge properties in Canada refers to land leased from the Alberta government. We also lease land for our Karratha village from the provincial government in Australia.</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Generally, our leases have an initial term of ten years and will expire between 2015 and 2026.</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Legal Proceedings</w:t>
      </w:r>
    </w:p>
    <w:p>
      <w:pPr>
        <w:spacing w:after="0" w:line="181"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We are a party to various pending or threatened claims, lawsuits and administrative proceedings seeking damages or other remedies concerning our commercial operations, products, employees and other matters as a result of our products or operations.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5"/>
          <w:szCs w:val="15"/>
          <w:b w:val="1"/>
          <w:bCs w:val="1"/>
          <w:color w:val="auto"/>
        </w:rPr>
        <w:t>MANAGEMENT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Executive Officers and Directors</w:t>
      </w:r>
    </w:p>
    <w:p>
      <w:pPr>
        <w:spacing w:after="0" w:line="181" w:lineRule="exact"/>
        <w:rPr>
          <w:sz w:val="20"/>
          <w:szCs w:val="20"/>
          <w:color w:val="auto"/>
        </w:rPr>
      </w:pPr>
    </w:p>
    <w:p>
      <w:pPr>
        <w:ind w:right="80" w:firstLine="262"/>
        <w:spacing w:after="0" w:line="304" w:lineRule="auto"/>
        <w:rPr>
          <w:sz w:val="20"/>
          <w:szCs w:val="20"/>
          <w:color w:val="auto"/>
        </w:rPr>
      </w:pPr>
      <w:r>
        <w:rPr>
          <w:rFonts w:ascii="Arial" w:cs="Arial" w:eastAsia="Arial" w:hAnsi="Arial"/>
          <w:sz w:val="15"/>
          <w:szCs w:val="15"/>
          <w:color w:val="auto"/>
        </w:rPr>
        <w:t>The following table sets forth information as of May 6, 2014, regarding the individuals who are expected to serve as our executive officers and directors following the spin-off. After the spin-off, none of our executive officers will continue to be employees of Oil States.</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8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2"/>
              </w:rPr>
              <w:t>Position(s)</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Age</w:t>
            </w:r>
          </w:p>
        </w:tc>
      </w:tr>
      <w:tr>
        <w:trPr>
          <w:trHeight w:val="167"/>
        </w:trPr>
        <w:tc>
          <w:tcPr>
            <w:tcW w:w="23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Douglas E. Swanson</w:t>
            </w:r>
          </w:p>
        </w:tc>
        <w:tc>
          <w:tcPr>
            <w:tcW w:w="80" w:type="dxa"/>
            <w:vAlign w:val="bottom"/>
            <w:shd w:val="clear" w:color="auto" w:fill="CCEEFF"/>
          </w:tcPr>
          <w:p>
            <w:pPr>
              <w:spacing w:after="0"/>
              <w:rPr>
                <w:sz w:val="14"/>
                <w:szCs w:val="14"/>
                <w:color w:val="auto"/>
              </w:rPr>
            </w:pPr>
          </w:p>
        </w:tc>
        <w:tc>
          <w:tcPr>
            <w:tcW w:w="576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87"/>
              </w:rPr>
              <w:t>Chairman of the Board</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83"/>
              </w:rPr>
              <w:t>75</w:t>
            </w:r>
          </w:p>
        </w:tc>
      </w:tr>
      <w:tr>
        <w:trPr>
          <w:trHeight w:val="175"/>
        </w:trPr>
        <w:tc>
          <w:tcPr>
            <w:tcW w:w="2300" w:type="dxa"/>
            <w:vAlign w:val="bottom"/>
          </w:tcPr>
          <w:p>
            <w:pPr>
              <w:spacing w:after="0"/>
              <w:rPr>
                <w:sz w:val="20"/>
                <w:szCs w:val="20"/>
                <w:color w:val="auto"/>
              </w:rPr>
            </w:pPr>
            <w:r>
              <w:rPr>
                <w:rFonts w:ascii="Arial" w:cs="Arial" w:eastAsia="Arial" w:hAnsi="Arial"/>
                <w:sz w:val="15"/>
                <w:szCs w:val="15"/>
                <w:color w:val="auto"/>
              </w:rPr>
              <w:t>Bradley J. Dodson</w:t>
            </w:r>
          </w:p>
        </w:tc>
        <w:tc>
          <w:tcPr>
            <w:tcW w:w="80" w:type="dxa"/>
            <w:vAlign w:val="bottom"/>
          </w:tcPr>
          <w:p>
            <w:pPr>
              <w:spacing w:after="0"/>
              <w:rPr>
                <w:sz w:val="15"/>
                <w:szCs w:val="15"/>
                <w:color w:val="auto"/>
              </w:rPr>
            </w:pPr>
          </w:p>
        </w:tc>
        <w:tc>
          <w:tcPr>
            <w:tcW w:w="5760" w:type="dxa"/>
            <w:vAlign w:val="bottom"/>
          </w:tcPr>
          <w:p>
            <w:pPr>
              <w:jc w:val="center"/>
              <w:spacing w:after="0"/>
              <w:rPr>
                <w:sz w:val="20"/>
                <w:szCs w:val="20"/>
                <w:color w:val="auto"/>
              </w:rPr>
            </w:pPr>
            <w:r>
              <w:rPr>
                <w:rFonts w:ascii="Arial" w:cs="Arial" w:eastAsia="Arial" w:hAnsi="Arial"/>
                <w:sz w:val="15"/>
                <w:szCs w:val="15"/>
                <w:color w:val="auto"/>
                <w:w w:val="89"/>
              </w:rPr>
              <w:t>President, Chief Executive Officer and Director</w:t>
            </w:r>
          </w:p>
        </w:tc>
        <w:tc>
          <w:tcPr>
            <w:tcW w:w="1020" w:type="dxa"/>
            <w:vAlign w:val="bottom"/>
            <w:gridSpan w:val="2"/>
          </w:tcPr>
          <w:p>
            <w:pPr>
              <w:jc w:val="center"/>
              <w:ind w:left="7"/>
              <w:spacing w:after="0"/>
              <w:rPr>
                <w:sz w:val="20"/>
                <w:szCs w:val="20"/>
                <w:color w:val="auto"/>
              </w:rPr>
            </w:pPr>
            <w:r>
              <w:rPr>
                <w:rFonts w:ascii="Arial" w:cs="Arial" w:eastAsia="Arial" w:hAnsi="Arial"/>
                <w:sz w:val="15"/>
                <w:szCs w:val="15"/>
                <w:color w:val="auto"/>
                <w:w w:val="83"/>
              </w:rPr>
              <w:t>40</w:t>
            </w:r>
          </w:p>
        </w:tc>
      </w:tr>
      <w:tr>
        <w:trPr>
          <w:trHeight w:val="175"/>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Frank C. Steininger</w:t>
            </w:r>
          </w:p>
        </w:tc>
        <w:tc>
          <w:tcPr>
            <w:tcW w:w="80" w:type="dxa"/>
            <w:vAlign w:val="bottom"/>
            <w:shd w:val="clear" w:color="auto" w:fill="CCEEFF"/>
          </w:tcPr>
          <w:p>
            <w:pPr>
              <w:spacing w:after="0"/>
              <w:rPr>
                <w:sz w:val="15"/>
                <w:szCs w:val="15"/>
                <w:color w:val="auto"/>
              </w:rPr>
            </w:pPr>
          </w:p>
        </w:tc>
        <w:tc>
          <w:tcPr>
            <w:tcW w:w="5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Senior Vice President, Chief Financial Officer and Treasurer</w:t>
            </w:r>
          </w:p>
        </w:tc>
        <w:tc>
          <w:tcPr>
            <w:tcW w:w="10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83"/>
              </w:rPr>
              <w:t>56</w:t>
            </w:r>
          </w:p>
        </w:tc>
      </w:tr>
      <w:tr>
        <w:trPr>
          <w:trHeight w:val="175"/>
        </w:trPr>
        <w:tc>
          <w:tcPr>
            <w:tcW w:w="2300" w:type="dxa"/>
            <w:vAlign w:val="bottom"/>
          </w:tcPr>
          <w:p>
            <w:pPr>
              <w:spacing w:after="0"/>
              <w:rPr>
                <w:sz w:val="20"/>
                <w:szCs w:val="20"/>
                <w:color w:val="auto"/>
              </w:rPr>
            </w:pPr>
            <w:r>
              <w:rPr>
                <w:rFonts w:ascii="Arial" w:cs="Arial" w:eastAsia="Arial" w:hAnsi="Arial"/>
                <w:sz w:val="15"/>
                <w:szCs w:val="15"/>
                <w:color w:val="auto"/>
              </w:rPr>
              <w:t>Ron R. Green</w:t>
            </w:r>
          </w:p>
        </w:tc>
        <w:tc>
          <w:tcPr>
            <w:tcW w:w="80" w:type="dxa"/>
            <w:vAlign w:val="bottom"/>
          </w:tcPr>
          <w:p>
            <w:pPr>
              <w:spacing w:after="0"/>
              <w:rPr>
                <w:sz w:val="15"/>
                <w:szCs w:val="15"/>
                <w:color w:val="auto"/>
              </w:rPr>
            </w:pPr>
          </w:p>
        </w:tc>
        <w:tc>
          <w:tcPr>
            <w:tcW w:w="5760" w:type="dxa"/>
            <w:vAlign w:val="bottom"/>
          </w:tcPr>
          <w:p>
            <w:pPr>
              <w:jc w:val="center"/>
              <w:spacing w:after="0"/>
              <w:rPr>
                <w:sz w:val="20"/>
                <w:szCs w:val="20"/>
                <w:color w:val="auto"/>
              </w:rPr>
            </w:pPr>
            <w:r>
              <w:rPr>
                <w:rFonts w:ascii="Arial" w:cs="Arial" w:eastAsia="Arial" w:hAnsi="Arial"/>
                <w:sz w:val="15"/>
                <w:szCs w:val="15"/>
                <w:color w:val="auto"/>
                <w:w w:val="88"/>
              </w:rPr>
              <w:t>Senior Vice President, North America</w:t>
            </w:r>
          </w:p>
        </w:tc>
        <w:tc>
          <w:tcPr>
            <w:tcW w:w="1020" w:type="dxa"/>
            <w:vAlign w:val="bottom"/>
            <w:gridSpan w:val="2"/>
          </w:tcPr>
          <w:p>
            <w:pPr>
              <w:jc w:val="center"/>
              <w:ind w:left="7"/>
              <w:spacing w:after="0"/>
              <w:rPr>
                <w:sz w:val="20"/>
                <w:szCs w:val="20"/>
                <w:color w:val="auto"/>
              </w:rPr>
            </w:pPr>
            <w:r>
              <w:rPr>
                <w:rFonts w:ascii="Arial" w:cs="Arial" w:eastAsia="Arial" w:hAnsi="Arial"/>
                <w:sz w:val="15"/>
                <w:szCs w:val="15"/>
                <w:color w:val="auto"/>
                <w:w w:val="83"/>
              </w:rPr>
              <w:t>64</w:t>
            </w:r>
          </w:p>
        </w:tc>
      </w:tr>
      <w:tr>
        <w:trPr>
          <w:trHeight w:val="175"/>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Peter McCann</w:t>
            </w:r>
          </w:p>
        </w:tc>
        <w:tc>
          <w:tcPr>
            <w:tcW w:w="80" w:type="dxa"/>
            <w:vAlign w:val="bottom"/>
            <w:shd w:val="clear" w:color="auto" w:fill="CCEEFF"/>
          </w:tcPr>
          <w:p>
            <w:pPr>
              <w:spacing w:after="0"/>
              <w:rPr>
                <w:sz w:val="15"/>
                <w:szCs w:val="15"/>
                <w:color w:val="auto"/>
              </w:rPr>
            </w:pPr>
          </w:p>
        </w:tc>
        <w:tc>
          <w:tcPr>
            <w:tcW w:w="5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Senior Vice President, Australia</w:t>
            </w:r>
          </w:p>
        </w:tc>
        <w:tc>
          <w:tcPr>
            <w:tcW w:w="10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83"/>
              </w:rPr>
              <w:t>47</w:t>
            </w:r>
          </w:p>
        </w:tc>
      </w:tr>
      <w:tr>
        <w:trPr>
          <w:trHeight w:val="175"/>
        </w:trPr>
        <w:tc>
          <w:tcPr>
            <w:tcW w:w="2300" w:type="dxa"/>
            <w:vAlign w:val="bottom"/>
          </w:tcPr>
          <w:p>
            <w:pPr>
              <w:spacing w:after="0"/>
              <w:rPr>
                <w:sz w:val="20"/>
                <w:szCs w:val="20"/>
                <w:color w:val="auto"/>
              </w:rPr>
            </w:pPr>
            <w:r>
              <w:rPr>
                <w:rFonts w:ascii="Arial" w:cs="Arial" w:eastAsia="Arial" w:hAnsi="Arial"/>
                <w:sz w:val="15"/>
                <w:szCs w:val="15"/>
                <w:color w:val="auto"/>
              </w:rPr>
              <w:t>Martin A. Lambert</w:t>
            </w:r>
          </w:p>
        </w:tc>
        <w:tc>
          <w:tcPr>
            <w:tcW w:w="80" w:type="dxa"/>
            <w:vAlign w:val="bottom"/>
          </w:tcPr>
          <w:p>
            <w:pPr>
              <w:spacing w:after="0"/>
              <w:rPr>
                <w:sz w:val="15"/>
                <w:szCs w:val="15"/>
                <w:color w:val="auto"/>
              </w:rPr>
            </w:pPr>
          </w:p>
        </w:tc>
        <w:tc>
          <w:tcPr>
            <w:tcW w:w="57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1020" w:type="dxa"/>
            <w:vAlign w:val="bottom"/>
            <w:gridSpan w:val="2"/>
          </w:tcPr>
          <w:p>
            <w:pPr>
              <w:jc w:val="center"/>
              <w:ind w:left="7"/>
              <w:spacing w:after="0"/>
              <w:rPr>
                <w:sz w:val="20"/>
                <w:szCs w:val="20"/>
                <w:color w:val="auto"/>
              </w:rPr>
            </w:pPr>
            <w:r>
              <w:rPr>
                <w:rFonts w:ascii="Arial" w:cs="Arial" w:eastAsia="Arial" w:hAnsi="Arial"/>
                <w:sz w:val="15"/>
                <w:szCs w:val="15"/>
                <w:color w:val="auto"/>
                <w:w w:val="83"/>
              </w:rPr>
              <w:t>58</w:t>
            </w:r>
          </w:p>
        </w:tc>
      </w:tr>
      <w:tr>
        <w:trPr>
          <w:trHeight w:val="175"/>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Constance B. Moore</w:t>
            </w:r>
          </w:p>
        </w:tc>
        <w:tc>
          <w:tcPr>
            <w:tcW w:w="80" w:type="dxa"/>
            <w:vAlign w:val="bottom"/>
            <w:shd w:val="clear" w:color="auto" w:fill="CCEEFF"/>
          </w:tcPr>
          <w:p>
            <w:pPr>
              <w:spacing w:after="0"/>
              <w:rPr>
                <w:sz w:val="15"/>
                <w:szCs w:val="15"/>
                <w:color w:val="auto"/>
              </w:rPr>
            </w:pPr>
          </w:p>
        </w:tc>
        <w:tc>
          <w:tcPr>
            <w:tcW w:w="5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Director</w:t>
            </w:r>
          </w:p>
        </w:tc>
        <w:tc>
          <w:tcPr>
            <w:tcW w:w="10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83"/>
              </w:rPr>
              <w:t>58</w:t>
            </w:r>
          </w:p>
        </w:tc>
      </w:tr>
      <w:tr>
        <w:trPr>
          <w:trHeight w:val="175"/>
        </w:trPr>
        <w:tc>
          <w:tcPr>
            <w:tcW w:w="2300" w:type="dxa"/>
            <w:vAlign w:val="bottom"/>
          </w:tcPr>
          <w:p>
            <w:pPr>
              <w:spacing w:after="0"/>
              <w:rPr>
                <w:sz w:val="20"/>
                <w:szCs w:val="20"/>
                <w:color w:val="auto"/>
              </w:rPr>
            </w:pPr>
            <w:r>
              <w:rPr>
                <w:rFonts w:ascii="Arial" w:cs="Arial" w:eastAsia="Arial" w:hAnsi="Arial"/>
                <w:sz w:val="15"/>
                <w:szCs w:val="15"/>
                <w:color w:val="auto"/>
              </w:rPr>
              <w:t>Richard A. Navarre</w:t>
            </w:r>
          </w:p>
        </w:tc>
        <w:tc>
          <w:tcPr>
            <w:tcW w:w="80" w:type="dxa"/>
            <w:vAlign w:val="bottom"/>
          </w:tcPr>
          <w:p>
            <w:pPr>
              <w:spacing w:after="0"/>
              <w:rPr>
                <w:sz w:val="15"/>
                <w:szCs w:val="15"/>
                <w:color w:val="auto"/>
              </w:rPr>
            </w:pPr>
          </w:p>
        </w:tc>
        <w:tc>
          <w:tcPr>
            <w:tcW w:w="57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1020" w:type="dxa"/>
            <w:vAlign w:val="bottom"/>
            <w:gridSpan w:val="2"/>
          </w:tcPr>
          <w:p>
            <w:pPr>
              <w:jc w:val="center"/>
              <w:ind w:left="7"/>
              <w:spacing w:after="0"/>
              <w:rPr>
                <w:sz w:val="20"/>
                <w:szCs w:val="20"/>
                <w:color w:val="auto"/>
              </w:rPr>
            </w:pPr>
            <w:r>
              <w:rPr>
                <w:rFonts w:ascii="Arial" w:cs="Arial" w:eastAsia="Arial" w:hAnsi="Arial"/>
                <w:sz w:val="15"/>
                <w:szCs w:val="15"/>
                <w:color w:val="auto"/>
                <w:w w:val="83"/>
              </w:rPr>
              <w:t>53</w:t>
            </w:r>
          </w:p>
        </w:tc>
      </w:tr>
      <w:tr>
        <w:trPr>
          <w:trHeight w:val="175"/>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Gary L. Rosenthal</w:t>
            </w:r>
          </w:p>
        </w:tc>
        <w:tc>
          <w:tcPr>
            <w:tcW w:w="80" w:type="dxa"/>
            <w:vAlign w:val="bottom"/>
            <w:shd w:val="clear" w:color="auto" w:fill="CCEEFF"/>
          </w:tcPr>
          <w:p>
            <w:pPr>
              <w:spacing w:after="0"/>
              <w:rPr>
                <w:sz w:val="15"/>
                <w:szCs w:val="15"/>
                <w:color w:val="auto"/>
              </w:rPr>
            </w:pPr>
          </w:p>
        </w:tc>
        <w:tc>
          <w:tcPr>
            <w:tcW w:w="5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Director</w:t>
            </w:r>
          </w:p>
        </w:tc>
        <w:tc>
          <w:tcPr>
            <w:tcW w:w="10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83"/>
              </w:rPr>
              <w:t>64</w:t>
            </w:r>
          </w:p>
        </w:tc>
      </w:tr>
      <w:tr>
        <w:trPr>
          <w:trHeight w:val="184"/>
        </w:trPr>
        <w:tc>
          <w:tcPr>
            <w:tcW w:w="2300" w:type="dxa"/>
            <w:vAlign w:val="bottom"/>
          </w:tcPr>
          <w:p>
            <w:pPr>
              <w:spacing w:after="0"/>
              <w:rPr>
                <w:sz w:val="20"/>
                <w:szCs w:val="20"/>
                <w:color w:val="auto"/>
              </w:rPr>
            </w:pPr>
            <w:r>
              <w:rPr>
                <w:rFonts w:ascii="Arial" w:cs="Arial" w:eastAsia="Arial" w:hAnsi="Arial"/>
                <w:sz w:val="15"/>
                <w:szCs w:val="15"/>
                <w:color w:val="auto"/>
              </w:rPr>
              <w:t>Charles Szalkowski</w:t>
            </w:r>
          </w:p>
        </w:tc>
        <w:tc>
          <w:tcPr>
            <w:tcW w:w="80" w:type="dxa"/>
            <w:vAlign w:val="bottom"/>
          </w:tcPr>
          <w:p>
            <w:pPr>
              <w:spacing w:after="0"/>
              <w:rPr>
                <w:sz w:val="15"/>
                <w:szCs w:val="15"/>
                <w:color w:val="auto"/>
              </w:rPr>
            </w:pPr>
          </w:p>
        </w:tc>
        <w:tc>
          <w:tcPr>
            <w:tcW w:w="57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1020" w:type="dxa"/>
            <w:vAlign w:val="bottom"/>
            <w:gridSpan w:val="2"/>
          </w:tcPr>
          <w:p>
            <w:pPr>
              <w:jc w:val="center"/>
              <w:ind w:left="7"/>
              <w:spacing w:after="0"/>
              <w:rPr>
                <w:sz w:val="20"/>
                <w:szCs w:val="20"/>
                <w:color w:val="auto"/>
              </w:rPr>
            </w:pPr>
            <w:r>
              <w:rPr>
                <w:rFonts w:ascii="Arial" w:cs="Arial" w:eastAsia="Arial" w:hAnsi="Arial"/>
                <w:sz w:val="15"/>
                <w:szCs w:val="15"/>
                <w:color w:val="auto"/>
                <w:w w:val="83"/>
              </w:rPr>
              <w:t>66</w:t>
            </w:r>
          </w:p>
        </w:tc>
      </w:tr>
    </w:tbl>
    <w:p>
      <w:pPr>
        <w:spacing w:after="0" w:line="155" w:lineRule="exact"/>
        <w:rPr>
          <w:sz w:val="20"/>
          <w:szCs w:val="20"/>
          <w:color w:val="auto"/>
        </w:rPr>
      </w:pPr>
    </w:p>
    <w:p>
      <w:pPr>
        <w:ind w:right="40" w:firstLine="262"/>
        <w:spacing w:after="0" w:line="327" w:lineRule="auto"/>
        <w:rPr>
          <w:sz w:val="20"/>
          <w:szCs w:val="20"/>
          <w:color w:val="auto"/>
        </w:rPr>
      </w:pPr>
      <w:r>
        <w:rPr>
          <w:rFonts w:ascii="Arial" w:cs="Arial" w:eastAsia="Arial" w:hAnsi="Arial"/>
          <w:sz w:val="12"/>
          <w:szCs w:val="12"/>
          <w:i w:val="1"/>
          <w:iCs w:val="1"/>
          <w:color w:val="auto"/>
        </w:rPr>
        <w:t>Douglas E. Swanson</w:t>
      </w:r>
      <w:r>
        <w:rPr>
          <w:rFonts w:ascii="Arial" w:cs="Arial" w:eastAsia="Arial" w:hAnsi="Arial"/>
          <w:sz w:val="12"/>
          <w:szCs w:val="12"/>
          <w:color w:val="auto"/>
        </w:rPr>
        <w:t>, prior to the spin-off, will be appointed as Chairman of the Board of Civeo. Mr. Swanson has served as a director of Oil States since February 2001 and served as Oil</w:t>
      </w:r>
      <w:r>
        <w:rPr>
          <w:rFonts w:ascii="Arial" w:cs="Arial" w:eastAsia="Arial" w:hAnsi="Arial"/>
          <w:sz w:val="12"/>
          <w:szCs w:val="12"/>
          <w:i w:val="1"/>
          <w:iCs w:val="1"/>
          <w:color w:val="auto"/>
        </w:rPr>
        <w:t xml:space="preserve"> </w:t>
      </w:r>
      <w:r>
        <w:rPr>
          <w:rFonts w:ascii="Arial" w:cs="Arial" w:eastAsia="Arial" w:hAnsi="Arial"/>
          <w:sz w:val="12"/>
          <w:szCs w:val="12"/>
          <w:color w:val="auto"/>
        </w:rPr>
        <w:t>States’ Chief Executive Officer from February 2001 until he retired in April 2007. Mr. Swanson will not run for re-election as a director of Oil States, and his term will end on May 15, 2014. From January 1992 to August 1999, 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140" w:lineRule="exact"/>
        <w:rPr>
          <w:sz w:val="20"/>
          <w:szCs w:val="20"/>
          <w:color w:val="auto"/>
        </w:rPr>
      </w:pPr>
    </w:p>
    <w:p>
      <w:pPr>
        <w:ind w:firstLine="262"/>
        <w:spacing w:after="0" w:line="267" w:lineRule="auto"/>
        <w:rPr>
          <w:sz w:val="20"/>
          <w:szCs w:val="20"/>
          <w:color w:val="auto"/>
        </w:rPr>
      </w:pPr>
      <w:r>
        <w:rPr>
          <w:rFonts w:ascii="Arial" w:cs="Arial" w:eastAsia="Arial" w:hAnsi="Arial"/>
          <w:sz w:val="14"/>
          <w:szCs w:val="14"/>
          <w:i w:val="1"/>
          <w:iCs w:val="1"/>
          <w:color w:val="auto"/>
        </w:rPr>
        <w:t xml:space="preserve">Bradley J. Dodson </w:t>
      </w:r>
      <w:r>
        <w:rPr>
          <w:rFonts w:ascii="Arial" w:cs="Arial" w:eastAsia="Arial" w:hAnsi="Arial"/>
          <w:sz w:val="14"/>
          <w:szCs w:val="14"/>
          <w:color w:val="auto"/>
        </w:rPr>
        <w:t>is currently Executive Vice President, Accommodations of Oil States and President and Chief Executive Officer and Director of Civeo; positions held since December 2013.</w:t>
      </w:r>
      <w:r>
        <w:rPr>
          <w:rFonts w:ascii="Arial" w:cs="Arial" w:eastAsia="Arial" w:hAnsi="Arial"/>
          <w:sz w:val="14"/>
          <w:szCs w:val="14"/>
          <w:i w:val="1"/>
          <w:iCs w:val="1"/>
          <w:color w:val="auto"/>
        </w:rPr>
        <w:t xml:space="preserve"> </w:t>
      </w:r>
      <w:r>
        <w:rPr>
          <w:rFonts w:ascii="Arial" w:cs="Arial" w:eastAsia="Arial" w:hAnsi="Arial"/>
          <w:sz w:val="14"/>
          <w:szCs w:val="14"/>
          <w:color w:val="auto"/>
        </w:rPr>
        <w:t>Mr. Dodson has held several executive positions with Oil States since joining in March 2001, including serving as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49" w:lineRule="exact"/>
        <w:rPr>
          <w:sz w:val="20"/>
          <w:szCs w:val="20"/>
          <w:color w:val="auto"/>
        </w:rPr>
      </w:pPr>
    </w:p>
    <w:p>
      <w:pPr>
        <w:ind w:right="120" w:firstLine="262"/>
        <w:spacing w:after="0" w:line="251" w:lineRule="auto"/>
        <w:rPr>
          <w:sz w:val="20"/>
          <w:szCs w:val="20"/>
          <w:color w:val="auto"/>
        </w:rPr>
      </w:pPr>
      <w:r>
        <w:rPr>
          <w:rFonts w:ascii="Arial" w:cs="Arial" w:eastAsia="Arial" w:hAnsi="Arial"/>
          <w:sz w:val="15"/>
          <w:szCs w:val="15"/>
          <w:i w:val="1"/>
          <w:iCs w:val="1"/>
          <w:color w:val="auto"/>
        </w:rPr>
        <w:t xml:space="preserve">Frank C. Steininger, </w:t>
      </w:r>
      <w:r>
        <w:rPr>
          <w:rFonts w:ascii="Arial" w:cs="Arial" w:eastAsia="Arial" w:hAnsi="Arial"/>
          <w:sz w:val="15"/>
          <w:szCs w:val="15"/>
          <w:color w:val="auto"/>
        </w:rPr>
        <w:t>upon the spin-off, will serve as Senior Vice President, Chief Financial Officer and Treasurer of Civeo. From August 1980 to March 2014, Mr. Steininger worked for</w:t>
      </w:r>
      <w:r>
        <w:rPr>
          <w:rFonts w:ascii="Arial" w:cs="Arial" w:eastAsia="Arial" w:hAnsi="Arial"/>
          <w:sz w:val="15"/>
          <w:szCs w:val="15"/>
          <w:i w:val="1"/>
          <w:iCs w:val="1"/>
          <w:color w:val="auto"/>
        </w:rPr>
        <w:t xml:space="preserve"> </w:t>
      </w:r>
      <w:r>
        <w:rPr>
          <w:rFonts w:ascii="Arial" w:cs="Arial" w:eastAsia="Arial" w:hAnsi="Arial"/>
          <w:sz w:val="15"/>
          <w:szCs w:val="15"/>
          <w:color w:val="auto"/>
        </w:rPr>
        <w:t>PricewaterhouseCoopers LLP, where he was admitted to the partnership in 1991. From 1997 to 2014, Mr. Steininger was an Assurance Partner in PwC’s Global Energy practice. He holds a B.S. degree in accounting from the University of Akron.</w:t>
      </w:r>
    </w:p>
    <w:p>
      <w:pPr>
        <w:spacing w:after="0" w:line="158" w:lineRule="exact"/>
        <w:rPr>
          <w:sz w:val="20"/>
          <w:szCs w:val="20"/>
          <w:color w:val="auto"/>
        </w:rPr>
      </w:pPr>
    </w:p>
    <w:p>
      <w:pPr>
        <w:ind w:right="20" w:firstLine="262"/>
        <w:spacing w:after="0" w:line="247" w:lineRule="auto"/>
        <w:rPr>
          <w:sz w:val="20"/>
          <w:szCs w:val="20"/>
          <w:color w:val="auto"/>
        </w:rPr>
      </w:pPr>
      <w:r>
        <w:rPr>
          <w:rFonts w:ascii="Arial" w:cs="Arial" w:eastAsia="Arial" w:hAnsi="Arial"/>
          <w:sz w:val="15"/>
          <w:szCs w:val="15"/>
          <w:i w:val="1"/>
          <w:iCs w:val="1"/>
          <w:color w:val="auto"/>
        </w:rPr>
        <w:t xml:space="preserve">Ron R. Green, </w:t>
      </w:r>
      <w:r>
        <w:rPr>
          <w:rFonts w:ascii="Arial" w:cs="Arial" w:eastAsia="Arial" w:hAnsi="Arial"/>
          <w:sz w:val="15"/>
          <w:szCs w:val="15"/>
          <w:color w:val="auto"/>
        </w:rPr>
        <w:t>upon the spin-off, will serve as Senior Vice President, North America of Civeo. Mr. Green is the Senior Vice President, Accommodations of Oil States and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Officer—PTI Group Inc. (“PTI”), a wholly owned subsidiary of Civeo. He has held this position since April 2006. From December 2005 to March 2006 he was Senior Vice President and Chief Operating Officer of PTI. From November 2004 to November 2005, Mr. Green served as Vice President, Premium Camp Services for PTI. Prior to joining PTI, Mr. Green served as Vice President and General Manager of ESS Remote Site Services, a division of Compass Group PLC from October 1995 to August 2003. From 1975 to 1995, Mr. Green held various senior executive positions in the accommodations industry.</w:t>
      </w:r>
    </w:p>
    <w:p>
      <w:pPr>
        <w:spacing w:after="0" w:line="162" w:lineRule="exact"/>
        <w:rPr>
          <w:sz w:val="20"/>
          <w:szCs w:val="20"/>
          <w:color w:val="auto"/>
        </w:rPr>
      </w:pPr>
    </w:p>
    <w:p>
      <w:pPr>
        <w:jc w:val="both"/>
        <w:ind w:right="20" w:firstLine="262"/>
        <w:spacing w:after="0" w:line="251" w:lineRule="auto"/>
        <w:rPr>
          <w:sz w:val="20"/>
          <w:szCs w:val="20"/>
          <w:color w:val="auto"/>
        </w:rPr>
      </w:pPr>
      <w:r>
        <w:rPr>
          <w:rFonts w:ascii="Arial" w:cs="Arial" w:eastAsia="Arial" w:hAnsi="Arial"/>
          <w:sz w:val="15"/>
          <w:szCs w:val="15"/>
          <w:i w:val="1"/>
          <w:iCs w:val="1"/>
          <w:color w:val="auto"/>
        </w:rPr>
        <w:t xml:space="preserve">Peter McCann, </w:t>
      </w:r>
      <w:r>
        <w:rPr>
          <w:rFonts w:ascii="Arial" w:cs="Arial" w:eastAsia="Arial" w:hAnsi="Arial"/>
          <w:sz w:val="15"/>
          <w:szCs w:val="15"/>
          <w:color w:val="auto"/>
        </w:rPr>
        <w:t>upon the spin-off, will serve as Senior Vice President, Australia. Mr. McCann has been Managing Director of The MAC, a wholly owned subsidiary of Civeo since June 2012.</w:t>
      </w:r>
      <w:r>
        <w:rPr>
          <w:rFonts w:ascii="Arial" w:cs="Arial" w:eastAsia="Arial" w:hAnsi="Arial"/>
          <w:sz w:val="15"/>
          <w:szCs w:val="15"/>
          <w:i w:val="1"/>
          <w:iCs w:val="1"/>
          <w:color w:val="auto"/>
        </w:rPr>
        <w:t xml:space="preserve"> </w:t>
      </w:r>
      <w:r>
        <w:rPr>
          <w:rFonts w:ascii="Arial" w:cs="Arial" w:eastAsia="Arial" w:hAnsi="Arial"/>
          <w:sz w:val="15"/>
          <w:szCs w:val="15"/>
          <w:color w:val="auto"/>
        </w:rPr>
        <w:t>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58" w:lineRule="exact"/>
        <w:rPr>
          <w:sz w:val="20"/>
          <w:szCs w:val="20"/>
          <w:color w:val="auto"/>
        </w:rPr>
      </w:pPr>
    </w:p>
    <w:p>
      <w:pPr>
        <w:ind w:firstLine="262"/>
        <w:spacing w:after="0" w:line="267" w:lineRule="auto"/>
        <w:rPr>
          <w:sz w:val="20"/>
          <w:szCs w:val="20"/>
          <w:color w:val="auto"/>
        </w:rPr>
      </w:pPr>
      <w:r>
        <w:rPr>
          <w:rFonts w:ascii="Arial" w:cs="Arial" w:eastAsia="Arial" w:hAnsi="Arial"/>
          <w:sz w:val="14"/>
          <w:szCs w:val="14"/>
          <w:i w:val="1"/>
          <w:iCs w:val="1"/>
          <w:color w:val="auto"/>
        </w:rPr>
        <w:t>Martin A. Lambert</w:t>
      </w:r>
      <w:r>
        <w:rPr>
          <w:rFonts w:ascii="Arial" w:cs="Arial" w:eastAsia="Arial" w:hAnsi="Arial"/>
          <w:sz w:val="14"/>
          <w:szCs w:val="14"/>
          <w:color w:val="auto"/>
        </w:rPr>
        <w:t>, prior to the spin-off, will be appointed as a Director of Civeo. Mr. Lambert has served as a director of Oil States since February 2001. Considering his new appointment, we</w:t>
      </w:r>
      <w:r>
        <w:rPr>
          <w:rFonts w:ascii="Arial" w:cs="Arial" w:eastAsia="Arial" w:hAnsi="Arial"/>
          <w:sz w:val="14"/>
          <w:szCs w:val="14"/>
          <w:i w:val="1"/>
          <w:iCs w:val="1"/>
          <w:color w:val="auto"/>
        </w:rPr>
        <w:t xml:space="preserve"> </w:t>
      </w:r>
      <w:r>
        <w:rPr>
          <w:rFonts w:ascii="Arial" w:cs="Arial" w:eastAsia="Arial" w:hAnsi="Arial"/>
          <w:sz w:val="14"/>
          <w:szCs w:val="14"/>
          <w:color w:val="auto"/>
        </w:rPr>
        <w:t>expect that Mr. Lambert will resign from the board of directors of Oil States upon completion of the spin-off. Mr. Lambert’s principal occupation since November 1, 2008 has been as Chief Executive Officer of Swan Hills Synfuels LP, an energy conversion company.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is a director of Zedi, Inc., a private company involved in Canadian, U.S. and other international oilfield services. Mr. Lambert received his LLB degree from the University of Alberta in 1979.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12" w:name="page313"/>
    <w:bookmarkEnd w:id="312"/>
    <w:p>
      <w:pPr>
        <w:ind w:right="20" w:firstLine="262"/>
        <w:spacing w:after="0" w:line="317" w:lineRule="auto"/>
        <w:rPr>
          <w:sz w:val="20"/>
          <w:szCs w:val="20"/>
          <w:color w:val="auto"/>
        </w:rPr>
      </w:pPr>
      <w:r>
        <w:rPr>
          <w:rFonts w:ascii="Arial" w:cs="Arial" w:eastAsia="Arial" w:hAnsi="Arial"/>
          <w:sz w:val="12"/>
          <w:szCs w:val="12"/>
          <w:i w:val="1"/>
          <w:iCs w:val="1"/>
          <w:color w:val="auto"/>
        </w:rPr>
        <w:t>Constance B. Moore</w:t>
      </w:r>
      <w:r>
        <w:rPr>
          <w:rFonts w:ascii="Arial" w:cs="Arial" w:eastAsia="Arial" w:hAnsi="Arial"/>
          <w:sz w:val="12"/>
          <w:szCs w:val="12"/>
          <w:color w:val="auto"/>
        </w:rPr>
        <w:t>, promptly following the spin-off, will be appointed as a Director of Civeo. Ms. Moore has been a director of BRE Properties, Inc. (BRE) (NYSE: BRE) from September,</w:t>
      </w:r>
      <w:r>
        <w:rPr>
          <w:rFonts w:ascii="Arial" w:cs="Arial" w:eastAsia="Arial" w:hAnsi="Arial"/>
          <w:sz w:val="12"/>
          <w:szCs w:val="12"/>
          <w:i w:val="1"/>
          <w:iCs w:val="1"/>
          <w:color w:val="auto"/>
        </w:rPr>
        <w:t xml:space="preserve"> </w:t>
      </w:r>
      <w:r>
        <w:rPr>
          <w:rFonts w:ascii="Arial" w:cs="Arial" w:eastAsia="Arial" w:hAnsi="Arial"/>
          <w:sz w:val="12"/>
          <w:szCs w:val="12"/>
          <w:color w:val="auto"/>
        </w:rPr>
        <w:t>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a member of the Urban Land Institute; serves on the board of the Tower Foundation at San Jose State University; and is a Trustee for the City of Hope.</w:t>
      </w:r>
    </w:p>
    <w:p>
      <w:pPr>
        <w:spacing w:after="0" w:line="123"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i w:val="1"/>
          <w:iCs w:val="1"/>
          <w:color w:val="auto"/>
        </w:rPr>
        <w:t>Richard A. Navarre</w:t>
      </w:r>
      <w:r>
        <w:rPr>
          <w:rFonts w:ascii="Arial" w:cs="Arial" w:eastAsia="Arial" w:hAnsi="Arial"/>
          <w:sz w:val="12"/>
          <w:szCs w:val="12"/>
          <w:color w:val="auto"/>
        </w:rPr>
        <w:t>, promptly following the spin-off, will be appointed as a Director of Civeo. Mr. Navarre currently provides advisory services to the energy industry and private equity firms.</w:t>
      </w:r>
      <w:r>
        <w:rPr>
          <w:rFonts w:ascii="Arial" w:cs="Arial" w:eastAsia="Arial" w:hAnsi="Arial"/>
          <w:sz w:val="12"/>
          <w:szCs w:val="12"/>
          <w:i w:val="1"/>
          <w:iCs w:val="1"/>
          <w:color w:val="auto"/>
        </w:rPr>
        <w:t xml:space="preserve"> </w:t>
      </w:r>
      <w:r>
        <w:rPr>
          <w:rFonts w:ascii="Arial" w:cs="Arial" w:eastAsia="Arial" w:hAnsi="Arial"/>
          <w:sz w:val="12"/>
          <w:szCs w:val="12"/>
          <w:color w:val="auto"/>
        </w:rPr>
        <w:t>Mr. Navarre 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is currently an independent director and member of the audit committee for Natural Resource Partners LP (NYSE: NRP), an advisory Board member for Secure Energy, LLC and was a past Chairman of the Board for United Coal Company, LLC. He is a member of the Board of Directors of the Foreign Policy Association, a member of the Hall of Fame of the College of Business at Southern Illinois University-Carbondale, a member of the Board of Advisors of the College of Business and Administration, and a member of the Cardinal Glennon - Children's Hospital Benefit Committee. Mr. Navarre is a Certified Public Accountant and received his B.S. in Accounting from Southern Illinois University-Carbondale.</w:t>
      </w:r>
    </w:p>
    <w:p>
      <w:pPr>
        <w:spacing w:after="0" w:line="123" w:lineRule="exact"/>
        <w:rPr>
          <w:sz w:val="20"/>
          <w:szCs w:val="20"/>
          <w:color w:val="auto"/>
        </w:rPr>
      </w:pPr>
    </w:p>
    <w:p>
      <w:pPr>
        <w:ind w:right="60" w:firstLine="262"/>
        <w:spacing w:after="0" w:line="343" w:lineRule="auto"/>
        <w:rPr>
          <w:sz w:val="20"/>
          <w:szCs w:val="20"/>
          <w:color w:val="auto"/>
        </w:rPr>
      </w:pPr>
      <w:r>
        <w:rPr>
          <w:rFonts w:ascii="Arial" w:cs="Arial" w:eastAsia="Arial" w:hAnsi="Arial"/>
          <w:sz w:val="12"/>
          <w:szCs w:val="12"/>
          <w:i w:val="1"/>
          <w:iCs w:val="1"/>
          <w:color w:val="auto"/>
        </w:rPr>
        <w:t>Gary L. Rosenthal</w:t>
      </w:r>
      <w:r>
        <w:rPr>
          <w:rFonts w:ascii="Arial" w:cs="Arial" w:eastAsia="Arial" w:hAnsi="Arial"/>
          <w:sz w:val="12"/>
          <w:szCs w:val="12"/>
          <w:color w:val="auto"/>
        </w:rPr>
        <w:t>, prior to the spin-off, will be appointed as a Director of Civeo. Mr. Rosenthal has served as a director of Oil States since February 2001. Mr. Rosenthal has been a partner in</w:t>
      </w:r>
      <w:r>
        <w:rPr>
          <w:rFonts w:ascii="Arial" w:cs="Arial" w:eastAsia="Arial" w:hAnsi="Arial"/>
          <w:sz w:val="12"/>
          <w:szCs w:val="12"/>
          <w:i w:val="1"/>
          <w:iCs w:val="1"/>
          <w:color w:val="auto"/>
        </w:rPr>
        <w:t xml:space="preserve"> </w:t>
      </w:r>
      <w:r>
        <w:rPr>
          <w:rFonts w:ascii="Arial" w:cs="Arial" w:eastAsia="Arial" w:hAnsi="Arial"/>
          <w:sz w:val="12"/>
          <w:szCs w:val="12"/>
          <w:color w:val="auto"/>
        </w:rPr>
        <w:t>The Sterling Group, L.P., a private equity firm since January 2005. Mr. Rosenthal served as Chairman of the Board of Hydrochem Holdings, Inc. from May 2003 until December 2004. From August 1998 to April 2001, he served as Chief Executive Officer of AXIA Incorporated, a diversified manufacturing company. He holds J.D. and A.B. degrees from Harvard University.</w:t>
      </w:r>
    </w:p>
    <w:p>
      <w:pPr>
        <w:spacing w:after="0" w:line="108" w:lineRule="exact"/>
        <w:rPr>
          <w:sz w:val="20"/>
          <w:szCs w:val="20"/>
          <w:color w:val="auto"/>
        </w:rPr>
      </w:pPr>
    </w:p>
    <w:p>
      <w:pPr>
        <w:jc w:val="both"/>
        <w:ind w:firstLine="262"/>
        <w:spacing w:after="0" w:line="247" w:lineRule="auto"/>
        <w:rPr>
          <w:sz w:val="20"/>
          <w:szCs w:val="20"/>
          <w:color w:val="auto"/>
        </w:rPr>
      </w:pPr>
      <w:r>
        <w:rPr>
          <w:rFonts w:ascii="Arial" w:cs="Arial" w:eastAsia="Arial" w:hAnsi="Arial"/>
          <w:sz w:val="15"/>
          <w:szCs w:val="15"/>
          <w:i w:val="1"/>
          <w:iCs w:val="1"/>
          <w:color w:val="auto"/>
        </w:rPr>
        <w:t>Charles Szalkowski</w:t>
      </w:r>
      <w:r>
        <w:rPr>
          <w:rFonts w:ascii="Arial" w:cs="Arial" w:eastAsia="Arial" w:hAnsi="Arial"/>
          <w:sz w:val="15"/>
          <w:szCs w:val="15"/>
          <w:color w:val="auto"/>
        </w:rPr>
        <w:t>, promptly following the spin-off, will be appointed as a Director of Civeo. Mr. Szalkowski worked with the law firm of Baker Botts L.L.P. from 1975 until he retired as a</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in December 2012. Since his retirement, Mr. Szalkowski has pursued his personal interests. Mr. Szalkowski is a member of the Board of Trustees and Chairman of the Audit Committee of Rice University. He was previously on the Board of Directors of Accelerate Learning Inc. (formerly Stemscopes Inc.) and a Board member of the Compensation Committee of Rice University. Mr. Szalkowski became a Certified Public Accountant in 1975 and received his J.D. and M.B.A. degrees from Harvard University in 1975 and B.S. in Accounting and B.A. in economics and political science from Rice University in 1971.</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13" w:name="page314"/>
    <w:bookmarkEnd w:id="313"/>
    <w:p>
      <w:pPr>
        <w:spacing w:after="0"/>
        <w:rPr>
          <w:sz w:val="20"/>
          <w:szCs w:val="20"/>
          <w:color w:val="auto"/>
        </w:rPr>
      </w:pPr>
      <w:r>
        <w:rPr>
          <w:rFonts w:ascii="Arial" w:cs="Arial" w:eastAsia="Arial" w:hAnsi="Arial"/>
          <w:sz w:val="15"/>
          <w:szCs w:val="15"/>
          <w:b w:val="1"/>
          <w:bCs w:val="1"/>
          <w:u w:val="single" w:color="auto"/>
          <w:color w:val="auto"/>
        </w:rPr>
        <w:t>Qualifications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When identifying our directors to be appointed prior to or promptly following the spin-off, the following were considered:</w:t>
      </w:r>
    </w:p>
    <w:p>
      <w:pPr>
        <w:spacing w:after="0" w:line="177" w:lineRule="exact"/>
        <w:rPr>
          <w:sz w:val="20"/>
          <w:szCs w:val="20"/>
          <w:color w:val="auto"/>
        </w:rPr>
      </w:pPr>
    </w:p>
    <w:p>
      <w:pPr>
        <w:ind w:left="540" w:hanging="270"/>
        <w:spacing w:after="0"/>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person’s reputation, integrity and independence;</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person’s qualifications as an independent, disinterested, non-employee or outside director;</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person’s skills and business, government or other professional experience and acumen, bearing in mind the composition of the board of directors;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number of other public companies for which the person serves as a director and the availability of the person’s time and commitment to Civeo;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person’s knowledge of areas and businesses in which we operate.</w:t>
      </w:r>
    </w:p>
    <w:p>
      <w:pPr>
        <w:spacing w:after="0" w:line="177" w:lineRule="exact"/>
        <w:rPr>
          <w:sz w:val="20"/>
          <w:szCs w:val="20"/>
          <w:color w:val="auto"/>
        </w:rPr>
      </w:pPr>
    </w:p>
    <w:p>
      <w:pPr>
        <w:ind w:right="380" w:firstLine="262"/>
        <w:spacing w:after="0" w:line="259" w:lineRule="auto"/>
        <w:rPr>
          <w:sz w:val="20"/>
          <w:szCs w:val="20"/>
          <w:color w:val="auto"/>
        </w:rPr>
      </w:pPr>
      <w:r>
        <w:rPr>
          <w:rFonts w:ascii="Arial" w:cs="Arial" w:eastAsia="Arial" w:hAnsi="Arial"/>
          <w:sz w:val="15"/>
          <w:szCs w:val="15"/>
          <w:color w:val="auto"/>
        </w:rPr>
        <w:t>Oil States, as sole stockholder of Civeo prior to the spin-off, believes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notes the breadth and variety of business experience of each of the individuals who are expected to serve as our directors following the spin-off.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6"/>
              </w:rPr>
              <w:t>Accommodations,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5"/>
              </w:rPr>
              <w:t>Executive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7"/>
              </w:rPr>
              <w:t>Real Estate and</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1"/>
              </w:rPr>
              <w:t>International</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5"/>
              </w:rPr>
              <w:t>Past or Present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0"/>
              </w:rPr>
              <w:t>Director</w:t>
            </w:r>
          </w:p>
        </w:tc>
        <w:tc>
          <w:tcPr>
            <w:tcW w:w="100" w:type="dxa"/>
            <w:vAlign w:val="bottom"/>
          </w:tcPr>
          <w:p>
            <w:pPr>
              <w:spacing w:after="0"/>
              <w:rPr>
                <w:sz w:val="15"/>
                <w:szCs w:val="15"/>
                <w:color w:val="auto"/>
              </w:rPr>
            </w:pPr>
          </w:p>
        </w:tc>
      </w:tr>
      <w:tr>
        <w:trPr>
          <w:trHeight w:val="189"/>
        </w:trPr>
        <w:tc>
          <w:tcPr>
            <w:tcW w:w="39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Leadership</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Financial</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Hospitality</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Operations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CEO</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Experience</w:t>
            </w:r>
          </w:p>
        </w:tc>
        <w:tc>
          <w:tcPr>
            <w:tcW w:w="100" w:type="dxa"/>
            <w:vAlign w:val="bottom"/>
          </w:tcPr>
          <w:p>
            <w:pPr>
              <w:spacing w:after="0"/>
              <w:rPr>
                <w:sz w:val="16"/>
                <w:szCs w:val="16"/>
                <w:color w:val="auto"/>
              </w:rPr>
            </w:pPr>
          </w:p>
        </w:tc>
      </w:tr>
      <w:tr>
        <w:trPr>
          <w:trHeight w:val="167"/>
        </w:trPr>
        <w:tc>
          <w:tcPr>
            <w:tcW w:w="39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116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6"/>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5"/>
                <w:szCs w:val="15"/>
                <w:color w:val="auto"/>
              </w:rPr>
              <w:t>Martin A. Lambert</w:t>
            </w:r>
          </w:p>
        </w:tc>
        <w:tc>
          <w:tcPr>
            <w:tcW w:w="116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r>
      <w:tr>
        <w:trPr>
          <w:trHeight w:val="175"/>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Constance B. Moore</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shd w:val="clear" w:color="auto" w:fill="CCEEFF"/>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5"/>
                <w:szCs w:val="15"/>
                <w:color w:val="auto"/>
              </w:rPr>
              <w:t>Richard A. Navarre</w:t>
            </w:r>
          </w:p>
        </w:tc>
        <w:tc>
          <w:tcPr>
            <w:tcW w:w="116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r>
      <w:tr>
        <w:trPr>
          <w:trHeight w:val="175"/>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Gary L. Rosenthal</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shd w:val="clear" w:color="auto" w:fill="CCEEFF"/>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5"/>
                <w:szCs w:val="15"/>
                <w:color w:val="auto"/>
              </w:rPr>
              <w:t>Douglas E. Swanson</w:t>
            </w:r>
          </w:p>
        </w:tc>
        <w:tc>
          <w:tcPr>
            <w:tcW w:w="116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6"/>
              </w:rPr>
              <w:t>√</w:t>
            </w:r>
          </w:p>
        </w:tc>
        <w:tc>
          <w:tcPr>
            <w:tcW w:w="100" w:type="dxa"/>
            <w:vAlign w:val="bottom"/>
          </w:tcPr>
          <w:p>
            <w:pPr>
              <w:spacing w:after="0"/>
              <w:rPr>
                <w:sz w:val="15"/>
                <w:szCs w:val="15"/>
                <w:color w:val="auto"/>
              </w:rPr>
            </w:pPr>
          </w:p>
        </w:tc>
      </w:tr>
      <w:tr>
        <w:trPr>
          <w:trHeight w:val="175"/>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Charles Szalkowski</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Board Structure</w:t>
      </w:r>
    </w:p>
    <w:p>
      <w:pPr>
        <w:spacing w:after="0" w:line="181" w:lineRule="exact"/>
        <w:rPr>
          <w:sz w:val="20"/>
          <w:szCs w:val="20"/>
          <w:color w:val="auto"/>
        </w:rPr>
      </w:pPr>
    </w:p>
    <w:p>
      <w:pPr>
        <w:ind w:right="240" w:firstLine="262"/>
        <w:spacing w:after="0" w:line="251" w:lineRule="auto"/>
        <w:rPr>
          <w:sz w:val="20"/>
          <w:szCs w:val="20"/>
          <w:color w:val="auto"/>
        </w:rPr>
      </w:pPr>
      <w:r>
        <w:rPr>
          <w:rFonts w:ascii="Arial" w:cs="Arial" w:eastAsia="Arial" w:hAnsi="Arial"/>
          <w:sz w:val="15"/>
          <w:szCs w:val="15"/>
          <w:color w:val="auto"/>
        </w:rPr>
        <w:t>We currently expect that, upon the completion of the spin-off, our board of directors will consist of seven members, a majority of whom we expect to satisfy the independence standards established by the Sarbanes-Oxley Act of 2002 and the applicable rules of the SEC and the NYSE. We currently expect that, subsequent to the spin-off, we will increase the size of the board by two to nine members and appoint two independent directors.</w:t>
      </w:r>
    </w:p>
    <w:p>
      <w:pPr>
        <w:spacing w:after="0" w:line="158" w:lineRule="exact"/>
        <w:rPr>
          <w:sz w:val="20"/>
          <w:szCs w:val="20"/>
          <w:color w:val="auto"/>
        </w:rPr>
      </w:pPr>
    </w:p>
    <w:p>
      <w:pPr>
        <w:ind w:right="80" w:firstLine="262"/>
        <w:spacing w:after="0" w:line="269" w:lineRule="auto"/>
        <w:rPr>
          <w:sz w:val="20"/>
          <w:szCs w:val="20"/>
          <w:color w:val="auto"/>
        </w:rPr>
      </w:pPr>
      <w:r>
        <w:rPr>
          <w:rFonts w:ascii="Arial" w:cs="Arial" w:eastAsia="Arial" w:hAnsi="Arial"/>
          <w:sz w:val="14"/>
          <w:szCs w:val="14"/>
          <w:color w:val="auto"/>
        </w:rPr>
        <w:t>Upon completion of the spin-off, our board of directors will be divided into three classes, each of roughly equal size. The directors designated as Class I directors will have terms expiring at the first annual meeting of stockholders following the spin-off; the directors designated as Class II directors will have terms expiring at the second annual meeting of stockholders; the directors designated as Class III directors will have terms expiring at the third annual meeting of stockholders after that. Commencing with the first annual meeting of stockholders held following the spin-off, directors for each class will be elected at the annual meeting of stockholders held in the year in which the term for that class expires and thereafter will serve for a term of three years. We have not yet set the date of the first annual meeting of stockholders to be held following the spin-off.</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Board Committees</w:t>
      </w:r>
    </w:p>
    <w:p>
      <w:pPr>
        <w:spacing w:after="0" w:line="181" w:lineRule="exact"/>
        <w:rPr>
          <w:sz w:val="20"/>
          <w:szCs w:val="20"/>
          <w:color w:val="auto"/>
        </w:rPr>
      </w:pPr>
    </w:p>
    <w:p>
      <w:pPr>
        <w:ind w:right="200" w:firstLine="262"/>
        <w:spacing w:after="0" w:line="259" w:lineRule="auto"/>
        <w:rPr>
          <w:sz w:val="20"/>
          <w:szCs w:val="20"/>
          <w:color w:val="auto"/>
        </w:rPr>
      </w:pPr>
      <w:r>
        <w:rPr>
          <w:rFonts w:ascii="Arial" w:cs="Arial" w:eastAsia="Arial" w:hAnsi="Arial"/>
          <w:sz w:val="15"/>
          <w:szCs w:val="15"/>
          <w:color w:val="auto"/>
        </w:rPr>
        <w:t>Our board of directors will establish several standing committees in connection with the discharge of its responsibilities. In connection with the spin-off, our board of directors will establish the following committees: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14" w:name="page315"/>
    <w:bookmarkEnd w:id="314"/>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77" w:lineRule="exact"/>
        <w:rPr>
          <w:sz w:val="20"/>
          <w:szCs w:val="20"/>
          <w:color w:val="auto"/>
        </w:rPr>
      </w:pPr>
    </w:p>
    <w:p>
      <w:pPr>
        <w:ind w:right="140" w:firstLine="262"/>
        <w:spacing w:after="0" w:line="332" w:lineRule="auto"/>
        <w:rPr>
          <w:sz w:val="20"/>
          <w:szCs w:val="20"/>
          <w:color w:val="auto"/>
        </w:rPr>
      </w:pPr>
      <w:r>
        <w:rPr>
          <w:rFonts w:ascii="Arial" w:cs="Arial" w:eastAsia="Arial" w:hAnsi="Arial"/>
          <w:sz w:val="12"/>
          <w:szCs w:val="12"/>
          <w:color w:val="auto"/>
        </w:rPr>
        <w:t>In connection with the spin-off, our board of directors will establish an audit committee, composed of at least one director and a majority of independent directors. We expect the initial member of the audit committee will be Mr. Swanson, whom the board of directors has determined is independent. We expect that, upon completion of the spin-off, Mr. Swanson will resign from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and our board of directors will appoint Messsrs. Navarre and Szalkowski and Ms. Moore, each of whom the board of directors is expected to determine is independent.</w:t>
      </w:r>
    </w:p>
    <w:p>
      <w:pPr>
        <w:spacing w:after="0" w:line="223" w:lineRule="exact"/>
        <w:rPr>
          <w:sz w:val="20"/>
          <w:szCs w:val="20"/>
          <w:color w:val="auto"/>
        </w:rPr>
      </w:pPr>
    </w:p>
    <w:p>
      <w:pPr>
        <w:ind w:firstLine="262"/>
        <w:spacing w:after="0" w:line="267" w:lineRule="auto"/>
        <w:rPr>
          <w:sz w:val="20"/>
          <w:szCs w:val="20"/>
          <w:color w:val="auto"/>
        </w:rPr>
      </w:pPr>
      <w:r>
        <w:rPr>
          <w:rFonts w:ascii="Arial" w:cs="Arial" w:eastAsia="Arial" w:hAnsi="Arial"/>
          <w:sz w:val="14"/>
          <w:szCs w:val="14"/>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each of Messrs. Navarre and Szalkowski and Ms. Moore is financially literate and has accounting or related financial management expertise, each as required by the applicable NYSE listing standards. The board of directors is also expected to determine that each of Messrs. Navarre and Ms. Moore will qualify as audit committee financial experts under the applicable rules of the Exchange Act. A more detailed discussion of the Audit Committee’s mission, composition and responsibilities is contained in the Audit Committee charter, which will be available on our website: www.civeo.com .</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77" w:lineRule="exact"/>
        <w:rPr>
          <w:sz w:val="20"/>
          <w:szCs w:val="20"/>
          <w:color w:val="auto"/>
        </w:rPr>
      </w:pPr>
    </w:p>
    <w:p>
      <w:pPr>
        <w:ind w:right="120" w:firstLine="262"/>
        <w:spacing w:after="0" w:line="259" w:lineRule="auto"/>
        <w:rPr>
          <w:sz w:val="20"/>
          <w:szCs w:val="20"/>
          <w:color w:val="auto"/>
        </w:rPr>
      </w:pPr>
      <w:r>
        <w:rPr>
          <w:rFonts w:ascii="Arial" w:cs="Arial" w:eastAsia="Arial" w:hAnsi="Arial"/>
          <w:sz w:val="15"/>
          <w:szCs w:val="15"/>
          <w:color w:val="auto"/>
        </w:rPr>
        <w:t>In connection with the spin-off, our board of directors will establish a compensation committee, composed of at least one director and a majority of independent directors. We expect that the initial member of the compensation committee will be Mr. Lambert, whom the board of directors has determined is independent.</w:t>
      </w:r>
    </w:p>
    <w:p>
      <w:pPr>
        <w:spacing w:after="0" w:line="174" w:lineRule="exact"/>
        <w:rPr>
          <w:sz w:val="20"/>
          <w:szCs w:val="20"/>
          <w:color w:val="auto"/>
        </w:rPr>
      </w:pPr>
    </w:p>
    <w:p>
      <w:pPr>
        <w:ind w:right="180" w:firstLine="262"/>
        <w:spacing w:after="0" w:line="246" w:lineRule="auto"/>
        <w:rPr>
          <w:sz w:val="20"/>
          <w:szCs w:val="20"/>
          <w:color w:val="auto"/>
        </w:rPr>
      </w:pPr>
      <w:r>
        <w:rPr>
          <w:rFonts w:ascii="Arial" w:cs="Arial" w:eastAsia="Arial" w:hAnsi="Arial"/>
          <w:sz w:val="15"/>
          <w:szCs w:val="15"/>
          <w:color w:val="auto"/>
        </w:rPr>
        <w:t>The Compensation Committee will administer the 2014 Equity Participation Plan of Civeo Corporation (the EPP), and in this capacity make a recommendation to the full board of directors concerning aggregate amount of all option grants or stock awards to employees as well as specific awards to executive officers under the EPP.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will be available on our website: www.civeo.com.</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Nominating and Governance Committee</w:t>
      </w:r>
    </w:p>
    <w:p>
      <w:pPr>
        <w:spacing w:after="0" w:line="177" w:lineRule="exact"/>
        <w:rPr>
          <w:sz w:val="20"/>
          <w:szCs w:val="20"/>
          <w:color w:val="auto"/>
        </w:rPr>
      </w:pPr>
    </w:p>
    <w:p>
      <w:pPr>
        <w:ind w:right="200" w:firstLine="262"/>
        <w:spacing w:after="0" w:line="332" w:lineRule="auto"/>
        <w:rPr>
          <w:sz w:val="20"/>
          <w:szCs w:val="20"/>
          <w:color w:val="auto"/>
        </w:rPr>
      </w:pPr>
      <w:r>
        <w:rPr>
          <w:rFonts w:ascii="Arial" w:cs="Arial" w:eastAsia="Arial" w:hAnsi="Arial"/>
          <w:sz w:val="12"/>
          <w:szCs w:val="12"/>
          <w:color w:val="auto"/>
        </w:rPr>
        <w:t>In connection with the spin-off, our board of directors will establish a nominating and governance committee, composed of at least one director and a majority of independent directors. We expect that the initial members of the Nominating &amp; Corporate Governance Committee will be Messrs. Rosenthal and Swanson, each of whom the board of directors has determined 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independent.</w:t>
      </w:r>
    </w:p>
    <w:p>
      <w:pPr>
        <w:spacing w:after="0" w:line="188" w:lineRule="exact"/>
        <w:rPr>
          <w:sz w:val="20"/>
          <w:szCs w:val="20"/>
          <w:color w:val="auto"/>
        </w:rPr>
      </w:pPr>
    </w:p>
    <w:p>
      <w:pPr>
        <w:ind w:right="280" w:firstLine="262"/>
        <w:spacing w:after="0" w:line="251" w:lineRule="auto"/>
        <w:rPr>
          <w:sz w:val="20"/>
          <w:szCs w:val="20"/>
          <w:color w:val="auto"/>
        </w:rPr>
      </w:pPr>
      <w:r>
        <w:rPr>
          <w:rFonts w:ascii="Arial" w:cs="Arial" w:eastAsia="Arial" w:hAnsi="Arial"/>
          <w:sz w:val="15"/>
          <w:szCs w:val="15"/>
          <w:color w:val="auto"/>
        </w:rPr>
        <w:t>The Nominating &amp; Corporate Governance Committee will make proposals to the board of directors for candidates to be nominated by the board of directors to fill vacancies or for new directorship positions, if any, which may be created from time to time. A more detailed discussion of the Nominating and Governance Committees mission, composition and responsibilities is contained in the Nominating and Governance Committee charter, which will be available on our website: www.civeo.com.</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Director Independence</w:t>
      </w:r>
    </w:p>
    <w:p>
      <w:pPr>
        <w:spacing w:after="0" w:line="181" w:lineRule="exact"/>
        <w:rPr>
          <w:sz w:val="20"/>
          <w:szCs w:val="20"/>
          <w:color w:val="auto"/>
        </w:rPr>
      </w:pPr>
    </w:p>
    <w:p>
      <w:pPr>
        <w:ind w:right="160" w:firstLine="262"/>
        <w:spacing w:after="0" w:line="251" w:lineRule="auto"/>
        <w:rPr>
          <w:sz w:val="20"/>
          <w:szCs w:val="20"/>
          <w:color w:val="auto"/>
        </w:rPr>
      </w:pPr>
      <w:r>
        <w:rPr>
          <w:rFonts w:ascii="Arial" w:cs="Arial" w:eastAsia="Arial" w:hAnsi="Arial"/>
          <w:sz w:val="15"/>
          <w:szCs w:val="15"/>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158" w:lineRule="exact"/>
        <w:rPr>
          <w:sz w:val="20"/>
          <w:szCs w:val="20"/>
          <w:color w:val="auto"/>
        </w:rPr>
      </w:pPr>
    </w:p>
    <w:p>
      <w:pPr>
        <w:ind w:right="100" w:firstLine="262"/>
        <w:spacing w:after="0" w:line="320" w:lineRule="auto"/>
        <w:rPr>
          <w:sz w:val="20"/>
          <w:szCs w:val="20"/>
          <w:color w:val="auto"/>
        </w:rPr>
      </w:pPr>
      <w:r>
        <w:rPr>
          <w:rFonts w:ascii="Arial" w:cs="Arial" w:eastAsia="Arial" w:hAnsi="Arial"/>
          <w:sz w:val="12"/>
          <w:szCs w:val="12"/>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315" w:name="page316"/>
    <w:bookmarkEnd w:id="315"/>
    <w:p>
      <w:pPr>
        <w:spacing w:after="0"/>
        <w:rPr>
          <w:sz w:val="20"/>
          <w:szCs w:val="20"/>
          <w:color w:val="auto"/>
        </w:rPr>
      </w:pPr>
      <w:r>
        <w:rPr>
          <w:rFonts w:ascii="Arial" w:cs="Arial" w:eastAsia="Arial" w:hAnsi="Arial"/>
          <w:sz w:val="15"/>
          <w:szCs w:val="15"/>
          <w:b w:val="1"/>
          <w:bCs w:val="1"/>
          <w:u w:val="single" w:color="auto"/>
          <w:color w:val="auto"/>
        </w:rPr>
        <w:t>Corporate Governance Guidelines</w:t>
      </w:r>
    </w:p>
    <w:p>
      <w:pPr>
        <w:spacing w:after="0" w:line="181" w:lineRule="exact"/>
        <w:rPr>
          <w:sz w:val="20"/>
          <w:szCs w:val="20"/>
          <w:color w:val="auto"/>
        </w:rPr>
      </w:pPr>
    </w:p>
    <w:p>
      <w:pPr>
        <w:ind w:right="100" w:firstLine="262"/>
        <w:spacing w:after="0" w:line="251" w:lineRule="auto"/>
        <w:rPr>
          <w:sz w:val="20"/>
          <w:szCs w:val="20"/>
          <w:color w:val="auto"/>
        </w:rPr>
      </w:pPr>
      <w:r>
        <w:rPr>
          <w:rFonts w:ascii="Arial" w:cs="Arial" w:eastAsia="Arial" w:hAnsi="Arial"/>
          <w:sz w:val="15"/>
          <w:szCs w:val="15"/>
          <w:color w:val="auto"/>
        </w:rPr>
        <w:t>In connection with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Corporate Code of Business Conduct &amp; Ethics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connection with the spin-off, we will adopt a Corporate Code of Business Conduct and Ethics, which will require that all directors, officers and employees of Civeo act ethically at all times.</w:t>
      </w:r>
    </w:p>
    <w:p>
      <w:pPr>
        <w:spacing w:after="0" w:line="212" w:lineRule="exact"/>
        <w:rPr>
          <w:sz w:val="20"/>
          <w:szCs w:val="20"/>
          <w:color w:val="auto"/>
        </w:rPr>
      </w:pPr>
    </w:p>
    <w:p>
      <w:pPr>
        <w:ind w:right="320" w:firstLine="262"/>
        <w:spacing w:after="0" w:line="259" w:lineRule="auto"/>
        <w:rPr>
          <w:sz w:val="20"/>
          <w:szCs w:val="20"/>
          <w:color w:val="auto"/>
        </w:rPr>
      </w:pPr>
      <w:r>
        <w:rPr>
          <w:rFonts w:ascii="Arial" w:cs="Arial" w:eastAsia="Arial" w:hAnsi="Arial"/>
          <w:sz w:val="15"/>
          <w:szCs w:val="15"/>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Financial Code of Ethics for Senior Officers</w:t>
      </w:r>
    </w:p>
    <w:p>
      <w:pPr>
        <w:spacing w:after="0" w:line="181" w:lineRule="exact"/>
        <w:rPr>
          <w:sz w:val="20"/>
          <w:szCs w:val="20"/>
          <w:color w:val="auto"/>
        </w:rPr>
      </w:pPr>
    </w:p>
    <w:p>
      <w:pPr>
        <w:ind w:right="200" w:firstLine="262"/>
        <w:spacing w:after="0" w:line="259" w:lineRule="auto"/>
        <w:rPr>
          <w:sz w:val="20"/>
          <w:szCs w:val="20"/>
          <w:color w:val="auto"/>
        </w:rPr>
      </w:pPr>
      <w:r>
        <w:rPr>
          <w:rFonts w:ascii="Arial" w:cs="Arial" w:eastAsia="Arial" w:hAnsi="Arial"/>
          <w:sz w:val="15"/>
          <w:szCs w:val="15"/>
          <w:color w:val="auto"/>
        </w:rPr>
        <w:t>In connection with the spin-off, we will adopt a Financial Code of Ethics for Senior Officers that will apply to the chief executive officer, chief financial officer, principal accounting officer and other senior officers (“Senior Officers”).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Senior Officers must also comply with the Company’s Business Conduct and Ethics Code. Ethical principles set forth in this policy include, among other principals, matters such as:</w:t>
      </w:r>
    </w:p>
    <w:p>
      <w:pPr>
        <w:spacing w:after="0" w:line="189" w:lineRule="exact"/>
        <w:rPr>
          <w:sz w:val="20"/>
          <w:szCs w:val="20"/>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Acting ethically with honesty and integrity</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Avoiding conflicts of interest</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Complying with disclosure and reporting obligations with full, fair accurate, timely and understandable disclosures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Complying with applicable laws, rules and regulations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Acting in good faith, responsibly with due care, competence and diligence</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Promoting honest and ethical behavior by others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Respecting confidentiality of information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Responsibly using and maintain assets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Director Resignation Policy</w:t>
      </w:r>
    </w:p>
    <w:p>
      <w:pPr>
        <w:spacing w:after="0" w:line="181" w:lineRule="exact"/>
        <w:rPr>
          <w:sz w:val="20"/>
          <w:szCs w:val="20"/>
          <w:color w:val="auto"/>
        </w:rPr>
      </w:pPr>
    </w:p>
    <w:p>
      <w:pPr>
        <w:ind w:right="20" w:firstLine="262"/>
        <w:spacing w:after="0" w:line="317" w:lineRule="auto"/>
        <w:rPr>
          <w:sz w:val="20"/>
          <w:szCs w:val="20"/>
          <w:color w:val="auto"/>
        </w:rPr>
      </w:pPr>
      <w:r>
        <w:rPr>
          <w:rFonts w:ascii="Arial" w:cs="Arial" w:eastAsia="Arial" w:hAnsi="Arial"/>
          <w:sz w:val="12"/>
          <w:szCs w:val="12"/>
          <w:color w:val="auto"/>
        </w:rPr>
        <w:t>In connection with the spin-off, we will adopt a director resignation policy. The director resignation policy will provide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7" w:right="239" w:bottom="1440" w:gutter="0" w:footer="0" w:header="0"/>
        </w:sectPr>
      </w:pPr>
    </w:p>
    <w:bookmarkStart w:id="316" w:name="page317"/>
    <w:bookmarkEnd w:id="316"/>
    <w:p>
      <w:pPr>
        <w:ind w:firstLine="262"/>
        <w:spacing w:after="0" w:line="324" w:lineRule="auto"/>
        <w:rPr>
          <w:sz w:val="20"/>
          <w:szCs w:val="20"/>
          <w:color w:val="auto"/>
        </w:rPr>
      </w:pPr>
      <w:r>
        <w:rPr>
          <w:rFonts w:ascii="Arial" w:cs="Arial" w:eastAsia="Arial" w:hAnsi="Arial"/>
          <w:sz w:val="12"/>
          <w:szCs w:val="12"/>
          <w:color w:val="auto"/>
        </w:rPr>
        <w:t>The director resignation policy will also provide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317" w:name="page318"/>
    <w:bookmarkEnd w:id="317"/>
    <w:p>
      <w:pPr>
        <w:jc w:val="center"/>
        <w:ind w:right="-39"/>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81"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color w:val="auto"/>
        </w:rPr>
        <w:t>For purposes of the following Compensation Discussion and Analysis, four of the persons who we expect will be our named executive officers as of the distribution date are identified below (collectively, our “Named Executive Officers”). The information provided reflects compensation earned at Oil States or its subsidiaries and the design and objectives of the executive compensation programs in place prior to the separation. In addition, summary information concerning Civeo’s executive compensation approach developed to date in connection with planning for the separation is also included below.</w:t>
      </w:r>
    </w:p>
    <w:p>
      <w:pPr>
        <w:spacing w:after="0" w:line="161" w:lineRule="exact"/>
        <w:rPr>
          <w:sz w:val="20"/>
          <w:szCs w:val="20"/>
          <w:color w:val="auto"/>
        </w:rPr>
      </w:pPr>
    </w:p>
    <w:p>
      <w:pPr>
        <w:ind w:right="240" w:firstLine="262"/>
        <w:spacing w:after="0" w:line="251" w:lineRule="auto"/>
        <w:rPr>
          <w:sz w:val="20"/>
          <w:szCs w:val="20"/>
          <w:color w:val="auto"/>
        </w:rPr>
      </w:pPr>
      <w:r>
        <w:rPr>
          <w:rFonts w:ascii="Arial" w:cs="Arial" w:eastAsia="Arial" w:hAnsi="Arial"/>
          <w:sz w:val="15"/>
          <w:szCs w:val="15"/>
          <w:color w:val="auto"/>
        </w:rPr>
        <w:t>Compensation decisions for our Named Executive Officers prior to the spin-off will be made by Oil States. To the extent such persons are senior officers of Oil States, the decisions will be made by the Oil States Compensation Committee (the “Oil States Compensation Committee”) of the board of directors of Oil States, which is composed entirely of independent directors. Executive compensation decisions following the spin-off will be made by the Compensation Committee of Civeo.</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This Compensation Discussion and Analysis has three main parts:</w:t>
      </w:r>
    </w:p>
    <w:p>
      <w:pPr>
        <w:spacing w:after="0" w:line="177" w:lineRule="exact"/>
        <w:rPr>
          <w:sz w:val="20"/>
          <w:szCs w:val="20"/>
          <w:color w:val="auto"/>
        </w:rPr>
      </w:pPr>
    </w:p>
    <w:p>
      <w:pPr>
        <w:ind w:left="540" w:right="320" w:hanging="270"/>
        <w:spacing w:after="0" w:line="259" w:lineRule="auto"/>
        <w:tabs>
          <w:tab w:leader="none" w:pos="540"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Oil States 2013 Executive Compensation</w:t>
      </w:r>
      <w:r>
        <w:rPr>
          <w:rFonts w:ascii="Arial" w:cs="Arial" w:eastAsia="Arial" w:hAnsi="Arial"/>
          <w:sz w:val="15"/>
          <w:szCs w:val="15"/>
          <w:color w:val="auto"/>
        </w:rPr>
        <w:t>— This section describes and analyzes the executive compensation programs at Oil States in 2013 (beginning on page 99 of this information statement).</w:t>
      </w:r>
    </w:p>
    <w:p>
      <w:pPr>
        <w:spacing w:after="0" w:line="152" w:lineRule="exact"/>
        <w:rPr>
          <w:rFonts w:ascii="Arial" w:cs="Arial" w:eastAsia="Arial" w:hAnsi="Arial"/>
          <w:sz w:val="15"/>
          <w:szCs w:val="15"/>
          <w:color w:val="auto"/>
        </w:rPr>
      </w:pPr>
    </w:p>
    <w:p>
      <w:pPr>
        <w:ind w:left="540" w:right="340" w:hanging="270"/>
        <w:spacing w:after="0" w:line="259" w:lineRule="auto"/>
        <w:tabs>
          <w:tab w:leader="none" w:pos="540"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Effects of Spin-off on Outstanding Executive and Other Compensation Awards</w:t>
      </w:r>
      <w:r>
        <w:rPr>
          <w:rFonts w:ascii="Arial" w:cs="Arial" w:eastAsia="Arial" w:hAnsi="Arial"/>
          <w:sz w:val="15"/>
          <w:szCs w:val="15"/>
          <w:color w:val="auto"/>
        </w:rPr>
        <w:t>— This section discusses the effect of the spin-off on outstanding Oil States compensation awards and Civeo compensation held by our Named Executive Officers (beginning on page 112 of this information statement).</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288"/>
        </w:numPr>
        <w:rPr>
          <w:rFonts w:ascii="Arial" w:cs="Arial" w:eastAsia="Arial" w:hAnsi="Arial"/>
          <w:sz w:val="14"/>
          <w:szCs w:val="14"/>
          <w:color w:val="auto"/>
        </w:rPr>
      </w:pPr>
      <w:r>
        <w:rPr>
          <w:rFonts w:ascii="Arial" w:cs="Arial" w:eastAsia="Arial" w:hAnsi="Arial"/>
          <w:sz w:val="14"/>
          <w:szCs w:val="14"/>
          <w:u w:val="single" w:color="auto"/>
          <w:color w:val="auto"/>
        </w:rPr>
        <w:t>Civeo Compensation Programs</w:t>
      </w:r>
      <w:r>
        <w:rPr>
          <w:rFonts w:ascii="Arial" w:cs="Arial" w:eastAsia="Arial" w:hAnsi="Arial"/>
          <w:sz w:val="14"/>
          <w:szCs w:val="14"/>
          <w:color w:val="auto"/>
        </w:rPr>
        <w:t>— This section discusses the anticipated executive compensation programs at Civeo (beginning on page 113 of this information statement).</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740" w:type="dxa"/>
            <w:vAlign w:val="bottom"/>
            <w:gridSpan w:val="2"/>
          </w:tcPr>
          <w:p>
            <w:pPr>
              <w:spacing w:after="0"/>
              <w:rPr>
                <w:sz w:val="20"/>
                <w:szCs w:val="20"/>
                <w:color w:val="auto"/>
              </w:rPr>
            </w:pPr>
            <w:r>
              <w:rPr>
                <w:rFonts w:ascii="Arial" w:cs="Arial" w:eastAsia="Arial" w:hAnsi="Arial"/>
                <w:sz w:val="15"/>
                <w:szCs w:val="15"/>
                <w:color w:val="auto"/>
              </w:rPr>
              <w:t>Our Named Executive Officers are as follows:</w:t>
            </w:r>
          </w:p>
        </w:tc>
        <w:tc>
          <w:tcPr>
            <w:tcW w:w="1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351"/>
        </w:trPr>
        <w:tc>
          <w:tcPr>
            <w:tcW w:w="140" w:type="dxa"/>
            <w:vAlign w:val="bottom"/>
          </w:tcPr>
          <w:p>
            <w:pPr>
              <w:spacing w:after="0"/>
              <w:rPr>
                <w:sz w:val="24"/>
                <w:szCs w:val="24"/>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24"/>
                <w:szCs w:val="24"/>
                <w:color w:val="auto"/>
              </w:rPr>
            </w:pPr>
          </w:p>
        </w:tc>
        <w:tc>
          <w:tcPr>
            <w:tcW w:w="350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2013 Oil States Job Title</w:t>
            </w:r>
          </w:p>
        </w:tc>
        <w:tc>
          <w:tcPr>
            <w:tcW w:w="100" w:type="dxa"/>
            <w:vAlign w:val="bottom"/>
          </w:tcPr>
          <w:p>
            <w:pPr>
              <w:spacing w:after="0"/>
              <w:rPr>
                <w:sz w:val="24"/>
                <w:szCs w:val="24"/>
                <w:color w:val="auto"/>
              </w:rPr>
            </w:pPr>
          </w:p>
        </w:tc>
        <w:tc>
          <w:tcPr>
            <w:tcW w:w="3580" w:type="dxa"/>
            <w:vAlign w:val="bottom"/>
            <w:tcBorders>
              <w:bottom w:val="single" w:sz="8" w:color="auto"/>
            </w:tcBorders>
          </w:tcPr>
          <w:p>
            <w:pPr>
              <w:ind w:left="1140"/>
              <w:spacing w:after="0"/>
              <w:rPr>
                <w:sz w:val="20"/>
                <w:szCs w:val="20"/>
                <w:color w:val="auto"/>
              </w:rPr>
            </w:pPr>
            <w:r>
              <w:rPr>
                <w:rFonts w:ascii="Arial" w:cs="Arial" w:eastAsia="Arial" w:hAnsi="Arial"/>
                <w:sz w:val="15"/>
                <w:szCs w:val="15"/>
                <w:b w:val="1"/>
                <w:bCs w:val="1"/>
                <w:color w:val="auto"/>
              </w:rPr>
              <w:t>2014 Civeo Job Title</w:t>
            </w:r>
          </w:p>
        </w:tc>
      </w:tr>
      <w:tr>
        <w:trPr>
          <w:trHeight w:val="156"/>
        </w:trPr>
        <w:tc>
          <w:tcPr>
            <w:tcW w:w="140" w:type="dxa"/>
            <w:vAlign w:val="bottom"/>
          </w:tcPr>
          <w:p>
            <w:pPr>
              <w:spacing w:after="0"/>
              <w:rPr>
                <w:sz w:val="13"/>
                <w:szCs w:val="13"/>
                <w:color w:val="auto"/>
              </w:rPr>
            </w:pPr>
          </w:p>
        </w:tc>
        <w:tc>
          <w:tcPr>
            <w:tcW w:w="36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Bradley J. Dodson</w:t>
            </w:r>
          </w:p>
        </w:tc>
        <w:tc>
          <w:tcPr>
            <w:tcW w:w="100" w:type="dxa"/>
            <w:vAlign w:val="bottom"/>
            <w:shd w:val="clear" w:color="auto" w:fill="CCEEFF"/>
          </w:tcPr>
          <w:p>
            <w:pPr>
              <w:spacing w:after="0"/>
              <w:rPr>
                <w:sz w:val="13"/>
                <w:szCs w:val="13"/>
                <w:color w:val="auto"/>
              </w:rPr>
            </w:pPr>
          </w:p>
        </w:tc>
        <w:tc>
          <w:tcPr>
            <w:tcW w:w="35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Executive Vice President,</w:t>
            </w: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President and Chief Executive Officer</w:t>
            </w:r>
          </w:p>
        </w:tc>
      </w:tr>
      <w:tr>
        <w:trPr>
          <w:trHeight w:val="186"/>
        </w:trPr>
        <w:tc>
          <w:tcPr>
            <w:tcW w:w="1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Accommodations</w:t>
            </w:r>
          </w:p>
        </w:tc>
        <w:tc>
          <w:tcPr>
            <w:tcW w:w="1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r>
      <w:tr>
        <w:trPr>
          <w:trHeight w:val="175"/>
        </w:trPr>
        <w:tc>
          <w:tcPr>
            <w:tcW w:w="140" w:type="dxa"/>
            <w:vAlign w:val="bottom"/>
          </w:tcPr>
          <w:p>
            <w:pPr>
              <w:spacing w:after="0"/>
              <w:rPr>
                <w:sz w:val="15"/>
                <w:szCs w:val="15"/>
                <w:color w:val="auto"/>
              </w:rPr>
            </w:pPr>
          </w:p>
        </w:tc>
        <w:tc>
          <w:tcPr>
            <w:tcW w:w="3600" w:type="dxa"/>
            <w:vAlign w:val="bottom"/>
          </w:tcPr>
          <w:p>
            <w:pPr>
              <w:spacing w:after="0" w:line="175" w:lineRule="exact"/>
              <w:rPr>
                <w:sz w:val="20"/>
                <w:szCs w:val="20"/>
                <w:color w:val="auto"/>
              </w:rPr>
            </w:pPr>
            <w:r>
              <w:rPr>
                <w:rFonts w:ascii="Arial" w:cs="Arial" w:eastAsia="Arial" w:hAnsi="Arial"/>
                <w:sz w:val="13"/>
                <w:szCs w:val="13"/>
                <w:color w:val="auto"/>
              </w:rPr>
              <w:t>Frank C. Steininger</w:t>
            </w:r>
            <w:r>
              <w:rPr>
                <w:rFonts w:ascii="Arial" w:cs="Arial" w:eastAsia="Arial" w:hAnsi="Arial"/>
                <w:sz w:val="20"/>
                <w:szCs w:val="20"/>
                <w:color w:val="auto"/>
                <w:vertAlign w:val="superscript"/>
              </w:rPr>
              <w:t>1</w:t>
            </w:r>
          </w:p>
        </w:tc>
        <w:tc>
          <w:tcPr>
            <w:tcW w:w="3600" w:type="dxa"/>
            <w:vAlign w:val="bottom"/>
            <w:gridSpan w:val="2"/>
          </w:tcPr>
          <w:p>
            <w:pPr>
              <w:ind w:left="100"/>
              <w:spacing w:after="0"/>
              <w:rPr>
                <w:sz w:val="20"/>
                <w:szCs w:val="20"/>
                <w:color w:val="auto"/>
              </w:rPr>
            </w:pPr>
            <w:r>
              <w:rPr>
                <w:rFonts w:ascii="Arial" w:cs="Arial" w:eastAsia="Arial" w:hAnsi="Arial"/>
                <w:sz w:val="15"/>
                <w:szCs w:val="15"/>
                <w:color w:val="auto"/>
              </w:rPr>
              <w:t>N/A</w:t>
            </w:r>
          </w:p>
        </w:tc>
        <w:tc>
          <w:tcPr>
            <w:tcW w:w="3680" w:type="dxa"/>
            <w:vAlign w:val="bottom"/>
            <w:gridSpan w:val="2"/>
          </w:tcPr>
          <w:p>
            <w:pPr>
              <w:ind w:left="100"/>
              <w:spacing w:after="0"/>
              <w:rPr>
                <w:sz w:val="20"/>
                <w:szCs w:val="20"/>
                <w:color w:val="auto"/>
              </w:rPr>
            </w:pPr>
            <w:r>
              <w:rPr>
                <w:rFonts w:ascii="Arial" w:cs="Arial" w:eastAsia="Arial" w:hAnsi="Arial"/>
                <w:sz w:val="15"/>
                <w:szCs w:val="15"/>
                <w:color w:val="auto"/>
                <w:w w:val="89"/>
              </w:rPr>
              <w:t>Senior Vice President, Chief Financial Officer and Treasurer</w:t>
            </w:r>
          </w:p>
        </w:tc>
      </w:tr>
      <w:tr>
        <w:trPr>
          <w:trHeight w:val="144"/>
        </w:trPr>
        <w:tc>
          <w:tcPr>
            <w:tcW w:w="140" w:type="dxa"/>
            <w:vAlign w:val="bottom"/>
          </w:tcPr>
          <w:p>
            <w:pPr>
              <w:spacing w:after="0"/>
              <w:rPr>
                <w:sz w:val="12"/>
                <w:szCs w:val="12"/>
                <w:color w:val="auto"/>
              </w:rPr>
            </w:pPr>
          </w:p>
        </w:tc>
        <w:tc>
          <w:tcPr>
            <w:tcW w:w="360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Ron R. Green</w:t>
            </w:r>
          </w:p>
        </w:tc>
        <w:tc>
          <w:tcPr>
            <w:tcW w:w="36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5"/>
                <w:szCs w:val="15"/>
                <w:color w:val="auto"/>
              </w:rPr>
              <w:t>Senior Vice President,</w:t>
            </w:r>
          </w:p>
        </w:tc>
        <w:tc>
          <w:tcPr>
            <w:tcW w:w="36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5"/>
                <w:szCs w:val="15"/>
                <w:color w:val="auto"/>
              </w:rPr>
              <w:t>Senior Vice President, North America</w:t>
            </w:r>
          </w:p>
        </w:tc>
      </w:tr>
      <w:tr>
        <w:trPr>
          <w:trHeight w:val="206"/>
        </w:trPr>
        <w:tc>
          <w:tcPr>
            <w:tcW w:w="14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4"/>
                <w:szCs w:val="14"/>
                <w:color w:val="auto"/>
              </w:rPr>
              <w:t>Accommodations and President</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316"/>
        </w:trPr>
        <w:tc>
          <w:tcPr>
            <w:tcW w:w="14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Peter L. McCann</w:t>
            </w:r>
          </w:p>
        </w:tc>
        <w:tc>
          <w:tcPr>
            <w:tcW w:w="3600" w:type="dxa"/>
            <w:vAlign w:val="bottom"/>
            <w:gridSpan w:val="2"/>
          </w:tcPr>
          <w:p>
            <w:pPr>
              <w:ind w:left="100"/>
              <w:spacing w:after="0"/>
              <w:rPr>
                <w:sz w:val="20"/>
                <w:szCs w:val="20"/>
                <w:color w:val="auto"/>
              </w:rPr>
            </w:pPr>
            <w:r>
              <w:rPr>
                <w:rFonts w:ascii="Arial" w:cs="Arial" w:eastAsia="Arial" w:hAnsi="Arial"/>
                <w:sz w:val="15"/>
                <w:szCs w:val="15"/>
                <w:color w:val="auto"/>
              </w:rPr>
              <w:t>Managing Director of The MAC</w:t>
            </w:r>
            <w:r>
              <w:rPr>
                <w:rFonts w:ascii="Arial" w:cs="Arial" w:eastAsia="Arial" w:hAnsi="Arial"/>
                <w:sz w:val="24"/>
                <w:szCs w:val="24"/>
                <w:color w:val="auto"/>
                <w:vertAlign w:val="superscript"/>
              </w:rPr>
              <w:t>3</w:t>
            </w:r>
          </w:p>
        </w:tc>
        <w:tc>
          <w:tcPr>
            <w:tcW w:w="3680" w:type="dxa"/>
            <w:vAlign w:val="bottom"/>
            <w:gridSpan w:val="2"/>
          </w:tcPr>
          <w:p>
            <w:pPr>
              <w:ind w:left="100"/>
              <w:spacing w:after="0"/>
              <w:rPr>
                <w:sz w:val="20"/>
                <w:szCs w:val="20"/>
                <w:color w:val="auto"/>
              </w:rPr>
            </w:pPr>
            <w:r>
              <w:rPr>
                <w:rFonts w:ascii="Arial" w:cs="Arial" w:eastAsia="Arial" w:hAnsi="Arial"/>
                <w:sz w:val="15"/>
                <w:szCs w:val="15"/>
                <w:color w:val="auto"/>
              </w:rPr>
              <w:t>Senior Vice President, Australia</w:t>
            </w:r>
          </w:p>
        </w:tc>
      </w:tr>
    </w:tbl>
    <w:p>
      <w:pPr>
        <w:spacing w:after="0" w:line="197" w:lineRule="exact"/>
        <w:rPr>
          <w:sz w:val="20"/>
          <w:szCs w:val="20"/>
          <w:color w:val="auto"/>
        </w:rPr>
      </w:pPr>
    </w:p>
    <w:p>
      <w:pPr>
        <w:ind w:right="520" w:firstLine="262"/>
        <w:spacing w:after="0" w:line="259" w:lineRule="auto"/>
        <w:rPr>
          <w:sz w:val="20"/>
          <w:szCs w:val="20"/>
          <w:color w:val="auto"/>
        </w:rPr>
      </w:pPr>
      <w:r>
        <w:rPr>
          <w:rFonts w:ascii="Arial" w:cs="Arial" w:eastAsia="Arial" w:hAnsi="Arial"/>
          <w:sz w:val="15"/>
          <w:szCs w:val="15"/>
          <w:color w:val="auto"/>
        </w:rPr>
        <w:t>Information with respect to only four individuals has been presented in this Compensation Discussion and Analysis because these four individuals are the only persons whom we have currently identified as likely to be executive officers of Civeo.</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Oil States 2013 Executive Compensation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Oil States Compensation Committee provides overall guidance to Oil States’ executive compensation program and administers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108966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89660"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hanging="113"/>
        <w:spacing w:after="0"/>
        <w:tabs>
          <w:tab w:leader="none" w:pos="120" w:val="left"/>
        </w:tabs>
        <w:numPr>
          <w:ilvl w:val="0"/>
          <w:numId w:val="289"/>
        </w:numPr>
        <w:rPr>
          <w:rFonts w:ascii="Arial" w:cs="Arial" w:eastAsia="Arial" w:hAnsi="Arial"/>
          <w:sz w:val="21"/>
          <w:szCs w:val="21"/>
          <w:color w:val="auto"/>
          <w:vertAlign w:val="superscript"/>
        </w:rPr>
      </w:pPr>
      <w:r>
        <w:rPr>
          <w:rFonts w:ascii="Arial" w:cs="Arial" w:eastAsia="Arial" w:hAnsi="Arial"/>
          <w:sz w:val="13"/>
          <w:szCs w:val="13"/>
          <w:color w:val="auto"/>
        </w:rPr>
        <w:t>Prior to March 4, 2014, Mr. Steininger was an employee of PricewaterhouseCoopers LLP. Therefore, he held no position at and received no compensation from Oil States during 2013.</w:t>
      </w:r>
    </w:p>
    <w:p>
      <w:pPr>
        <w:spacing w:after="0" w:line="3" w:lineRule="exact"/>
        <w:rPr>
          <w:rFonts w:ascii="Arial" w:cs="Arial" w:eastAsia="Arial" w:hAnsi="Arial"/>
          <w:sz w:val="21"/>
          <w:szCs w:val="21"/>
          <w:color w:val="auto"/>
          <w:vertAlign w:val="superscript"/>
        </w:rPr>
      </w:pPr>
    </w:p>
    <w:p>
      <w:pPr>
        <w:ind w:right="2320"/>
        <w:spacing w:after="0" w:line="208" w:lineRule="auto"/>
        <w:rPr>
          <w:rFonts w:ascii="Arial" w:cs="Arial" w:eastAsia="Arial" w:hAnsi="Arial"/>
          <w:sz w:val="21"/>
          <w:szCs w:val="21"/>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Mr. Green is currently an officer of PTI Group Inc., an indirect subsidiary of Oil States. He is the Senior Vice President, Accommodations with Oil States. </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Mr. McCann is currently an officer of The MAC Services Group, Pty Limited., an indirect subsidiary of Oil States.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318" w:name="page319"/>
    <w:bookmarkEnd w:id="318"/>
    <w:p>
      <w:pPr>
        <w:jc w:val="both"/>
        <w:ind w:right="40" w:firstLine="262"/>
        <w:spacing w:after="0" w:line="251" w:lineRule="auto"/>
        <w:rPr>
          <w:sz w:val="20"/>
          <w:szCs w:val="20"/>
          <w:color w:val="auto"/>
        </w:rPr>
      </w:pPr>
      <w:r>
        <w:rPr>
          <w:rFonts w:ascii="Arial" w:cs="Arial" w:eastAsia="Arial" w:hAnsi="Arial"/>
          <w:sz w:val="15"/>
          <w:szCs w:val="15"/>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Total Compensation Philosophy</w:t>
      </w:r>
    </w:p>
    <w:p>
      <w:pPr>
        <w:spacing w:after="0" w:line="177" w:lineRule="exact"/>
        <w:rPr>
          <w:sz w:val="20"/>
          <w:szCs w:val="20"/>
          <w:color w:val="auto"/>
        </w:rPr>
      </w:pPr>
    </w:p>
    <w:p>
      <w:pPr>
        <w:ind w:right="100" w:firstLine="262"/>
        <w:spacing w:after="0" w:line="269" w:lineRule="auto"/>
        <w:rPr>
          <w:sz w:val="20"/>
          <w:szCs w:val="20"/>
          <w:color w:val="auto"/>
        </w:rPr>
      </w:pPr>
      <w:r>
        <w:rPr>
          <w:rFonts w:ascii="Arial" w:cs="Arial" w:eastAsia="Arial" w:hAnsi="Arial"/>
          <w:sz w:val="14"/>
          <w:szCs w:val="14"/>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Oil States Compensation Committee believes this approach closely links the compensation of Oil States’ executives to the execution of Oil States’ strategy and the accomplishment of Oil States goals that coincide with stockholder objectives.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Program Objectives:</w:t>
      </w:r>
    </w:p>
    <w:p>
      <w:pPr>
        <w:spacing w:after="0" w:line="177" w:lineRule="exact"/>
        <w:rPr>
          <w:sz w:val="20"/>
          <w:szCs w:val="20"/>
          <w:color w:val="auto"/>
        </w:rPr>
      </w:pPr>
    </w:p>
    <w:p>
      <w:pPr>
        <w:ind w:left="540" w:hanging="270"/>
        <w:spacing w:after="0"/>
        <w:tabs>
          <w:tab w:leader="none" w:pos="5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Attract, motivate, reward and retain key employees and executive talent required to achieve corporate strategic plans;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Reinforce the relationship between strong individual performance of executives and business results;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Align the interests of executives with the long-term interests of stockholders;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Design a compensation program that neither promotes overly conservative actions or excessive risk taking.</w:t>
      </w:r>
    </w:p>
    <w:p>
      <w:pPr>
        <w:spacing w:after="0" w:line="177"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Benchmarking Relative to Market</w:t>
      </w:r>
    </w:p>
    <w:p>
      <w:pPr>
        <w:spacing w:after="0" w:line="177" w:lineRule="exact"/>
        <w:rPr>
          <w:sz w:val="20"/>
          <w:szCs w:val="20"/>
          <w:color w:val="auto"/>
        </w:rPr>
      </w:pPr>
    </w:p>
    <w:p>
      <w:pPr>
        <w:ind w:right="40" w:firstLine="262"/>
        <w:spacing w:after="0" w:line="267" w:lineRule="auto"/>
        <w:rPr>
          <w:sz w:val="20"/>
          <w:szCs w:val="20"/>
          <w:color w:val="auto"/>
        </w:rPr>
      </w:pPr>
      <w:r>
        <w:rPr>
          <w:rFonts w:ascii="Arial" w:cs="Arial" w:eastAsia="Arial" w:hAnsi="Arial"/>
          <w:sz w:val="14"/>
          <w:szCs w:val="14"/>
          <w:color w:val="auto"/>
        </w:rPr>
        <w:t>The Oil States Compensation Committee establishes executive compensation primarily based on a review of the executive’s performance and compensation history and takes into account corporate performance. In the exercise of its duties, the Oil States Compensation Committee periodically benchmarks Oil States’ executive compensation against that of comparable companies; however, the Oil States Compensation Committee does not set percentile goals against benchmark data for purposes of determining executive compensation levels. The Oil States Compensation Committee considers the market to consist of both the oilfield services industry and geographic markets in which Oil States competes for executive talent. Benchmark data is periodically obtained for a selected peer group approved by the Oil States Compensation Committee (the “peer group”) as well as for industry companies of comparable size and business complexity. Oil States currently uses the following peer group companies:</w:t>
      </w:r>
    </w:p>
    <w:p>
      <w:pPr>
        <w:spacing w:after="0" w:line="149" w:lineRule="exact"/>
        <w:rPr>
          <w:sz w:val="20"/>
          <w:szCs w:val="20"/>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Carbo Ceramics,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Cameron International Corporation;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Core Laboratories N.V.;</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Dresser-Rand Group,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Dril-Quip,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Exterran Holdings, Inc.;</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0" w:right="259" w:bottom="1440" w:gutter="0" w:footer="0" w:header="0"/>
        </w:sectPr>
      </w:pPr>
    </w:p>
    <w:bookmarkStart w:id="319" w:name="page320"/>
    <w:bookmarkEnd w:id="319"/>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FMC Technologies,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Helix Energy Solutions Group,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Helmerich &amp; Payne,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Key Energy Services,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McDermott International,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Oceaneering International,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RPC, Inc.;</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Superior Energy Services, Inc.;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Tidewater, Inc.</w:t>
      </w:r>
    </w:p>
    <w:p>
      <w:pPr>
        <w:spacing w:after="0" w:line="177" w:lineRule="exact"/>
        <w:rPr>
          <w:sz w:val="20"/>
          <w:szCs w:val="20"/>
          <w:color w:val="auto"/>
        </w:rPr>
      </w:pPr>
    </w:p>
    <w:p>
      <w:pPr>
        <w:ind w:right="80" w:firstLine="262"/>
        <w:spacing w:after="0" w:line="247" w:lineRule="auto"/>
        <w:rPr>
          <w:sz w:val="20"/>
          <w:szCs w:val="20"/>
          <w:color w:val="auto"/>
        </w:rPr>
      </w:pPr>
      <w:r>
        <w:rPr>
          <w:rFonts w:ascii="Arial" w:cs="Arial" w:eastAsia="Arial" w:hAnsi="Arial"/>
          <w:sz w:val="15"/>
          <w:szCs w:val="15"/>
          <w:color w:val="auto"/>
        </w:rPr>
        <w:t>In selecting benchmark companies, the Oil States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2013. They deleted Complete Production Services, Inc. because it was acquired, and they added Cameron International Corporation because it is similar to Oil States’ offshore products segment and because they compete for the same executive talent.</w:t>
      </w:r>
    </w:p>
    <w:p>
      <w:pPr>
        <w:spacing w:after="0" w:line="162" w:lineRule="exact"/>
        <w:rPr>
          <w:sz w:val="20"/>
          <w:szCs w:val="20"/>
          <w:color w:val="auto"/>
        </w:rPr>
      </w:pPr>
    </w:p>
    <w:p>
      <w:pPr>
        <w:ind w:right="40" w:firstLine="262"/>
        <w:spacing w:after="0" w:line="248" w:lineRule="auto"/>
        <w:rPr>
          <w:sz w:val="20"/>
          <w:szCs w:val="20"/>
          <w:color w:val="auto"/>
        </w:rPr>
      </w:pPr>
      <w:r>
        <w:rPr>
          <w:rFonts w:ascii="Arial" w:cs="Arial" w:eastAsia="Arial" w:hAnsi="Arial"/>
          <w:sz w:val="15"/>
          <w:szCs w:val="15"/>
          <w:color w:val="auto"/>
        </w:rPr>
        <w:t>The Oil States Compensation Committee reviews the compensation programs for comparable positions at similar corporations with which Oil States competes for executive talent, and also considers relative internal equity within its executive pay structure. This approach allows the Oil States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61"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In evaluating the peer group and other comparison data for compensation purposes, the Oil States Compensation Committee neither bases its decisions on quantitative relative weights of</w:t>
      </w:r>
    </w:p>
    <w:p>
      <w:pPr>
        <w:spacing w:after="0" w:line="46"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various factors, nor follows mathematical formulas. Rather, the Oil States Compensation Committee exercises its discretion and makes its judgment after considering the factors it deems relevant.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Practices as They Relate to Risk Management</w:t>
      </w:r>
    </w:p>
    <w:p>
      <w:pPr>
        <w:spacing w:after="0" w:line="177" w:lineRule="exact"/>
        <w:rPr>
          <w:sz w:val="20"/>
          <w:szCs w:val="20"/>
          <w:color w:val="auto"/>
        </w:rPr>
      </w:pPr>
    </w:p>
    <w:p>
      <w:pPr>
        <w:ind w:firstLine="262"/>
        <w:spacing w:after="0" w:line="317" w:lineRule="auto"/>
        <w:rPr>
          <w:sz w:val="20"/>
          <w:szCs w:val="20"/>
          <w:color w:val="auto"/>
        </w:rPr>
      </w:pPr>
      <w:r>
        <w:rPr>
          <w:rFonts w:ascii="Arial" w:cs="Arial" w:eastAsia="Arial" w:hAnsi="Arial"/>
          <w:sz w:val="12"/>
          <w:szCs w:val="12"/>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company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Oil States’ compensation arrangements contain certain design elements that are intended to minimize the incentive for taking unwarranted risk to achieve short-term, unsustainable results.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Those elements include a maximum amount that can be earned under the annual incentive cash compensation and performance based equity award programs.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20" w:name="page321"/>
    <w:bookmarkEnd w:id="320"/>
    <w:p>
      <w:pPr>
        <w:ind w:right="220" w:firstLine="262"/>
        <w:spacing w:after="0" w:line="259" w:lineRule="auto"/>
        <w:rPr>
          <w:sz w:val="20"/>
          <w:szCs w:val="20"/>
          <w:color w:val="auto"/>
        </w:rPr>
      </w:pPr>
      <w:r>
        <w:rPr>
          <w:rFonts w:ascii="Arial" w:cs="Arial" w:eastAsia="Arial" w:hAnsi="Arial"/>
          <w:sz w:val="15"/>
          <w:szCs w:val="15"/>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Elements of Compensation:</w:t>
      </w:r>
    </w:p>
    <w:p>
      <w:pPr>
        <w:spacing w:after="0" w:line="177" w:lineRule="exact"/>
        <w:rPr>
          <w:sz w:val="20"/>
          <w:szCs w:val="20"/>
          <w:color w:val="auto"/>
        </w:rPr>
      </w:pPr>
    </w:p>
    <w:p>
      <w:pPr>
        <w:ind w:left="540" w:right="40" w:hanging="270"/>
        <w:spacing w:after="0" w:line="313" w:lineRule="auto"/>
        <w:tabs>
          <w:tab w:leader="none" w:pos="540" w:val="left"/>
        </w:tabs>
        <w:numPr>
          <w:ilvl w:val="0"/>
          <w:numId w:val="293"/>
        </w:numPr>
        <w:rPr>
          <w:rFonts w:ascii="Arial" w:cs="Arial" w:eastAsia="Arial" w:hAnsi="Arial"/>
          <w:sz w:val="12"/>
          <w:szCs w:val="12"/>
          <w:color w:val="auto"/>
        </w:rPr>
      </w:pPr>
      <w:r>
        <w:rPr>
          <w:rFonts w:ascii="Arial" w:cs="Arial" w:eastAsia="Arial" w:hAnsi="Arial"/>
          <w:sz w:val="12"/>
          <w:szCs w:val="12"/>
          <w:i w:val="1"/>
          <w:iCs w:val="1"/>
          <w:color w:val="auto"/>
        </w:rPr>
        <w:t>Base Salary</w:t>
      </w:r>
      <w:r>
        <w:rPr>
          <w:rFonts w:ascii="Arial" w:cs="Arial" w:eastAsia="Arial" w:hAnsi="Arial"/>
          <w:sz w:val="12"/>
          <w:szCs w:val="12"/>
          <w:color w:val="auto"/>
        </w:rPr>
        <w:t>—Base salary is the guaranteed element of an executive’s direct compensation and is intended to provide a foundation for a competitive overall compensation opportunity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executive. The Oil States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Oil States Compensation Committee considers all these factors together plus overall industry conditions and retention risks and makes a subjective determination on base salary adjustments. Effective February 25, 2013, the Oil States Compensation Committee approved certain changes to the base salary rates of the Named Executive Officers (other than Mr. Steininger). Specifically, Mr. Dodson’s base salary was increased 3.8% to $415,000; Mr. Green’s base salary was increased 4.6% to C$460,000; and Mr. McCann’s base salary was increased 4.5% to A$405,000. Base salaries were increased in 2013 based on a number of factors including inflationary trends, the growth of Oil States, retention risks, individual performance and in recognition of the strong performance of Oil States’ stock which was in excess of one year, three year and ten year comparative performance of the industry peer group. Mr. Dodson received a raise of 12.1% to $465,000 effective December 9, 2013 in connection with his promotion to Executive Vice President, Accommodations.</w:t>
      </w:r>
    </w:p>
    <w:p>
      <w:pPr>
        <w:spacing w:after="0" w:line="304" w:lineRule="exact"/>
        <w:rPr>
          <w:sz w:val="20"/>
          <w:szCs w:val="20"/>
          <w:color w:val="auto"/>
        </w:rPr>
      </w:pPr>
    </w:p>
    <w:p>
      <w:pPr>
        <w:ind w:firstLine="262"/>
        <w:spacing w:after="0" w:line="251" w:lineRule="auto"/>
        <w:rPr>
          <w:sz w:val="20"/>
          <w:szCs w:val="20"/>
          <w:color w:val="auto"/>
        </w:rPr>
      </w:pPr>
      <w:r>
        <w:rPr>
          <w:rFonts w:ascii="Arial" w:cs="Arial" w:eastAsia="Arial" w:hAnsi="Arial"/>
          <w:sz w:val="15"/>
          <w:szCs w:val="15"/>
          <w:color w:val="auto"/>
        </w:rPr>
        <w:t>Cindy B. Taylor, President and Chief Executive Officer of Oil States, provides the Oil States Compensation Committee with input regarding the performance of other Oil States executives and makes compensation recommendations with respect to these individuals. While considering her recommendations, the Oil States Compensation Committee makes an independent judgment with respect to compensation levels for each of Mrs. Taylor’s direct reports.</w:t>
      </w:r>
    </w:p>
    <w:p>
      <w:pPr>
        <w:spacing w:after="0" w:line="158" w:lineRule="exact"/>
        <w:rPr>
          <w:sz w:val="20"/>
          <w:szCs w:val="20"/>
          <w:color w:val="auto"/>
        </w:rPr>
      </w:pPr>
    </w:p>
    <w:p>
      <w:pPr>
        <w:ind w:firstLine="262"/>
        <w:spacing w:after="0" w:line="277" w:lineRule="auto"/>
        <w:rPr>
          <w:sz w:val="20"/>
          <w:szCs w:val="20"/>
          <w:color w:val="auto"/>
        </w:rPr>
      </w:pPr>
      <w:r>
        <w:rPr>
          <w:rFonts w:ascii="Arial" w:cs="Arial" w:eastAsia="Arial" w:hAnsi="Arial"/>
          <w:sz w:val="14"/>
          <w:szCs w:val="14"/>
          <w:i w:val="1"/>
          <w:iCs w:val="1"/>
          <w:color w:val="auto"/>
        </w:rPr>
        <w:t>Annual Cash Incentive Compensation</w:t>
      </w:r>
      <w:r>
        <w:rPr>
          <w:rFonts w:ascii="Arial" w:cs="Arial" w:eastAsia="Arial" w:hAnsi="Arial"/>
          <w:sz w:val="14"/>
          <w:szCs w:val="14"/>
          <w:color w:val="auto"/>
        </w:rPr>
        <w:t>—Oil States’ Annual Incentive Compensation Plan (“AICP”) is performance based and provides executives with direct financial incentives in the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42" w:lineRule="exact"/>
        <w:rPr>
          <w:sz w:val="20"/>
          <w:szCs w:val="20"/>
          <w:color w:val="auto"/>
        </w:rPr>
      </w:pPr>
    </w:p>
    <w:p>
      <w:pPr>
        <w:ind w:left="540" w:hanging="270"/>
        <w:spacing w:after="0"/>
        <w:tabs>
          <w:tab w:leader="none" w:pos="5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create stockholder value;</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provide focus on the attainment of annual goals that lead to long-term success of Oil States;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provide annual performance-based cash incentive compensation;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motivate achievement of critical annual operating performance metrics;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motivate employees to continually improve Oil States-wide and business unit performance.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21" w:name="page322"/>
    <w:bookmarkEnd w:id="321"/>
    <w:p>
      <w:pPr>
        <w:ind w:firstLine="262"/>
        <w:spacing w:after="0" w:line="312" w:lineRule="auto"/>
        <w:rPr>
          <w:sz w:val="20"/>
          <w:szCs w:val="20"/>
          <w:color w:val="auto"/>
        </w:rPr>
      </w:pPr>
      <w:r>
        <w:rPr>
          <w:rFonts w:ascii="Arial" w:cs="Arial" w:eastAsia="Arial" w:hAnsi="Arial"/>
          <w:sz w:val="12"/>
          <w:szCs w:val="12"/>
          <w:color w:val="auto"/>
        </w:rPr>
        <w:t>The AICP is flexible and provides the Oil States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of directors of Oil States believes will drive financial performance. Under the AICP, an incentive target percentage is established for each executive officer based upon, among other factors, the Oil States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 The 2013 award opportunities, expressed as a percentage of eligible AICP earnings (i.e. annual base salary), for the Named Executive Officers are outlined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180" w:type="dxa"/>
            <w:vAlign w:val="bottom"/>
          </w:tcPr>
          <w:p>
            <w:pPr>
              <w:ind w:left="420"/>
              <w:spacing w:after="0"/>
              <w:rPr>
                <w:sz w:val="20"/>
                <w:szCs w:val="20"/>
                <w:color w:val="auto"/>
              </w:rPr>
            </w:pPr>
            <w:r>
              <w:rPr>
                <w:rFonts w:ascii="Arial" w:cs="Arial" w:eastAsia="Arial" w:hAnsi="Arial"/>
                <w:sz w:val="15"/>
                <w:szCs w:val="15"/>
                <w:b w:val="1"/>
                <w:bCs w:val="1"/>
                <w:color w:val="auto"/>
              </w:rPr>
              <w:t>Threshold</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5"/>
                <w:szCs w:val="15"/>
                <w:b w:val="1"/>
                <w:bCs w:val="1"/>
                <w:color w:val="auto"/>
              </w:rPr>
              <w:t>Target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5"/>
                <w:szCs w:val="15"/>
                <w:b w:val="1"/>
                <w:bCs w:val="1"/>
                <w:color w:val="auto"/>
              </w:rPr>
              <w:t>Overachievement</w:t>
            </w:r>
          </w:p>
        </w:tc>
      </w:tr>
      <w:tr>
        <w:trPr>
          <w:trHeight w:val="167"/>
        </w:trPr>
        <w:tc>
          <w:tcPr>
            <w:tcW w:w="64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1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0%</w:t>
            </w:r>
          </w:p>
        </w:tc>
        <w:tc>
          <w:tcPr>
            <w:tcW w:w="2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65%</w:t>
            </w:r>
          </w:p>
        </w:tc>
        <w:tc>
          <w:tcPr>
            <w:tcW w:w="22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4"/>
                <w:szCs w:val="14"/>
                <w:color w:val="auto"/>
              </w:rPr>
            </w:pPr>
          </w:p>
        </w:tc>
      </w:tr>
      <w:tr>
        <w:trPr>
          <w:trHeight w:val="175"/>
        </w:trPr>
        <w:tc>
          <w:tcPr>
            <w:tcW w:w="7620" w:type="dxa"/>
            <w:vAlign w:val="bottom"/>
            <w:gridSpan w:val="2"/>
          </w:tcPr>
          <w:p>
            <w:pPr>
              <w:spacing w:after="0" w:line="175" w:lineRule="exact"/>
              <w:rPr>
                <w:sz w:val="20"/>
                <w:szCs w:val="20"/>
                <w:color w:val="auto"/>
              </w:rPr>
            </w:pPr>
            <w:r>
              <w:rPr>
                <w:rFonts w:ascii="Arial" w:cs="Arial" w:eastAsia="Arial" w:hAnsi="Arial"/>
                <w:sz w:val="13"/>
                <w:szCs w:val="13"/>
                <w:color w:val="auto"/>
              </w:rPr>
              <w:t>Frank C. Steininger</w:t>
            </w:r>
            <w:r>
              <w:rPr>
                <w:rFonts w:ascii="Arial" w:cs="Arial" w:eastAsia="Arial" w:hAnsi="Arial"/>
                <w:sz w:val="20"/>
                <w:szCs w:val="20"/>
                <w:color w:val="auto"/>
                <w:vertAlign w:val="superscript"/>
              </w:rPr>
              <w:t>4</w:t>
            </w:r>
          </w:p>
        </w:tc>
        <w:tc>
          <w:tcPr>
            <w:tcW w:w="1640" w:type="dxa"/>
            <w:vAlign w:val="bottom"/>
            <w:gridSpan w:val="3"/>
          </w:tcPr>
          <w:p>
            <w:pPr>
              <w:jc w:val="right"/>
              <w:ind w:right="1247"/>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7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 R. Green</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w:t>
            </w:r>
          </w:p>
        </w:tc>
      </w:tr>
      <w:tr>
        <w:trPr>
          <w:trHeight w:val="184"/>
        </w:trPr>
        <w:tc>
          <w:tcPr>
            <w:tcW w:w="7620" w:type="dxa"/>
            <w:vAlign w:val="bottom"/>
            <w:gridSpan w:val="2"/>
          </w:tcPr>
          <w:p>
            <w:pPr>
              <w:spacing w:after="0"/>
              <w:rPr>
                <w:sz w:val="20"/>
                <w:szCs w:val="20"/>
                <w:color w:val="auto"/>
              </w:rPr>
            </w:pPr>
            <w:r>
              <w:rPr>
                <w:rFonts w:ascii="Arial" w:cs="Arial" w:eastAsia="Arial" w:hAnsi="Arial"/>
                <w:sz w:val="15"/>
                <w:szCs w:val="15"/>
                <w:color w:val="auto"/>
              </w:rPr>
              <w:t>Peter L. McCann</w:t>
            </w:r>
          </w:p>
        </w:tc>
        <w:tc>
          <w:tcPr>
            <w:tcW w:w="320" w:type="dxa"/>
            <w:vAlign w:val="bottom"/>
          </w:tcPr>
          <w:p>
            <w:pPr>
              <w:jc w:val="right"/>
              <w:spacing w:after="0"/>
              <w:rPr>
                <w:sz w:val="20"/>
                <w:szCs w:val="20"/>
                <w:color w:val="auto"/>
              </w:rPr>
            </w:pPr>
            <w:r>
              <w:rPr>
                <w:rFonts w:ascii="Arial" w:cs="Arial" w:eastAsia="Arial" w:hAnsi="Arial"/>
                <w:sz w:val="15"/>
                <w:szCs w:val="15"/>
                <w:color w:val="auto"/>
              </w:rPr>
              <w:t>0%</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55%</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color w:val="auto"/>
              </w:rPr>
              <w:t>110%</w:t>
            </w:r>
          </w:p>
        </w:tc>
      </w:tr>
    </w:tbl>
    <w:p>
      <w:pPr>
        <w:spacing w:after="0" w:line="330" w:lineRule="exact"/>
        <w:rPr>
          <w:sz w:val="20"/>
          <w:szCs w:val="20"/>
          <w:color w:val="auto"/>
        </w:rPr>
      </w:pPr>
    </w:p>
    <w:p>
      <w:pPr>
        <w:ind w:right="280" w:firstLine="262"/>
        <w:spacing w:after="0" w:line="259" w:lineRule="auto"/>
        <w:rPr>
          <w:sz w:val="20"/>
          <w:szCs w:val="20"/>
          <w:color w:val="auto"/>
        </w:rPr>
      </w:pPr>
      <w:r>
        <w:rPr>
          <w:rFonts w:ascii="Arial" w:cs="Arial" w:eastAsia="Arial" w:hAnsi="Arial"/>
          <w:sz w:val="15"/>
          <w:szCs w:val="15"/>
          <w:color w:val="auto"/>
        </w:rPr>
        <w:t>As shown in the table above, the maximum AICP overachievement percentage is limited to twice the target level percentage which helps mitigate the potential for excessive risk taking. In addition, targets and goals are adjusted to incorporate material acquisitions which also limits excessive risk taking.</w:t>
      </w:r>
    </w:p>
    <w:p>
      <w:pPr>
        <w:spacing w:after="0" w:line="152" w:lineRule="exact"/>
        <w:rPr>
          <w:sz w:val="20"/>
          <w:szCs w:val="20"/>
          <w:color w:val="auto"/>
        </w:rPr>
      </w:pPr>
    </w:p>
    <w:p>
      <w:pPr>
        <w:ind w:right="40" w:firstLine="262"/>
        <w:spacing w:after="0" w:line="269" w:lineRule="auto"/>
        <w:rPr>
          <w:sz w:val="20"/>
          <w:szCs w:val="20"/>
          <w:color w:val="auto"/>
        </w:rPr>
      </w:pPr>
      <w:r>
        <w:rPr>
          <w:rFonts w:ascii="Arial" w:cs="Arial" w:eastAsia="Arial" w:hAnsi="Arial"/>
          <w:sz w:val="14"/>
          <w:szCs w:val="14"/>
          <w:color w:val="auto"/>
        </w:rPr>
        <w:t>At the beginning of each year, the Oil States Compensation Committee is responsible for establishing the AICP performance objectives based on recommendations by the Chief Executive Officer. The Oil States Compensation Committee sets performance goals that are measurable, achievable and quantifiable. At the end of each year, the Oil States Compensation Committee reviews the performance results of Oil States and the incentive awards to be paid to each executive officer and to all participants in the AICP, as a group. In its discretion, the Oil States Compensation Committee will interpret the AICP and has authority to make adjustments in individual, business unit or Oil States-wide results in its discretion. The Oil States Compensation Committee did not make any discretionary changes to the 2013 incentive payments to the Named Executive Officers.</w:t>
      </w:r>
    </w:p>
    <w:p>
      <w:pPr>
        <w:spacing w:after="0" w:line="147" w:lineRule="exact"/>
        <w:rPr>
          <w:sz w:val="20"/>
          <w:szCs w:val="20"/>
          <w:color w:val="auto"/>
        </w:rPr>
      </w:pPr>
    </w:p>
    <w:p>
      <w:pPr>
        <w:ind w:firstLine="262"/>
        <w:spacing w:after="0" w:line="311" w:lineRule="auto"/>
        <w:rPr>
          <w:sz w:val="20"/>
          <w:szCs w:val="20"/>
          <w:color w:val="auto"/>
        </w:rPr>
      </w:pPr>
      <w:r>
        <w:rPr>
          <w:rFonts w:ascii="Arial" w:cs="Arial" w:eastAsia="Arial" w:hAnsi="Arial"/>
          <w:sz w:val="12"/>
          <w:szCs w:val="12"/>
          <w:color w:val="auto"/>
        </w:rPr>
        <w:t>Performance measures are selected and weighted by management and the Oil States Compensation Committee annually to give emphasis to performance criteria for which participants have influence. The Oil States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of directors of Oil States.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381635</wp:posOffset>
            </wp:positionV>
            <wp:extent cx="108966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89660"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hanging="113"/>
        <w:spacing w:after="0"/>
        <w:tabs>
          <w:tab w:leader="none" w:pos="120" w:val="left"/>
        </w:tabs>
        <w:numPr>
          <w:ilvl w:val="0"/>
          <w:numId w:val="295"/>
        </w:numPr>
        <w:rPr>
          <w:rFonts w:ascii="Arial" w:cs="Arial" w:eastAsia="Arial" w:hAnsi="Arial"/>
          <w:sz w:val="29"/>
          <w:szCs w:val="29"/>
          <w:color w:val="auto"/>
          <w:vertAlign w:val="superscript"/>
        </w:rPr>
      </w:pPr>
      <w:r>
        <w:rPr>
          <w:rFonts w:ascii="Arial" w:cs="Arial" w:eastAsia="Arial" w:hAnsi="Arial"/>
          <w:sz w:val="17"/>
          <w:szCs w:val="17"/>
          <w:color w:val="auto"/>
        </w:rPr>
        <w:t>See Named Executive Officers table above for more information about Mr. Steininger.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22" w:name="page323"/>
    <w:bookmarkEnd w:id="322"/>
    <w:p>
      <w:pPr>
        <w:ind w:right="180" w:firstLine="262"/>
        <w:spacing w:after="0" w:line="324" w:lineRule="auto"/>
        <w:rPr>
          <w:sz w:val="20"/>
          <w:szCs w:val="20"/>
          <w:color w:val="auto"/>
        </w:rPr>
      </w:pPr>
      <w:r>
        <w:rPr>
          <w:rFonts w:ascii="Arial" w:cs="Arial" w:eastAsia="Arial" w:hAnsi="Arial"/>
          <w:sz w:val="12"/>
          <w:szCs w:val="12"/>
          <w:color w:val="auto"/>
        </w:rPr>
        <w:t>For the Named Executive Officers, only EBITDA and ROI performance measures are used to determine AICP bonuses. For 2013, Mr. Dodson had 90% of his incentive compensation based on Oil States’ EBITDA and 10% of his incentive compensation based on Oil States’ ROI. Mr. Green’s incentive compensation was based 10% on Oil States’ EBITDA with the remainder tied to worldwide Accommodations’ EBITDA. Mr. McCann’s incentive compensation was based 100% on our Australian Accommodations’ EBITDA. Oil States’ EBITDA and pretax ROI targets, established in February 2013 based on Oil States’ annual operating plan, were $870 million and 15.4%, respectively. The EBITDA target for 2013 represented a 7.1% increase over 2012 actual results and the ROI target decreased from 16.5% in 2012 to 15.4% in 2013. Mr. Steininger held no position at and received no compensation from Oil States in 2013.</w:t>
      </w:r>
    </w:p>
    <w:p>
      <w:pPr>
        <w:spacing w:after="0" w:line="118" w:lineRule="exact"/>
        <w:rPr>
          <w:sz w:val="20"/>
          <w:szCs w:val="20"/>
          <w:color w:val="auto"/>
        </w:rPr>
      </w:pPr>
    </w:p>
    <w:p>
      <w:pPr>
        <w:ind w:right="60" w:firstLine="262"/>
        <w:spacing w:after="0" w:line="259" w:lineRule="auto"/>
        <w:rPr>
          <w:sz w:val="20"/>
          <w:szCs w:val="20"/>
          <w:color w:val="auto"/>
        </w:rPr>
      </w:pPr>
      <w:r>
        <w:rPr>
          <w:rFonts w:ascii="Arial" w:cs="Arial" w:eastAsia="Arial" w:hAnsi="Arial"/>
          <w:sz w:val="15"/>
          <w:szCs w:val="15"/>
          <w:color w:val="auto"/>
        </w:rPr>
        <w:t>At the end of each year, the Oil States Compensation Committee reviews the performance results of Oil States and the total incentive awards to be paid to each executive officer based on such officer’s success in achieving the AICP performance objectives.</w:t>
      </w:r>
    </w:p>
    <w:p>
      <w:pPr>
        <w:spacing w:after="0" w:line="152" w:lineRule="exact"/>
        <w:rPr>
          <w:sz w:val="20"/>
          <w:szCs w:val="20"/>
          <w:color w:val="auto"/>
        </w:rPr>
      </w:pPr>
    </w:p>
    <w:p>
      <w:pPr>
        <w:ind w:right="20" w:firstLine="262"/>
        <w:spacing w:after="0" w:line="246" w:lineRule="auto"/>
        <w:rPr>
          <w:sz w:val="20"/>
          <w:szCs w:val="20"/>
          <w:color w:val="auto"/>
        </w:rPr>
      </w:pPr>
      <w:r>
        <w:rPr>
          <w:rFonts w:ascii="Arial" w:cs="Arial" w:eastAsia="Arial" w:hAnsi="Arial"/>
          <w:sz w:val="15"/>
          <w:szCs w:val="15"/>
          <w:color w:val="auto"/>
        </w:rPr>
        <w:t>On a consolidated basis, Oil States achieved 167% of its targets for 2013. As a result, all executive officers received incentive plan payments for 2013 performance, reflecting, in large part, Oil States’ and most of its businesses’ strong overall performance versus budget and the profitable sale of the tubular services segment. These incentive plan payments under the AICP varied based upon the level of Oil States and business unit achievement of the related goals and objectives. Seven of ten AICP target groupings of Oil States, for AICP calculation purposes, including the consolidated group, exceeded their 2013 target EBITDA objectives. Mr. Dodson received a bonus above target in 2013. Messrs. Green and McCann received bonuses above the threshold level but below the target level in 2013. Each of the Named Executive Officers for the fiscal year ended December 31, 2013, received the following payments in February 2014 under the AICP for fiscal 2013 performance.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4"/>
              </w:rPr>
              <w:t>% of Eligible AICP</w:t>
            </w:r>
          </w:p>
        </w:tc>
      </w:tr>
      <w:tr>
        <w:trPr>
          <w:trHeight w:val="189"/>
        </w:trPr>
        <w:tc>
          <w:tcPr>
            <w:tcW w:w="47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99"/>
              </w:rPr>
              <w:t>AICP Award ($)</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Earnings</w:t>
            </w:r>
          </w:p>
        </w:tc>
        <w:tc>
          <w:tcPr>
            <w:tcW w:w="140" w:type="dxa"/>
            <w:vAlign w:val="bottom"/>
          </w:tcPr>
          <w:p>
            <w:pPr>
              <w:spacing w:after="0"/>
              <w:rPr>
                <w:sz w:val="16"/>
                <w:szCs w:val="16"/>
                <w:color w:val="auto"/>
              </w:rPr>
            </w:pPr>
          </w:p>
        </w:tc>
      </w:tr>
      <w:tr>
        <w:trPr>
          <w:trHeight w:val="167"/>
        </w:trPr>
        <w:tc>
          <w:tcPr>
            <w:tcW w:w="4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34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447,047</w:t>
            </w:r>
          </w:p>
        </w:tc>
        <w:tc>
          <w:tcPr>
            <w:tcW w:w="2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108%</w:t>
            </w:r>
          </w:p>
        </w:tc>
      </w:tr>
      <w:tr>
        <w:trPr>
          <w:trHeight w:val="175"/>
        </w:trPr>
        <w:tc>
          <w:tcPr>
            <w:tcW w:w="4720" w:type="dxa"/>
            <w:vAlign w:val="bottom"/>
          </w:tcPr>
          <w:p>
            <w:pPr>
              <w:spacing w:after="0" w:line="175" w:lineRule="exact"/>
              <w:rPr>
                <w:sz w:val="20"/>
                <w:szCs w:val="20"/>
                <w:color w:val="auto"/>
              </w:rPr>
            </w:pPr>
            <w:r>
              <w:rPr>
                <w:rFonts w:ascii="Arial" w:cs="Arial" w:eastAsia="Arial" w:hAnsi="Arial"/>
                <w:sz w:val="13"/>
                <w:szCs w:val="13"/>
                <w:color w:val="auto"/>
              </w:rPr>
              <w:t>Frank C. Steininger</w:t>
            </w:r>
            <w:r>
              <w:rPr>
                <w:rFonts w:ascii="Arial" w:cs="Arial" w:eastAsia="Arial" w:hAnsi="Arial"/>
                <w:sz w:val="20"/>
                <w:szCs w:val="20"/>
                <w:color w:val="auto"/>
                <w:vertAlign w:val="superscript"/>
              </w:rPr>
              <w:t>(1)</w:t>
            </w:r>
          </w:p>
        </w:tc>
        <w:tc>
          <w:tcPr>
            <w:tcW w:w="35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5"/>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Ron R. Green</w:t>
            </w:r>
          </w:p>
        </w:tc>
        <w:tc>
          <w:tcPr>
            <w:tcW w:w="35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269,685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184"/>
        </w:trPr>
        <w:tc>
          <w:tcPr>
            <w:tcW w:w="4720" w:type="dxa"/>
            <w:vAlign w:val="bottom"/>
          </w:tcPr>
          <w:p>
            <w:pPr>
              <w:spacing w:after="0"/>
              <w:rPr>
                <w:sz w:val="20"/>
                <w:szCs w:val="20"/>
                <w:color w:val="auto"/>
              </w:rPr>
            </w:pPr>
            <w:r>
              <w:rPr>
                <w:rFonts w:ascii="Arial" w:cs="Arial" w:eastAsia="Arial" w:hAnsi="Arial"/>
                <w:sz w:val="15"/>
                <w:szCs w:val="15"/>
                <w:color w:val="auto"/>
              </w:rPr>
              <w:t>Peter L. McCann</w:t>
            </w:r>
          </w:p>
        </w:tc>
        <w:tc>
          <w:tcPr>
            <w:tcW w:w="35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5"/>
                <w:szCs w:val="15"/>
                <w:color w:val="auto"/>
              </w:rPr>
              <w:t>193,291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834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(1) As described above, Mr. Steininger was not employed by Oil States during 2013 and, accordingly, did not participate in the AICP for fiscal 2013.</w:t>
      </w:r>
    </w:p>
    <w:p>
      <w:pPr>
        <w:spacing w:after="0" w:line="177"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i w:val="1"/>
          <w:iCs w:val="1"/>
          <w:color w:val="auto"/>
        </w:rPr>
        <w:t>Long-term Incentives</w:t>
      </w:r>
      <w:r>
        <w:rPr>
          <w:rFonts w:ascii="Arial" w:cs="Arial" w:eastAsia="Arial" w:hAnsi="Arial"/>
          <w:sz w:val="15"/>
          <w:szCs w:val="15"/>
          <w:color w:val="auto"/>
        </w:rPr>
        <w:t>—Oil States makes certain stock-based awards under its 2001 Equity Participation Plan, which has been approved by Oil States’ stockholders, to better align the interests</w:t>
      </w:r>
      <w:r>
        <w:rPr>
          <w:rFonts w:ascii="Arial" w:cs="Arial" w:eastAsia="Arial" w:hAnsi="Arial"/>
          <w:sz w:val="15"/>
          <w:szCs w:val="15"/>
          <w:i w:val="1"/>
          <w:iCs w:val="1"/>
          <w:color w:val="auto"/>
        </w:rPr>
        <w:t xml:space="preserve"> </w:t>
      </w:r>
      <w:r>
        <w:rPr>
          <w:rFonts w:ascii="Arial" w:cs="Arial" w:eastAsia="Arial" w:hAnsi="Arial"/>
          <w:sz w:val="15"/>
          <w:szCs w:val="15"/>
          <w:color w:val="auto"/>
        </w:rPr>
        <w:t>of executive officers with those of stockholders and to provide retention incentives. Specifically, the plan’s purposes are to:</w:t>
      </w:r>
    </w:p>
    <w:p>
      <w:pPr>
        <w:spacing w:after="0" w:line="152" w:lineRule="exact"/>
        <w:rPr>
          <w:sz w:val="20"/>
          <w:szCs w:val="20"/>
          <w:color w:val="auto"/>
        </w:rPr>
      </w:pPr>
    </w:p>
    <w:p>
      <w:pPr>
        <w:ind w:left="540" w:right="20" w:hanging="270"/>
        <w:spacing w:after="0" w:line="259" w:lineRule="auto"/>
        <w:tabs>
          <w:tab w:leader="none" w:pos="5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provide an additional incentive for executives to further the growth, development and financial success of Oil States by personally benefiting through ownership of Oil States’ stock and/or rights; and</w:t>
      </w:r>
    </w:p>
    <w:p>
      <w:pPr>
        <w:spacing w:after="0" w:line="152" w:lineRule="exact"/>
        <w:rPr>
          <w:rFonts w:ascii="Arial" w:cs="Arial" w:eastAsia="Arial" w:hAnsi="Arial"/>
          <w:sz w:val="15"/>
          <w:szCs w:val="15"/>
          <w:color w:val="auto"/>
        </w:rPr>
      </w:pPr>
    </w:p>
    <w:p>
      <w:pPr>
        <w:ind w:left="540" w:right="400" w:hanging="270"/>
        <w:spacing w:after="0" w:line="259" w:lineRule="auto"/>
        <w:tabs>
          <w:tab w:leader="none" w:pos="5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Oil States’ 2001 Equity Participation Plan provides for the grant of any combination of:</w:t>
      </w:r>
    </w:p>
    <w:p>
      <w:pPr>
        <w:spacing w:after="0" w:line="177" w:lineRule="exact"/>
        <w:rPr>
          <w:sz w:val="20"/>
          <w:szCs w:val="20"/>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stock options;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restricted stock;</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performance awards;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dividend equivalents;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deferred stock;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stock payments or phantom stock awards.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23" w:name="page324"/>
    <w:bookmarkEnd w:id="323"/>
    <w:p>
      <w:pPr>
        <w:ind w:firstLine="262"/>
        <w:spacing w:after="0" w:line="317" w:lineRule="auto"/>
        <w:rPr>
          <w:sz w:val="20"/>
          <w:szCs w:val="20"/>
          <w:color w:val="auto"/>
        </w:rPr>
      </w:pPr>
      <w:r>
        <w:rPr>
          <w:rFonts w:ascii="Arial" w:cs="Arial" w:eastAsia="Arial" w:hAnsi="Arial"/>
          <w:sz w:val="12"/>
          <w:szCs w:val="12"/>
          <w:color w:val="auto"/>
        </w:rPr>
        <w:t>Under Oil States’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Oil States Compensation Committee has approved awards with shorter vesting periods. The Oil States Compensation Committee has never granted options with an exercise price that is less than the NYSE Closing Price on the grant date.</w:t>
      </w:r>
    </w:p>
    <w:p>
      <w:pPr>
        <w:spacing w:after="0" w:line="123" w:lineRule="exact"/>
        <w:rPr>
          <w:sz w:val="20"/>
          <w:szCs w:val="20"/>
          <w:color w:val="auto"/>
        </w:rPr>
      </w:pPr>
    </w:p>
    <w:p>
      <w:pPr>
        <w:ind w:right="40" w:firstLine="262"/>
        <w:spacing w:after="0" w:line="259" w:lineRule="auto"/>
        <w:rPr>
          <w:sz w:val="20"/>
          <w:szCs w:val="20"/>
          <w:color w:val="auto"/>
        </w:rPr>
      </w:pPr>
      <w:r>
        <w:rPr>
          <w:rFonts w:ascii="Arial" w:cs="Arial" w:eastAsia="Arial" w:hAnsi="Arial"/>
          <w:sz w:val="15"/>
          <w:szCs w:val="15"/>
          <w:color w:val="auto"/>
        </w:rPr>
        <w:t>Oil States’ 2001 Equity Participation Plan prohibits repricing or replacing underwater stock options or canceling or effecting a cash buyout of stock options without the approval of Oil States’ stockholders. Effective February 19, 2013, Oil States amended its 2001 Equity Participation Plan as follows:</w:t>
      </w:r>
    </w:p>
    <w:p>
      <w:pPr>
        <w:spacing w:after="0" w:line="152" w:lineRule="exact"/>
        <w:rPr>
          <w:sz w:val="20"/>
          <w:szCs w:val="20"/>
          <w:color w:val="auto"/>
        </w:rPr>
      </w:pPr>
    </w:p>
    <w:p>
      <w:pPr>
        <w:ind w:left="540" w:hanging="270"/>
        <w:spacing w:after="0"/>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The maximum value of performance awards to any participant in a calendar year is limited to $4,000,000;</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Options forfeited or cancelled are not available to be “recycled” and awarded again;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An option agreement may not be cancelled or amended in exchange for cash or another equity award;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Loans from Oil States to plan participants are not permitted;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298"/>
        </w:numPr>
        <w:rPr>
          <w:rFonts w:ascii="Arial" w:cs="Arial" w:eastAsia="Arial" w:hAnsi="Arial"/>
          <w:sz w:val="12"/>
          <w:szCs w:val="12"/>
          <w:color w:val="auto"/>
        </w:rPr>
      </w:pPr>
      <w:r>
        <w:rPr>
          <w:rFonts w:ascii="Arial" w:cs="Arial" w:eastAsia="Arial" w:hAnsi="Arial"/>
          <w:sz w:val="12"/>
          <w:szCs w:val="12"/>
          <w:color w:val="auto"/>
        </w:rPr>
        <w:t>Dividend equivalents are not permitted to be credited to option awards and, for other awards, are not payable until the underlying deferred stock or performance award vests; and</w:t>
      </w:r>
    </w:p>
    <w:p>
      <w:pPr>
        <w:spacing w:after="0" w:line="211" w:lineRule="exact"/>
        <w:rPr>
          <w:rFonts w:ascii="Arial" w:cs="Arial" w:eastAsia="Arial" w:hAnsi="Arial"/>
          <w:sz w:val="12"/>
          <w:szCs w:val="12"/>
          <w:color w:val="auto"/>
        </w:rPr>
      </w:pPr>
    </w:p>
    <w:p>
      <w:pPr>
        <w:ind w:left="540" w:right="120" w:hanging="270"/>
        <w:spacing w:after="0" w:line="259" w:lineRule="auto"/>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The Oil States Compensation Committee may delegate to the Chief Executive Officer the right to grant awards under the 2001 Equity Participation Plan to any person who is not subject to Section 16 of the Exchange Act subject to conditions and restrictions that the Oil States Compensation Committee determines.</w:t>
      </w:r>
    </w:p>
    <w:p>
      <w:pPr>
        <w:spacing w:after="0" w:line="152" w:lineRule="exact"/>
        <w:rPr>
          <w:sz w:val="20"/>
          <w:szCs w:val="20"/>
          <w:color w:val="auto"/>
        </w:rPr>
      </w:pPr>
    </w:p>
    <w:p>
      <w:pPr>
        <w:ind w:right="160" w:firstLine="262"/>
        <w:spacing w:after="0" w:line="264" w:lineRule="auto"/>
        <w:rPr>
          <w:sz w:val="20"/>
          <w:szCs w:val="20"/>
          <w:color w:val="auto"/>
        </w:rPr>
      </w:pPr>
      <w:r>
        <w:rPr>
          <w:rFonts w:ascii="Arial" w:cs="Arial" w:eastAsia="Arial" w:hAnsi="Arial"/>
          <w:sz w:val="14"/>
          <w:szCs w:val="14"/>
          <w:color w:val="auto"/>
        </w:rPr>
        <w:t>Oil States believes these changes to its 2001 Equity Participation Plan are consistent with “best practices” for equity plans for publicly traded companies. In determining appropriate awards, the Oil States Compensation Committee annually reviews each executive’s past performance and experience, his or her position and ability to contribute to the future success and growth of Oil States, time in the current job, base compensation and competitive market data. The Oil States Compensation Committee also takes into account the risk of losing the executive to other employment opportunities and the value and potential for appreciation in Oil States’ stock. The Oil States Compensation Committee also takes into consideration that, unlike some benchmark companies, Oil States has no defined benefit retirement plan nor any supplemental executive retirement benefits or similar arrangements. The Oil States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Oil States Compensation Committee considers the foregoing factors and any other relevant factors and makes a subjective determination with respect to awarding equity based compensation to its executive officers.</w:t>
      </w:r>
    </w:p>
    <w:p>
      <w:pPr>
        <w:spacing w:after="0" w:line="155" w:lineRule="exact"/>
        <w:rPr>
          <w:sz w:val="20"/>
          <w:szCs w:val="20"/>
          <w:color w:val="auto"/>
        </w:rPr>
      </w:pPr>
    </w:p>
    <w:p>
      <w:pPr>
        <w:ind w:right="120" w:firstLine="262"/>
        <w:spacing w:after="0" w:line="248" w:lineRule="auto"/>
        <w:rPr>
          <w:sz w:val="20"/>
          <w:szCs w:val="20"/>
          <w:color w:val="auto"/>
        </w:rPr>
      </w:pPr>
      <w:r>
        <w:rPr>
          <w:rFonts w:ascii="Arial" w:cs="Arial" w:eastAsia="Arial" w:hAnsi="Arial"/>
          <w:sz w:val="15"/>
          <w:szCs w:val="15"/>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Oil States Compensation Committee determines the award level for executives, if any, on an annual basis usually at its February meeting each year.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24" w:name="page325"/>
    <w:bookmarkEnd w:id="324"/>
    <w:p>
      <w:pPr>
        <w:ind w:right="40" w:firstLine="262"/>
        <w:spacing w:after="0" w:line="320" w:lineRule="auto"/>
        <w:rPr>
          <w:sz w:val="20"/>
          <w:szCs w:val="20"/>
          <w:color w:val="auto"/>
        </w:rPr>
      </w:pPr>
      <w:r>
        <w:rPr>
          <w:rFonts w:ascii="Arial" w:cs="Arial" w:eastAsia="Arial" w:hAnsi="Arial"/>
          <w:sz w:val="12"/>
          <w:szCs w:val="12"/>
          <w:color w:val="auto"/>
        </w:rPr>
        <w:t>For 2013, Oil States incorporated a combination of nonqualified stock options, restricted stock awards, deferred stock awards, performance based awards and phantom stock awards as the primary executive long-term incentive and retention tool for the Named Executive Officers. Restricted stock and deferred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Oil States Compensation Committee weighs the cost of these grants with their potential benefit as an incentive, retention and compensation tool.</w:t>
      </w:r>
    </w:p>
    <w:p>
      <w:pPr>
        <w:spacing w:after="0" w:line="120" w:lineRule="exact"/>
        <w:rPr>
          <w:sz w:val="20"/>
          <w:szCs w:val="20"/>
          <w:color w:val="auto"/>
        </w:rPr>
      </w:pPr>
    </w:p>
    <w:p>
      <w:pPr>
        <w:ind w:right="120" w:firstLine="262"/>
        <w:spacing w:after="0" w:line="251" w:lineRule="auto"/>
        <w:rPr>
          <w:sz w:val="20"/>
          <w:szCs w:val="20"/>
          <w:color w:val="auto"/>
        </w:rPr>
      </w:pPr>
      <w:r>
        <w:rPr>
          <w:rFonts w:ascii="Arial" w:cs="Arial" w:eastAsia="Arial" w:hAnsi="Arial"/>
          <w:sz w:val="15"/>
          <w:szCs w:val="15"/>
          <w:color w:val="auto"/>
        </w:rPr>
        <w:t>In administering the long-term incentive equity plan, the Oil States Compensation Committee is sensitive to the potential for dilution of future earnings per share. For this reason and because of other compensation design considerations, the Oil States Compensation Committee focuses the long-term incentive plan on employees who will have the greatest impact on the strategic direction and long-term results of Oil States by virtue of their senior roles and responsibilities.</w:t>
      </w:r>
    </w:p>
    <w:p>
      <w:pPr>
        <w:spacing w:after="0" w:line="158" w:lineRule="exact"/>
        <w:rPr>
          <w:sz w:val="20"/>
          <w:szCs w:val="20"/>
          <w:color w:val="auto"/>
        </w:rPr>
      </w:pPr>
    </w:p>
    <w:p>
      <w:pPr>
        <w:ind w:right="40" w:firstLine="262"/>
        <w:spacing w:after="0" w:line="248" w:lineRule="auto"/>
        <w:rPr>
          <w:sz w:val="20"/>
          <w:szCs w:val="20"/>
          <w:color w:val="auto"/>
        </w:rPr>
      </w:pPr>
      <w:r>
        <w:rPr>
          <w:rFonts w:ascii="Arial" w:cs="Arial" w:eastAsia="Arial" w:hAnsi="Arial"/>
          <w:sz w:val="15"/>
          <w:szCs w:val="15"/>
          <w:i w:val="1"/>
          <w:iCs w:val="1"/>
          <w:color w:val="auto"/>
        </w:rPr>
        <w:t xml:space="preserve">Performance Based Awards. </w:t>
      </w:r>
      <w:r>
        <w:rPr>
          <w:rFonts w:ascii="Arial" w:cs="Arial" w:eastAsia="Arial" w:hAnsi="Arial"/>
          <w:sz w:val="15"/>
          <w:szCs w:val="15"/>
          <w:color w:val="auto"/>
        </w:rPr>
        <w:t>The performance based awards represent the right to receive shares of Oil States’ common stock, subject to forfeiture conditions and achieving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objectives. Because of tax considerations in Canada and Australia, Mr. Dodson is the only named executive officer to have received a performance based award in the past.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161" w:lineRule="exact"/>
        <w:rPr>
          <w:sz w:val="20"/>
          <w:szCs w:val="20"/>
          <w:color w:val="auto"/>
        </w:rPr>
      </w:pPr>
    </w:p>
    <w:p>
      <w:pPr>
        <w:ind w:right="20" w:firstLine="262"/>
        <w:spacing w:after="0" w:line="267" w:lineRule="auto"/>
        <w:rPr>
          <w:sz w:val="20"/>
          <w:szCs w:val="20"/>
          <w:color w:val="auto"/>
        </w:rPr>
      </w:pPr>
      <w:r>
        <w:rPr>
          <w:rFonts w:ascii="Arial" w:cs="Arial" w:eastAsia="Arial" w:hAnsi="Arial"/>
          <w:sz w:val="14"/>
          <w:szCs w:val="14"/>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49" w:lineRule="exact"/>
        <w:rPr>
          <w:sz w:val="20"/>
          <w:szCs w:val="20"/>
          <w:color w:val="auto"/>
        </w:rPr>
      </w:pPr>
    </w:p>
    <w:p>
      <w:pPr>
        <w:ind w:right="200" w:firstLine="262"/>
        <w:spacing w:after="0" w:line="267" w:lineRule="auto"/>
        <w:rPr>
          <w:sz w:val="20"/>
          <w:szCs w:val="20"/>
          <w:color w:val="auto"/>
        </w:rPr>
      </w:pPr>
      <w:r>
        <w:rPr>
          <w:rFonts w:ascii="Arial" w:cs="Arial" w:eastAsia="Arial" w:hAnsi="Arial"/>
          <w:sz w:val="14"/>
          <w:szCs w:val="14"/>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149" w:lineRule="exact"/>
        <w:rPr>
          <w:sz w:val="20"/>
          <w:szCs w:val="20"/>
          <w:color w:val="auto"/>
        </w:rPr>
      </w:pPr>
    </w:p>
    <w:p>
      <w:pPr>
        <w:ind w:right="100" w:firstLine="262"/>
        <w:spacing w:after="0" w:line="277" w:lineRule="auto"/>
        <w:rPr>
          <w:sz w:val="20"/>
          <w:szCs w:val="20"/>
          <w:color w:val="auto"/>
        </w:rPr>
      </w:pPr>
      <w:r>
        <w:rPr>
          <w:rFonts w:ascii="Arial" w:cs="Arial" w:eastAsia="Arial" w:hAnsi="Arial"/>
          <w:sz w:val="14"/>
          <w:szCs w:val="14"/>
          <w:i w:val="1"/>
          <w:iCs w:val="1"/>
          <w:color w:val="auto"/>
        </w:rPr>
        <w:t>Phantom Stock Awards</w:t>
      </w:r>
      <w:r>
        <w:rPr>
          <w:rFonts w:ascii="Arial" w:cs="Arial" w:eastAsia="Arial" w:hAnsi="Arial"/>
          <w:sz w:val="14"/>
          <w:szCs w:val="14"/>
          <w:color w:val="auto"/>
        </w:rPr>
        <w:t>. Oil States began awarding cash-settled phantom stock awards in 2012 under its phantom stock plan to certain executives in Canada because these awards were more</w:t>
      </w:r>
      <w:r>
        <w:rPr>
          <w:rFonts w:ascii="Arial" w:cs="Arial" w:eastAsia="Arial" w:hAnsi="Arial"/>
          <w:sz w:val="14"/>
          <w:szCs w:val="14"/>
          <w:i w:val="1"/>
          <w:iCs w:val="1"/>
          <w:color w:val="auto"/>
        </w:rPr>
        <w:t xml:space="preserve"> </w:t>
      </w:r>
      <w:r>
        <w:rPr>
          <w:rFonts w:ascii="Arial" w:cs="Arial" w:eastAsia="Arial" w:hAnsi="Arial"/>
          <w:sz w:val="14"/>
          <w:szCs w:val="14"/>
          <w:color w:val="auto"/>
        </w:rPr>
        <w:t>tax efficient for Oil States and the executive. Phantom stock awards made on February 19, 2013 totaled 30,314 shares and will vest 33.3% per year on the first, second and third anniversary of the award date. Each phantom stock award entitles the holder to the cash equivalent amount equal to a share of Oil States stock on the vesting date.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Restricted Stock, Deferred Stock and Option Awards</w:t>
      </w:r>
      <w:r>
        <w:rPr>
          <w:rFonts w:ascii="Arial" w:cs="Arial" w:eastAsia="Arial" w:hAnsi="Arial"/>
          <w:sz w:val="12"/>
          <w:szCs w:val="12"/>
          <w:color w:val="auto"/>
        </w:rPr>
        <w:t>. Restricted stock awards in the amount of 5,500 restricted shares were made to Mr. Dodson on February 19, 2013 at the then fair market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value of $80.25 per restricted share. Stock option awards with respect to 4,000 shares of Oil States common stock were made to Mr. Dodson on February 19, 2013 that had an exercise price of</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$80.25 per share based on the NYSE Closing Price and that had a Black Scholes fair market value on the date of grant of $28.31 per option award. These awards will vest in four equal installments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on each anniversary of the grant date (so that the 2013 awards will be 100% vested on February 19, 2017), provided the named executive officer remains an employee continuously from the date of</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grant through the applicable vesting date. Vesting of the awards may be accelerated upon the occurrence of certain events, as described in detail below under “—Potential Payments Upon</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Termination or Change in Control.” While a Named Executive Officer holds nonvested restricted shares, he or she is entitled to all the rights of ownership with respect to the shares, including the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right to vote the shares and receive dividends thereon (except that any dividends or other distributions paid in any form other than cash shall be subject to forfeiture restrictions applicable to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underlying award). Deferred stock award recipients are not entitled to vote and do not accrue dividends or awards until they vest.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25" w:name="page326"/>
    <w:bookmarkEnd w:id="325"/>
    <w:p>
      <w:pPr>
        <w:ind w:right="20" w:firstLine="262"/>
        <w:spacing w:after="0" w:line="259" w:lineRule="auto"/>
        <w:rPr>
          <w:sz w:val="20"/>
          <w:szCs w:val="20"/>
          <w:color w:val="auto"/>
        </w:rPr>
      </w:pPr>
      <w:r>
        <w:rPr>
          <w:rFonts w:ascii="Arial" w:cs="Arial" w:eastAsia="Arial" w:hAnsi="Arial"/>
          <w:sz w:val="15"/>
          <w:szCs w:val="15"/>
          <w:color w:val="auto"/>
        </w:rPr>
        <w:t>Mr. Green received a grant of 15,000 shares of phantom stock in February 2013 which vests in three equal installments on each anniversary of the grant date. Mr. McCann received a deferred stock award of 6,000 shares in February 2013 which vests in four equal installments on each anniversary date.</w:t>
      </w:r>
    </w:p>
    <w:p>
      <w:pPr>
        <w:spacing w:after="0" w:line="152" w:lineRule="exact"/>
        <w:rPr>
          <w:sz w:val="20"/>
          <w:szCs w:val="20"/>
          <w:color w:val="auto"/>
        </w:rPr>
      </w:pPr>
    </w:p>
    <w:p>
      <w:pPr>
        <w:ind w:firstLine="262"/>
        <w:spacing w:after="0" w:line="247" w:lineRule="auto"/>
        <w:rPr>
          <w:sz w:val="20"/>
          <w:szCs w:val="20"/>
          <w:color w:val="auto"/>
        </w:rPr>
      </w:pPr>
      <w:r>
        <w:rPr>
          <w:rFonts w:ascii="Arial" w:cs="Arial" w:eastAsia="Arial" w:hAnsi="Arial"/>
          <w:sz w:val="15"/>
          <w:szCs w:val="15"/>
          <w:color w:val="auto"/>
        </w:rPr>
        <w:t>Stock option grants, restricted and deferred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February meeting of the board of directors of Oil States. Executive officers and directors are prohibited from trading options or any derivative type of contract related to Oil States’ stock.</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Benefits</w:t>
      </w:r>
    </w:p>
    <w:p>
      <w:pPr>
        <w:spacing w:after="0" w:line="177" w:lineRule="exact"/>
        <w:rPr>
          <w:sz w:val="20"/>
          <w:szCs w:val="20"/>
          <w:color w:val="auto"/>
        </w:rPr>
      </w:pPr>
    </w:p>
    <w:p>
      <w:pPr>
        <w:ind w:right="340" w:firstLine="262"/>
        <w:spacing w:after="0" w:line="259" w:lineRule="auto"/>
        <w:rPr>
          <w:sz w:val="20"/>
          <w:szCs w:val="20"/>
          <w:color w:val="auto"/>
        </w:rPr>
      </w:pPr>
      <w:r>
        <w:rPr>
          <w:rFonts w:ascii="Arial" w:cs="Arial" w:eastAsia="Arial" w:hAnsi="Arial"/>
          <w:sz w:val="15"/>
          <w:szCs w:val="15"/>
          <w:color w:val="auto"/>
        </w:rPr>
        <w:t>Employee benefits are designed to be broad based, competitive and to attract and retain employees. From time to time the Oil States Compensation Committee reviews plan updates and recommends that Oil States implement certain changes to existing plans or adopt new benefit plans.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 and Welfare Benefits</w:t>
      </w:r>
    </w:p>
    <w:p>
      <w:pPr>
        <w:spacing w:after="0" w:line="177" w:lineRule="exact"/>
        <w:rPr>
          <w:sz w:val="20"/>
          <w:szCs w:val="20"/>
          <w:color w:val="auto"/>
        </w:rPr>
      </w:pPr>
    </w:p>
    <w:p>
      <w:pPr>
        <w:ind w:right="20" w:firstLine="262"/>
        <w:spacing w:after="0" w:line="343" w:lineRule="auto"/>
        <w:rPr>
          <w:sz w:val="20"/>
          <w:szCs w:val="20"/>
          <w:color w:val="auto"/>
        </w:rPr>
      </w:pPr>
      <w:r>
        <w:rPr>
          <w:rFonts w:ascii="Arial" w:cs="Arial" w:eastAsia="Arial" w:hAnsi="Arial"/>
          <w:sz w:val="12"/>
          <w:szCs w:val="12"/>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Retirement Plans</w:t>
      </w:r>
    </w:p>
    <w:p>
      <w:pPr>
        <w:spacing w:after="0" w:line="177" w:lineRule="exact"/>
        <w:rPr>
          <w:sz w:val="20"/>
          <w:szCs w:val="20"/>
          <w:color w:val="auto"/>
        </w:rPr>
      </w:pPr>
    </w:p>
    <w:p>
      <w:pPr>
        <w:ind w:right="100" w:firstLine="262"/>
        <w:spacing w:after="0" w:line="320" w:lineRule="auto"/>
        <w:rPr>
          <w:sz w:val="20"/>
          <w:szCs w:val="20"/>
          <w:color w:val="auto"/>
        </w:rPr>
      </w:pPr>
      <w:r>
        <w:rPr>
          <w:rFonts w:ascii="Arial" w:cs="Arial" w:eastAsia="Arial" w:hAnsi="Arial"/>
          <w:sz w:val="12"/>
          <w:szCs w:val="12"/>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including Mr. Green. See “Canadian Retirement Savings Plan” below. In Australia, employers must contribute 9.25% of base salary, up to a capped limit of A$192,160, into an employee’s superannuation fund or savings account as part of the Government’s compulsory Superannuation Guarantee. The capped limit is indexed each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Deferred Compensation Plan</w:t>
      </w:r>
    </w:p>
    <w:p>
      <w:pPr>
        <w:spacing w:after="0" w:line="177" w:lineRule="exact"/>
        <w:rPr>
          <w:sz w:val="20"/>
          <w:szCs w:val="20"/>
          <w:color w:val="auto"/>
        </w:rPr>
      </w:pPr>
    </w:p>
    <w:p>
      <w:pPr>
        <w:ind w:firstLine="262"/>
        <w:spacing w:after="0" w:line="266" w:lineRule="auto"/>
        <w:rPr>
          <w:sz w:val="20"/>
          <w:szCs w:val="20"/>
          <w:color w:val="auto"/>
        </w:rPr>
      </w:pPr>
      <w:r>
        <w:rPr>
          <w:rFonts w:ascii="Arial" w:cs="Arial" w:eastAsia="Arial" w:hAnsi="Arial"/>
          <w:sz w:val="14"/>
          <w:szCs w:val="14"/>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Oil States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80"/>
          </w:cols>
          <w:pgMar w:left="220" w:top="500" w:right="299" w:bottom="1440" w:gutter="0" w:footer="0" w:header="0"/>
        </w:sectPr>
      </w:pPr>
    </w:p>
    <w:bookmarkStart w:id="326" w:name="page327"/>
    <w:bookmarkEnd w:id="326"/>
    <w:p>
      <w:pPr>
        <w:ind w:right="120" w:firstLine="262"/>
        <w:spacing w:after="0" w:line="266" w:lineRule="auto"/>
        <w:rPr>
          <w:sz w:val="20"/>
          <w:szCs w:val="20"/>
          <w:color w:val="auto"/>
        </w:rPr>
      </w:pPr>
      <w:r>
        <w:rPr>
          <w:rFonts w:ascii="Arial" w:cs="Arial" w:eastAsia="Arial" w:hAnsi="Arial"/>
          <w:sz w:val="14"/>
          <w:szCs w:val="14"/>
          <w:color w:val="auto"/>
        </w:rPr>
        <w:t>Participants in the Deferred Compensation Plan are able to invest contributions made to the Deferred Compensation Plan in investment funds selected by Oil States Retirement Plan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Oil States Retirement Plan Committee is composed of employees. The Oil States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50" w:lineRule="exact"/>
        <w:rPr>
          <w:sz w:val="20"/>
          <w:szCs w:val="20"/>
          <w:color w:val="auto"/>
        </w:rPr>
      </w:pPr>
    </w:p>
    <w:p>
      <w:pPr>
        <w:ind w:right="160" w:firstLine="262"/>
        <w:spacing w:after="0" w:line="277" w:lineRule="auto"/>
        <w:rPr>
          <w:sz w:val="20"/>
          <w:szCs w:val="20"/>
          <w:color w:val="auto"/>
        </w:rPr>
      </w:pPr>
      <w:r>
        <w:rPr>
          <w:rFonts w:ascii="Arial" w:cs="Arial" w:eastAsia="Arial" w:hAnsi="Arial"/>
          <w:sz w:val="14"/>
          <w:szCs w:val="14"/>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142" w:lineRule="exact"/>
        <w:rPr>
          <w:sz w:val="20"/>
          <w:szCs w:val="20"/>
          <w:color w:val="auto"/>
        </w:rPr>
      </w:pPr>
    </w:p>
    <w:p>
      <w:pPr>
        <w:ind w:right="40" w:firstLine="262"/>
        <w:spacing w:after="0" w:line="248" w:lineRule="auto"/>
        <w:rPr>
          <w:sz w:val="20"/>
          <w:szCs w:val="20"/>
          <w:color w:val="auto"/>
        </w:rPr>
      </w:pPr>
      <w:r>
        <w:rPr>
          <w:rFonts w:ascii="Arial" w:cs="Arial" w:eastAsia="Arial" w:hAnsi="Arial"/>
          <w:sz w:val="15"/>
          <w:szCs w:val="15"/>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Retirement Savings Plan</w:t>
      </w:r>
    </w:p>
    <w:p>
      <w:pPr>
        <w:spacing w:after="0" w:line="177" w:lineRule="exact"/>
        <w:rPr>
          <w:sz w:val="20"/>
          <w:szCs w:val="20"/>
          <w:color w:val="auto"/>
        </w:rPr>
      </w:pPr>
    </w:p>
    <w:p>
      <w:pPr>
        <w:ind w:firstLine="262"/>
        <w:spacing w:after="0" w:line="246" w:lineRule="auto"/>
        <w:rPr>
          <w:sz w:val="20"/>
          <w:szCs w:val="20"/>
          <w:color w:val="auto"/>
        </w:rPr>
      </w:pPr>
      <w:r>
        <w:rPr>
          <w:rFonts w:ascii="Arial" w:cs="Arial" w:eastAsia="Arial" w:hAnsi="Arial"/>
          <w:sz w:val="15"/>
          <w:szCs w:val="15"/>
          <w:color w:val="auto"/>
        </w:rPr>
        <w:t>As described under the “Retirement Plans,” Oil States offers a defined contribution retirement plan to its Canadian employees. In Canada, Oil States contributes, on a matched basis, an amount up to 5% of each Canadian based, salaried employee’s (including Mr. Green) earnings (base salary plus annual incentive compensation) to the legislated maximum for a Deferred Profit Sharing Plan (DPSP—Maximum for 2013—$12,135). DPSP is a form of defined contribution retirement savings plan governed by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163" w:lineRule="exact"/>
        <w:rPr>
          <w:sz w:val="20"/>
          <w:szCs w:val="20"/>
          <w:color w:val="auto"/>
        </w:rPr>
      </w:pPr>
    </w:p>
    <w:p>
      <w:pPr>
        <w:ind w:right="60" w:firstLine="262"/>
        <w:spacing w:after="0" w:line="259" w:lineRule="auto"/>
        <w:rPr>
          <w:sz w:val="20"/>
          <w:szCs w:val="20"/>
          <w:color w:val="auto"/>
        </w:rPr>
      </w:pPr>
      <w:r>
        <w:rPr>
          <w:rFonts w:ascii="Arial" w:cs="Arial" w:eastAsia="Arial" w:hAnsi="Arial"/>
          <w:sz w:val="15"/>
          <w:szCs w:val="15"/>
          <w:color w:val="auto"/>
        </w:rPr>
        <w:t>Contributions to the “Retirement Savings Plan” for Mr. Green (as with all of the Canadian based salaried employees) is subject to the annual maximum registered savings limit of C$23,820 in 2013 as set out in the Canadian Tax Act.</w:t>
      </w:r>
    </w:p>
    <w:p>
      <w:pPr>
        <w:spacing w:after="0" w:line="152" w:lineRule="exact"/>
        <w:rPr>
          <w:sz w:val="20"/>
          <w:szCs w:val="20"/>
          <w:color w:val="auto"/>
        </w:rPr>
      </w:pPr>
    </w:p>
    <w:p>
      <w:pPr>
        <w:ind w:right="60" w:firstLine="262"/>
        <w:spacing w:after="0" w:line="247" w:lineRule="auto"/>
        <w:rPr>
          <w:sz w:val="20"/>
          <w:szCs w:val="20"/>
          <w:color w:val="auto"/>
        </w:rPr>
      </w:pPr>
      <w:r>
        <w:rPr>
          <w:rFonts w:ascii="Arial" w:cs="Arial" w:eastAsia="Arial" w:hAnsi="Arial"/>
          <w:sz w:val="15"/>
          <w:szCs w:val="15"/>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162" w:lineRule="exact"/>
        <w:rPr>
          <w:sz w:val="20"/>
          <w:szCs w:val="20"/>
          <w:color w:val="auto"/>
        </w:rPr>
      </w:pPr>
    </w:p>
    <w:p>
      <w:pPr>
        <w:ind w:right="60" w:firstLine="262"/>
        <w:spacing w:after="0" w:line="248" w:lineRule="auto"/>
        <w:rPr>
          <w:sz w:val="20"/>
          <w:szCs w:val="20"/>
          <w:color w:val="auto"/>
        </w:rPr>
      </w:pPr>
      <w:r>
        <w:rPr>
          <w:rFonts w:ascii="Arial" w:cs="Arial" w:eastAsia="Arial" w:hAnsi="Arial"/>
          <w:sz w:val="15"/>
          <w:szCs w:val="15"/>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27" w:name="page328"/>
    <w:bookmarkEnd w:id="327"/>
    <w:p>
      <w:pPr>
        <w:spacing w:after="0"/>
        <w:rPr>
          <w:sz w:val="20"/>
          <w:szCs w:val="20"/>
          <w:color w:val="auto"/>
        </w:rPr>
      </w:pPr>
      <w:r>
        <w:rPr>
          <w:rFonts w:ascii="Arial" w:cs="Arial" w:eastAsia="Arial" w:hAnsi="Arial"/>
          <w:sz w:val="15"/>
          <w:szCs w:val="15"/>
          <w:b w:val="1"/>
          <w:bCs w:val="1"/>
          <w:i w:val="1"/>
          <w:iCs w:val="1"/>
          <w:color w:val="auto"/>
        </w:rPr>
        <w:t>Other Perquisites and Personal Benefits</w:t>
      </w:r>
    </w:p>
    <w:p>
      <w:pPr>
        <w:spacing w:after="0" w:line="177" w:lineRule="exact"/>
        <w:rPr>
          <w:sz w:val="20"/>
          <w:szCs w:val="20"/>
          <w:color w:val="auto"/>
        </w:rPr>
      </w:pPr>
    </w:p>
    <w:p>
      <w:pPr>
        <w:ind w:right="660" w:firstLine="262"/>
        <w:spacing w:after="0" w:line="259" w:lineRule="auto"/>
        <w:rPr>
          <w:sz w:val="20"/>
          <w:szCs w:val="20"/>
          <w:color w:val="auto"/>
        </w:rPr>
      </w:pPr>
      <w:r>
        <w:rPr>
          <w:rFonts w:ascii="Arial" w:cs="Arial" w:eastAsia="Arial" w:hAnsi="Arial"/>
          <w:sz w:val="15"/>
          <w:szCs w:val="15"/>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Consultant</w:t>
      </w:r>
    </w:p>
    <w:p>
      <w:pPr>
        <w:spacing w:after="0" w:line="177" w:lineRule="exact"/>
        <w:rPr>
          <w:sz w:val="20"/>
          <w:szCs w:val="20"/>
          <w:color w:val="auto"/>
        </w:rPr>
      </w:pPr>
    </w:p>
    <w:p>
      <w:pPr>
        <w:ind w:right="40" w:firstLine="262"/>
        <w:spacing w:after="0" w:line="269" w:lineRule="auto"/>
        <w:rPr>
          <w:sz w:val="20"/>
          <w:szCs w:val="20"/>
          <w:color w:val="auto"/>
        </w:rPr>
      </w:pPr>
      <w:r>
        <w:rPr>
          <w:rFonts w:ascii="Arial" w:cs="Arial" w:eastAsia="Arial" w:hAnsi="Arial"/>
          <w:sz w:val="14"/>
          <w:szCs w:val="14"/>
          <w:color w:val="auto"/>
        </w:rPr>
        <w:t>In 2013, the Oil States Compensation Committee engaged Frederic W. Cook &amp; Co., Inc. (the “Consultant”) to provide independent advice on executive compensation matters. In 2013, the Consultant confirmed to the chair of the Oil States Compensation Committee certain industry compensation data provided by management and provided feedback regarding proposed compensation terms to the Committee. The Oil States Compensation Committee Chairman pre-approved the scope of the work to be performed by and the fee arrangement with the Consultant, which was based on agreed upon rates per hour. The Consultant’s engagement was limited to executive compensation projects for the Oil States Compensation Committee, and no other services were provided to Oil States or management. Fees paid to the Consultant in 2013 did not exceed $120,000.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Oil States Executive Compensation Policies</w:t>
      </w:r>
    </w:p>
    <w:p>
      <w:pPr>
        <w:spacing w:after="0" w:line="177" w:lineRule="exact"/>
        <w:rPr>
          <w:sz w:val="20"/>
          <w:szCs w:val="20"/>
          <w:color w:val="auto"/>
        </w:rPr>
      </w:pPr>
    </w:p>
    <w:p>
      <w:pPr>
        <w:ind w:left="540" w:right="20" w:hanging="270"/>
        <w:spacing w:after="0" w:line="259" w:lineRule="auto"/>
        <w:tabs>
          <w:tab w:leader="none" w:pos="540" w:val="left"/>
        </w:tabs>
        <w:numPr>
          <w:ilvl w:val="0"/>
          <w:numId w:val="299"/>
        </w:numPr>
        <w:rPr>
          <w:rFonts w:ascii="Arial" w:cs="Arial" w:eastAsia="Arial" w:hAnsi="Arial"/>
          <w:sz w:val="15"/>
          <w:szCs w:val="15"/>
          <w:color w:val="auto"/>
        </w:rPr>
      </w:pPr>
      <w:r>
        <w:rPr>
          <w:rFonts w:ascii="Arial" w:cs="Arial" w:eastAsia="Arial" w:hAnsi="Arial"/>
          <w:sz w:val="15"/>
          <w:szCs w:val="15"/>
          <w:i w:val="1"/>
          <w:iCs w:val="1"/>
          <w:color w:val="auto"/>
        </w:rPr>
        <w:t>Repricing Stock Options</w:t>
      </w:r>
      <w:r>
        <w:rPr>
          <w:rFonts w:ascii="Arial" w:cs="Arial" w:eastAsia="Arial" w:hAnsi="Arial"/>
          <w:sz w:val="15"/>
          <w:szCs w:val="15"/>
          <w:color w:val="auto"/>
        </w:rPr>
        <w:t>—Oil States’ practice is to price awards at the market price on the date of award. Oil States’ Equity Participation Plan prohibits any repricing of options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approval.</w:t>
      </w:r>
    </w:p>
    <w:p>
      <w:pPr>
        <w:spacing w:after="0" w:line="152" w:lineRule="exact"/>
        <w:rPr>
          <w:rFonts w:ascii="Arial" w:cs="Arial" w:eastAsia="Arial" w:hAnsi="Arial"/>
          <w:sz w:val="15"/>
          <w:szCs w:val="15"/>
          <w:color w:val="auto"/>
        </w:rPr>
      </w:pPr>
    </w:p>
    <w:p>
      <w:pPr>
        <w:ind w:left="540" w:right="160" w:hanging="270"/>
        <w:spacing w:after="0" w:line="277" w:lineRule="auto"/>
        <w:tabs>
          <w:tab w:leader="none" w:pos="540" w:val="left"/>
        </w:tabs>
        <w:numPr>
          <w:ilvl w:val="0"/>
          <w:numId w:val="299"/>
        </w:numPr>
        <w:rPr>
          <w:rFonts w:ascii="Arial" w:cs="Arial" w:eastAsia="Arial" w:hAnsi="Arial"/>
          <w:sz w:val="14"/>
          <w:szCs w:val="14"/>
          <w:color w:val="auto"/>
        </w:rPr>
      </w:pPr>
      <w:r>
        <w:rPr>
          <w:rFonts w:ascii="Arial" w:cs="Arial" w:eastAsia="Arial" w:hAnsi="Arial"/>
          <w:sz w:val="14"/>
          <w:szCs w:val="14"/>
          <w:i w:val="1"/>
          <w:iCs w:val="1"/>
          <w:color w:val="auto"/>
        </w:rPr>
        <w:t>Securities Trading Policy</w:t>
      </w:r>
      <w:r>
        <w:rPr>
          <w:rFonts w:ascii="Arial" w:cs="Arial" w:eastAsia="Arial" w:hAnsi="Arial"/>
          <w:sz w:val="14"/>
          <w:szCs w:val="14"/>
          <w:color w:val="auto"/>
        </w:rPr>
        <w:t>—Oil States prohibits directors, officers and certain other managers from trading Oil States’ securities on the basis of material, non-public information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“tipping” others who may so trade on such information. In addition, the policy prohibits trading in Oil States’ securities without obtaining prior approval from Oil States’ Compliance Officer. Executive officers and directors are prohibited from trading options on any derivative type of contract related to Oil States’ stock.</w:t>
      </w:r>
    </w:p>
    <w:p>
      <w:pPr>
        <w:spacing w:after="0" w:line="141" w:lineRule="exact"/>
        <w:rPr>
          <w:rFonts w:ascii="Arial" w:cs="Arial" w:eastAsia="Arial" w:hAnsi="Arial"/>
          <w:sz w:val="14"/>
          <w:szCs w:val="14"/>
          <w:color w:val="auto"/>
        </w:rPr>
      </w:pPr>
    </w:p>
    <w:p>
      <w:pPr>
        <w:ind w:left="540" w:hanging="270"/>
        <w:spacing w:after="0" w:line="246" w:lineRule="auto"/>
        <w:tabs>
          <w:tab w:leader="none" w:pos="540" w:val="left"/>
        </w:tabs>
        <w:numPr>
          <w:ilvl w:val="0"/>
          <w:numId w:val="299"/>
        </w:numPr>
        <w:rPr>
          <w:rFonts w:ascii="Arial" w:cs="Arial" w:eastAsia="Arial" w:hAnsi="Arial"/>
          <w:sz w:val="15"/>
          <w:szCs w:val="15"/>
          <w:color w:val="auto"/>
        </w:rPr>
      </w:pPr>
      <w:r>
        <w:rPr>
          <w:rFonts w:ascii="Arial" w:cs="Arial" w:eastAsia="Arial" w:hAnsi="Arial"/>
          <w:sz w:val="15"/>
          <w:szCs w:val="15"/>
          <w:i w:val="1"/>
          <w:iCs w:val="1"/>
          <w:color w:val="auto"/>
        </w:rPr>
        <w:t>Clawback Policy</w:t>
      </w:r>
      <w:r>
        <w:rPr>
          <w:rFonts w:ascii="Arial" w:cs="Arial" w:eastAsia="Arial" w:hAnsi="Arial"/>
          <w:sz w:val="15"/>
          <w:szCs w:val="15"/>
          <w:color w:val="auto"/>
        </w:rPr>
        <w:t>—To date, Oil States has not adopted a formal clawback policy to recoup incentive based compensation upon the occurrence of a financial restatement, misconduct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specified events. However, the performance based awards granted to Oil States’ named executive officers as part of its 2013 long-term incentive compensation program do include language providing that the award may be cancelled and the officer may be required to repay Oil States for any realized gains to the extent required by applicable law. The Oil States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163" w:lineRule="exact"/>
        <w:rPr>
          <w:rFonts w:ascii="Arial" w:cs="Arial" w:eastAsia="Arial" w:hAnsi="Arial"/>
          <w:sz w:val="15"/>
          <w:szCs w:val="15"/>
          <w:color w:val="auto"/>
        </w:rPr>
      </w:pPr>
    </w:p>
    <w:p>
      <w:pPr>
        <w:ind w:left="540" w:right="460" w:hanging="270"/>
        <w:spacing w:after="0" w:line="383" w:lineRule="auto"/>
        <w:tabs>
          <w:tab w:leader="none" w:pos="540" w:val="left"/>
        </w:tabs>
        <w:numPr>
          <w:ilvl w:val="0"/>
          <w:numId w:val="299"/>
        </w:numPr>
        <w:rPr>
          <w:rFonts w:ascii="Arial" w:cs="Arial" w:eastAsia="Arial" w:hAnsi="Arial"/>
          <w:sz w:val="12"/>
          <w:szCs w:val="12"/>
          <w:color w:val="auto"/>
        </w:rPr>
      </w:pPr>
      <w:r>
        <w:rPr>
          <w:rFonts w:ascii="Arial" w:cs="Arial" w:eastAsia="Arial" w:hAnsi="Arial"/>
          <w:sz w:val="12"/>
          <w:szCs w:val="12"/>
          <w:i w:val="1"/>
          <w:iCs w:val="1"/>
          <w:color w:val="auto"/>
        </w:rPr>
        <w:t>Executive Stock Ownership Guidelines and Holding Period</w:t>
      </w:r>
      <w:r>
        <w:rPr>
          <w:rFonts w:ascii="Arial" w:cs="Arial" w:eastAsia="Arial" w:hAnsi="Arial"/>
          <w:sz w:val="12"/>
          <w:szCs w:val="12"/>
          <w:color w:val="auto"/>
        </w:rPr>
        <w:t>—Effective February 16, 2007, Executive Stock Ownership Guidelines were adopted by the Oil States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to further align the interests of executives with the interests of stockholders and further promote Oil States’ commitment to sound corporate governance.</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00"/>
          </w:cols>
          <w:pgMar w:left="220" w:top="500" w:right="379" w:bottom="1440" w:gutter="0" w:footer="0" w:header="0"/>
        </w:sectPr>
      </w:pPr>
    </w:p>
    <w:bookmarkStart w:id="328" w:name="page329"/>
    <w:bookmarkEnd w:id="328"/>
    <w:p>
      <w:pPr>
        <w:ind w:firstLine="262"/>
        <w:spacing w:after="0" w:line="247" w:lineRule="auto"/>
        <w:rPr>
          <w:sz w:val="20"/>
          <w:szCs w:val="20"/>
          <w:color w:val="auto"/>
        </w:rPr>
      </w:pPr>
      <w:r>
        <w:rPr>
          <w:rFonts w:ascii="Arial" w:cs="Arial" w:eastAsia="Arial" w:hAnsi="Arial"/>
          <w:sz w:val="15"/>
          <w:szCs w:val="15"/>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Oil States Compensation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58" w:lineRule="exact"/>
        <w:rPr>
          <w:sz w:val="20"/>
          <w:szCs w:val="20"/>
          <w:color w:val="auto"/>
        </w:rPr>
      </w:pPr>
    </w:p>
    <w:tbl>
      <w:tblPr>
        <w:tblLayout w:type="fixed"/>
        <w:tblInd w:w="1400" w:type="dxa"/>
        <w:tblCellMar>
          <w:top w:w="0" w:type="dxa"/>
          <w:left w:w="0" w:type="dxa"/>
          <w:bottom w:w="0" w:type="dxa"/>
          <w:right w:w="0" w:type="dxa"/>
        </w:tblCellMar>
      </w:tblPr>
      <w:tr>
        <w:trPr>
          <w:trHeight w:val="188"/>
        </w:trPr>
        <w:tc>
          <w:tcPr>
            <w:tcW w:w="2720" w:type="dxa"/>
            <w:vAlign w:val="bottom"/>
          </w:tcPr>
          <w:p>
            <w:pPr>
              <w:spacing w:after="0"/>
              <w:rPr>
                <w:sz w:val="16"/>
                <w:szCs w:val="16"/>
                <w:color w:val="auto"/>
              </w:rPr>
            </w:pPr>
          </w:p>
        </w:tc>
        <w:tc>
          <w:tcPr>
            <w:tcW w:w="5960" w:type="dxa"/>
            <w:vAlign w:val="bottom"/>
            <w:gridSpan w:val="3"/>
          </w:tcPr>
          <w:p>
            <w:pPr>
              <w:ind w:left="880"/>
              <w:spacing w:after="0"/>
              <w:rPr>
                <w:sz w:val="20"/>
                <w:szCs w:val="20"/>
                <w:color w:val="auto"/>
              </w:rPr>
            </w:pPr>
            <w:r>
              <w:rPr>
                <w:rFonts w:ascii="Arial" w:cs="Arial" w:eastAsia="Arial" w:hAnsi="Arial"/>
                <w:sz w:val="15"/>
                <w:szCs w:val="15"/>
                <w:b w:val="1"/>
                <w:bCs w:val="1"/>
                <w:color w:val="auto"/>
              </w:rPr>
              <w:t>Stock Ownership Level</w:t>
            </w:r>
          </w:p>
        </w:tc>
      </w:tr>
      <w:tr>
        <w:trPr>
          <w:trHeight w:val="351"/>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w:t>
            </w:r>
          </w:p>
        </w:tc>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Multiple of Salary</w:t>
            </w:r>
          </w:p>
        </w:tc>
      </w:tr>
      <w:tr>
        <w:trPr>
          <w:trHeight w:val="167"/>
        </w:trPr>
        <w:tc>
          <w:tcPr>
            <w:tcW w:w="2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Chief Executive Officer</w:t>
            </w:r>
          </w:p>
        </w:tc>
        <w:tc>
          <w:tcPr>
            <w:tcW w:w="4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7"/>
              </w:rPr>
              <w:t>3X</w:t>
            </w:r>
          </w:p>
        </w:tc>
      </w:tr>
      <w:tr>
        <w:trPr>
          <w:trHeight w:val="175"/>
        </w:trPr>
        <w:tc>
          <w:tcPr>
            <w:tcW w:w="2720" w:type="dxa"/>
            <w:vAlign w:val="bottom"/>
          </w:tcPr>
          <w:p>
            <w:pPr>
              <w:spacing w:after="0"/>
              <w:rPr>
                <w:sz w:val="20"/>
                <w:szCs w:val="20"/>
                <w:color w:val="auto"/>
              </w:rPr>
            </w:pPr>
            <w:r>
              <w:rPr>
                <w:rFonts w:ascii="Arial" w:cs="Arial" w:eastAsia="Arial" w:hAnsi="Arial"/>
                <w:sz w:val="15"/>
                <w:szCs w:val="15"/>
                <w:color w:val="auto"/>
              </w:rPr>
              <w:t>Executive Officers (Section 16)</w:t>
            </w: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2X</w:t>
            </w:r>
          </w:p>
        </w:tc>
      </w:tr>
      <w:tr>
        <w:trPr>
          <w:trHeight w:val="175"/>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Corporate Vice Presidents</w:t>
            </w:r>
          </w:p>
        </w:tc>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1X</w:t>
            </w:r>
          </w:p>
        </w:tc>
      </w:tr>
    </w:tbl>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Stock that counts toward satisfaction of the Executive Stock Ownership Guidelines includes:</w:t>
      </w:r>
    </w:p>
    <w:p>
      <w:pPr>
        <w:spacing w:after="0" w:line="177" w:lineRule="exact"/>
        <w:rPr>
          <w:sz w:val="20"/>
          <w:szCs w:val="20"/>
          <w:color w:val="auto"/>
        </w:rPr>
      </w:pPr>
    </w:p>
    <w:p>
      <w:pPr>
        <w:ind w:left="540" w:hanging="270"/>
        <w:spacing w:after="0"/>
        <w:tabs>
          <w:tab w:leader="none" w:pos="5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Oil States shares owned outright (i.e. open market purchases) by the executive or his or her immediate family members residing in the same household;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Vested Oil States restricted stock awards that are issued as part of the executive’s long-term compensation;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Oil States shares acquired upon option exercise that the executive continues to hold;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Oil States shares held in Oil States’ Deferred Compensation Plan;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Oil States shares beneficially owned through a trust.</w:t>
      </w:r>
    </w:p>
    <w:p>
      <w:pPr>
        <w:spacing w:after="0" w:line="177" w:lineRule="exact"/>
        <w:rPr>
          <w:sz w:val="20"/>
          <w:szCs w:val="20"/>
          <w:color w:val="auto"/>
        </w:rPr>
      </w:pPr>
    </w:p>
    <w:p>
      <w:pPr>
        <w:ind w:right="20" w:firstLine="262"/>
        <w:spacing w:after="0" w:line="248" w:lineRule="auto"/>
        <w:rPr>
          <w:sz w:val="20"/>
          <w:szCs w:val="20"/>
          <w:color w:val="auto"/>
        </w:rPr>
      </w:pPr>
      <w:r>
        <w:rPr>
          <w:rFonts w:ascii="Arial" w:cs="Arial" w:eastAsia="Arial" w:hAnsi="Arial"/>
          <w:sz w:val="15"/>
          <w:szCs w:val="15"/>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Mr. Green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and Change of Control Agreements</w:t>
      </w:r>
    </w:p>
    <w:p>
      <w:pPr>
        <w:spacing w:after="0" w:line="177" w:lineRule="exact"/>
        <w:rPr>
          <w:sz w:val="20"/>
          <w:szCs w:val="20"/>
          <w:color w:val="auto"/>
        </w:rPr>
      </w:pPr>
    </w:p>
    <w:p>
      <w:pPr>
        <w:ind w:firstLine="262"/>
        <w:spacing w:after="0" w:line="324" w:lineRule="auto"/>
        <w:rPr>
          <w:sz w:val="20"/>
          <w:szCs w:val="20"/>
          <w:color w:val="auto"/>
        </w:rPr>
      </w:pPr>
      <w:r>
        <w:rPr>
          <w:rFonts w:ascii="Arial" w:cs="Arial" w:eastAsia="Arial" w:hAnsi="Arial"/>
          <w:sz w:val="12"/>
          <w:szCs w:val="12"/>
          <w:color w:val="auto"/>
        </w:rPr>
        <w:t>Oil States maintains Executive Agreements with Messrs. Dodson and Green. The Executive Agreements are not considered employment agreements and the executives are employed “at will” by Oil States. These agreements provide protection in the event of a qualified termination, which is defined as an (i) 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The triggering events were selected due to the executive not having complete control of their circumstances. Executives are exercising control over their circumstances when they resign voluntarily without Good Reason or are terminated for Cause. As a result, these events do not trigger any payments.</w:t>
      </w:r>
    </w:p>
    <w:p>
      <w:pPr>
        <w:spacing w:after="0" w:line="118" w:lineRule="exact"/>
        <w:rPr>
          <w:sz w:val="20"/>
          <w:szCs w:val="20"/>
          <w:color w:val="auto"/>
        </w:rPr>
      </w:pPr>
    </w:p>
    <w:p>
      <w:pPr>
        <w:ind w:firstLine="262"/>
        <w:spacing w:after="0" w:line="277" w:lineRule="auto"/>
        <w:rPr>
          <w:sz w:val="20"/>
          <w:szCs w:val="20"/>
          <w:color w:val="auto"/>
        </w:rPr>
      </w:pPr>
      <w:r>
        <w:rPr>
          <w:rFonts w:ascii="Arial" w:cs="Arial" w:eastAsia="Arial" w:hAnsi="Arial"/>
          <w:sz w:val="14"/>
          <w:szCs w:val="14"/>
          <w:color w:val="auto"/>
        </w:rPr>
        <w:t>If a qualified termination occurs other than during the 24-month period following a corporate Change of Control, the Executive Agreements provide (i) for payments based on the executive officer’s base salary and target annual bonus amount, (ii) that all restrictions on restricted stock and phantom stock units will lapse and (iii) for continued health benefits for 24 months. Any vested, non-qualified stock options would expire after 3 months of the date of termination if not exercised prior to their expiration.</w:t>
      </w:r>
    </w:p>
    <w:p>
      <w:pPr>
        <w:spacing w:after="0" w:line="142" w:lineRule="exact"/>
        <w:rPr>
          <w:sz w:val="20"/>
          <w:szCs w:val="20"/>
          <w:color w:val="auto"/>
        </w:rPr>
      </w:pPr>
    </w:p>
    <w:p>
      <w:pPr>
        <w:ind w:right="40" w:firstLine="262"/>
        <w:spacing w:after="0" w:line="306" w:lineRule="auto"/>
        <w:rPr>
          <w:sz w:val="20"/>
          <w:szCs w:val="20"/>
          <w:color w:val="auto"/>
        </w:rPr>
      </w:pPr>
      <w:r>
        <w:rPr>
          <w:rFonts w:ascii="Arial" w:cs="Arial" w:eastAsia="Arial" w:hAnsi="Arial"/>
          <w:sz w:val="12"/>
          <w:szCs w:val="12"/>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a lump sum payment to the executive officer based on the executive officer’s base salary and target annual incentive amount. In addition, with respect to such a qualified termination, the agreements provide that all restricted stock, performance shares,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w:t>
      </w:r>
    </w:p>
    <w:p>
      <w:pPr>
        <w:ind w:right="140" w:firstLine="7"/>
        <w:spacing w:after="0" w:line="244" w:lineRule="auto"/>
        <w:tabs>
          <w:tab w:leader="none" w:pos="231" w:val="left"/>
        </w:tabs>
        <w:numPr>
          <w:ilvl w:val="0"/>
          <w:numId w:val="301"/>
        </w:numPr>
        <w:rPr>
          <w:rFonts w:ascii="Arial" w:cs="Arial" w:eastAsia="Arial" w:hAnsi="Arial"/>
          <w:sz w:val="15"/>
          <w:szCs w:val="15"/>
          <w:color w:val="auto"/>
        </w:rPr>
      </w:pPr>
      <w:r>
        <w:rPr>
          <w:rFonts w:ascii="Arial" w:cs="Arial" w:eastAsia="Arial" w:hAnsi="Arial"/>
          <w:sz w:val="15"/>
          <w:szCs w:val="15"/>
          <w:color w:val="auto"/>
        </w:rPr>
        <w:t>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during 2009 entitles him to be made whole for any excise taxes incurred with respect to severance payments that are in excess of the limits set forth under the Internal Revenue Code. The executive agreement entered into with Mr. Green does not contain excise tax gross up protection. See “Potential Payments Under Termination or Change of Control” in this Proxy Statement for additional disclosures of severance and Change of Control payments for Named Executive Officers.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329" w:name="page330"/>
    <w:bookmarkEnd w:id="329"/>
    <w:p>
      <w:pPr>
        <w:ind w:right="60" w:firstLine="262"/>
        <w:spacing w:after="0" w:line="277" w:lineRule="auto"/>
        <w:rPr>
          <w:sz w:val="20"/>
          <w:szCs w:val="20"/>
          <w:color w:val="auto"/>
        </w:rPr>
      </w:pPr>
      <w:r>
        <w:rPr>
          <w:rFonts w:ascii="Arial" w:cs="Arial" w:eastAsia="Arial" w:hAnsi="Arial"/>
          <w:sz w:val="14"/>
          <w:szCs w:val="14"/>
          <w:color w:val="auto"/>
        </w:rPr>
        <w:t>The Executive Agreements have a term of three years and are extended automatically for one additional day on a daily basis for a period of three years, unless notice of non-extension is given by the board of directors of Oil States, in which case the agreement will terminate on the third anniversary of the date notice is given. To receive benefits under the Executive Agreement, the executive officer will be required to execute a release of all claims against Oil States. Certain terms of the Executive Agreements are summarized below.</w:t>
      </w:r>
    </w:p>
    <w:p>
      <w:pPr>
        <w:spacing w:after="0" w:line="142" w:lineRule="exact"/>
        <w:rPr>
          <w:sz w:val="20"/>
          <w:szCs w:val="20"/>
          <w:color w:val="auto"/>
        </w:rPr>
      </w:pPr>
    </w:p>
    <w:p>
      <w:pPr>
        <w:ind w:right="140" w:firstLine="262"/>
        <w:spacing w:after="0" w:line="248" w:lineRule="auto"/>
        <w:rPr>
          <w:sz w:val="20"/>
          <w:szCs w:val="20"/>
          <w:color w:val="auto"/>
        </w:rPr>
      </w:pPr>
      <w:r>
        <w:rPr>
          <w:rFonts w:ascii="Arial" w:cs="Arial" w:eastAsia="Arial" w:hAnsi="Arial"/>
          <w:sz w:val="15"/>
          <w:szCs w:val="15"/>
          <w:color w:val="auto"/>
        </w:rPr>
        <w:t>Under the terms of each of their Executive Agreements, Messrs. Dodson and Green will be entitled to receive a lump sum payment equal to two times his base salary and target annual incentive amount if a qualified termination occurs during the 24-month period following a corporate Change of Control. If a qualified termination occurs other than during the 24-month period following a Change of Control, Messrs. Dodson and Green will be entitled to receive a lump sum payment equal to one year of his base salary and target annual incentive amount as well as other benefits described above.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Separation of Civeo is not a change of control event and therefore will not entitle executive officers of Oil States to any change of control benefits.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Assignment Agreement</w:t>
      </w:r>
    </w:p>
    <w:p>
      <w:pPr>
        <w:spacing w:after="0" w:line="177" w:lineRule="exact"/>
        <w:rPr>
          <w:sz w:val="20"/>
          <w:szCs w:val="20"/>
          <w:color w:val="auto"/>
        </w:rPr>
      </w:pPr>
    </w:p>
    <w:p>
      <w:pPr>
        <w:ind w:firstLine="262"/>
        <w:spacing w:after="0" w:line="310" w:lineRule="auto"/>
        <w:rPr>
          <w:sz w:val="20"/>
          <w:szCs w:val="20"/>
          <w:color w:val="auto"/>
        </w:rPr>
      </w:pPr>
      <w:r>
        <w:rPr>
          <w:rFonts w:ascii="Arial" w:cs="Arial" w:eastAsia="Arial" w:hAnsi="Arial"/>
          <w:sz w:val="12"/>
          <w:szCs w:val="12"/>
          <w:color w:val="auto"/>
        </w:rPr>
        <w:t>On May 3, 2011, Oil States entered into an assignment letter with Mr. Green setting forth certain terms and conditions governing his temporary assignment in Sydney, Australia in connection with the integration of an acquisition and the expansion of the Oil States’ accommodations business in Australia. Mr. Green’s assignment ended in June 2012. During the term, the assignment letter provided that Mr. Green’s base salary may be paid in either Canadian or Australian currency, and that Mr. Green would be provided health, welfare, retirement plan, and workers compensation benefits that are comparable to the benefits he received prior to his temporary assignment. The assignment letter also provided Mr. Green with the following payments and allowances in addition to his base salary: (i) a monthly cost of living adjustment if the cost-of-living in Australia is determined to be higher than in Canada, including $810 per month to compensate him for additional food costs; (ii) payment for furnished rental housing in Australia within established guidelines; (iii) payment of reasonable expenses associated with maintaining Mr. Green’s residence in Canada, including association fees, property management, security, lawn care, routine house-keeping services and similar items; (iv) payment for the reasonable cost of utilities in Australia, including gas, water and electric; (v) tax equalization benefits to ensure Mr. Green does not pay more in taxes than he would if not on assignment, including the cost of an external tax consultant to assist in the preparation and processing of tax returns in both countries; (vi) payment of costs associated with obtaining necessary passports, visas and work permits; (vii) reimbursement of up to $5,000 to cover incidental relocation expenses; (viii) payment of costs for air shipment of personal effects and belongings; (ix) payment for business class airfare for Mr. Green to travel to Australia and for related meals, incidentals and excess baggage fees; (x) payment of temporary living expenses in Australia for up to 30 days, including meals and incidental expenses; (xi) use of an Oil States vehicle and payment of expenses associated with fuel and operating costs; (xii) provision of business class airfare to Canada and related travel expenses in the event of a death or serious illness in Mr. Green’s immediate family; and (xiii) repatriation benefits, including business-class airfare to Canada, reimbursement of relocation expenses up to $5,000 and a completion bonus. Severance benefits for Mr. Green are addressed in his Executive Agreement; however, upon termination of Mr. Green’s assignment in June 2012, all allowances and benefits provided for in the assignment letter ceased, and Oil States paid for the cost of airfare and reasonable expenses for him to return to Canada. During 2013, Mr. Green was paid a completion bonus of C$255,940 as a result of his foreign assignment.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30" w:name="page331"/>
    <w:bookmarkEnd w:id="330"/>
    <w:p>
      <w:pPr>
        <w:spacing w:after="0"/>
        <w:rPr>
          <w:sz w:val="20"/>
          <w:szCs w:val="20"/>
          <w:color w:val="auto"/>
        </w:rPr>
      </w:pPr>
      <w:r>
        <w:rPr>
          <w:rFonts w:ascii="Arial" w:cs="Arial" w:eastAsia="Arial" w:hAnsi="Arial"/>
          <w:sz w:val="15"/>
          <w:szCs w:val="15"/>
          <w:b w:val="1"/>
          <w:bCs w:val="1"/>
          <w:i w:val="1"/>
          <w:iCs w:val="1"/>
          <w:color w:val="auto"/>
        </w:rPr>
        <w:t>Agreement with Our Chief Financial Officer</w:t>
      </w:r>
    </w:p>
    <w:p>
      <w:pPr>
        <w:spacing w:after="0" w:line="177" w:lineRule="exact"/>
        <w:rPr>
          <w:sz w:val="20"/>
          <w:szCs w:val="20"/>
          <w:color w:val="auto"/>
        </w:rPr>
      </w:pPr>
    </w:p>
    <w:p>
      <w:pPr>
        <w:jc w:val="both"/>
        <w:ind w:right="200" w:firstLine="262"/>
        <w:spacing w:after="0" w:line="323" w:lineRule="auto"/>
        <w:rPr>
          <w:sz w:val="20"/>
          <w:szCs w:val="20"/>
          <w:color w:val="auto"/>
        </w:rPr>
      </w:pPr>
      <w:r>
        <w:rPr>
          <w:rFonts w:ascii="Arial" w:cs="Arial" w:eastAsia="Arial" w:hAnsi="Arial"/>
          <w:sz w:val="12"/>
          <w:szCs w:val="12"/>
          <w:color w:val="auto"/>
        </w:rPr>
        <w:t>Mr. Steininger has agreed to consult for the Company beginning in March 2014 pending the completion of the spin-off transaction. Following the completion of the spin-off transaction, Mr. Steininger is expected to be named the Senior Vice President, Chief Financial Officer and Treasurer of Civeo. His consulting agreement provides for a weekly fee of $7,692, paid bi-weekly, and contains a provision for the payment of one year of compensation should the spin-off not occur. In addition, pursuant to Mr. Steininger’s consulting agreement he is eligible to receive upon the</w:t>
      </w:r>
    </w:p>
    <w:p>
      <w:pPr>
        <w:spacing w:after="0"/>
        <w:rPr>
          <w:sz w:val="20"/>
          <w:szCs w:val="20"/>
          <w:color w:val="auto"/>
        </w:rPr>
      </w:pPr>
      <w:r>
        <w:rPr>
          <w:rFonts w:ascii="Arial" w:cs="Arial" w:eastAsia="Arial" w:hAnsi="Arial"/>
          <w:sz w:val="15"/>
          <w:szCs w:val="15"/>
          <w:color w:val="auto"/>
        </w:rPr>
        <w:t>completion of the spin-off, a grant of equity or equity-based awards with respect to Civeo common stock with grant date value of approximately $800,000.</w:t>
      </w:r>
    </w:p>
    <w:p>
      <w:pPr>
        <w:spacing w:after="0" w:line="188" w:lineRule="exact"/>
        <w:rPr>
          <w:sz w:val="20"/>
          <w:szCs w:val="20"/>
          <w:color w:val="auto"/>
        </w:rPr>
      </w:pPr>
    </w:p>
    <w:p>
      <w:pPr>
        <w:ind w:right="40" w:firstLine="262"/>
        <w:spacing w:after="0" w:line="259" w:lineRule="auto"/>
        <w:rPr>
          <w:sz w:val="20"/>
          <w:szCs w:val="20"/>
          <w:color w:val="auto"/>
        </w:rPr>
      </w:pPr>
      <w:r>
        <w:rPr>
          <w:rFonts w:ascii="Arial" w:cs="Arial" w:eastAsia="Arial" w:hAnsi="Arial"/>
          <w:sz w:val="15"/>
          <w:szCs w:val="15"/>
          <w:color w:val="auto"/>
        </w:rPr>
        <w:t>After the completion of the spin-off transaction, Mr. Steininger is expected to enter into an executive agreement, to participate in the Civeo equity participation plan and be eligible for benefits available to other named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Effects of Spin-off on Outstanding Executive and Other Compensation Awards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terms of the Employee Matters Agreement, Oil States and Civeo expect for the following to occur with respect to outstanding Oil States compensation awards:</w:t>
      </w:r>
    </w:p>
    <w:p>
      <w:pPr>
        <w:spacing w:after="0" w:line="189" w:lineRule="exact"/>
        <w:rPr>
          <w:sz w:val="20"/>
          <w:szCs w:val="20"/>
          <w:color w:val="auto"/>
        </w:rPr>
      </w:pPr>
    </w:p>
    <w:p>
      <w:pPr>
        <w:ind w:left="540" w:hanging="270"/>
        <w:spacing w:after="0"/>
        <w:tabs>
          <w:tab w:leader="none" w:pos="540"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Not a Change of Control</w:t>
      </w:r>
      <w:r>
        <w:rPr>
          <w:rFonts w:ascii="Arial" w:cs="Arial" w:eastAsia="Arial" w:hAnsi="Arial"/>
          <w:sz w:val="15"/>
          <w:szCs w:val="15"/>
          <w:color w:val="auto"/>
        </w:rPr>
        <w:t>. The spin-off will not constitute a change of control or similar event under the Oil States or Civeo compensation programs.</w:t>
      </w:r>
    </w:p>
    <w:p>
      <w:pPr>
        <w:spacing w:after="0" w:line="220" w:lineRule="exact"/>
        <w:rPr>
          <w:rFonts w:ascii="Arial" w:cs="Arial" w:eastAsia="Arial" w:hAnsi="Arial"/>
          <w:sz w:val="15"/>
          <w:szCs w:val="15"/>
          <w:color w:val="auto"/>
        </w:rPr>
      </w:pPr>
    </w:p>
    <w:p>
      <w:pPr>
        <w:ind w:left="540" w:hanging="270"/>
        <w:spacing w:after="0" w:line="248" w:lineRule="auto"/>
        <w:tabs>
          <w:tab w:leader="none" w:pos="540"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Restricted Shares Held by Civeo Employees</w:t>
      </w:r>
      <w:r>
        <w:rPr>
          <w:rFonts w:ascii="Arial" w:cs="Arial" w:eastAsia="Arial" w:hAnsi="Arial"/>
          <w:sz w:val="15"/>
          <w:szCs w:val="15"/>
          <w:color w:val="auto"/>
        </w:rPr>
        <w:t>. All outstanding Oil States restricted shares held by current employees of Civeo will be cancelled upon the spin-off, with the holder thereof entitled to receive a number of time-vested restricted shares of Civeo common determined in a manner to preserve the pre spin-off value of the prior Oil States restricted shares based upon the relative stock prices of Civeo and Oil States. Following the spin-off, such awards will be subject to similar terms and conditions as the prior award, except that they will vest based upon continued service with or a change of control of Civeo rather than Oil States.</w:t>
      </w:r>
    </w:p>
    <w:p>
      <w:pPr>
        <w:spacing w:after="0" w:line="161" w:lineRule="exact"/>
        <w:rPr>
          <w:rFonts w:ascii="Arial" w:cs="Arial" w:eastAsia="Arial" w:hAnsi="Arial"/>
          <w:sz w:val="15"/>
          <w:szCs w:val="15"/>
          <w:color w:val="auto"/>
        </w:rPr>
      </w:pPr>
    </w:p>
    <w:p>
      <w:pPr>
        <w:ind w:left="540" w:right="80" w:hanging="270"/>
        <w:spacing w:after="0" w:line="247" w:lineRule="auto"/>
        <w:tabs>
          <w:tab w:leader="none" w:pos="540"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Other Time-Vested Equity Awards held by Civeo Employees</w:t>
      </w:r>
      <w:r>
        <w:rPr>
          <w:rFonts w:ascii="Arial" w:cs="Arial" w:eastAsia="Arial" w:hAnsi="Arial"/>
          <w:sz w:val="15"/>
          <w:szCs w:val="15"/>
          <w:color w:val="auto"/>
        </w:rPr>
        <w:t>. All outstanding Oil States and other time-vested equity and equity-based awards held (other than restricted shares) by Civeo employees (including those held by Civeo’s named executive officers)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with or a change of control of Civeo rather than Oil States.</w:t>
      </w:r>
    </w:p>
    <w:p>
      <w:pPr>
        <w:spacing w:after="0" w:line="161" w:lineRule="exact"/>
        <w:rPr>
          <w:rFonts w:ascii="Arial" w:cs="Arial" w:eastAsia="Arial" w:hAnsi="Arial"/>
          <w:sz w:val="15"/>
          <w:szCs w:val="15"/>
          <w:color w:val="auto"/>
        </w:rPr>
      </w:pPr>
    </w:p>
    <w:p>
      <w:pPr>
        <w:ind w:left="540" w:right="120" w:hanging="270"/>
        <w:spacing w:after="0" w:line="271" w:lineRule="auto"/>
        <w:tabs>
          <w:tab w:leader="none" w:pos="540"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Time-Vested Equity Awards held by Oil States Employees</w:t>
      </w:r>
      <w:r>
        <w:rPr>
          <w:rFonts w:ascii="Arial" w:cs="Arial" w:eastAsia="Arial" w:hAnsi="Arial"/>
          <w:sz w:val="14"/>
          <w:szCs w:val="14"/>
          <w:color w:val="auto"/>
        </w:rPr>
        <w:t>. All outstanding Oil States options, restricted shares and other time-vested equity and equity-based awards held by current and former Oil States employees and directors will be modified upon the completion of the spin-off based upon the relative pre-and post-spin-off stock prices of Oil States such that the number of shares and exercise price of such award, as applicable, are adjusted based upon the relative stock prices of Civeo and Oil States to preserve the value of the award prior to the spin-off. Following the spin-off, such awards will remain subject to the same terms and conditions as prior to the spin-off.</w:t>
      </w:r>
    </w:p>
    <w:p>
      <w:pPr>
        <w:spacing w:after="0" w:line="147" w:lineRule="exact"/>
        <w:rPr>
          <w:rFonts w:ascii="Arial" w:cs="Arial" w:eastAsia="Arial" w:hAnsi="Arial"/>
          <w:sz w:val="14"/>
          <w:szCs w:val="14"/>
          <w:color w:val="auto"/>
        </w:rPr>
      </w:pPr>
    </w:p>
    <w:p>
      <w:pPr>
        <w:ind w:left="540" w:right="60" w:hanging="270"/>
        <w:spacing w:after="0" w:line="324" w:lineRule="auto"/>
        <w:tabs>
          <w:tab w:leader="none" w:pos="540" w:val="left"/>
        </w:tabs>
        <w:numPr>
          <w:ilvl w:val="0"/>
          <w:numId w:val="302"/>
        </w:numPr>
        <w:rPr>
          <w:rFonts w:ascii="Arial" w:cs="Arial" w:eastAsia="Arial" w:hAnsi="Arial"/>
          <w:sz w:val="12"/>
          <w:szCs w:val="12"/>
          <w:color w:val="auto"/>
        </w:rPr>
      </w:pPr>
      <w:r>
        <w:rPr>
          <w:rFonts w:ascii="Arial" w:cs="Arial" w:eastAsia="Arial" w:hAnsi="Arial"/>
          <w:sz w:val="12"/>
          <w:szCs w:val="12"/>
          <w:u w:val="single" w:color="auto"/>
          <w:color w:val="auto"/>
        </w:rPr>
        <w:t>Performance-Based Equity Awards held by Civeo Employees</w:t>
      </w:r>
      <w:r>
        <w:rPr>
          <w:rFonts w:ascii="Arial" w:cs="Arial" w:eastAsia="Arial" w:hAnsi="Arial"/>
          <w:sz w:val="12"/>
          <w:szCs w:val="12"/>
          <w:color w:val="auto"/>
        </w:rPr>
        <w:t>. Performance-based deferred stock awards held by Civeo employees (including those held by Civeo’s named executive officers) will be cancelled with the holder thereof entitled to receive a grant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with or a change of control of Civeo and will not be subject to performance vesting conditions.</w:t>
      </w:r>
    </w:p>
    <w:p>
      <w:pPr>
        <w:spacing w:after="0" w:line="117" w:lineRule="exact"/>
        <w:rPr>
          <w:rFonts w:ascii="Arial" w:cs="Arial" w:eastAsia="Arial" w:hAnsi="Arial"/>
          <w:sz w:val="12"/>
          <w:szCs w:val="12"/>
          <w:color w:val="auto"/>
        </w:rPr>
      </w:pPr>
    </w:p>
    <w:p>
      <w:pPr>
        <w:ind w:left="540" w:hanging="270"/>
        <w:spacing w:after="0" w:line="269" w:lineRule="auto"/>
        <w:tabs>
          <w:tab w:leader="none" w:pos="540"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Performance-Based Equity Awards held by Oil States Employees</w:t>
      </w:r>
      <w:r>
        <w:rPr>
          <w:rFonts w:ascii="Arial" w:cs="Arial" w:eastAsia="Arial" w:hAnsi="Arial"/>
          <w:sz w:val="14"/>
          <w:szCs w:val="14"/>
          <w:color w:val="auto"/>
        </w:rPr>
        <w:t>. Performance-based deferred stock awards held by Oil States employees will be cancelled with the holder thereof entitled to receive a grant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31" w:name="page332"/>
    <w:bookmarkEnd w:id="331"/>
    <w:p>
      <w:pPr>
        <w:ind w:left="540" w:right="20" w:hanging="270"/>
        <w:spacing w:after="0" w:line="277" w:lineRule="auto"/>
        <w:tabs>
          <w:tab w:leader="none" w:pos="540"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Annual Cash Incentive Plan Awards</w:t>
      </w:r>
      <w:r>
        <w:rPr>
          <w:rFonts w:ascii="Arial" w:cs="Arial" w:eastAsia="Arial" w:hAnsi="Arial"/>
          <w:sz w:val="14"/>
          <w:szCs w:val="14"/>
          <w:color w:val="auto"/>
        </w:rPr>
        <w:t>. From and after the spin-off, all employees of Civeo (including each of Civeo’s named executive officers) will cease participation in Oil States’ annual incentive plan, and all cash incentive awards for 2014 will be provided under Civeo’s annual incentive programs, provided that Civeo will assume any accrued liabilities as of the date of the spin-off and any performance targets established by Oil States for 2014 which relate to the performance of the accommodations business.</w:t>
      </w:r>
    </w:p>
    <w:p>
      <w:pPr>
        <w:spacing w:after="0" w:line="141" w:lineRule="exact"/>
        <w:rPr>
          <w:rFonts w:ascii="Arial" w:cs="Arial" w:eastAsia="Arial" w:hAnsi="Arial"/>
          <w:sz w:val="14"/>
          <w:szCs w:val="14"/>
          <w:color w:val="auto"/>
        </w:rPr>
      </w:pPr>
    </w:p>
    <w:p>
      <w:pPr>
        <w:ind w:left="540" w:right="180" w:hanging="270"/>
        <w:spacing w:after="0" w:line="343" w:lineRule="auto"/>
        <w:tabs>
          <w:tab w:leader="none" w:pos="540"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Individual Agreements</w:t>
      </w:r>
      <w:r>
        <w:rPr>
          <w:rFonts w:ascii="Arial" w:cs="Arial" w:eastAsia="Arial" w:hAnsi="Arial"/>
          <w:sz w:val="12"/>
          <w:szCs w:val="12"/>
          <w:color w:val="auto"/>
        </w:rPr>
        <w:t>. All obligations of Oil States under the existing executive agreements and foreign assignment agreements between Oil States and Civeo’s employees (including Civeo’s named executive officers) will be assumed by Civeo effective as of the distribution, with such modifications to reflect the spin-off, if any, as are mutually agreed between Civeo and the individual. For a description of the current terms of such agreements, see “Compensation Discussion &amp; Analysis—Executive and Change of Control Agreements.”</w:t>
      </w:r>
    </w:p>
    <w:p>
      <w:pPr>
        <w:spacing w:after="0" w:line="107" w:lineRule="exact"/>
        <w:rPr>
          <w:rFonts w:ascii="Arial" w:cs="Arial" w:eastAsia="Arial" w:hAnsi="Arial"/>
          <w:sz w:val="12"/>
          <w:szCs w:val="12"/>
          <w:color w:val="auto"/>
        </w:rPr>
      </w:pPr>
    </w:p>
    <w:p>
      <w:pPr>
        <w:jc w:val="both"/>
        <w:ind w:left="540" w:right="40" w:hanging="270"/>
        <w:spacing w:after="0" w:line="251" w:lineRule="auto"/>
        <w:tabs>
          <w:tab w:leader="none" w:pos="540" w:val="left"/>
        </w:tabs>
        <w:numPr>
          <w:ilvl w:val="0"/>
          <w:numId w:val="303"/>
        </w:numPr>
        <w:rPr>
          <w:rFonts w:ascii="Arial" w:cs="Arial" w:eastAsia="Arial" w:hAnsi="Arial"/>
          <w:sz w:val="15"/>
          <w:szCs w:val="15"/>
          <w:color w:val="auto"/>
        </w:rPr>
      </w:pPr>
      <w:r>
        <w:rPr>
          <w:rFonts w:ascii="Arial" w:cs="Arial" w:eastAsia="Arial" w:hAnsi="Arial"/>
          <w:sz w:val="15"/>
          <w:szCs w:val="15"/>
          <w:u w:val="single" w:color="auto"/>
          <w:color w:val="auto"/>
        </w:rPr>
        <w:t>Other Compensation Programs</w:t>
      </w:r>
      <w:r>
        <w:rPr>
          <w:rFonts w:ascii="Arial" w:cs="Arial" w:eastAsia="Arial" w:hAnsi="Arial"/>
          <w:sz w:val="15"/>
          <w:szCs w:val="15"/>
          <w:color w:val="auto"/>
        </w:rPr>
        <w:t>. Unless otherwise agreed upon between Oil States, Civeo and any employee, from and after the spin-off, all employees of Civeo (including each of Civeo’s named executive officers) will cease active participation in all other benefit plans and compensation programs of Oil States and will instead become participants in the comparable plan or program of Civeo, to the extent Civeo provides for such a comparable program.</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Civeo Compensation Programs</w:t>
      </w:r>
    </w:p>
    <w:p>
      <w:pPr>
        <w:spacing w:after="0" w:line="181" w:lineRule="exact"/>
        <w:rPr>
          <w:sz w:val="20"/>
          <w:szCs w:val="20"/>
          <w:color w:val="auto"/>
        </w:rPr>
      </w:pPr>
    </w:p>
    <w:p>
      <w:pPr>
        <w:ind w:right="280" w:firstLine="262"/>
        <w:spacing w:after="0" w:line="383" w:lineRule="auto"/>
        <w:rPr>
          <w:sz w:val="20"/>
          <w:szCs w:val="20"/>
          <w:color w:val="auto"/>
        </w:rPr>
      </w:pPr>
      <w:r>
        <w:rPr>
          <w:rFonts w:ascii="Arial" w:cs="Arial" w:eastAsia="Arial" w:hAnsi="Arial"/>
          <w:sz w:val="12"/>
          <w:szCs w:val="12"/>
          <w:color w:val="auto"/>
        </w:rPr>
        <w:t>As described below, prior to the spin-off, Civeo will adopt an equity participation plan similar to that sponsored by Oil States pursuant to which it will issue awards upon the conversion of prior Oil States awards held by Civeo as well as, in the discretion of Civeo’s board of directors and compensation committee, future awards to Civeo’s employees, officers and directors.</w:t>
      </w:r>
    </w:p>
    <w:p>
      <w:pPr>
        <w:spacing w:after="0" w:line="84" w:lineRule="exact"/>
        <w:rPr>
          <w:sz w:val="20"/>
          <w:szCs w:val="20"/>
          <w:color w:val="auto"/>
        </w:rPr>
      </w:pPr>
    </w:p>
    <w:p>
      <w:pPr>
        <w:ind w:right="60" w:firstLine="262"/>
        <w:spacing w:after="0" w:line="259" w:lineRule="auto"/>
        <w:rPr>
          <w:sz w:val="20"/>
          <w:szCs w:val="20"/>
          <w:color w:val="auto"/>
        </w:rPr>
      </w:pPr>
      <w:r>
        <w:rPr>
          <w:rFonts w:ascii="Arial" w:cs="Arial" w:eastAsia="Arial" w:hAnsi="Arial"/>
          <w:sz w:val="15"/>
          <w:szCs w:val="15"/>
          <w:color w:val="auto"/>
        </w:rPr>
        <w:t>The other compensation programs of Civeo that will be in effect following the spin-off are still being developed and have not yet been finalized. We anticipate that the compensation programs and policies of Civeo following the spin-off will generally be similar to those currently maintained by Oil States.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Chief Executive Officer Compensation</w:t>
      </w:r>
    </w:p>
    <w:p>
      <w:pPr>
        <w:spacing w:after="0" w:line="242" w:lineRule="exact"/>
        <w:rPr>
          <w:sz w:val="20"/>
          <w:szCs w:val="20"/>
          <w:color w:val="auto"/>
        </w:rPr>
      </w:pPr>
    </w:p>
    <w:p>
      <w:pPr>
        <w:ind w:right="240" w:firstLine="262"/>
        <w:spacing w:after="0" w:line="284" w:lineRule="auto"/>
        <w:rPr>
          <w:sz w:val="20"/>
          <w:szCs w:val="20"/>
          <w:color w:val="auto"/>
        </w:rPr>
      </w:pPr>
      <w:r>
        <w:rPr>
          <w:rFonts w:ascii="Arial" w:cs="Arial" w:eastAsia="Arial" w:hAnsi="Arial"/>
          <w:sz w:val="17"/>
          <w:szCs w:val="17"/>
          <w:color w:val="auto"/>
        </w:rPr>
        <w:t>Civeo's board of directors has approved certain changes to Bradley J. Dodson's compensation to go in effect in connection with the spin-off. Specifically, Civeo's board of directors has approved an increase in Mr. Dodson's base salary to $575,000, an initial annual bonus target of 90% of his base salary and a long-term equity incentive award.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Spin-Off Equity Compensation Grants</w:t>
      </w:r>
    </w:p>
    <w:p>
      <w:pPr>
        <w:spacing w:after="0" w:line="188" w:lineRule="exact"/>
        <w:rPr>
          <w:sz w:val="20"/>
          <w:szCs w:val="20"/>
          <w:color w:val="auto"/>
        </w:rPr>
      </w:pPr>
    </w:p>
    <w:p>
      <w:pPr>
        <w:ind w:right="60" w:firstLine="262"/>
        <w:spacing w:after="0" w:line="323" w:lineRule="auto"/>
        <w:rPr>
          <w:sz w:val="20"/>
          <w:szCs w:val="20"/>
          <w:color w:val="auto"/>
        </w:rPr>
      </w:pPr>
      <w:r>
        <w:rPr>
          <w:rFonts w:ascii="Arial" w:cs="Arial" w:eastAsia="Arial" w:hAnsi="Arial"/>
          <w:sz w:val="12"/>
          <w:szCs w:val="12"/>
          <w:color w:val="auto"/>
        </w:rPr>
        <w:t>Prior to the date of the spin-off, Civeo’s board of directors is expected to approve grants of Civeo restricted shares under the EPP to individuals who will serve as officers and employees of Civeo from and after the spin-off, with such grants effective as of the completion of the spin-off. The number of restricted shares issued to each such individual pursuant to such grants will depend upon Civeo’s stock price at the time of grant, with the aggregate grant date value of all such Civeo restricted shares granted upon completion of the spin-off (other than those restricted shares</w:t>
      </w:r>
    </w:p>
    <w:p>
      <w:pPr>
        <w:spacing w:after="0"/>
        <w:rPr>
          <w:sz w:val="20"/>
          <w:szCs w:val="20"/>
          <w:color w:val="auto"/>
        </w:rPr>
      </w:pPr>
      <w:r>
        <w:rPr>
          <w:rFonts w:ascii="Arial" w:cs="Arial" w:eastAsia="Arial" w:hAnsi="Arial"/>
          <w:sz w:val="15"/>
          <w:szCs w:val="15"/>
          <w:color w:val="auto"/>
        </w:rPr>
        <w:t>granted in connection with the cancellation of existing Oil States equity compensation awards) expected to be up to $3,000,000.</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Civeo's named executive officers are expected to receive restricted shares upon the spin-off with the following approximate grant date fair values: Bradley J Dodson ($606,704) and Frank C.</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Steininger ($800,000).</w:t>
      </w:r>
    </w:p>
    <w:p>
      <w:pPr>
        <w:spacing w:after="0" w:line="217" w:lineRule="exact"/>
        <w:rPr>
          <w:sz w:val="20"/>
          <w:szCs w:val="20"/>
          <w:color w:val="auto"/>
        </w:rPr>
      </w:pPr>
    </w:p>
    <w:p>
      <w:pPr>
        <w:ind w:right="300" w:firstLine="262"/>
        <w:spacing w:after="0" w:line="300" w:lineRule="auto"/>
        <w:rPr>
          <w:sz w:val="20"/>
          <w:szCs w:val="20"/>
          <w:color w:val="auto"/>
        </w:rPr>
      </w:pPr>
      <w:r>
        <w:rPr>
          <w:rFonts w:ascii="Arial" w:cs="Arial" w:eastAsia="Arial" w:hAnsi="Arial"/>
          <w:sz w:val="17"/>
          <w:szCs w:val="17"/>
          <w:color w:val="auto"/>
        </w:rPr>
        <w:t>The restricted shares granted upon completion of the spin-off are expected to vest in equal annual installments over the four-year period following the grant date.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2014 Equity Participation Plan</w:t>
      </w:r>
    </w:p>
    <w:p>
      <w:pPr>
        <w:spacing w:after="0" w:line="177" w:lineRule="exact"/>
        <w:rPr>
          <w:sz w:val="20"/>
          <w:szCs w:val="20"/>
          <w:color w:val="auto"/>
        </w:rPr>
      </w:pPr>
    </w:p>
    <w:p>
      <w:pPr>
        <w:jc w:val="both"/>
        <w:ind w:right="100" w:firstLine="262"/>
        <w:spacing w:after="0" w:line="309" w:lineRule="auto"/>
        <w:rPr>
          <w:sz w:val="20"/>
          <w:szCs w:val="20"/>
          <w:color w:val="auto"/>
        </w:rPr>
      </w:pPr>
      <w:r>
        <w:rPr>
          <w:rFonts w:ascii="Arial" w:cs="Arial" w:eastAsia="Arial" w:hAnsi="Arial"/>
          <w:sz w:val="12"/>
          <w:szCs w:val="12"/>
          <w:color w:val="auto"/>
        </w:rPr>
        <w:t>Prior to the spin-off, Civeo’s board of directors will have adopted, and Oil States, in its capacity as the sole stockholder of Civeo will have approved, the EPP to attract and retain employees, consultants and directors. The description of the EPP set forth below is a summary of the material features of the EPP. This summary, however, does not purport to be a complete description of all of the provisions of the EPP and is qualified in its entirety by reference to the EPP, a copy of which is filed as an exhibit to the registration statement of which this information statement is a part.</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The EPP provides for the grant of equity-based awards, including options to purchase shares of Civeo common stock, restricted stock awards, deferred stock awards, performance awards, dividend equivalents or stock payments.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Limits</w:t>
      </w:r>
    </w:p>
    <w:p>
      <w:pPr>
        <w:spacing w:after="0" w:line="177" w:lineRule="exact"/>
        <w:rPr>
          <w:sz w:val="20"/>
          <w:szCs w:val="20"/>
          <w:color w:val="auto"/>
        </w:rPr>
      </w:pPr>
    </w:p>
    <w:p>
      <w:pPr>
        <w:ind w:right="20" w:firstLine="262"/>
        <w:spacing w:after="0" w:line="259" w:lineRule="auto"/>
        <w:rPr>
          <w:sz w:val="20"/>
          <w:szCs w:val="20"/>
          <w:color w:val="auto"/>
        </w:rPr>
      </w:pPr>
      <w:r>
        <w:rPr>
          <w:rFonts w:ascii="Arial" w:cs="Arial" w:eastAsia="Arial" w:hAnsi="Arial"/>
          <w:sz w:val="15"/>
          <w:szCs w:val="15"/>
          <w:color w:val="auto"/>
        </w:rPr>
        <w:t>Up to 4,000,000 shares will be available for issuance under the EPP (including those shares issuable in connection with the conversion of Oil States awards to Civeo awards in connection with the spin-off).</w:t>
      </w:r>
    </w:p>
    <w:p>
      <w:pPr>
        <w:spacing w:after="0" w:line="152" w:lineRule="exact"/>
        <w:rPr>
          <w:sz w:val="20"/>
          <w:szCs w:val="20"/>
          <w:color w:val="auto"/>
        </w:rPr>
      </w:pPr>
    </w:p>
    <w:p>
      <w:pPr>
        <w:jc w:val="both"/>
        <w:ind w:firstLine="262"/>
        <w:spacing w:after="0" w:line="318" w:lineRule="auto"/>
        <w:rPr>
          <w:sz w:val="20"/>
          <w:szCs w:val="20"/>
          <w:color w:val="auto"/>
        </w:rPr>
      </w:pPr>
      <w:r>
        <w:rPr>
          <w:rFonts w:ascii="Arial" w:cs="Arial" w:eastAsia="Arial" w:hAnsi="Arial"/>
          <w:sz w:val="12"/>
          <w:szCs w:val="12"/>
          <w:color w:val="auto"/>
        </w:rPr>
        <w:t>Pursuant to the EPP, if any award, expires or is forfeited and canceled without having been fully vested, the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will again be available for the grant of an award under the EPP. Notwithstanding the foregoing, shares of Civeo common stock subject to an award under this EPP shall not again be made available for issuance as awards under the EPP if such shares are (a) tendered in payment for an award, (b) delivered or withheld for payment of taxes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or (c) not issued or delivered as a result of a net settlement process.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32" w:name="page333"/>
    <w:bookmarkEnd w:id="332"/>
    <w:p>
      <w:pPr>
        <w:jc w:val="both"/>
        <w:ind w:right="80" w:firstLine="262"/>
        <w:spacing w:after="0" w:line="251" w:lineRule="auto"/>
        <w:rPr>
          <w:sz w:val="20"/>
          <w:szCs w:val="20"/>
          <w:color w:val="auto"/>
        </w:rPr>
      </w:pPr>
      <w:r>
        <w:rPr>
          <w:rFonts w:ascii="Arial" w:cs="Arial" w:eastAsia="Arial" w:hAnsi="Arial"/>
          <w:sz w:val="15"/>
          <w:szCs w:val="15"/>
          <w:color w:val="auto"/>
        </w:rPr>
        <w:t>The maximum number of shares of common stock that may be subject to options, restricted stock or deferred stock granted to any one individual in any calendar year may not exceed 800,000 shares of common stock (subject to certain adjustment for mergers, recapitalizations, stock splits and other changes in Civeo common stock). The maximum value of performance awards granted under the EPP to any individual in any calendar year may not exceed $4.0 million.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Administration</w:t>
      </w:r>
    </w:p>
    <w:p>
      <w:pPr>
        <w:spacing w:after="0" w:line="177" w:lineRule="exact"/>
        <w:rPr>
          <w:sz w:val="20"/>
          <w:szCs w:val="20"/>
          <w:color w:val="auto"/>
        </w:rPr>
      </w:pPr>
    </w:p>
    <w:p>
      <w:pPr>
        <w:ind w:firstLine="262"/>
        <w:spacing w:after="0" w:line="277" w:lineRule="auto"/>
        <w:rPr>
          <w:sz w:val="20"/>
          <w:szCs w:val="20"/>
          <w:color w:val="auto"/>
        </w:rPr>
      </w:pPr>
      <w:r>
        <w:rPr>
          <w:rFonts w:ascii="Arial" w:cs="Arial" w:eastAsia="Arial" w:hAnsi="Arial"/>
          <w:sz w:val="14"/>
          <w:szCs w:val="14"/>
          <w:color w:val="auto"/>
        </w:rPr>
        <w:t>The EPP will be administered by the compensation committee of Civeo’s board of directors, except in the event Civeo’s board of directors chooses to administer the EPP. Subject to the terms and conditions of the EPP, the compensation committee has broad discretion to administer and interpret the EPP, including the power to determine the employees and directors to whom awards will be granted, the type of awards to be granted, the number of shares to be subject to awards and the terms and conditions of awards.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Eligibility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compensation committee will determine the employees, consultants and directors who are eligible to receive awards under the EPP.</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Awards</w:t>
      </w:r>
    </w:p>
    <w:p>
      <w:pPr>
        <w:spacing w:after="0" w:line="177" w:lineRule="exact"/>
        <w:rPr>
          <w:sz w:val="20"/>
          <w:szCs w:val="20"/>
          <w:color w:val="auto"/>
        </w:rPr>
      </w:pPr>
    </w:p>
    <w:p>
      <w:pPr>
        <w:ind w:right="100" w:firstLine="262"/>
        <w:spacing w:after="0" w:line="259" w:lineRule="auto"/>
        <w:rPr>
          <w:sz w:val="20"/>
          <w:szCs w:val="20"/>
          <w:color w:val="auto"/>
        </w:rPr>
      </w:pPr>
      <w:r>
        <w:rPr>
          <w:rFonts w:ascii="Arial" w:cs="Arial" w:eastAsia="Arial" w:hAnsi="Arial"/>
          <w:sz w:val="15"/>
          <w:szCs w:val="15"/>
          <w:color w:val="auto"/>
        </w:rPr>
        <w:t>Under the terms of the EPP, the compensation committee, and at the compensation committee’s sole discretion, the chief executive officer may grant options, restricted stock awards, deferred stock awards, performance awards, dividend equivalents or stock payments.</w:t>
      </w:r>
    </w:p>
    <w:p>
      <w:pPr>
        <w:spacing w:after="0" w:line="152" w:lineRule="exact"/>
        <w:rPr>
          <w:sz w:val="20"/>
          <w:szCs w:val="20"/>
          <w:color w:val="auto"/>
        </w:rPr>
      </w:pPr>
    </w:p>
    <w:p>
      <w:pPr>
        <w:ind w:right="40" w:firstLine="262"/>
        <w:spacing w:after="0" w:line="269"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Civeo may grant incentive stock options and options that do not qualify as incentive stock options, except that incentive stock options may only be granted to persons who are 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employees or employees of one of our subsidiaries, in accordance with Section 422 of the Code. Except as provided below, the exercise price of a stock option cannot be less than 100% of the fair market value of a share of Civeo common stock on the date on which the option is granted. In the case of an incentive stock option, the option must not be exercisable more than ten years from the date of grant or, in the case of an incentive stock option granted to an individual who owns (or is deemed to own) at least 10% of the total combined voting power of all classes of our capital stock the option must not be exercisable more than five years from the date of grant.</w:t>
      </w:r>
    </w:p>
    <w:p>
      <w:pPr>
        <w:spacing w:after="0" w:line="147" w:lineRule="exact"/>
        <w:rPr>
          <w:sz w:val="20"/>
          <w:szCs w:val="20"/>
          <w:color w:val="auto"/>
        </w:rPr>
      </w:pPr>
    </w:p>
    <w:p>
      <w:pPr>
        <w:jc w:val="both"/>
        <w:ind w:right="100" w:firstLine="262"/>
        <w:spacing w:after="0" w:line="248" w:lineRule="auto"/>
        <w:rPr>
          <w:sz w:val="20"/>
          <w:szCs w:val="20"/>
          <w:color w:val="auto"/>
        </w:rPr>
      </w:pPr>
      <w:r>
        <w:rPr>
          <w:rFonts w:ascii="Arial" w:cs="Arial" w:eastAsia="Arial" w:hAnsi="Arial"/>
          <w:sz w:val="15"/>
          <w:szCs w:val="15"/>
          <w:i w:val="1"/>
          <w:iCs w:val="1"/>
          <w:color w:val="auto"/>
        </w:rPr>
        <w:t xml:space="preserve">Restricted Stock Awards. </w:t>
      </w:r>
      <w:r>
        <w:rPr>
          <w:rFonts w:ascii="Arial" w:cs="Arial" w:eastAsia="Arial" w:hAnsi="Arial"/>
          <w:sz w:val="15"/>
          <w:szCs w:val="15"/>
          <w:color w:val="auto"/>
        </w:rPr>
        <w:t>Civeo may grant awards of restricted stock consisting of shares of common stock that are issued but subject to such restrictions as the compensation committee may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including, without limitation, restrictions concerning voting rights and transferability and forfeiture restrictions based on duration of employment with Civeo and individual performance. The compensation committee determines the other terms and conditions that will apply to any restricted stock award, which may include the achievement of Performance Objectives (as described below under “–Performance Awards.”).</w:t>
      </w:r>
    </w:p>
    <w:p>
      <w:pPr>
        <w:spacing w:after="0" w:line="161" w:lineRule="exact"/>
        <w:rPr>
          <w:sz w:val="20"/>
          <w:szCs w:val="20"/>
          <w:color w:val="auto"/>
        </w:rPr>
      </w:pPr>
    </w:p>
    <w:p>
      <w:pPr>
        <w:ind w:right="80" w:firstLine="262"/>
        <w:spacing w:after="0" w:line="247" w:lineRule="auto"/>
        <w:rPr>
          <w:sz w:val="20"/>
          <w:szCs w:val="20"/>
          <w:color w:val="auto"/>
        </w:rPr>
      </w:pPr>
      <w:r>
        <w:rPr>
          <w:rFonts w:ascii="Arial" w:cs="Arial" w:eastAsia="Arial" w:hAnsi="Arial"/>
          <w:sz w:val="15"/>
          <w:szCs w:val="15"/>
          <w:i w:val="1"/>
          <w:iCs w:val="1"/>
          <w:color w:val="auto"/>
        </w:rPr>
        <w:t xml:space="preserve">Performance Awards. </w:t>
      </w:r>
      <w:r>
        <w:rPr>
          <w:rFonts w:ascii="Arial" w:cs="Arial" w:eastAsia="Arial" w:hAnsi="Arial"/>
          <w:sz w:val="15"/>
          <w:szCs w:val="15"/>
          <w:color w:val="auto"/>
        </w:rPr>
        <w:t>Civeo may grant performance awards to eligible individuals selected by the compensation committee. The value of such performance awards may be linked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achievement of such specific Performance Objectives (as described below under “–Performance Awards”)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 The maximum value of performance awards granted under the EPP to any individual in any calendar year will not exceed $4.0 million.</w:t>
      </w:r>
    </w:p>
    <w:p>
      <w:pPr>
        <w:spacing w:after="0" w:line="162" w:lineRule="exact"/>
        <w:rPr>
          <w:sz w:val="20"/>
          <w:szCs w:val="20"/>
          <w:color w:val="auto"/>
        </w:rPr>
      </w:pPr>
    </w:p>
    <w:p>
      <w:pPr>
        <w:ind w:right="40" w:firstLine="262"/>
        <w:spacing w:after="0" w:line="247"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Civeo may grant dividend equivalents to any eligible individual selected by the compensation committee based on the dividends declared on Civeo common stock, to be</w:t>
      </w:r>
      <w:r>
        <w:rPr>
          <w:rFonts w:ascii="Arial" w:cs="Arial" w:eastAsia="Arial" w:hAnsi="Arial"/>
          <w:sz w:val="15"/>
          <w:szCs w:val="15"/>
          <w:i w:val="1"/>
          <w:iCs w:val="1"/>
          <w:color w:val="auto"/>
        </w:rPr>
        <w:t xml:space="preserve"> </w:t>
      </w:r>
      <w:r>
        <w:rPr>
          <w:rFonts w:ascii="Arial" w:cs="Arial" w:eastAsia="Arial" w:hAnsi="Arial"/>
          <w:sz w:val="15"/>
          <w:szCs w:val="15"/>
          <w:color w:val="auto"/>
        </w:rPr>
        <w:t>credited as of dividend payment dates, during the period between the date a deferred stock award or performance award is granted, and the date such deferred stock award or performance award vests or expires, as determined by the compensation committee. Such dividend equivalents shall be converted to cash or additional shares of common stock by such formula and at such time and subject to such limitations as may be determined by the compensation committee. Dividend equivalents shall not be paid out prior to the time the underlying deferred stock or performance award vests.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33" w:name="page334"/>
    <w:bookmarkEnd w:id="333"/>
    <w:p>
      <w:pPr>
        <w:ind w:right="120" w:firstLine="262"/>
        <w:spacing w:after="0" w:line="343" w:lineRule="auto"/>
        <w:rPr>
          <w:sz w:val="20"/>
          <w:szCs w:val="20"/>
          <w:color w:val="auto"/>
        </w:rPr>
      </w:pPr>
      <w:r>
        <w:rPr>
          <w:rFonts w:ascii="Arial" w:cs="Arial" w:eastAsia="Arial" w:hAnsi="Arial"/>
          <w:sz w:val="12"/>
          <w:szCs w:val="12"/>
          <w:i w:val="1"/>
          <w:iCs w:val="1"/>
          <w:color w:val="auto"/>
        </w:rPr>
        <w:t xml:space="preserve">Stock Payments. </w:t>
      </w:r>
      <w:r>
        <w:rPr>
          <w:rFonts w:ascii="Arial" w:cs="Arial" w:eastAsia="Arial" w:hAnsi="Arial"/>
          <w:sz w:val="12"/>
          <w:szCs w:val="12"/>
          <w:color w:val="auto"/>
        </w:rPr>
        <w:t>Civeo may make stock payments to any eligible individual selected by the compensation committee in the manner determined from time to time by the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The number of shares shall be determined by the compensation committee and may be based upon the fair market value, book value, net profits or other measure of the value of Civeo common stock or other specific performance criteria determined appropriate by the compensation committee, determined on the date such stock payment is made or on any date thereafter.</w:t>
      </w:r>
    </w:p>
    <w:p>
      <w:pPr>
        <w:spacing w:after="0" w:line="108" w:lineRule="exact"/>
        <w:rPr>
          <w:sz w:val="20"/>
          <w:szCs w:val="20"/>
          <w:color w:val="auto"/>
        </w:rPr>
      </w:pPr>
    </w:p>
    <w:p>
      <w:pPr>
        <w:ind w:right="80" w:firstLine="262"/>
        <w:spacing w:after="0" w:line="267" w:lineRule="auto"/>
        <w:rPr>
          <w:sz w:val="20"/>
          <w:szCs w:val="20"/>
          <w:color w:val="auto"/>
        </w:rPr>
      </w:pPr>
      <w:r>
        <w:rPr>
          <w:rFonts w:ascii="Arial" w:cs="Arial" w:eastAsia="Arial" w:hAnsi="Arial"/>
          <w:sz w:val="14"/>
          <w:szCs w:val="14"/>
          <w:i w:val="1"/>
          <w:iCs w:val="1"/>
          <w:color w:val="auto"/>
        </w:rPr>
        <w:t xml:space="preserve">Deferred Stock Award. </w:t>
      </w:r>
      <w:r>
        <w:rPr>
          <w:rFonts w:ascii="Arial" w:cs="Arial" w:eastAsia="Arial" w:hAnsi="Arial"/>
          <w:sz w:val="14"/>
          <w:szCs w:val="14"/>
          <w:color w:val="auto"/>
        </w:rPr>
        <w:t>Civeo may grant a deferred stock award to any to any eligible individual selected by the compensation committee in the manner determined from time to time by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The number of shares of deferred stock shall be determined by the compensation committee and may be linked to the achievement of such specific performance objectives determined to be appropriate by the compensation committee over any period or periods determined by the compensation committee. Common stock underlying a deferred stock award will not be issued until the deferred stock award has vested, pursuant to a vesting schedule or Performance Objectives (as described below under “–Performance Awards”) set by the compensation committee, as the case may be. Unless otherwise provided by the compensation committee, a recipient of deferred stock shall have no rights as a Civeo stockholder with respect to such deferred stock until such time as the award has vested and the Civeo common stock underlying the award has been issued.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Performance Objectives</w:t>
      </w:r>
    </w:p>
    <w:p>
      <w:pPr>
        <w:spacing w:after="0" w:line="177" w:lineRule="exact"/>
        <w:rPr>
          <w:sz w:val="20"/>
          <w:szCs w:val="20"/>
          <w:color w:val="auto"/>
        </w:rPr>
      </w:pPr>
    </w:p>
    <w:p>
      <w:pPr>
        <w:ind w:right="20" w:firstLine="262"/>
        <w:spacing w:after="0" w:line="312" w:lineRule="auto"/>
        <w:rPr>
          <w:sz w:val="20"/>
          <w:szCs w:val="20"/>
          <w:color w:val="auto"/>
        </w:rPr>
      </w:pPr>
      <w:r>
        <w:rPr>
          <w:rFonts w:ascii="Arial" w:cs="Arial" w:eastAsia="Arial" w:hAnsi="Arial"/>
          <w:sz w:val="12"/>
          <w:szCs w:val="12"/>
          <w:color w:val="auto"/>
        </w:rPr>
        <w:t>Awards under the EPP intended to qualify as performance based compensation under Section 162(m)(4)(C) of the Code will be subject to any additional limitations set forth in Section 162(m) of the Code and any applicable regulations or rulings thereunder that are requirements for such awards to so qualify. Specifically, but not by way of limitation, awards under the EPP, other than stock options, may be linked to the achievement of objectives (the “Performance Objectives”), if any, established by the compensation committee, which may be described in terms of company-wide objectives, in terms of objectives that are related to performance of a division, subsidiary, department or function within the Civeo or an affiliate in which the EPP participant receiving the award is employed or in individual or other terms, and which will relate to the period of time determined by the compensation committee. The Performance Objectives intended to qualify under Section 162(m) of the Code will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maintaining the status quo or limiting economic losses.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Effect of Change of Control</w:t>
      </w:r>
    </w:p>
    <w:p>
      <w:pPr>
        <w:spacing w:after="0" w:line="177"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15"/>
          <w:szCs w:val="15"/>
          <w:color w:val="auto"/>
        </w:rPr>
        <w:t>Except to the extent that an award agreement specifies to the contrary, in the event of a change of control (as defined by the EPP) of Civeo, all outstanding awards will automatically become fully vested immediately prior to such change of control (or such earlier time as set by the compensation committee), and all restrictions, if any, applicable to such awards will lapse, and all performance criteria, if any, with respect to such awards will be deemed to have been met at their target level.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Amendment and Termination of the EPP</w:t>
      </w:r>
    </w:p>
    <w:p>
      <w:pPr>
        <w:spacing w:after="0" w:line="177" w:lineRule="exact"/>
        <w:rPr>
          <w:sz w:val="20"/>
          <w:szCs w:val="20"/>
          <w:color w:val="auto"/>
        </w:rPr>
      </w:pPr>
    </w:p>
    <w:p>
      <w:pPr>
        <w:ind w:right="20" w:firstLine="262"/>
        <w:spacing w:after="0" w:line="343" w:lineRule="auto"/>
        <w:rPr>
          <w:sz w:val="20"/>
          <w:szCs w:val="20"/>
          <w:color w:val="auto"/>
        </w:rPr>
      </w:pPr>
      <w:r>
        <w:rPr>
          <w:rFonts w:ascii="Arial" w:cs="Arial" w:eastAsia="Arial" w:hAnsi="Arial"/>
          <w:sz w:val="12"/>
          <w:szCs w:val="12"/>
          <w:color w:val="auto"/>
        </w:rPr>
        <w:t>Civeo’s board of directors or the compensation committee may amend, suspend or terminate the EPP at any time, subject to any requirement of stockholder approval required by applicable law, rule or regulation. Civeo’s board of directors and the compensation committee may generally amend the terms of any outstanding award under the EPP at any time. However, no action may be taken by our board of directors or the compensation committee under the EPP that would impair a participant’s rights under a previously-granted award without the participant’s consent.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34" w:name="page335"/>
    <w:bookmarkEnd w:id="334"/>
    <w:p>
      <w:pPr>
        <w:ind w:right="140" w:firstLine="262"/>
        <w:spacing w:after="0" w:line="259" w:lineRule="auto"/>
        <w:rPr>
          <w:sz w:val="20"/>
          <w:szCs w:val="20"/>
          <w:color w:val="auto"/>
        </w:rPr>
      </w:pPr>
      <w:r>
        <w:rPr>
          <w:rFonts w:ascii="Arial" w:cs="Arial" w:eastAsia="Arial" w:hAnsi="Arial"/>
          <w:sz w:val="15"/>
          <w:szCs w:val="15"/>
          <w:color w:val="auto"/>
        </w:rPr>
        <w:t>No awards may be granted after the EPP has terminated or while the EPP is suspended. No incentive stock option may be granted under the EPP after ten years from the effective date of this EPP.</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Short-Term Incentive Plan</w:t>
      </w:r>
    </w:p>
    <w:p>
      <w:pPr>
        <w:spacing w:after="0" w:line="177" w:lineRule="exact"/>
        <w:rPr>
          <w:sz w:val="20"/>
          <w:szCs w:val="20"/>
          <w:color w:val="auto"/>
        </w:rPr>
      </w:pPr>
    </w:p>
    <w:p>
      <w:pPr>
        <w:ind w:right="140" w:firstLine="262"/>
        <w:spacing w:after="0" w:line="323" w:lineRule="auto"/>
        <w:rPr>
          <w:sz w:val="20"/>
          <w:szCs w:val="20"/>
          <w:color w:val="auto"/>
        </w:rPr>
      </w:pPr>
      <w:r>
        <w:rPr>
          <w:rFonts w:ascii="Arial" w:cs="Arial" w:eastAsia="Arial" w:hAnsi="Arial"/>
          <w:sz w:val="12"/>
          <w:szCs w:val="12"/>
          <w:color w:val="auto"/>
        </w:rPr>
        <w:t>Prior to the spin-off, Civeo’s board of directors will have adopted, and Oil States, in its capacity as the sole stockholder of Civeo will have approved, the Civeo Corporation Annual Incentive Plan (the “AIP”) to attract and retain employees. The AIP will provide for annual short-term cash incentives based upon the attainment of certain performance goals. Awards under the AIP intended to qualify as performance based compensation under Section 162(m)(4)(C) of the Code will be subject to any additional limitations set forth in Section 162(m) of the Code and any</w:t>
      </w:r>
    </w:p>
    <w:p>
      <w:pPr>
        <w:spacing w:after="0"/>
        <w:rPr>
          <w:sz w:val="20"/>
          <w:szCs w:val="20"/>
          <w:color w:val="auto"/>
        </w:rPr>
      </w:pPr>
      <w:r>
        <w:rPr>
          <w:rFonts w:ascii="Arial" w:cs="Arial" w:eastAsia="Arial" w:hAnsi="Arial"/>
          <w:sz w:val="15"/>
          <w:szCs w:val="15"/>
          <w:color w:val="auto"/>
        </w:rPr>
        <w:t>applicable regulations or rulings thereunder that are requirements for such awards to so qualify. These limitations are described above with respect to the EPP.</w:t>
      </w:r>
    </w:p>
    <w:p>
      <w:pPr>
        <w:spacing w:after="0" w:line="188" w:lineRule="exact"/>
        <w:rPr>
          <w:sz w:val="20"/>
          <w:szCs w:val="20"/>
          <w:color w:val="auto"/>
        </w:rPr>
      </w:pPr>
    </w:p>
    <w:p>
      <w:pPr>
        <w:ind w:firstLine="262"/>
        <w:spacing w:after="0" w:line="320" w:lineRule="auto"/>
        <w:rPr>
          <w:sz w:val="20"/>
          <w:szCs w:val="20"/>
          <w:color w:val="auto"/>
        </w:rPr>
      </w:pPr>
      <w:r>
        <w:rPr>
          <w:rFonts w:ascii="Arial" w:cs="Arial" w:eastAsia="Arial" w:hAnsi="Arial"/>
          <w:sz w:val="12"/>
          <w:szCs w:val="12"/>
          <w:color w:val="auto"/>
        </w:rPr>
        <w:t>The Performance Objectives under the AIP for awards intended to qualify as performance based compensation under Section 162(m) of the Code will be the same as provided for under the EPP, which include: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Like under the EPP, a Performance Objective need not be based on an increase or a positive result and may include, for example, maintaining the status quo or limiting economic losses.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0" w:right="21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81" w:lineRule="exact"/>
        <w:rPr>
          <w:sz w:val="20"/>
          <w:szCs w:val="20"/>
          <w:color w:val="auto"/>
        </w:rPr>
      </w:pPr>
    </w:p>
    <w:p>
      <w:pPr>
        <w:ind w:right="460" w:firstLine="262"/>
        <w:spacing w:after="0" w:line="259" w:lineRule="auto"/>
        <w:rPr>
          <w:sz w:val="20"/>
          <w:szCs w:val="20"/>
          <w:color w:val="auto"/>
        </w:rPr>
      </w:pPr>
      <w:r>
        <w:rPr>
          <w:rFonts w:ascii="Arial" w:cs="Arial" w:eastAsia="Arial" w:hAnsi="Arial"/>
          <w:sz w:val="15"/>
          <w:szCs w:val="15"/>
          <w:color w:val="auto"/>
        </w:rPr>
        <w:t>The following table sets forth certain information regarding compensation paid in respect of specified periods to the Named Executive Officers of Civeo. In 2013, the Named Executive Officers (other than Mr. Steininger) were employed by, and were compensated by, Oil States.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Non-Equity</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Incentive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3"/>
              </w:rPr>
              <w:t>Stock</w:t>
            </w: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Plan</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All Other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300" w:type="dxa"/>
            <w:vAlign w:val="bottom"/>
          </w:tcPr>
          <w:p>
            <w:pPr>
              <w:spacing w:after="0"/>
              <w:rPr>
                <w:sz w:val="20"/>
                <w:szCs w:val="20"/>
                <w:color w:val="auto"/>
              </w:rPr>
            </w:pPr>
            <w:r>
              <w:rPr>
                <w:rFonts w:ascii="Arial" w:cs="Arial" w:eastAsia="Arial" w:hAnsi="Arial"/>
                <w:sz w:val="15"/>
                <w:szCs w:val="15"/>
                <w:b w:val="1"/>
                <w:bCs w:val="1"/>
                <w:color w:val="auto"/>
              </w:rPr>
              <w:t>Name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Salary</w:t>
            </w: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4"/>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Compensation</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Compensation</w:t>
            </w:r>
          </w:p>
        </w:tc>
        <w:tc>
          <w:tcPr>
            <w:tcW w:w="1240" w:type="dxa"/>
            <w:vAlign w:val="bottom"/>
            <w:gridSpan w:val="2"/>
          </w:tcPr>
          <w:p>
            <w:pPr>
              <w:ind w:left="400"/>
              <w:spacing w:after="0"/>
              <w:rPr>
                <w:sz w:val="20"/>
                <w:szCs w:val="20"/>
                <w:color w:val="auto"/>
              </w:rPr>
            </w:pPr>
            <w:r>
              <w:rPr>
                <w:rFonts w:ascii="Arial" w:cs="Arial" w:eastAsia="Arial" w:hAnsi="Arial"/>
                <w:sz w:val="15"/>
                <w:szCs w:val="15"/>
                <w:b w:val="1"/>
                <w:bCs w:val="1"/>
                <w:color w:val="auto"/>
              </w:rPr>
              <w:t>Total</w:t>
            </w:r>
          </w:p>
        </w:tc>
      </w:tr>
      <w:tr>
        <w:trPr>
          <w:trHeight w:val="189"/>
        </w:trPr>
        <w:tc>
          <w:tcPr>
            <w:tcW w:w="2300" w:type="dxa"/>
            <w:vAlign w:val="bottom"/>
          </w:tcPr>
          <w:p>
            <w:pPr>
              <w:spacing w:after="0"/>
              <w:rPr>
                <w:sz w:val="20"/>
                <w:szCs w:val="20"/>
                <w:color w:val="auto"/>
              </w:rPr>
            </w:pPr>
            <w:r>
              <w:rPr>
                <w:rFonts w:ascii="Arial" w:cs="Arial" w:eastAsia="Arial" w:hAnsi="Arial"/>
                <w:sz w:val="15"/>
                <w:szCs w:val="15"/>
                <w:b w:val="1"/>
                <w:bCs w:val="1"/>
                <w:color w:val="auto"/>
              </w:rPr>
              <w:t>Principal Position</w:t>
            </w:r>
          </w:p>
        </w:tc>
        <w:tc>
          <w:tcPr>
            <w:tcW w:w="120" w:type="dxa"/>
            <w:vAlign w:val="bottom"/>
          </w:tcPr>
          <w:p>
            <w:pPr>
              <w:spacing w:after="0"/>
              <w:rPr>
                <w:sz w:val="16"/>
                <w:szCs w:val="16"/>
                <w:color w:val="auto"/>
              </w:rPr>
            </w:pPr>
          </w:p>
        </w:tc>
        <w:tc>
          <w:tcPr>
            <w:tcW w:w="940" w:type="dxa"/>
            <w:vAlign w:val="bottom"/>
            <w:gridSpan w:val="2"/>
          </w:tcPr>
          <w:p>
            <w:pPr>
              <w:ind w:left="260"/>
              <w:spacing w:after="0"/>
              <w:rPr>
                <w:sz w:val="20"/>
                <w:szCs w:val="20"/>
                <w:color w:val="auto"/>
              </w:rPr>
            </w:pPr>
            <w:r>
              <w:rPr>
                <w:rFonts w:ascii="Arial" w:cs="Arial" w:eastAsia="Arial" w:hAnsi="Arial"/>
                <w:sz w:val="15"/>
                <w:szCs w:val="15"/>
                <w:b w:val="1"/>
                <w:bCs w:val="1"/>
                <w:color w:val="auto"/>
              </w:rPr>
              <w:t>Year</w:t>
            </w:r>
          </w:p>
        </w:tc>
        <w:tc>
          <w:tcPr>
            <w:tcW w:w="1140" w:type="dxa"/>
            <w:vAlign w:val="bottom"/>
          </w:tcPr>
          <w:p>
            <w:pPr>
              <w:jc w:val="right"/>
              <w:ind w:right="407"/>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($)(1)</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($)(1)</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($)(5)</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($)(6)</w:t>
            </w:r>
          </w:p>
        </w:tc>
        <w:tc>
          <w:tcPr>
            <w:tcW w:w="220" w:type="dxa"/>
            <w:vAlign w:val="bottom"/>
          </w:tcPr>
          <w:p>
            <w:pPr>
              <w:spacing w:after="0"/>
              <w:rPr>
                <w:sz w:val="16"/>
                <w:szCs w:val="16"/>
                <w:color w:val="auto"/>
              </w:rPr>
            </w:pPr>
          </w:p>
        </w:tc>
        <w:tc>
          <w:tcPr>
            <w:tcW w:w="1140" w:type="dxa"/>
            <w:vAlign w:val="bottom"/>
          </w:tcPr>
          <w:p>
            <w:pPr>
              <w:jc w:val="right"/>
              <w:ind w:right="4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r>
      <w:tr>
        <w:trPr>
          <w:trHeight w:val="156"/>
        </w:trPr>
        <w:tc>
          <w:tcPr>
            <w:tcW w:w="23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i w:val="1"/>
                <w:iCs w:val="1"/>
                <w:color w:val="auto"/>
              </w:rPr>
              <w:t>Bradley J. Dodson</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2300" w:type="dxa"/>
            <w:vAlign w:val="bottom"/>
          </w:tcPr>
          <w:p>
            <w:pPr>
              <w:spacing w:after="0"/>
              <w:rPr>
                <w:sz w:val="20"/>
                <w:szCs w:val="20"/>
                <w:color w:val="auto"/>
              </w:rPr>
            </w:pPr>
            <w:r>
              <w:rPr>
                <w:rFonts w:ascii="Arial" w:cs="Arial" w:eastAsia="Arial" w:hAnsi="Arial"/>
                <w:sz w:val="15"/>
                <w:szCs w:val="15"/>
                <w:i w:val="1"/>
                <w:iCs w:val="1"/>
                <w:color w:val="auto"/>
              </w:rPr>
              <w:t>Chief Executive Officer</w:t>
            </w:r>
          </w:p>
        </w:tc>
        <w:tc>
          <w:tcPr>
            <w:tcW w:w="1060" w:type="dxa"/>
            <w:vAlign w:val="bottom"/>
            <w:gridSpan w:val="3"/>
          </w:tcPr>
          <w:p>
            <w:pPr>
              <w:jc w:val="right"/>
              <w:ind w:right="120"/>
              <w:spacing w:after="0"/>
              <w:rPr>
                <w:sz w:val="20"/>
                <w:szCs w:val="20"/>
                <w:color w:val="auto"/>
              </w:rPr>
            </w:pPr>
            <w:r>
              <w:rPr>
                <w:rFonts w:ascii="Arial" w:cs="Arial" w:eastAsia="Arial" w:hAnsi="Arial"/>
                <w:sz w:val="15"/>
                <w:szCs w:val="15"/>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413,077</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842,625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113,240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447,047</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45,413</w:t>
            </w:r>
          </w:p>
        </w:tc>
        <w:tc>
          <w:tcPr>
            <w:tcW w:w="1140" w:type="dxa"/>
            <w:vAlign w:val="bottom"/>
          </w:tcPr>
          <w:p>
            <w:pPr>
              <w:jc w:val="right"/>
              <w:spacing w:after="0"/>
              <w:rPr>
                <w:sz w:val="20"/>
                <w:szCs w:val="20"/>
                <w:color w:val="auto"/>
              </w:rPr>
            </w:pPr>
            <w:r>
              <w:rPr>
                <w:rFonts w:ascii="Arial" w:cs="Arial" w:eastAsia="Arial" w:hAnsi="Arial"/>
                <w:sz w:val="15"/>
                <w:szCs w:val="15"/>
                <w:color w:val="auto"/>
              </w:rPr>
              <w:t>1,861,403</w:t>
            </w:r>
          </w:p>
        </w:tc>
        <w:tc>
          <w:tcPr>
            <w:tcW w:w="100" w:type="dxa"/>
            <w:vAlign w:val="bottom"/>
          </w:tcPr>
          <w:p>
            <w:pPr>
              <w:spacing w:after="0"/>
              <w:rPr>
                <w:sz w:val="15"/>
                <w:szCs w:val="15"/>
                <w:color w:val="auto"/>
              </w:rPr>
            </w:pPr>
          </w:p>
        </w:tc>
      </w:tr>
      <w:tr>
        <w:trPr>
          <w:trHeight w:val="166"/>
        </w:trPr>
        <w:tc>
          <w:tcPr>
            <w:tcW w:w="2300" w:type="dxa"/>
            <w:vAlign w:val="bottom"/>
            <w:shd w:val="clear" w:color="auto" w:fill="CCEEFF"/>
          </w:tcPr>
          <w:p>
            <w:pPr>
              <w:spacing w:after="0" w:line="166" w:lineRule="exact"/>
              <w:rPr>
                <w:sz w:val="20"/>
                <w:szCs w:val="20"/>
                <w:color w:val="auto"/>
              </w:rPr>
            </w:pPr>
            <w:r>
              <w:rPr>
                <w:rFonts w:ascii="Arial" w:cs="Arial" w:eastAsia="Arial" w:hAnsi="Arial"/>
                <w:sz w:val="12"/>
                <w:szCs w:val="12"/>
                <w:i w:val="1"/>
                <w:iCs w:val="1"/>
                <w:color w:val="auto"/>
              </w:rPr>
              <w:t xml:space="preserve">Frank C. Steininger </w:t>
            </w:r>
            <w:r>
              <w:rPr>
                <w:rFonts w:ascii="Arial" w:cs="Arial" w:eastAsia="Arial" w:hAnsi="Arial"/>
                <w:sz w:val="19"/>
                <w:szCs w:val="19"/>
                <w:i w:val="1"/>
                <w:iCs w:val="1"/>
                <w:color w:val="auto"/>
                <w:vertAlign w:val="superscript"/>
              </w:rPr>
              <w:t>(2)</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23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w w:val="90"/>
              </w:rPr>
              <w:t>Senior Vice President, Chief Financial</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230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Officer and Treasurer</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64"/>
        </w:trPr>
        <w:tc>
          <w:tcPr>
            <w:tcW w:w="2300" w:type="dxa"/>
            <w:vAlign w:val="bottom"/>
          </w:tcPr>
          <w:p>
            <w:pPr>
              <w:spacing w:after="0" w:line="164" w:lineRule="exact"/>
              <w:rPr>
                <w:sz w:val="20"/>
                <w:szCs w:val="20"/>
                <w:color w:val="auto"/>
              </w:rPr>
            </w:pPr>
            <w:r>
              <w:rPr>
                <w:rFonts w:ascii="Arial" w:cs="Arial" w:eastAsia="Arial" w:hAnsi="Arial"/>
                <w:sz w:val="12"/>
                <w:szCs w:val="12"/>
                <w:i w:val="1"/>
                <w:iCs w:val="1"/>
                <w:color w:val="auto"/>
              </w:rPr>
              <w:t xml:space="preserve">Ron R. Green </w:t>
            </w:r>
            <w:r>
              <w:rPr>
                <w:rFonts w:ascii="Arial" w:cs="Arial" w:eastAsia="Arial" w:hAnsi="Arial"/>
                <w:sz w:val="19"/>
                <w:szCs w:val="19"/>
                <w:i w:val="1"/>
                <w:iCs w:val="1"/>
                <w:color w:val="auto"/>
                <w:vertAlign w:val="superscript"/>
              </w:rPr>
              <w:t>(3)</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2300" w:type="dxa"/>
            <w:vAlign w:val="bottom"/>
          </w:tcPr>
          <w:p>
            <w:pPr>
              <w:spacing w:after="0"/>
              <w:rPr>
                <w:sz w:val="20"/>
                <w:szCs w:val="20"/>
                <w:color w:val="auto"/>
              </w:rPr>
            </w:pPr>
            <w:r>
              <w:rPr>
                <w:rFonts w:ascii="Arial" w:cs="Arial" w:eastAsia="Arial" w:hAnsi="Arial"/>
                <w:sz w:val="15"/>
                <w:szCs w:val="15"/>
                <w:i w:val="1"/>
                <w:iCs w:val="1"/>
                <w:color w:val="auto"/>
                <w:w w:val="91"/>
              </w:rPr>
              <w:t>Senior Vice President, North America</w:t>
            </w:r>
          </w:p>
        </w:tc>
        <w:tc>
          <w:tcPr>
            <w:tcW w:w="1060" w:type="dxa"/>
            <w:vAlign w:val="bottom"/>
            <w:gridSpan w:val="3"/>
          </w:tcPr>
          <w:p>
            <w:pPr>
              <w:jc w:val="right"/>
              <w:ind w:right="120"/>
              <w:spacing w:after="0"/>
              <w:rPr>
                <w:sz w:val="20"/>
                <w:szCs w:val="20"/>
                <w:color w:val="auto"/>
              </w:rPr>
            </w:pPr>
            <w:r>
              <w:rPr>
                <w:rFonts w:ascii="Arial" w:cs="Arial" w:eastAsia="Arial" w:hAnsi="Arial"/>
                <w:sz w:val="15"/>
                <w:szCs w:val="15"/>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429,134</w:t>
            </w:r>
          </w:p>
        </w:tc>
        <w:tc>
          <w:tcPr>
            <w:tcW w:w="1140" w:type="dxa"/>
            <w:vAlign w:val="bottom"/>
          </w:tcPr>
          <w:p>
            <w:pPr>
              <w:jc w:val="right"/>
              <w:spacing w:after="0"/>
              <w:rPr>
                <w:sz w:val="20"/>
                <w:szCs w:val="20"/>
                <w:color w:val="auto"/>
              </w:rPr>
            </w:pPr>
            <w:r>
              <w:rPr>
                <w:rFonts w:ascii="Arial" w:cs="Arial" w:eastAsia="Arial" w:hAnsi="Arial"/>
                <w:sz w:val="15"/>
                <w:szCs w:val="15"/>
                <w:color w:val="auto"/>
              </w:rPr>
              <w:t>1,203,750</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253,435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286,147</w:t>
            </w:r>
          </w:p>
        </w:tc>
        <w:tc>
          <w:tcPr>
            <w:tcW w:w="1140" w:type="dxa"/>
            <w:vAlign w:val="bottom"/>
          </w:tcPr>
          <w:p>
            <w:pPr>
              <w:jc w:val="right"/>
              <w:spacing w:after="0"/>
              <w:rPr>
                <w:sz w:val="20"/>
                <w:szCs w:val="20"/>
                <w:color w:val="auto"/>
              </w:rPr>
            </w:pPr>
            <w:r>
              <w:rPr>
                <w:rFonts w:ascii="Arial" w:cs="Arial" w:eastAsia="Arial" w:hAnsi="Arial"/>
                <w:sz w:val="15"/>
                <w:szCs w:val="15"/>
                <w:color w:val="auto"/>
              </w:rPr>
              <w:t>2,172,466</w:t>
            </w:r>
          </w:p>
        </w:tc>
        <w:tc>
          <w:tcPr>
            <w:tcW w:w="100" w:type="dxa"/>
            <w:vAlign w:val="bottom"/>
          </w:tcPr>
          <w:p>
            <w:pPr>
              <w:spacing w:after="0"/>
              <w:rPr>
                <w:sz w:val="15"/>
                <w:szCs w:val="15"/>
                <w:color w:val="auto"/>
              </w:rPr>
            </w:pPr>
          </w:p>
        </w:tc>
      </w:tr>
      <w:tr>
        <w:trPr>
          <w:trHeight w:val="166"/>
        </w:trPr>
        <w:tc>
          <w:tcPr>
            <w:tcW w:w="2300" w:type="dxa"/>
            <w:vAlign w:val="bottom"/>
            <w:shd w:val="clear" w:color="auto" w:fill="CCEEFF"/>
          </w:tcPr>
          <w:p>
            <w:pPr>
              <w:spacing w:after="0" w:line="166" w:lineRule="exact"/>
              <w:rPr>
                <w:sz w:val="20"/>
                <w:szCs w:val="20"/>
                <w:color w:val="auto"/>
              </w:rPr>
            </w:pPr>
            <w:r>
              <w:rPr>
                <w:rFonts w:ascii="Arial" w:cs="Arial" w:eastAsia="Arial" w:hAnsi="Arial"/>
                <w:sz w:val="12"/>
                <w:szCs w:val="12"/>
                <w:i w:val="1"/>
                <w:iCs w:val="1"/>
                <w:color w:val="auto"/>
              </w:rPr>
              <w:t xml:space="preserve">Peter L. McCann </w:t>
            </w:r>
            <w:r>
              <w:rPr>
                <w:rFonts w:ascii="Arial" w:cs="Arial" w:eastAsia="Arial" w:hAnsi="Arial"/>
                <w:sz w:val="19"/>
                <w:szCs w:val="19"/>
                <w:i w:val="1"/>
                <w:iCs w:val="1"/>
                <w:color w:val="auto"/>
                <w:vertAlign w:val="superscript"/>
              </w:rPr>
              <w:t>(4)</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23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Senior Vice President, Australia</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358,638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481,500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193,291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15,326</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1,048,755</w:t>
            </w:r>
          </w:p>
        </w:tc>
        <w:tc>
          <w:tcPr>
            <w:tcW w:w="100" w:type="dxa"/>
            <w:vAlign w:val="bottom"/>
            <w:shd w:val="clear" w:color="auto" w:fill="CCEEFF"/>
          </w:tcPr>
          <w:p>
            <w:pPr>
              <w:spacing w:after="0"/>
              <w:rPr>
                <w:sz w:val="16"/>
                <w:szCs w:val="16"/>
                <w:color w:val="auto"/>
              </w:rPr>
            </w:pPr>
          </w:p>
        </w:tc>
      </w:tr>
    </w:tbl>
    <w:p>
      <w:pPr>
        <w:spacing w:after="0" w:line="164" w:lineRule="exact"/>
        <w:rPr>
          <w:sz w:val="20"/>
          <w:szCs w:val="20"/>
          <w:color w:val="auto"/>
        </w:rPr>
      </w:pPr>
    </w:p>
    <w:p>
      <w:pPr>
        <w:ind w:left="260" w:right="100" w:hanging="253"/>
        <w:spacing w:after="0" w:line="265" w:lineRule="auto"/>
        <w:tabs>
          <w:tab w:leader="none" w:pos="26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These columns represent the dollar amounts for the years shown of the aggregate grant date fair value of restricted stock awards, performance based awards and phantom stock awards and option awards, as applicable, granted in those years computed in accordance with FASB ASC Topic 718—Stock Compensation. Generally, the aggregate grant date fair value is the aggregate amount that Oil States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Oil States’ future accounting expense for these awards and options, and do not necessarily correspond to the actual value that will be recognized by the named executive officers. All options awarded were priced at the date of the award. See Note 15 to Oil States’ consolidated financial statements on Form 10-K for the year ended December 31, 2013 for additional detail regarding assumptions underlying the value of these awards. The performance based stock awards can potentially achieve a maximum number of shares equal to 200% of the target level of shares, depending on Oil States’ performance.</w:t>
      </w:r>
    </w:p>
    <w:p>
      <w:pPr>
        <w:spacing w:after="0" w:line="151" w:lineRule="exact"/>
        <w:rPr>
          <w:rFonts w:ascii="Arial" w:cs="Arial" w:eastAsia="Arial" w:hAnsi="Arial"/>
          <w:sz w:val="14"/>
          <w:szCs w:val="14"/>
          <w:color w:val="auto"/>
        </w:rPr>
      </w:pPr>
    </w:p>
    <w:p>
      <w:pPr>
        <w:ind w:left="260" w:right="860" w:hanging="253"/>
        <w:spacing w:after="0" w:line="259" w:lineRule="auto"/>
        <w:tabs>
          <w:tab w:leader="none" w:pos="26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Mr. Steininger was not an employee of Oil States during 2013 and, accordingly, no amounts are reflected with respect to him in this table. See Named Executive Officers table in “Compensation Discussion and Analysis” for more information about Mr. Steininger’s employment arrangements.</w:t>
      </w:r>
    </w:p>
    <w:p>
      <w:pPr>
        <w:spacing w:after="0" w:line="152" w:lineRule="exact"/>
        <w:rPr>
          <w:rFonts w:ascii="Arial" w:cs="Arial" w:eastAsia="Arial" w:hAnsi="Arial"/>
          <w:sz w:val="15"/>
          <w:szCs w:val="15"/>
          <w:color w:val="auto"/>
        </w:rPr>
      </w:pPr>
    </w:p>
    <w:p>
      <w:pPr>
        <w:ind w:left="260" w:right="200" w:hanging="253"/>
        <w:spacing w:after="0" w:line="259" w:lineRule="auto"/>
        <w:tabs>
          <w:tab w:leader="none" w:pos="26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Compensation reported for Mr. Green, other than stock awards and option awards, was made in Canadian dollars and is reflected in this table in U.S. dollars using the average exchange rate for each year. U.S. dollar to Canadian dollar exchange for 2013 was $0.93971. Mr. Green’s stock awards are “Phantom Stock Awards.”</w:t>
      </w:r>
    </w:p>
    <w:p>
      <w:pPr>
        <w:spacing w:after="0" w:line="152" w:lineRule="exact"/>
        <w:rPr>
          <w:rFonts w:ascii="Arial" w:cs="Arial" w:eastAsia="Arial" w:hAnsi="Arial"/>
          <w:sz w:val="15"/>
          <w:szCs w:val="15"/>
          <w:color w:val="auto"/>
        </w:rPr>
      </w:pPr>
    </w:p>
    <w:p>
      <w:pPr>
        <w:ind w:left="260" w:right="240" w:hanging="253"/>
        <w:spacing w:after="0" w:line="259" w:lineRule="auto"/>
        <w:tabs>
          <w:tab w:leader="none" w:pos="26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Compensation reported for Mr. McCann, other than stock awards and option awards, was made in Australian dollars and is reflected in this table in U.S. dollars using the average exchange rate for each year. U.S. dollar to Australian dollar exchange for 2013 was $0.89249.</w:t>
      </w:r>
    </w:p>
    <w:p>
      <w:pPr>
        <w:spacing w:after="0" w:line="152" w:lineRule="exact"/>
        <w:rPr>
          <w:rFonts w:ascii="Arial" w:cs="Arial" w:eastAsia="Arial" w:hAnsi="Arial"/>
          <w:sz w:val="15"/>
          <w:szCs w:val="15"/>
          <w:color w:val="auto"/>
        </w:rPr>
      </w:pPr>
    </w:p>
    <w:p>
      <w:pPr>
        <w:ind w:left="260" w:right="580" w:hanging="253"/>
        <w:spacing w:after="0" w:line="294" w:lineRule="auto"/>
        <w:tabs>
          <w:tab w:leader="none" w:pos="26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Amounts of “Non-Equity Incentive Plan Compensation” paid to each of the Named Executive Officers were made pursuant to Oil States’ Annual Incentive Compensation Plan. For a description of this plan, see “Compensation Discussion and Analysis—Elements of Compensation—Annual Cash Incentive Compensation.”</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671" w:right="219" w:bottom="1440" w:gutter="0" w:footer="0" w:header="0"/>
        </w:sectPr>
      </w:pPr>
    </w:p>
    <w:bookmarkStart w:id="336" w:name="page337"/>
    <w:bookmarkEnd w:id="336"/>
    <w:p>
      <w:pPr>
        <w:spacing w:after="0"/>
        <w:rPr>
          <w:sz w:val="20"/>
          <w:szCs w:val="20"/>
          <w:color w:val="auto"/>
        </w:rPr>
      </w:pPr>
      <w:r>
        <w:rPr>
          <w:rFonts w:ascii="Arial" w:cs="Arial" w:eastAsia="Arial" w:hAnsi="Arial"/>
          <w:sz w:val="15"/>
          <w:szCs w:val="15"/>
          <w:color w:val="auto"/>
        </w:rPr>
        <w:t>(6) The 2013 amount shown in “All Other Compensation” column reflects the following for each Named Executive Officer:</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Retirement</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Deferred</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Plan</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Compensation</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3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6"/>
              </w:rPr>
              <w:t>Match</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Plan Match</w:t>
            </w:r>
          </w:p>
        </w:tc>
        <w:tc>
          <w:tcPr>
            <w:tcW w:w="142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Other</w:t>
            </w:r>
          </w:p>
        </w:tc>
        <w:tc>
          <w:tcPr>
            <w:tcW w:w="12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Total</w:t>
            </w:r>
          </w:p>
        </w:tc>
      </w:tr>
      <w:tr>
        <w:trPr>
          <w:trHeight w:val="189"/>
        </w:trPr>
        <w:tc>
          <w:tcPr>
            <w:tcW w:w="5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($)(a)</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($)(a)</w:t>
            </w:r>
          </w:p>
        </w:tc>
        <w:tc>
          <w:tcPr>
            <w:tcW w:w="142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($)(b)</w:t>
            </w:r>
          </w:p>
        </w:tc>
        <w:tc>
          <w:tcPr>
            <w:tcW w:w="1180" w:type="dxa"/>
            <w:vAlign w:val="bottom"/>
          </w:tcPr>
          <w:p>
            <w:pPr>
              <w:jc w:val="right"/>
              <w:ind w:right="4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r>
      <w:tr>
        <w:trPr>
          <w:trHeight w:val="167"/>
        </w:trPr>
        <w:tc>
          <w:tcPr>
            <w:tcW w:w="53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14,872</w:t>
            </w:r>
          </w:p>
        </w:tc>
        <w:tc>
          <w:tcPr>
            <w:tcW w:w="220" w:type="dxa"/>
            <w:vAlign w:val="bottom"/>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28,533</w:t>
            </w:r>
          </w:p>
        </w:tc>
        <w:tc>
          <w:tcPr>
            <w:tcW w:w="220" w:type="dxa"/>
            <w:vAlign w:val="bottom"/>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2,008</w:t>
            </w:r>
          </w:p>
        </w:tc>
        <w:tc>
          <w:tcPr>
            <w:tcW w:w="220" w:type="dxa"/>
            <w:vAlign w:val="bottom"/>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45,413</w:t>
            </w:r>
          </w:p>
        </w:tc>
        <w:tc>
          <w:tcPr>
            <w:tcW w:w="100" w:type="dxa"/>
            <w:vAlign w:val="bottom"/>
            <w:shd w:val="clear" w:color="auto" w:fill="CCEEFF"/>
          </w:tcPr>
          <w:p>
            <w:pPr>
              <w:spacing w:after="0"/>
              <w:rPr>
                <w:sz w:val="14"/>
                <w:szCs w:val="14"/>
                <w:color w:val="auto"/>
              </w:rPr>
            </w:pPr>
          </w:p>
        </w:tc>
      </w:tr>
      <w:tr>
        <w:trPr>
          <w:trHeight w:val="175"/>
        </w:trPr>
        <w:tc>
          <w:tcPr>
            <w:tcW w:w="5320" w:type="dxa"/>
            <w:vAlign w:val="bottom"/>
          </w:tcPr>
          <w:p>
            <w:pPr>
              <w:spacing w:after="0"/>
              <w:rPr>
                <w:sz w:val="20"/>
                <w:szCs w:val="20"/>
                <w:color w:val="auto"/>
              </w:rPr>
            </w:pPr>
            <w:r>
              <w:rPr>
                <w:rFonts w:ascii="Arial" w:cs="Arial" w:eastAsia="Arial" w:hAnsi="Arial"/>
                <w:sz w:val="15"/>
                <w:szCs w:val="15"/>
                <w:color w:val="auto"/>
              </w:rPr>
              <w:t>Frank C. Steininger (c)</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Ron R. Green (d)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36,441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240,509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286,156</w:t>
            </w:r>
          </w:p>
        </w:tc>
      </w:tr>
      <w:tr>
        <w:trPr>
          <w:trHeight w:val="184"/>
        </w:trPr>
        <w:tc>
          <w:tcPr>
            <w:tcW w:w="5320" w:type="dxa"/>
            <w:vAlign w:val="bottom"/>
          </w:tcPr>
          <w:p>
            <w:pPr>
              <w:spacing w:after="0"/>
              <w:rPr>
                <w:sz w:val="20"/>
                <w:szCs w:val="20"/>
                <w:color w:val="auto"/>
              </w:rPr>
            </w:pPr>
            <w:r>
              <w:rPr>
                <w:rFonts w:ascii="Arial" w:cs="Arial" w:eastAsia="Arial" w:hAnsi="Arial"/>
                <w:sz w:val="15"/>
                <w:szCs w:val="15"/>
                <w:color w:val="auto"/>
              </w:rPr>
              <w:t>Peter L. McCann (d)</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15,326</w:t>
            </w: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15,326</w:t>
            </w:r>
          </w:p>
        </w:tc>
      </w:tr>
      <w:tr>
        <w:trPr>
          <w:trHeight w:val="339"/>
        </w:trPr>
        <w:tc>
          <w:tcPr>
            <w:tcW w:w="5320" w:type="dxa"/>
            <w:vAlign w:val="bottom"/>
          </w:tcPr>
          <w:p>
            <w:pPr>
              <w:ind w:left="60"/>
              <w:spacing w:after="0"/>
              <w:rPr>
                <w:sz w:val="20"/>
                <w:szCs w:val="20"/>
                <w:color w:val="auto"/>
              </w:rPr>
            </w:pPr>
            <w:r>
              <w:rPr>
                <w:rFonts w:ascii="Arial" w:cs="Arial" w:eastAsia="Arial" w:hAnsi="Arial"/>
                <w:sz w:val="15"/>
                <w:szCs w:val="15"/>
                <w:color w:val="auto"/>
              </w:rPr>
              <w:t>__________________</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580" w:hanging="223"/>
        <w:spacing w:after="0" w:line="336" w:lineRule="auto"/>
        <w:tabs>
          <w:tab w:leader="none" w:pos="58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Represents the matching contributions allocated by Oil States to Mr. Dodson, except Mr. Green, pursuant to the 401(k) Retirement Plan and the Deferred Compensation Plan as more fully described in “Compensation Discussion and Analysis—Retirement Plans”, included herein. Mr. Green received the matching contributions in the Canadian Retirement Savings Plan and Canadian Non-Registered Savings Plan. Mr. McCann received a contribution to his Australian Superannuation fund as required by Australian law.</w:t>
      </w:r>
    </w:p>
    <w:p>
      <w:pPr>
        <w:spacing w:after="0" w:line="110" w:lineRule="exact"/>
        <w:rPr>
          <w:rFonts w:ascii="Arial" w:cs="Arial" w:eastAsia="Arial" w:hAnsi="Arial"/>
          <w:sz w:val="12"/>
          <w:szCs w:val="12"/>
          <w:color w:val="auto"/>
        </w:rPr>
      </w:pPr>
    </w:p>
    <w:p>
      <w:pPr>
        <w:ind w:left="580" w:right="280" w:hanging="223"/>
        <w:spacing w:after="0" w:line="259" w:lineRule="auto"/>
        <w:tabs>
          <w:tab w:leader="none" w:pos="58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 amounts shown in the “Other” column in the table above include club dues and the imputed income attributable to term life insurance benefits provided for Messrs. Dodson. Mr. Green’s other compensation includes a $240,509 completion bonus paid in connection with his foreign assignment.</w:t>
      </w:r>
    </w:p>
    <w:p>
      <w:pPr>
        <w:spacing w:after="0" w:line="152" w:lineRule="exact"/>
        <w:rPr>
          <w:rFonts w:ascii="Arial" w:cs="Arial" w:eastAsia="Arial" w:hAnsi="Arial"/>
          <w:sz w:val="15"/>
          <w:szCs w:val="15"/>
          <w:color w:val="auto"/>
        </w:rPr>
      </w:pPr>
    </w:p>
    <w:p>
      <w:pPr>
        <w:ind w:left="580" w:hanging="223"/>
        <w:spacing w:after="0"/>
        <w:tabs>
          <w:tab w:leader="none" w:pos="58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See Named Executive Officers table in “Compensation Discussion and Analysis” for more information about Mr. Steininger’s employment arrangements.</w:t>
      </w:r>
    </w:p>
    <w:p>
      <w:pPr>
        <w:spacing w:after="0" w:line="177" w:lineRule="exact"/>
        <w:rPr>
          <w:rFonts w:ascii="Arial" w:cs="Arial" w:eastAsia="Arial" w:hAnsi="Arial"/>
          <w:sz w:val="15"/>
          <w:szCs w:val="15"/>
          <w:color w:val="auto"/>
        </w:rPr>
      </w:pPr>
    </w:p>
    <w:p>
      <w:pPr>
        <w:ind w:left="580" w:hanging="223"/>
        <w:spacing w:after="0"/>
        <w:tabs>
          <w:tab w:leader="none" w:pos="58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 payments described above were converted to U.S. dollars using average exchange rates of $0.93971 for Canadian dollars and $0.89249 for Australian dollars.</w:t>
      </w:r>
    </w:p>
    <w:p>
      <w:pPr>
        <w:spacing w:after="0" w:line="177" w:lineRule="exact"/>
        <w:rPr>
          <w:sz w:val="20"/>
          <w:szCs w:val="20"/>
          <w:color w:val="auto"/>
        </w:rPr>
      </w:pPr>
    </w:p>
    <w:p>
      <w:pPr>
        <w:ind w:right="20" w:firstLine="262"/>
        <w:spacing w:after="0" w:line="271" w:lineRule="auto"/>
        <w:rPr>
          <w:sz w:val="20"/>
          <w:szCs w:val="20"/>
          <w:color w:val="auto"/>
        </w:rPr>
      </w:pPr>
      <w:r>
        <w:rPr>
          <w:rFonts w:ascii="Arial" w:cs="Arial" w:eastAsia="Arial" w:hAnsi="Arial"/>
          <w:sz w:val="14"/>
          <w:szCs w:val="14"/>
          <w:color w:val="auto"/>
        </w:rPr>
        <w:t>Messrs. Dodson and Green are parties to Executive Agreements, which agreements are not considered employment agreements. For a description of these agreements, see “Compensation Discussion and Analysis—Executive and Change of Control Agreements.” The compensation amounts described in the preceding table were determined as described under “Compensation Discussion and Analysis—Elements of Compensation.” The material terms of the awards reported in the Grants of Plan Based Awards Table below are described in the “Compensation Discussion and Analysis—Elements of Compensation—Annual Cash Incentive Compensation” and “—Long-Term Incentives.”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5"/>
          <w:szCs w:val="15"/>
          <w:b w:val="1"/>
          <w:bCs w:val="1"/>
          <w:color w:val="auto"/>
        </w:rPr>
        <w:t>GRANTS OF PLAN BASED AWARDS</w:t>
      </w:r>
    </w:p>
    <w:p>
      <w:pPr>
        <w:spacing w:after="0" w:line="181" w:lineRule="exact"/>
        <w:rPr>
          <w:sz w:val="20"/>
          <w:szCs w:val="20"/>
          <w:color w:val="auto"/>
        </w:rPr>
      </w:pPr>
    </w:p>
    <w:p>
      <w:pPr>
        <w:jc w:val="both"/>
        <w:ind w:right="20" w:firstLine="262"/>
        <w:spacing w:after="0" w:line="311" w:lineRule="auto"/>
        <w:rPr>
          <w:sz w:val="20"/>
          <w:szCs w:val="20"/>
          <w:color w:val="auto"/>
        </w:rPr>
      </w:pPr>
      <w:r>
        <w:rPr>
          <w:rFonts w:ascii="Arial" w:cs="Arial" w:eastAsia="Arial" w:hAnsi="Arial"/>
          <w:sz w:val="12"/>
          <w:szCs w:val="12"/>
          <w:color w:val="auto"/>
        </w:rPr>
        <w:t>The following table provides information about equity and non-equity awards granted to Named Executive Officers in 2013, including the following: (1) the grant date; (2) the estimated future payouts under the non-equity incentive plan, which is discussed in “Compensation Discussion and Analysis—Elements of Compensation—Annual Cash Incentive Compensation”, included herein;</w:t>
      </w:r>
    </w:p>
    <w:p>
      <w:pPr>
        <w:spacing w:after="0" w:line="1" w:lineRule="exact"/>
        <w:rPr>
          <w:sz w:val="20"/>
          <w:szCs w:val="20"/>
          <w:color w:val="auto"/>
        </w:rPr>
      </w:pPr>
    </w:p>
    <w:p>
      <w:pPr>
        <w:jc w:val="both"/>
        <w:ind w:right="140" w:firstLine="7"/>
        <w:spacing w:after="0" w:line="304" w:lineRule="auto"/>
        <w:tabs>
          <w:tab w:leader="none" w:pos="206"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number of performance based awards pursuant to the Oil States’ 2001 Equity Participation Plan; (4) the number of restricted stock and phantom stock awards pursuant to Oil States’ 2001 Equity Participation Plan; (5) the number of stock option awards, which consist of the number of shares underlying stock options awarded, pursuant to Oil States’ 2001 Equity Participation Plan;</w:t>
      </w:r>
    </w:p>
    <w:p>
      <w:pPr>
        <w:ind w:right="140" w:firstLine="7"/>
        <w:spacing w:after="0" w:line="246" w:lineRule="auto"/>
        <w:tabs>
          <w:tab w:leader="none" w:pos="206"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exercise price of the stock option awards, which reflects the NYSE Closing Price on grant date; and (7) the fair value of each equity award computed in accordance with FASB ASC Topic 718—Stock Compensation as of the grant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All Other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All Other</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Exercise</w:t>
            </w:r>
          </w:p>
        </w:tc>
        <w:tc>
          <w:tcPr>
            <w:tcW w:w="8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Grant</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Awards:</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4"/>
              </w:rPr>
              <w:t>Options</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79"/>
              </w:rPr>
              <w:t>or</w:t>
            </w:r>
          </w:p>
        </w:tc>
        <w:tc>
          <w:tcPr>
            <w:tcW w:w="8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5"/>
              </w:rPr>
              <w:t>Date</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7"/>
            <w:vMerge w:val="restart"/>
          </w:tcPr>
          <w:p>
            <w:pPr>
              <w:jc w:val="center"/>
              <w:ind w:right="220"/>
              <w:spacing w:after="0"/>
              <w:rPr>
                <w:sz w:val="20"/>
                <w:szCs w:val="20"/>
                <w:color w:val="auto"/>
              </w:rPr>
            </w:pPr>
            <w:r>
              <w:rPr>
                <w:rFonts w:ascii="Arial" w:cs="Arial" w:eastAsia="Arial" w:hAnsi="Arial"/>
                <w:sz w:val="15"/>
                <w:szCs w:val="15"/>
                <w:b w:val="1"/>
                <w:bCs w:val="1"/>
                <w:color w:val="auto"/>
                <w:w w:val="88"/>
              </w:rPr>
              <w:t>Estimated Future Payouts Under</w:t>
            </w:r>
          </w:p>
        </w:tc>
        <w:tc>
          <w:tcPr>
            <w:tcW w:w="2480" w:type="dxa"/>
            <w:vAlign w:val="bottom"/>
            <w:gridSpan w:val="7"/>
            <w:vMerge w:val="restart"/>
          </w:tcPr>
          <w:p>
            <w:pPr>
              <w:jc w:val="center"/>
              <w:ind w:right="220"/>
              <w:spacing w:after="0"/>
              <w:rPr>
                <w:sz w:val="20"/>
                <w:szCs w:val="20"/>
                <w:color w:val="auto"/>
              </w:rPr>
            </w:pPr>
            <w:r>
              <w:rPr>
                <w:rFonts w:ascii="Arial" w:cs="Arial" w:eastAsia="Arial" w:hAnsi="Arial"/>
                <w:sz w:val="15"/>
                <w:szCs w:val="15"/>
                <w:b w:val="1"/>
                <w:bCs w:val="1"/>
                <w:color w:val="auto"/>
                <w:w w:val="88"/>
              </w:rPr>
              <w:t>Estimated Future Payouts Under</w:t>
            </w:r>
          </w:p>
        </w:tc>
        <w:tc>
          <w:tcPr>
            <w:tcW w:w="7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Number</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Awards:</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3"/>
              </w:rPr>
              <w:t>Base Price</w:t>
            </w:r>
          </w:p>
        </w:tc>
        <w:tc>
          <w:tcPr>
            <w:tcW w:w="8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Fair Value</w:t>
            </w: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vMerge w:val="continue"/>
          </w:tcPr>
          <w:p>
            <w:pPr>
              <w:spacing w:after="0"/>
              <w:rPr>
                <w:sz w:val="14"/>
                <w:szCs w:val="14"/>
                <w:color w:val="auto"/>
              </w:rPr>
            </w:pPr>
          </w:p>
        </w:tc>
        <w:tc>
          <w:tcPr>
            <w:tcW w:w="2480" w:type="dxa"/>
            <w:vAlign w:val="bottom"/>
            <w:gridSpan w:val="7"/>
            <w:vMerge w:val="continue"/>
          </w:tcPr>
          <w:p>
            <w:pPr>
              <w:spacing w:after="0"/>
              <w:rPr>
                <w:sz w:val="14"/>
                <w:szCs w:val="14"/>
                <w:color w:val="auto"/>
              </w:rPr>
            </w:pPr>
          </w:p>
        </w:tc>
        <w:tc>
          <w:tcPr>
            <w:tcW w:w="780" w:type="dxa"/>
            <w:vAlign w:val="bottom"/>
            <w:gridSpan w:val="2"/>
          </w:tcPr>
          <w:p>
            <w:pPr>
              <w:jc w:val="center"/>
              <w:ind w:right="100"/>
              <w:spacing w:after="0" w:line="164" w:lineRule="exact"/>
              <w:rPr>
                <w:sz w:val="20"/>
                <w:szCs w:val="20"/>
                <w:color w:val="auto"/>
              </w:rPr>
            </w:pPr>
            <w:r>
              <w:rPr>
                <w:rFonts w:ascii="Arial" w:cs="Arial" w:eastAsia="Arial" w:hAnsi="Arial"/>
                <w:sz w:val="15"/>
                <w:szCs w:val="15"/>
                <w:b w:val="1"/>
                <w:bCs w:val="1"/>
                <w:color w:val="auto"/>
                <w:w w:val="84"/>
              </w:rPr>
              <w:t>of</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w w:val="90"/>
              </w:rPr>
              <w:t>Number of</w:t>
            </w:r>
          </w:p>
        </w:tc>
        <w:tc>
          <w:tcPr>
            <w:tcW w:w="900" w:type="dxa"/>
            <w:vAlign w:val="bottom"/>
            <w:gridSpan w:val="2"/>
          </w:tcPr>
          <w:p>
            <w:pPr>
              <w:jc w:val="center"/>
              <w:ind w:right="220"/>
              <w:spacing w:after="0" w:line="164" w:lineRule="exact"/>
              <w:rPr>
                <w:sz w:val="20"/>
                <w:szCs w:val="20"/>
                <w:color w:val="auto"/>
              </w:rPr>
            </w:pPr>
            <w:r>
              <w:rPr>
                <w:rFonts w:ascii="Arial" w:cs="Arial" w:eastAsia="Arial" w:hAnsi="Arial"/>
                <w:sz w:val="15"/>
                <w:szCs w:val="15"/>
                <w:b w:val="1"/>
                <w:bCs w:val="1"/>
                <w:color w:val="auto"/>
                <w:w w:val="87"/>
              </w:rPr>
              <w:t>of Stock</w:t>
            </w:r>
          </w:p>
        </w:tc>
        <w:tc>
          <w:tcPr>
            <w:tcW w:w="800" w:type="dxa"/>
            <w:vAlign w:val="bottom"/>
            <w:gridSpan w:val="2"/>
          </w:tcPr>
          <w:p>
            <w:pPr>
              <w:jc w:val="center"/>
              <w:ind w:right="120"/>
              <w:spacing w:after="0" w:line="164" w:lineRule="exact"/>
              <w:rPr>
                <w:sz w:val="20"/>
                <w:szCs w:val="20"/>
                <w:color w:val="auto"/>
              </w:rPr>
            </w:pPr>
            <w:r>
              <w:rPr>
                <w:rFonts w:ascii="Arial" w:cs="Arial" w:eastAsia="Arial" w:hAnsi="Arial"/>
                <w:sz w:val="15"/>
                <w:szCs w:val="15"/>
                <w:b w:val="1"/>
                <w:bCs w:val="1"/>
                <w:color w:val="auto"/>
                <w:w w:val="90"/>
              </w:rPr>
              <w:t>Of Stock</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89"/>
              </w:rPr>
              <w:t>Non-Equity Incentive Plan</w:t>
            </w:r>
          </w:p>
        </w:tc>
        <w:tc>
          <w:tcPr>
            <w:tcW w:w="248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88"/>
              </w:rPr>
              <w:t>Equity Incentive Plan</w:t>
            </w:r>
          </w:p>
        </w:tc>
        <w:tc>
          <w:tcPr>
            <w:tcW w:w="7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Shares of</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3"/>
              </w:rPr>
              <w:t>Securities</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and</w:t>
            </w:r>
          </w:p>
        </w:tc>
        <w:tc>
          <w:tcPr>
            <w:tcW w:w="8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and</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88"/>
              </w:rPr>
              <w:t>Awards(1)</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5"/>
                <w:szCs w:val="15"/>
                <w:b w:val="1"/>
                <w:bCs w:val="1"/>
                <w:color w:val="auto"/>
                <w:w w:val="90"/>
              </w:rPr>
              <w:t>Awards(2)</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Stock or</w:t>
            </w:r>
          </w:p>
        </w:tc>
        <w:tc>
          <w:tcPr>
            <w:tcW w:w="10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Underlying</w:t>
            </w: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Options</w:t>
            </w:r>
          </w:p>
        </w:tc>
        <w:tc>
          <w:tcPr>
            <w:tcW w:w="8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Option</w:t>
            </w:r>
          </w:p>
        </w:tc>
        <w:tc>
          <w:tcPr>
            <w:tcW w:w="0" w:type="dxa"/>
            <w:vAlign w:val="bottom"/>
          </w:tcPr>
          <w:p>
            <w:pPr>
              <w:spacing w:after="0"/>
              <w:rPr>
                <w:sz w:val="1"/>
                <w:szCs w:val="1"/>
                <w:color w:val="auto"/>
              </w:rPr>
            </w:pPr>
          </w:p>
        </w:tc>
      </w:tr>
      <w:tr>
        <w:trPr>
          <w:trHeight w:val="151"/>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20"/>
              <w:spacing w:after="0" w:line="151" w:lineRule="exact"/>
              <w:rPr>
                <w:sz w:val="20"/>
                <w:szCs w:val="20"/>
                <w:color w:val="auto"/>
              </w:rPr>
            </w:pPr>
            <w:r>
              <w:rPr>
                <w:rFonts w:ascii="Arial" w:cs="Arial" w:eastAsia="Arial" w:hAnsi="Arial"/>
                <w:sz w:val="15"/>
                <w:szCs w:val="15"/>
                <w:b w:val="1"/>
                <w:bCs w:val="1"/>
                <w:color w:val="auto"/>
                <w:w w:val="94"/>
              </w:rPr>
              <w:t>Grant</w:t>
            </w:r>
          </w:p>
        </w:tc>
        <w:tc>
          <w:tcPr>
            <w:tcW w:w="720" w:type="dxa"/>
            <w:vAlign w:val="bottom"/>
            <w:gridSpan w:val="2"/>
          </w:tcPr>
          <w:p>
            <w:pPr>
              <w:jc w:val="right"/>
              <w:ind w:right="80"/>
              <w:spacing w:after="0" w:line="151" w:lineRule="exact"/>
              <w:rPr>
                <w:sz w:val="20"/>
                <w:szCs w:val="20"/>
                <w:color w:val="auto"/>
              </w:rPr>
            </w:pPr>
            <w:r>
              <w:rPr>
                <w:rFonts w:ascii="Arial" w:cs="Arial" w:eastAsia="Arial" w:hAnsi="Arial"/>
                <w:sz w:val="15"/>
                <w:szCs w:val="15"/>
                <w:b w:val="1"/>
                <w:bCs w:val="1"/>
                <w:color w:val="auto"/>
                <w:w w:val="85"/>
              </w:rPr>
              <w:t>Threshold</w:t>
            </w:r>
          </w:p>
        </w:tc>
        <w:tc>
          <w:tcPr>
            <w:tcW w:w="100" w:type="dxa"/>
            <w:vAlign w:val="bottom"/>
          </w:tcPr>
          <w:p>
            <w:pPr>
              <w:spacing w:after="0"/>
              <w:rPr>
                <w:sz w:val="13"/>
                <w:szCs w:val="13"/>
                <w:color w:val="auto"/>
              </w:rPr>
            </w:pPr>
          </w:p>
        </w:tc>
        <w:tc>
          <w:tcPr>
            <w:tcW w:w="82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Target</w:t>
            </w:r>
          </w:p>
        </w:tc>
        <w:tc>
          <w:tcPr>
            <w:tcW w:w="660" w:type="dxa"/>
            <w:vAlign w:val="bottom"/>
          </w:tcPr>
          <w:p>
            <w:pPr>
              <w:jc w:val="right"/>
              <w:spacing w:after="0" w:line="151" w:lineRule="exact"/>
              <w:rPr>
                <w:sz w:val="20"/>
                <w:szCs w:val="20"/>
                <w:color w:val="auto"/>
              </w:rPr>
            </w:pPr>
            <w:r>
              <w:rPr>
                <w:rFonts w:ascii="Arial" w:cs="Arial" w:eastAsia="Arial" w:hAnsi="Arial"/>
                <w:sz w:val="15"/>
                <w:szCs w:val="15"/>
                <w:b w:val="1"/>
                <w:bCs w:val="1"/>
                <w:color w:val="auto"/>
                <w:w w:val="89"/>
              </w:rPr>
              <w:t>Maximum</w:t>
            </w:r>
          </w:p>
        </w:tc>
        <w:tc>
          <w:tcPr>
            <w:tcW w:w="220" w:type="dxa"/>
            <w:vAlign w:val="bottom"/>
          </w:tcPr>
          <w:p>
            <w:pPr>
              <w:spacing w:after="0"/>
              <w:rPr>
                <w:sz w:val="13"/>
                <w:szCs w:val="13"/>
                <w:color w:val="auto"/>
              </w:rPr>
            </w:pPr>
          </w:p>
        </w:tc>
        <w:tc>
          <w:tcPr>
            <w:tcW w:w="720" w:type="dxa"/>
            <w:vAlign w:val="bottom"/>
            <w:gridSpan w:val="2"/>
          </w:tcPr>
          <w:p>
            <w:pPr>
              <w:jc w:val="right"/>
              <w:ind w:right="100"/>
              <w:spacing w:after="0" w:line="151" w:lineRule="exact"/>
              <w:rPr>
                <w:sz w:val="20"/>
                <w:szCs w:val="20"/>
                <w:color w:val="auto"/>
              </w:rPr>
            </w:pPr>
            <w:r>
              <w:rPr>
                <w:rFonts w:ascii="Arial" w:cs="Arial" w:eastAsia="Arial" w:hAnsi="Arial"/>
                <w:sz w:val="15"/>
                <w:szCs w:val="15"/>
                <w:b w:val="1"/>
                <w:bCs w:val="1"/>
                <w:color w:val="auto"/>
                <w:w w:val="82"/>
              </w:rPr>
              <w:t>Threshold</w:t>
            </w: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51" w:lineRule="exact"/>
              <w:rPr>
                <w:sz w:val="20"/>
                <w:szCs w:val="20"/>
                <w:color w:val="auto"/>
              </w:rPr>
            </w:pPr>
            <w:r>
              <w:rPr>
                <w:rFonts w:ascii="Arial" w:cs="Arial" w:eastAsia="Arial" w:hAnsi="Arial"/>
                <w:sz w:val="15"/>
                <w:szCs w:val="15"/>
                <w:b w:val="1"/>
                <w:bCs w:val="1"/>
                <w:color w:val="auto"/>
                <w:w w:val="87"/>
              </w:rPr>
              <w:t>Target</w:t>
            </w:r>
          </w:p>
        </w:tc>
        <w:tc>
          <w:tcPr>
            <w:tcW w:w="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2"/>
              </w:rPr>
              <w:t>Maximum</w:t>
            </w:r>
          </w:p>
        </w:tc>
        <w:tc>
          <w:tcPr>
            <w:tcW w:w="220" w:type="dxa"/>
            <w:vAlign w:val="bottom"/>
          </w:tcPr>
          <w:p>
            <w:pPr>
              <w:spacing w:after="0"/>
              <w:rPr>
                <w:sz w:val="13"/>
                <w:szCs w:val="13"/>
                <w:color w:val="auto"/>
              </w:rPr>
            </w:pPr>
          </w:p>
        </w:tc>
        <w:tc>
          <w:tcPr>
            <w:tcW w:w="780" w:type="dxa"/>
            <w:vAlign w:val="bottom"/>
            <w:gridSpan w:val="2"/>
          </w:tcPr>
          <w:p>
            <w:pPr>
              <w:jc w:val="center"/>
              <w:ind w:right="100"/>
              <w:spacing w:after="0" w:line="151" w:lineRule="exact"/>
              <w:rPr>
                <w:sz w:val="20"/>
                <w:szCs w:val="20"/>
                <w:color w:val="auto"/>
              </w:rPr>
            </w:pPr>
            <w:r>
              <w:rPr>
                <w:rFonts w:ascii="Arial" w:cs="Arial" w:eastAsia="Arial" w:hAnsi="Arial"/>
                <w:sz w:val="15"/>
                <w:szCs w:val="15"/>
                <w:b w:val="1"/>
                <w:bCs w:val="1"/>
                <w:color w:val="auto"/>
                <w:w w:val="85"/>
              </w:rPr>
              <w:t>Units</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1" w:lineRule="exact"/>
              <w:rPr>
                <w:sz w:val="20"/>
                <w:szCs w:val="20"/>
                <w:color w:val="auto"/>
              </w:rPr>
            </w:pPr>
            <w:r>
              <w:rPr>
                <w:rFonts w:ascii="Arial" w:cs="Arial" w:eastAsia="Arial" w:hAnsi="Arial"/>
                <w:sz w:val="15"/>
                <w:szCs w:val="15"/>
                <w:b w:val="1"/>
                <w:bCs w:val="1"/>
                <w:color w:val="auto"/>
                <w:w w:val="84"/>
              </w:rPr>
              <w:t>Options</w:t>
            </w:r>
          </w:p>
        </w:tc>
        <w:tc>
          <w:tcPr>
            <w:tcW w:w="90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88"/>
              </w:rPr>
              <w:t>Awards</w:t>
            </w:r>
          </w:p>
        </w:tc>
        <w:tc>
          <w:tcPr>
            <w:tcW w:w="800" w:type="dxa"/>
            <w:vAlign w:val="bottom"/>
            <w:gridSpan w:val="2"/>
          </w:tcPr>
          <w:p>
            <w:pPr>
              <w:jc w:val="center"/>
              <w:ind w:right="120"/>
              <w:spacing w:after="0" w:line="151" w:lineRule="exact"/>
              <w:rPr>
                <w:sz w:val="20"/>
                <w:szCs w:val="20"/>
                <w:color w:val="auto"/>
              </w:rPr>
            </w:pPr>
            <w:r>
              <w:rPr>
                <w:rFonts w:ascii="Arial" w:cs="Arial" w:eastAsia="Arial" w:hAnsi="Arial"/>
                <w:sz w:val="15"/>
                <w:szCs w:val="15"/>
                <w:b w:val="1"/>
                <w:bCs w:val="1"/>
                <w:color w:val="auto"/>
                <w:w w:val="88"/>
              </w:rPr>
              <w:t>Awards</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Arial" w:cs="Arial" w:eastAsia="Arial" w:hAnsi="Arial"/>
                <w:sz w:val="15"/>
                <w:szCs w:val="15"/>
                <w:b w:val="1"/>
                <w:bCs w:val="1"/>
                <w:color w:val="auto"/>
              </w:rPr>
              <w:t>Plan</w:t>
            </w:r>
          </w:p>
        </w:tc>
        <w:tc>
          <w:tcPr>
            <w:tcW w:w="10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Date</w:t>
            </w:r>
          </w:p>
        </w:tc>
        <w:tc>
          <w:tcPr>
            <w:tcW w:w="64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62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680" w:type="dxa"/>
            <w:vAlign w:val="bottom"/>
            <w:gridSpan w:val="2"/>
          </w:tcPr>
          <w:p>
            <w:pPr>
              <w:jc w:val="center"/>
              <w:ind w:left="47"/>
              <w:spacing w:after="0"/>
              <w:rPr>
                <w:sz w:val="20"/>
                <w:szCs w:val="20"/>
                <w:color w:val="auto"/>
              </w:rPr>
            </w:pPr>
            <w:r>
              <w:rPr>
                <w:rFonts w:ascii="Arial" w:cs="Arial" w:eastAsia="Arial" w:hAnsi="Arial"/>
                <w:sz w:val="15"/>
                <w:szCs w:val="15"/>
                <w:b w:val="1"/>
                <w:bCs w:val="1"/>
                <w:color w:val="auto"/>
                <w:w w:val="87"/>
              </w:rPr>
              <w:t>($)</w:t>
            </w:r>
          </w:p>
        </w:tc>
        <w:tc>
          <w:tcPr>
            <w:tcW w:w="200" w:type="dxa"/>
            <w:vAlign w:val="bottom"/>
          </w:tcPr>
          <w:p>
            <w:pPr>
              <w:spacing w:after="0"/>
              <w:rPr>
                <w:sz w:val="16"/>
                <w:szCs w:val="16"/>
                <w:color w:val="auto"/>
              </w:rPr>
            </w:pP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5"/>
                <w:szCs w:val="15"/>
                <w:b w:val="1"/>
                <w:bCs w:val="1"/>
                <w:color w:val="auto"/>
                <w:w w:val="92"/>
              </w:rPr>
              <w:t>(#)(3)</w:t>
            </w:r>
          </w:p>
        </w:tc>
        <w:tc>
          <w:tcPr>
            <w:tcW w:w="100" w:type="dxa"/>
            <w:vAlign w:val="bottom"/>
          </w:tcPr>
          <w:p>
            <w:pPr>
              <w:spacing w:after="0"/>
              <w:rPr>
                <w:sz w:val="16"/>
                <w:szCs w:val="16"/>
                <w:color w:val="auto"/>
              </w:rPr>
            </w:pPr>
          </w:p>
        </w:tc>
        <w:tc>
          <w:tcPr>
            <w:tcW w:w="800" w:type="dxa"/>
            <w:vAlign w:val="bottom"/>
            <w:gridSpan w:val="2"/>
          </w:tcPr>
          <w:p>
            <w:pPr>
              <w:jc w:val="center"/>
              <w:ind w:left="27"/>
              <w:spacing w:after="0"/>
              <w:rPr>
                <w:sz w:val="20"/>
                <w:szCs w:val="20"/>
                <w:color w:val="auto"/>
              </w:rPr>
            </w:pPr>
            <w:r>
              <w:rPr>
                <w:rFonts w:ascii="Arial" w:cs="Arial" w:eastAsia="Arial" w:hAnsi="Arial"/>
                <w:sz w:val="15"/>
                <w:szCs w:val="15"/>
                <w:b w:val="1"/>
                <w:bCs w:val="1"/>
                <w:color w:val="auto"/>
                <w:w w:val="92"/>
              </w:rPr>
              <w:t>(#)(3)</w:t>
            </w:r>
          </w:p>
        </w:tc>
        <w:tc>
          <w:tcPr>
            <w:tcW w:w="2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($/SH)</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2"/>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52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1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AICP</w:t>
            </w:r>
          </w:p>
        </w:tc>
        <w:tc>
          <w:tcPr>
            <w:tcW w:w="10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302,250</w:t>
            </w:r>
          </w:p>
        </w:tc>
        <w:tc>
          <w:tcPr>
            <w:tcW w:w="2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604,500</w:t>
            </w:r>
          </w:p>
        </w:tc>
        <w:tc>
          <w:tcPr>
            <w:tcW w:w="22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640" w:type="dxa"/>
            <w:vAlign w:val="bottom"/>
            <w:gridSpan w:val="2"/>
          </w:tcPr>
          <w:p>
            <w:pPr>
              <w:ind w:left="100"/>
              <w:spacing w:after="0" w:line="164" w:lineRule="exact"/>
              <w:rPr>
                <w:sz w:val="20"/>
                <w:szCs w:val="20"/>
                <w:color w:val="auto"/>
              </w:rPr>
            </w:pPr>
            <w:r>
              <w:rPr>
                <w:rFonts w:ascii="Arial" w:cs="Arial" w:eastAsia="Arial" w:hAnsi="Arial"/>
                <w:sz w:val="15"/>
                <w:szCs w:val="15"/>
                <w:color w:val="auto"/>
              </w:rPr>
              <w:t>2001</w:t>
            </w:r>
          </w:p>
        </w:tc>
        <w:tc>
          <w:tcPr>
            <w:tcW w:w="700" w:type="dxa"/>
            <w:vAlign w:val="bottom"/>
            <w:gridSpan w:val="2"/>
          </w:tcPr>
          <w:p>
            <w:pPr>
              <w:ind w:left="100"/>
              <w:spacing w:after="0" w:line="164" w:lineRule="exact"/>
              <w:rPr>
                <w:sz w:val="20"/>
                <w:szCs w:val="20"/>
                <w:color w:val="auto"/>
              </w:rPr>
            </w:pPr>
            <w:r>
              <w:rPr>
                <w:rFonts w:ascii="Arial" w:cs="Arial" w:eastAsia="Arial" w:hAnsi="Arial"/>
                <w:sz w:val="15"/>
                <w:szCs w:val="15"/>
                <w:color w:val="auto"/>
                <w:w w:val="86"/>
              </w:rPr>
              <w:t>2/19/2013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Pr>
          <w:p>
            <w:pPr>
              <w:spacing w:after="0"/>
              <w:rPr>
                <w:sz w:val="16"/>
                <w:szCs w:val="16"/>
                <w:color w:val="auto"/>
              </w:rPr>
            </w:pPr>
          </w:p>
        </w:tc>
        <w:tc>
          <w:tcPr>
            <w:tcW w:w="640" w:type="dxa"/>
            <w:vAlign w:val="bottom"/>
            <w:gridSpan w:val="2"/>
          </w:tcPr>
          <w:p>
            <w:pPr>
              <w:ind w:left="100"/>
              <w:spacing w:after="0"/>
              <w:rPr>
                <w:sz w:val="20"/>
                <w:szCs w:val="20"/>
                <w:color w:val="auto"/>
              </w:rPr>
            </w:pPr>
            <w:r>
              <w:rPr>
                <w:rFonts w:ascii="Arial" w:cs="Arial" w:eastAsia="Arial" w:hAnsi="Arial"/>
                <w:sz w:val="15"/>
                <w:szCs w:val="15"/>
                <w:color w:val="auto"/>
              </w:rPr>
              <w:t>Plan</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5,000</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10,000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80.25</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401,250</w:t>
            </w: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00"/>
              <w:spacing w:after="0" w:line="165" w:lineRule="exact"/>
              <w:rPr>
                <w:sz w:val="20"/>
                <w:szCs w:val="20"/>
                <w:color w:val="auto"/>
              </w:rPr>
            </w:pPr>
            <w:r>
              <w:rPr>
                <w:rFonts w:ascii="Arial" w:cs="Arial" w:eastAsia="Arial" w:hAnsi="Arial"/>
                <w:sz w:val="15"/>
                <w:szCs w:val="15"/>
                <w:color w:val="auto"/>
              </w:rPr>
              <w:t>2001</w:t>
            </w:r>
          </w:p>
        </w:tc>
        <w:tc>
          <w:tcPr>
            <w:tcW w:w="700" w:type="dxa"/>
            <w:vAlign w:val="bottom"/>
            <w:gridSpan w:val="2"/>
            <w:shd w:val="clear" w:color="auto" w:fill="CCEEFF"/>
          </w:tcPr>
          <w:p>
            <w:pPr>
              <w:ind w:left="100"/>
              <w:spacing w:after="0" w:line="165" w:lineRule="exact"/>
              <w:rPr>
                <w:sz w:val="20"/>
                <w:szCs w:val="20"/>
                <w:color w:val="auto"/>
              </w:rPr>
            </w:pPr>
            <w:r>
              <w:rPr>
                <w:rFonts w:ascii="Arial" w:cs="Arial" w:eastAsia="Arial" w:hAnsi="Arial"/>
                <w:sz w:val="15"/>
                <w:szCs w:val="15"/>
                <w:color w:val="auto"/>
                <w:w w:val="86"/>
              </w:rPr>
              <w:t>2/19/2013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5,500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441,375</w:t>
            </w: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640" w:type="dxa"/>
            <w:vAlign w:val="bottom"/>
            <w:gridSpan w:val="2"/>
          </w:tcPr>
          <w:p>
            <w:pPr>
              <w:ind w:left="100"/>
              <w:spacing w:after="0" w:line="164" w:lineRule="exact"/>
              <w:rPr>
                <w:sz w:val="20"/>
                <w:szCs w:val="20"/>
                <w:color w:val="auto"/>
              </w:rPr>
            </w:pPr>
            <w:r>
              <w:rPr>
                <w:rFonts w:ascii="Arial" w:cs="Arial" w:eastAsia="Arial" w:hAnsi="Arial"/>
                <w:sz w:val="15"/>
                <w:szCs w:val="15"/>
                <w:color w:val="auto"/>
              </w:rPr>
              <w:t>2001</w:t>
            </w:r>
          </w:p>
        </w:tc>
        <w:tc>
          <w:tcPr>
            <w:tcW w:w="700" w:type="dxa"/>
            <w:vAlign w:val="bottom"/>
            <w:gridSpan w:val="2"/>
          </w:tcPr>
          <w:p>
            <w:pPr>
              <w:ind w:left="100"/>
              <w:spacing w:after="0" w:line="164" w:lineRule="exact"/>
              <w:rPr>
                <w:sz w:val="20"/>
                <w:szCs w:val="20"/>
                <w:color w:val="auto"/>
              </w:rPr>
            </w:pPr>
            <w:r>
              <w:rPr>
                <w:rFonts w:ascii="Arial" w:cs="Arial" w:eastAsia="Arial" w:hAnsi="Arial"/>
                <w:sz w:val="15"/>
                <w:szCs w:val="15"/>
                <w:color w:val="auto"/>
                <w:w w:val="86"/>
              </w:rPr>
              <w:t>2/19/2013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Arial" w:cs="Arial" w:eastAsia="Arial" w:hAnsi="Arial"/>
                <w:sz w:val="15"/>
                <w:szCs w:val="15"/>
                <w:color w:val="auto"/>
              </w:rPr>
              <w:t>Plan</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4,000</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80.25</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113,240</w:t>
            </w:r>
          </w:p>
        </w:tc>
        <w:tc>
          <w:tcPr>
            <w:tcW w:w="0" w:type="dxa"/>
            <w:vAlign w:val="bottom"/>
          </w:tcPr>
          <w:p>
            <w:pPr>
              <w:spacing w:after="0"/>
              <w:rPr>
                <w:sz w:val="1"/>
                <w:szCs w:val="1"/>
                <w:color w:val="auto"/>
              </w:rPr>
            </w:pPr>
          </w:p>
        </w:tc>
      </w:tr>
      <w:tr>
        <w:trPr>
          <w:trHeight w:val="177"/>
        </w:trPr>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Frank C. Steininger</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20"/>
                <w:szCs w:val="20"/>
                <w:color w:val="auto"/>
              </w:rPr>
            </w:pPr>
            <w:r>
              <w:rPr>
                <w:rFonts w:ascii="Arial" w:cs="Arial" w:eastAsia="Arial" w:hAnsi="Arial"/>
                <w:sz w:val="15"/>
                <w:szCs w:val="15"/>
                <w:color w:val="auto"/>
              </w:rPr>
              <w:t>Ron R. Green (5)</w:t>
            </w:r>
          </w:p>
        </w:tc>
        <w:tc>
          <w:tcPr>
            <w:tcW w:w="640" w:type="dxa"/>
            <w:vAlign w:val="bottom"/>
            <w:gridSpan w:val="2"/>
          </w:tcPr>
          <w:p>
            <w:pPr>
              <w:ind w:left="100"/>
              <w:spacing w:after="0"/>
              <w:rPr>
                <w:sz w:val="20"/>
                <w:szCs w:val="20"/>
                <w:color w:val="auto"/>
              </w:rPr>
            </w:pPr>
            <w:r>
              <w:rPr>
                <w:rFonts w:ascii="Arial" w:cs="Arial" w:eastAsia="Arial" w:hAnsi="Arial"/>
                <w:sz w:val="15"/>
                <w:szCs w:val="15"/>
                <w:color w:val="auto"/>
              </w:rPr>
              <w:t>AICP</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345,000</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690,000</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5"/>
                <w:szCs w:val="15"/>
                <w:color w:val="auto"/>
              </w:rPr>
              <w:t>2001</w:t>
            </w:r>
          </w:p>
        </w:tc>
        <w:tc>
          <w:tcPr>
            <w:tcW w:w="70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5"/>
                <w:szCs w:val="15"/>
                <w:color w:val="auto"/>
                <w:w w:val="86"/>
              </w:rPr>
              <w:t>2/19/2013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15,000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80.25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1,203,750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20"/>
                <w:szCs w:val="20"/>
                <w:color w:val="auto"/>
              </w:rPr>
            </w:pPr>
            <w:r>
              <w:rPr>
                <w:rFonts w:ascii="Arial" w:cs="Arial" w:eastAsia="Arial" w:hAnsi="Arial"/>
                <w:sz w:val="15"/>
                <w:szCs w:val="15"/>
                <w:color w:val="auto"/>
              </w:rPr>
              <w:t>Peter L. McCann (6)</w:t>
            </w:r>
          </w:p>
        </w:tc>
        <w:tc>
          <w:tcPr>
            <w:tcW w:w="640" w:type="dxa"/>
            <w:vAlign w:val="bottom"/>
            <w:gridSpan w:val="2"/>
          </w:tcPr>
          <w:p>
            <w:pPr>
              <w:ind w:left="100"/>
              <w:spacing w:after="0"/>
              <w:rPr>
                <w:sz w:val="20"/>
                <w:szCs w:val="20"/>
                <w:color w:val="auto"/>
              </w:rPr>
            </w:pPr>
            <w:r>
              <w:rPr>
                <w:rFonts w:ascii="Arial" w:cs="Arial" w:eastAsia="Arial" w:hAnsi="Arial"/>
                <w:sz w:val="15"/>
                <w:szCs w:val="15"/>
                <w:color w:val="auto"/>
              </w:rPr>
              <w:t>AICP</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223,025</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446,050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5"/>
                <w:szCs w:val="15"/>
                <w:color w:val="auto"/>
              </w:rPr>
              <w:t>2001</w:t>
            </w:r>
          </w:p>
        </w:tc>
        <w:tc>
          <w:tcPr>
            <w:tcW w:w="70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5"/>
                <w:szCs w:val="15"/>
                <w:color w:val="auto"/>
                <w:w w:val="86"/>
              </w:rPr>
              <w:t>2/19/2013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6,000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ind w:left="260" w:hanging="253"/>
        <w:spacing w:after="0" w:line="265" w:lineRule="auto"/>
        <w:tabs>
          <w:tab w:leader="none" w:pos="26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The amounts shown in the column “Target” reflect the target level of bonus payable under Oil States’ AICP (see discussion in “Compensation Discussion and Analysis—Elements of Compensation—Annual Cash Incentive Compensation”, included herein) which is based on an executive’s base salary paid during the year multiplied by the executive’s bonus percentage. The base salary used in this table is the base salary in effect as of December 31, 2013; however, actual awards are calculated based on a participant’s eligible AICP earnings paid in the year. The amount shown in the “Maximum” column represents 200% of the target amount. Performance results at or below the entry level percentage of performance targets established under the AICP will result in no payments being made under the AICP. The entry level percentage ranged from 75% to 85% in 2013 for EBITDA, depending on the business unit involved. If the performance results fall between the entry level and the target level, 0 – 100% of the target level bonus will be paid out proportionately to the distance such performance results fall between the two levels. If the performance results fall between the target level and the maximum level, 100—200% of the target level bonus will be paid out proportionately to the distance such performance results fall between the two levels.</w:t>
      </w:r>
    </w:p>
    <w:p>
      <w:pPr>
        <w:spacing w:after="0" w:line="151" w:lineRule="exact"/>
        <w:rPr>
          <w:rFonts w:ascii="Arial" w:cs="Arial" w:eastAsia="Arial" w:hAnsi="Arial"/>
          <w:sz w:val="14"/>
          <w:szCs w:val="14"/>
          <w:color w:val="auto"/>
        </w:rPr>
      </w:pPr>
    </w:p>
    <w:p>
      <w:pPr>
        <w:ind w:left="260" w:right="100" w:hanging="253"/>
        <w:spacing w:after="0" w:line="251" w:lineRule="auto"/>
        <w:tabs>
          <w:tab w:leader="none" w:pos="26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The amounts shown under “Estimated Future Payouts Under Equity Plan Awards include performance based awards as described at “Elements of Compensation—Long-Term Incentives” in this proxy statement. Target level of performance is based on Oil States’ Cumulative ROI performance for the three-year period beginning January 1, 2013 to December 31, 2015 of 9.5% and the over-achieve performance level is based on an ROI of 13% for the same period.</w:t>
      </w:r>
    </w:p>
    <w:p>
      <w:pPr>
        <w:spacing w:after="0" w:line="158" w:lineRule="exact"/>
        <w:rPr>
          <w:rFonts w:ascii="Arial" w:cs="Arial" w:eastAsia="Arial" w:hAnsi="Arial"/>
          <w:sz w:val="15"/>
          <w:szCs w:val="15"/>
          <w:color w:val="auto"/>
        </w:rPr>
      </w:pPr>
    </w:p>
    <w:p>
      <w:pPr>
        <w:ind w:left="260" w:right="20" w:hanging="253"/>
        <w:spacing w:after="0" w:line="271" w:lineRule="auto"/>
        <w:tabs>
          <w:tab w:leader="none" w:pos="26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The amounts shown in “All Other Stock Awards” and “All Other Option Awards” columns for Mr. Dodson reflect the number of restricted stock awards and stock options, respectively, granted in 2013 pursuant to Oil States’ 2001 Equity Participation Plan. See “Compensation Discussion and Analysis—Elements of Compensation—Long-Term Incentives”, included herein. The amounts shown in this column for Mr. Green reflect the number of phantom stock awards granted in 2013 pursuant to the Canadian Long Term Incentive Plan. The amounts shown for Mr. McCann reflect the number of deferred stock awards granted in 2013 pursuant to Oil States’ 2001 Equity Participation Plan.</w:t>
      </w:r>
    </w:p>
    <w:p>
      <w:pPr>
        <w:spacing w:after="0" w:line="147" w:lineRule="exact"/>
        <w:rPr>
          <w:rFonts w:ascii="Arial" w:cs="Arial" w:eastAsia="Arial" w:hAnsi="Arial"/>
          <w:sz w:val="14"/>
          <w:szCs w:val="14"/>
          <w:color w:val="auto"/>
        </w:rPr>
      </w:pPr>
    </w:p>
    <w:p>
      <w:pPr>
        <w:ind w:left="260" w:right="20" w:hanging="253"/>
        <w:spacing w:after="0" w:line="248" w:lineRule="auto"/>
        <w:tabs>
          <w:tab w:leader="none" w:pos="26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This column shows the full grant date fair value of restricted stock awards, performance based awards, phantom stock awards and stock options computed under FASB ASC Topic 718—Stock Compensation and granted to the Named Executive Officers during 2013. Generally, the full grant date fair value is the amount that Oil States would expense in its financial statements over the award or option vesting schedule and, for performance based awards, is based upon the probable outcome of the applicable performance conditions. Stock options granted in 2013 were valued at award date at a fair value of $28.31 per option.</w:t>
      </w:r>
    </w:p>
    <w:p>
      <w:pPr>
        <w:spacing w:after="0" w:line="161" w:lineRule="exact"/>
        <w:rPr>
          <w:rFonts w:ascii="Arial" w:cs="Arial" w:eastAsia="Arial" w:hAnsi="Arial"/>
          <w:sz w:val="15"/>
          <w:szCs w:val="15"/>
          <w:color w:val="auto"/>
        </w:rPr>
      </w:pPr>
    </w:p>
    <w:p>
      <w:pPr>
        <w:ind w:left="260" w:right="120" w:hanging="253"/>
        <w:spacing w:after="0" w:line="263" w:lineRule="auto"/>
        <w:tabs>
          <w:tab w:leader="none" w:pos="26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Mr. Green’s AICP award amounts were made in Canadian dollars and are reflected in this table in U.S. dollars using the average exchange rate for 2013 of $0.94 U.S. dollar per Canadian dollar. Mr. Green’s equity incentive plan award in 2013 consisted of 15,000 phantom share awards that are payable in cash at vesting date based on Oil States’ stock price on the vesting date. Vesting will occur annually at a rate of 33⅓% per year on the first, second, and third anniversaries of the grant date.</w:t>
      </w:r>
    </w:p>
    <w:p>
      <w:pPr>
        <w:spacing w:after="0" w:line="132" w:lineRule="exact"/>
        <w:rPr>
          <w:rFonts w:ascii="Arial" w:cs="Arial" w:eastAsia="Arial" w:hAnsi="Arial"/>
          <w:sz w:val="15"/>
          <w:szCs w:val="15"/>
          <w:color w:val="auto"/>
        </w:rPr>
      </w:pPr>
    </w:p>
    <w:p>
      <w:pPr>
        <w:ind w:left="260" w:right="80" w:hanging="253"/>
        <w:spacing w:after="0" w:line="251" w:lineRule="auto"/>
        <w:tabs>
          <w:tab w:leader="none" w:pos="26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Mr. McCann’s AICP award amounts were made in Australian dollars and are reflected in this table in U.S. dollars using the average exchange rate for 2013 of $0.89 U.S. dollar per Australian dollar. Mr. McCann’s equity incentive plan award in 2013 consisted of 6,000 deferred stock awards. Vesting will occur annually at a rate of 25% per year on the first, second, third and fourth anniversaries of the grant date.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5"/>
          <w:szCs w:val="15"/>
          <w:b w:val="1"/>
          <w:bCs w:val="1"/>
          <w:color w:val="auto"/>
        </w:rPr>
        <w:t>OUTSTANDING EQUITY AWARDS AT 2013 FISCAL YEAR END</w:t>
      </w:r>
    </w:p>
    <w:p>
      <w:pPr>
        <w:spacing w:after="0" w:line="181" w:lineRule="exact"/>
        <w:rPr>
          <w:sz w:val="20"/>
          <w:szCs w:val="20"/>
          <w:color w:val="auto"/>
        </w:rPr>
      </w:pPr>
    </w:p>
    <w:p>
      <w:pPr>
        <w:ind w:right="40" w:firstLine="262"/>
        <w:spacing w:after="0" w:line="265" w:lineRule="auto"/>
        <w:rPr>
          <w:sz w:val="20"/>
          <w:szCs w:val="20"/>
          <w:color w:val="auto"/>
        </w:rPr>
      </w:pPr>
      <w:r>
        <w:rPr>
          <w:rFonts w:ascii="Arial" w:cs="Arial" w:eastAsia="Arial" w:hAnsi="Arial"/>
          <w:sz w:val="14"/>
          <w:szCs w:val="14"/>
          <w:color w:val="auto"/>
        </w:rPr>
        <w:t>The following table provides information on the holdings of stock options and stock awards by the Named Executive Officers as of December 31, 2013. This table includes unexercised and unvested option awards and unvested stock awards, including restricted stock awards, performance based awards and phantom stock awards. Each equity grant is shown separately for each Named Executive Officer. The vesting schedule for each grant is shown following this table, based on the option or stock award grant date or other factors, as discussed. Accelerated vesting provisions applicable to the outstanding awards are described below under “—Potential Payments Upon Termination or Change in Control.” The market value of the stock awards is based on the closing market price of Oil States’ common stock as of December 31, 2013, which was $101.72. The number of performance awards shown in the table below reflect a theoretical achievement level of performance assuming December 31, 2013 as the end of the performance period. The actual performance period for the 2012 awards will end on December 31, 2014. The actual performance period for the 2013 awards will end on December 31, 2015. For additional information about the option awards and stock awards, see the description of equity incentive compensation in “Compensation Discussion and Analysis”, included herein.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5"/>
                <w:szCs w:val="15"/>
                <w:b w:val="1"/>
                <w:bCs w:val="1"/>
                <w:color w:val="auto"/>
              </w:rPr>
              <w:t>Option Awards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5"/>
                <w:szCs w:val="15"/>
                <w:b w:val="1"/>
                <w:bCs w:val="1"/>
                <w:color w:val="auto"/>
              </w:rPr>
              <w:t>Stock Awards</w:t>
            </w: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3"/>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1"/>
              </w:rPr>
              <w:t>Equity</w:t>
            </w:r>
          </w:p>
        </w:tc>
        <w:tc>
          <w:tcPr>
            <w:tcW w:w="40" w:type="dxa"/>
            <w:vAlign w:val="bottom"/>
          </w:tcPr>
          <w:p>
            <w:pPr>
              <w:spacing w:after="0"/>
              <w:rPr>
                <w:sz w:val="13"/>
                <w:szCs w:val="13"/>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Incentive</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Plan</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7"/>
              </w:rPr>
              <w:t>Awards:</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Equity</w:t>
            </w: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4"/>
              </w:rPr>
              <w:t>Market or</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Incentive Plan</w:t>
            </w: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7"/>
              </w:rPr>
              <w:t>Payout</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Awards:</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5"/>
              </w:rPr>
              <w:t>Value of</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Market</w:t>
            </w: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Number of</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Unearned</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Value of</w:t>
            </w: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Unearned</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Performance</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Number of</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Shares or</w:t>
            </w: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Performance</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4"/>
              </w:rPr>
              <w:t>Shares,</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Number of</w:t>
            </w: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Number of</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3"/>
              </w:rPr>
              <w:t>Shares or</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Units of</w:t>
            </w: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5"/>
              </w:rPr>
              <w:t>Shares, Units</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8"/>
              </w:rPr>
              <w:t>Units or</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3"/>
              </w:rPr>
              <w:t>Securities</w:t>
            </w: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3"/>
              </w:rPr>
              <w:t>Securities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Units of</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or Other</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0"/>
              </w:rPr>
              <w:t>Other Rights</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Underlying</w:t>
            </w: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Underlying</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Stock that</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that</w:t>
            </w: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6"/>
              </w:rPr>
              <w:t>Rights that</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4"/>
              </w:rPr>
              <w:t>that</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5"/>
              </w:rPr>
              <w:t>Unexercised</w:t>
            </w: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5"/>
              </w:rPr>
              <w:t>Unexercised</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Option</w:t>
            </w: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Option</w:t>
            </w: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Have Not</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Have Not</w:t>
            </w: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Have Not</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9"/>
              </w:rPr>
              <w:t>Have Not</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Options (#)</w:t>
            </w: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Options (#)</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Exercise Price</w:t>
            </w: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Expiration</w:t>
            </w: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1"/>
              </w:rPr>
              <w:t>Vested</w:t>
            </w: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1"/>
              </w:rPr>
              <w:t>Vested</w:t>
            </w: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1"/>
              </w:rPr>
              <w:t>Vested</w:t>
            </w:r>
          </w:p>
        </w:tc>
        <w:tc>
          <w:tcPr>
            <w:tcW w:w="8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5"/>
              </w:rPr>
              <w:t>Vested</w:t>
            </w:r>
          </w:p>
        </w:tc>
      </w:tr>
      <w:tr>
        <w:trPr>
          <w:trHeight w:val="189"/>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Exercisable</w:t>
            </w:r>
          </w:p>
        </w:tc>
        <w:tc>
          <w:tcPr>
            <w:tcW w:w="3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Unexercisable</w:t>
            </w:r>
          </w:p>
        </w:tc>
        <w:tc>
          <w:tcPr>
            <w:tcW w:w="3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3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3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40" w:type="dxa"/>
            <w:vAlign w:val="bottom"/>
          </w:tcPr>
          <w:p>
            <w:pPr>
              <w:spacing w:after="0"/>
              <w:rPr>
                <w:sz w:val="16"/>
                <w:szCs w:val="16"/>
                <w:color w:val="auto"/>
              </w:rPr>
            </w:pPr>
          </w:p>
        </w:tc>
      </w:tr>
      <w:tr>
        <w:trPr>
          <w:trHeight w:val="167"/>
        </w:trPr>
        <w:tc>
          <w:tcPr>
            <w:tcW w:w="21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Bradley J. Dodson</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15,000(1)</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16.65</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2/19/2015</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21,700(2)</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24.52</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6/19/2015</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7,500(3)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2,500(3)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2/19/2016</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1,500(5)</w:t>
            </w: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1,500(5)</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75.41</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2/17/2021</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1,250(8)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3,750(8)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2/16/2022</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4,000(13)</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80.25</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2/19/2023</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2,125(4)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216,155</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3,750(6)</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381,450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3,750(9)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381,450</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5,500(14)</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559,460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9,570(10)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973,460</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8,145(15)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828,509</w:t>
            </w:r>
          </w:p>
        </w:tc>
      </w:tr>
      <w:tr>
        <w:trPr>
          <w:trHeight w:val="175"/>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Frank C. Steininger</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175"/>
        </w:trPr>
        <w:tc>
          <w:tcPr>
            <w:tcW w:w="2240" w:type="dxa"/>
            <w:vAlign w:val="bottom"/>
            <w:gridSpan w:val="2"/>
          </w:tcPr>
          <w:p>
            <w:pPr>
              <w:spacing w:after="0"/>
              <w:rPr>
                <w:sz w:val="20"/>
                <w:szCs w:val="20"/>
                <w:color w:val="auto"/>
              </w:rPr>
            </w:pPr>
            <w:r>
              <w:rPr>
                <w:rFonts w:ascii="Arial" w:cs="Arial" w:eastAsia="Arial" w:hAnsi="Arial"/>
                <w:sz w:val="15"/>
                <w:szCs w:val="15"/>
                <w:color w:val="auto"/>
              </w:rPr>
              <w:t>Ron R. Green</w:t>
            </w: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30,000(1)</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16.65</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2/19/2015</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24,375(3)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8,125(3)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2/19/2016</w:t>
            </w: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5,000(6)</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508,600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6,700(11)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678,472</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15,000(16)</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1,525,800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L. McCann</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864(7)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87,886</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3,000(9)</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305,160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2,250(12)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228,870</w:t>
            </w: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4"/>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6,000(14)</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610,320</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834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21" w:lineRule="exact"/>
        <w:rPr>
          <w:sz w:val="20"/>
          <w:szCs w:val="20"/>
          <w:color w:val="auto"/>
        </w:rPr>
      </w:pPr>
    </w:p>
    <w:p>
      <w:pPr>
        <w:ind w:left="260" w:hanging="253"/>
        <w:spacing w:after="0"/>
        <w:tabs>
          <w:tab w:leader="none" w:pos="2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Stock option award of 2/19/2009 that vests at the rate of 25% per year with vesting dates of 2/19/2010, 2/19/2011, 2/19/2012 and 2/19/2013.</w:t>
      </w:r>
    </w:p>
    <w:p>
      <w:pPr>
        <w:spacing w:after="0" w:line="11" w:lineRule="exact"/>
        <w:rPr>
          <w:rFonts w:ascii="Arial" w:cs="Arial" w:eastAsia="Arial" w:hAnsi="Arial"/>
          <w:sz w:val="15"/>
          <w:szCs w:val="15"/>
          <w:color w:val="auto"/>
        </w:rPr>
      </w:pPr>
    </w:p>
    <w:p>
      <w:pPr>
        <w:ind w:left="260" w:hanging="253"/>
        <w:spacing w:after="0"/>
        <w:tabs>
          <w:tab w:leader="none" w:pos="2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Stock option award of 6/19/2009 that vests 100% on 6/19/2012, assuming the executive’s continued employment at that date.</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Stock option award of 2/19/2010 that vests at the rate of 25% per year, with vesting dates of 2/19/2011, 2/19/2012, 2/19/2013 and 2/19/2014.</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Restricted stock award of 2/19/2010 that vests at the rate of 25% per year, with vesting dates of 2/19/2011, 2/19/2012, 2/19/2013 and 2/19/2014.</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Stock option award of 2/17/2011 that vests at the rate of 25% per year, with vesting dates of 2/17/2012, 2/17/2013, 2/17/2014 and 2/17/2015.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39" w:name="page340"/>
    <w:bookmarkEnd w:id="339"/>
    <w:p>
      <w:pPr>
        <w:ind w:left="253" w:hanging="253"/>
        <w:spacing w:after="0"/>
        <w:tabs>
          <w:tab w:leader="none" w:pos="253" w:val="left"/>
        </w:tabs>
        <w:numPr>
          <w:ilvl w:val="0"/>
          <w:numId w:val="310"/>
        </w:numPr>
        <w:rPr>
          <w:rFonts w:ascii="Arial" w:cs="Arial" w:eastAsia="Arial" w:hAnsi="Arial"/>
          <w:sz w:val="15"/>
          <w:szCs w:val="15"/>
          <w:color w:val="auto"/>
        </w:rPr>
      </w:pPr>
      <w:r>
        <w:rPr>
          <w:rFonts w:ascii="Arial" w:cs="Arial" w:eastAsia="Arial" w:hAnsi="Arial"/>
          <w:sz w:val="15"/>
          <w:szCs w:val="15"/>
          <w:color w:val="auto"/>
        </w:rPr>
        <w:t>Restricted stock award of 2/17/2011 that vests at the rate of 25% per year, with vesting dates of 2/17/2012, 2/17/2013, 2/17/2014 and 2/17/2015.</w:t>
      </w:r>
    </w:p>
    <w:p>
      <w:pPr>
        <w:spacing w:after="0" w:line="11" w:lineRule="exact"/>
        <w:rPr>
          <w:rFonts w:ascii="Arial" w:cs="Arial" w:eastAsia="Arial" w:hAnsi="Arial"/>
          <w:sz w:val="15"/>
          <w:szCs w:val="15"/>
          <w:color w:val="auto"/>
        </w:rPr>
      </w:pPr>
    </w:p>
    <w:p>
      <w:pPr>
        <w:ind w:left="253" w:hanging="253"/>
        <w:spacing w:after="0"/>
        <w:tabs>
          <w:tab w:leader="none" w:pos="253" w:val="left"/>
        </w:tabs>
        <w:numPr>
          <w:ilvl w:val="0"/>
          <w:numId w:val="310"/>
        </w:numPr>
        <w:rPr>
          <w:rFonts w:ascii="Arial" w:cs="Arial" w:eastAsia="Arial" w:hAnsi="Arial"/>
          <w:sz w:val="15"/>
          <w:szCs w:val="15"/>
          <w:color w:val="auto"/>
        </w:rPr>
      </w:pPr>
      <w:r>
        <w:rPr>
          <w:rFonts w:ascii="Arial" w:cs="Arial" w:eastAsia="Arial" w:hAnsi="Arial"/>
          <w:sz w:val="15"/>
          <w:szCs w:val="15"/>
          <w:color w:val="auto"/>
        </w:rPr>
        <w:t>Restricted stock award of 05/17/2011 that vests at the rate of 25% per year, with vesting dates of 05/17/2012, 05/17/2013, 05/17/2014 and 05/17/2015.</w:t>
      </w:r>
    </w:p>
    <w:p>
      <w:pPr>
        <w:spacing w:after="0" w:line="2" w:lineRule="exact"/>
        <w:rPr>
          <w:rFonts w:ascii="Arial" w:cs="Arial" w:eastAsia="Arial" w:hAnsi="Arial"/>
          <w:sz w:val="15"/>
          <w:szCs w:val="15"/>
          <w:color w:val="auto"/>
        </w:rPr>
      </w:pPr>
    </w:p>
    <w:p>
      <w:pPr>
        <w:ind w:left="253" w:hanging="253"/>
        <w:spacing w:after="0"/>
        <w:tabs>
          <w:tab w:leader="none" w:pos="253" w:val="left"/>
        </w:tabs>
        <w:numPr>
          <w:ilvl w:val="0"/>
          <w:numId w:val="310"/>
        </w:numPr>
        <w:rPr>
          <w:rFonts w:ascii="Arial" w:cs="Arial" w:eastAsia="Arial" w:hAnsi="Arial"/>
          <w:sz w:val="15"/>
          <w:szCs w:val="15"/>
          <w:color w:val="auto"/>
        </w:rPr>
      </w:pPr>
      <w:r>
        <w:rPr>
          <w:rFonts w:ascii="Arial" w:cs="Arial" w:eastAsia="Arial" w:hAnsi="Arial"/>
          <w:sz w:val="15"/>
          <w:szCs w:val="15"/>
          <w:color w:val="auto"/>
        </w:rPr>
        <w:t>Stock option award of 2/16/2012 that vests at the rate of 25% per year, with vesting dates of 2/16/2013, 2/16/2014, 2/16/2015 and 2/16/2016.</w:t>
      </w:r>
    </w:p>
    <w:p>
      <w:pPr>
        <w:spacing w:after="0" w:line="2" w:lineRule="exact"/>
        <w:rPr>
          <w:rFonts w:ascii="Arial" w:cs="Arial" w:eastAsia="Arial" w:hAnsi="Arial"/>
          <w:sz w:val="15"/>
          <w:szCs w:val="15"/>
          <w:color w:val="auto"/>
        </w:rPr>
      </w:pPr>
    </w:p>
    <w:p>
      <w:pPr>
        <w:ind w:left="253" w:hanging="253"/>
        <w:spacing w:after="0"/>
        <w:tabs>
          <w:tab w:leader="none" w:pos="253" w:val="left"/>
        </w:tabs>
        <w:numPr>
          <w:ilvl w:val="0"/>
          <w:numId w:val="310"/>
        </w:numPr>
        <w:rPr>
          <w:rFonts w:ascii="Arial" w:cs="Arial" w:eastAsia="Arial" w:hAnsi="Arial"/>
          <w:sz w:val="15"/>
          <w:szCs w:val="15"/>
          <w:color w:val="auto"/>
        </w:rPr>
      </w:pPr>
      <w:r>
        <w:rPr>
          <w:rFonts w:ascii="Arial" w:cs="Arial" w:eastAsia="Arial" w:hAnsi="Arial"/>
          <w:sz w:val="15"/>
          <w:szCs w:val="15"/>
          <w:color w:val="auto"/>
        </w:rPr>
        <w:t>Restricted stock award of 2/16/2012 that vests at the rate of 25% per year, with vesting dates of 2/16/2013, 2/16/2014, 2/16/2015 and 2/16/2016.</w:t>
      </w:r>
    </w:p>
    <w:p>
      <w:pPr>
        <w:spacing w:after="0" w:line="2" w:lineRule="exact"/>
        <w:rPr>
          <w:rFonts w:ascii="Arial" w:cs="Arial" w:eastAsia="Arial" w:hAnsi="Arial"/>
          <w:sz w:val="15"/>
          <w:szCs w:val="15"/>
          <w:color w:val="auto"/>
        </w:rPr>
      </w:pPr>
    </w:p>
    <w:p>
      <w:pPr>
        <w:ind w:left="253" w:hanging="253"/>
        <w:spacing w:after="0" w:line="260" w:lineRule="auto"/>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Performance based awards of 2/26/2012 that will vest based on Oil States ROIC performance in the three-year period from January 1, 2012 to December 31, 2014. The amount reported as of 12/31/2013 assumes the performance period ended on that date. Performance level achievement through 12/31/13 is 191% of target.</w:t>
      </w:r>
    </w:p>
    <w:p>
      <w:pPr>
        <w:ind w:left="253" w:right="180" w:hanging="253"/>
        <w:spacing w:after="0" w:line="260" w:lineRule="auto"/>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Phantom stock award of 2/16/2012 payable in cash at vesting date based on Oil States stock price on that date that will vest 33.3% per year with vesting dates of 2/16/2013, 2/16/2014 and 2/16/2015.</w:t>
      </w:r>
    </w:p>
    <w:p>
      <w:pPr>
        <w:ind w:left="253" w:hanging="253"/>
        <w:spacing w:after="0"/>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Deferred stock award of 06/22/2012 that vests at the rate of 25% per year, with vesting dates of 06/22/2013, 06/22/2014, 06/22/2015 and 06/22/2016.</w:t>
      </w:r>
    </w:p>
    <w:p>
      <w:pPr>
        <w:spacing w:after="0" w:line="13" w:lineRule="exact"/>
        <w:rPr>
          <w:rFonts w:ascii="Arial" w:cs="Arial" w:eastAsia="Arial" w:hAnsi="Arial"/>
          <w:sz w:val="14"/>
          <w:szCs w:val="14"/>
          <w:color w:val="auto"/>
        </w:rPr>
      </w:pPr>
    </w:p>
    <w:p>
      <w:pPr>
        <w:ind w:left="253" w:hanging="253"/>
        <w:spacing w:after="0"/>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Stock option award of 2/19/2013 that vests at the rate of 25% per year, with vesting dates of 2/19/2014, 2/19/2015, 2/19/2016 and 2/19/2017.</w:t>
      </w:r>
    </w:p>
    <w:p>
      <w:pPr>
        <w:spacing w:after="0" w:line="13" w:lineRule="exact"/>
        <w:rPr>
          <w:rFonts w:ascii="Arial" w:cs="Arial" w:eastAsia="Arial" w:hAnsi="Arial"/>
          <w:sz w:val="14"/>
          <w:szCs w:val="14"/>
          <w:color w:val="auto"/>
        </w:rPr>
      </w:pPr>
    </w:p>
    <w:p>
      <w:pPr>
        <w:ind w:left="253" w:hanging="253"/>
        <w:spacing w:after="0"/>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Restricted or Deferred stock award of 2/19/2013 that vests at the rate of 25% per year, with vesting dates of 2/19/2014, 2/19/2015, 2/19/2016 and 2/19/2017.</w:t>
      </w:r>
    </w:p>
    <w:p>
      <w:pPr>
        <w:spacing w:after="0" w:line="13" w:lineRule="exact"/>
        <w:rPr>
          <w:rFonts w:ascii="Arial" w:cs="Arial" w:eastAsia="Arial" w:hAnsi="Arial"/>
          <w:sz w:val="14"/>
          <w:szCs w:val="14"/>
          <w:color w:val="auto"/>
        </w:rPr>
      </w:pPr>
    </w:p>
    <w:p>
      <w:pPr>
        <w:ind w:left="253" w:hanging="253"/>
        <w:spacing w:after="0" w:line="260" w:lineRule="auto"/>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Performance based awards of 2/19/2013 that will vest based on Oil States ROIC performance in the three-year period from January 1, 2013 to December 31, 2015. The amount reported as of 12/31/2012 assumes the performance period ended on that date. Performance level achievement through 12/31/13 is 163% of target.</w:t>
      </w:r>
    </w:p>
    <w:p>
      <w:pPr>
        <w:ind w:left="253" w:right="180" w:hanging="253"/>
        <w:spacing w:after="0" w:line="281" w:lineRule="auto"/>
        <w:tabs>
          <w:tab w:leader="none" w:pos="253" w:val="left"/>
        </w:tabs>
        <w:numPr>
          <w:ilvl w:val="0"/>
          <w:numId w:val="310"/>
        </w:numPr>
        <w:rPr>
          <w:rFonts w:ascii="Arial" w:cs="Arial" w:eastAsia="Arial" w:hAnsi="Arial"/>
          <w:sz w:val="14"/>
          <w:szCs w:val="14"/>
          <w:color w:val="auto"/>
        </w:rPr>
      </w:pPr>
      <w:r>
        <w:rPr>
          <w:rFonts w:ascii="Arial" w:cs="Arial" w:eastAsia="Arial" w:hAnsi="Arial"/>
          <w:sz w:val="14"/>
          <w:szCs w:val="14"/>
          <w:color w:val="auto"/>
        </w:rPr>
        <w:t>Phantom stock award of 2/19/2013 payable in cash at vesting date based on Oil States stock price on that date that will vest 33.3% per year with vesting dates of 2/19/2014, 2/19/2015 and 2/19/2016.</w:t>
      </w:r>
    </w:p>
    <w:p>
      <w:pPr>
        <w:spacing w:after="0" w:line="335" w:lineRule="exact"/>
        <w:rPr>
          <w:sz w:val="20"/>
          <w:szCs w:val="20"/>
          <w:color w:val="auto"/>
        </w:rPr>
      </w:pPr>
    </w:p>
    <w:p>
      <w:pPr>
        <w:jc w:val="center"/>
        <w:ind w:right="-112"/>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336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33"/>
          </w:cols>
          <w:pgMar w:left="227" w:top="500" w:right="3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5"/>
          <w:szCs w:val="15"/>
          <w:b w:val="1"/>
          <w:bCs w:val="1"/>
          <w:color w:val="auto"/>
        </w:rPr>
        <w:t>OPTIONS EXERCISED AND STOCK VESTED</w:t>
      </w:r>
    </w:p>
    <w:p>
      <w:pPr>
        <w:spacing w:after="0" w:line="181" w:lineRule="exact"/>
        <w:rPr>
          <w:sz w:val="20"/>
          <w:szCs w:val="20"/>
          <w:color w:val="auto"/>
        </w:rPr>
      </w:pPr>
    </w:p>
    <w:p>
      <w:pPr>
        <w:ind w:right="240" w:firstLine="262"/>
        <w:spacing w:after="0" w:line="294" w:lineRule="auto"/>
        <w:rPr>
          <w:sz w:val="20"/>
          <w:szCs w:val="20"/>
          <w:color w:val="auto"/>
        </w:rPr>
      </w:pPr>
      <w:r>
        <w:rPr>
          <w:rFonts w:ascii="Arial" w:cs="Arial" w:eastAsia="Arial" w:hAnsi="Arial"/>
          <w:sz w:val="14"/>
          <w:szCs w:val="14"/>
          <w:color w:val="auto"/>
        </w:rPr>
        <w:t>The following table provides information for the Named Executive Officers on (1) stock option exercises during 2013, including the number of shares acquired upon exercise and the value realized and (2) the number of shares acquired upon the vesting of stock awards and the value realized, each before payment of any applicable withholding tax.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4"/>
          </w:tcPr>
          <w:p>
            <w:pPr>
              <w:ind w:left="1140"/>
              <w:spacing w:after="0"/>
              <w:rPr>
                <w:sz w:val="20"/>
                <w:szCs w:val="20"/>
                <w:color w:val="auto"/>
              </w:rPr>
            </w:pPr>
            <w:r>
              <w:rPr>
                <w:rFonts w:ascii="Arial" w:cs="Arial" w:eastAsia="Arial" w:hAnsi="Arial"/>
                <w:sz w:val="15"/>
                <w:szCs w:val="15"/>
                <w:b w:val="1"/>
                <w:bCs w:val="1"/>
                <w:color w:val="auto"/>
              </w:rPr>
              <w:t>Option Awards</w:t>
            </w:r>
          </w:p>
        </w:tc>
        <w:tc>
          <w:tcPr>
            <w:tcW w:w="3280" w:type="dxa"/>
            <w:vAlign w:val="bottom"/>
            <w:gridSpan w:val="4"/>
          </w:tcPr>
          <w:p>
            <w:pPr>
              <w:ind w:left="1080"/>
              <w:spacing w:after="0"/>
              <w:rPr>
                <w:sz w:val="20"/>
                <w:szCs w:val="20"/>
                <w:color w:val="auto"/>
              </w:rPr>
            </w:pPr>
            <w:r>
              <w:rPr>
                <w:rFonts w:ascii="Arial" w:cs="Arial" w:eastAsia="Arial" w:hAnsi="Arial"/>
                <w:sz w:val="15"/>
                <w:szCs w:val="15"/>
                <w:b w:val="1"/>
                <w:bCs w:val="1"/>
                <w:color w:val="auto"/>
              </w:rPr>
              <w:t>Stock Awards(1)</w:t>
            </w:r>
          </w:p>
        </w:tc>
      </w:tr>
      <w:tr>
        <w:trPr>
          <w:trHeight w:val="153"/>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5"/>
                <w:szCs w:val="15"/>
                <w:b w:val="1"/>
                <w:bCs w:val="1"/>
                <w:color w:val="auto"/>
                <w:w w:val="88"/>
              </w:rPr>
              <w:t>Number of Shares</w:t>
            </w:r>
          </w:p>
        </w:tc>
        <w:tc>
          <w:tcPr>
            <w:tcW w:w="15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5"/>
                <w:szCs w:val="15"/>
                <w:b w:val="1"/>
                <w:bCs w:val="1"/>
                <w:color w:val="auto"/>
                <w:w w:val="88"/>
              </w:rPr>
              <w:t>Pre-tax Value Realized</w:t>
            </w:r>
          </w:p>
        </w:tc>
        <w:tc>
          <w:tcPr>
            <w:tcW w:w="220" w:type="dxa"/>
            <w:vAlign w:val="bottom"/>
          </w:tcPr>
          <w:p>
            <w:pPr>
              <w:spacing w:after="0"/>
              <w:rPr>
                <w:sz w:val="13"/>
                <w:szCs w:val="13"/>
                <w:color w:val="auto"/>
              </w:rPr>
            </w:pPr>
          </w:p>
        </w:tc>
        <w:tc>
          <w:tcPr>
            <w:tcW w:w="170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5"/>
                <w:szCs w:val="15"/>
                <w:b w:val="1"/>
                <w:bCs w:val="1"/>
                <w:color w:val="auto"/>
                <w:w w:val="86"/>
              </w:rPr>
              <w:t>Number of Shares</w:t>
            </w:r>
          </w:p>
        </w:tc>
        <w:tc>
          <w:tcPr>
            <w:tcW w:w="14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5"/>
                <w:szCs w:val="15"/>
                <w:b w:val="1"/>
                <w:bCs w:val="1"/>
                <w:color w:val="auto"/>
                <w:w w:val="88"/>
              </w:rPr>
              <w:t>Pre-tax Value Realized</w:t>
            </w: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Acquired on Exercise</w:t>
            </w:r>
          </w:p>
        </w:tc>
        <w:tc>
          <w:tcPr>
            <w:tcW w:w="17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on Exercise</w:t>
            </w:r>
          </w:p>
        </w:tc>
        <w:tc>
          <w:tcPr>
            <w:tcW w:w="17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Acquired on Vesting</w:t>
            </w:r>
          </w:p>
        </w:tc>
        <w:tc>
          <w:tcPr>
            <w:tcW w:w="15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3"/>
              </w:rPr>
              <w:t>on Vesting</w:t>
            </w:r>
          </w:p>
        </w:tc>
      </w:tr>
      <w:tr>
        <w:trPr>
          <w:trHeight w:val="189"/>
        </w:trPr>
        <w:tc>
          <w:tcPr>
            <w:tcW w:w="20" w:type="dxa"/>
            <w:vAlign w:val="bottom"/>
          </w:tcPr>
          <w:p>
            <w:pPr>
              <w:spacing w:after="0"/>
              <w:rPr>
                <w:sz w:val="16"/>
                <w:szCs w:val="16"/>
                <w:color w:val="auto"/>
              </w:rPr>
            </w:pPr>
          </w:p>
        </w:tc>
        <w:tc>
          <w:tcPr>
            <w:tcW w:w="4700" w:type="dxa"/>
            <w:vAlign w:val="bottom"/>
            <w:gridSpan w:val="2"/>
          </w:tcPr>
          <w:p>
            <w:pPr>
              <w:ind w:left="2100"/>
              <w:spacing w:after="0"/>
              <w:rPr>
                <w:sz w:val="20"/>
                <w:szCs w:val="20"/>
                <w:color w:val="auto"/>
              </w:rPr>
            </w:pPr>
            <w:r>
              <w:rPr>
                <w:rFonts w:ascii="Arial" w:cs="Arial" w:eastAsia="Arial" w:hAnsi="Arial"/>
                <w:sz w:val="15"/>
                <w:szCs w:val="15"/>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87"/>
              </w:rPr>
              <w:t>($)</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10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5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Bradley J. Dodson</w:t>
            </w:r>
          </w:p>
        </w:tc>
        <w:tc>
          <w:tcPr>
            <w:tcW w:w="120" w:type="dxa"/>
            <w:vAlign w:val="bottom"/>
          </w:tcPr>
          <w:p>
            <w:pPr>
              <w:spacing w:after="0"/>
              <w:rPr>
                <w:sz w:val="14"/>
                <w:szCs w:val="14"/>
                <w:color w:val="auto"/>
              </w:rPr>
            </w:pPr>
          </w:p>
        </w:tc>
        <w:tc>
          <w:tcPr>
            <w:tcW w:w="15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19,100</w:t>
            </w:r>
          </w:p>
        </w:tc>
        <w:tc>
          <w:tcPr>
            <w:tcW w:w="240" w:type="dxa"/>
            <w:vAlign w:val="bottom"/>
          </w:tcPr>
          <w:p>
            <w:pPr>
              <w:spacing w:after="0"/>
              <w:rPr>
                <w:sz w:val="14"/>
                <w:szCs w:val="14"/>
                <w:color w:val="auto"/>
              </w:rPr>
            </w:pPr>
          </w:p>
        </w:tc>
        <w:tc>
          <w:tcPr>
            <w:tcW w:w="15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1,207,410</w:t>
            </w:r>
          </w:p>
        </w:tc>
        <w:tc>
          <w:tcPr>
            <w:tcW w:w="220" w:type="dxa"/>
            <w:vAlign w:val="bottom"/>
          </w:tcPr>
          <w:p>
            <w:pPr>
              <w:spacing w:after="0"/>
              <w:rPr>
                <w:sz w:val="14"/>
                <w:szCs w:val="14"/>
                <w:color w:val="auto"/>
              </w:rPr>
            </w:pPr>
          </w:p>
        </w:tc>
        <w:tc>
          <w:tcPr>
            <w:tcW w:w="14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6,500</w:t>
            </w:r>
          </w:p>
        </w:tc>
        <w:tc>
          <w:tcPr>
            <w:tcW w:w="220" w:type="dxa"/>
            <w:vAlign w:val="bottom"/>
          </w:tcPr>
          <w:p>
            <w:pPr>
              <w:spacing w:after="0"/>
              <w:rPr>
                <w:sz w:val="14"/>
                <w:szCs w:val="14"/>
                <w:color w:val="auto"/>
              </w:rPr>
            </w:pPr>
          </w:p>
        </w:tc>
        <w:tc>
          <w:tcPr>
            <w:tcW w:w="14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518,281</w:t>
            </w: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Frank C. Steininger</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Ron R. Green</w:t>
            </w:r>
          </w:p>
        </w:tc>
        <w:tc>
          <w:tcPr>
            <w:tcW w:w="1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30,000</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1,951,766</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197,950</w:t>
            </w:r>
          </w:p>
        </w:tc>
      </w:tr>
      <w:tr>
        <w:trPr>
          <w:trHeight w:val="184"/>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Peter L. McCann</w:t>
            </w:r>
          </w:p>
        </w:tc>
        <w:tc>
          <w:tcPr>
            <w:tcW w:w="12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5"/>
                <w:szCs w:val="15"/>
                <w:color w:val="auto"/>
              </w:rPr>
              <w:t>2,182</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color w:val="auto"/>
              </w:rPr>
              <w:t>189,954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834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21" w:lineRule="exact"/>
        <w:rPr>
          <w:sz w:val="20"/>
          <w:szCs w:val="20"/>
          <w:color w:val="auto"/>
        </w:rPr>
      </w:pPr>
    </w:p>
    <w:p>
      <w:pPr>
        <w:ind w:left="260" w:hanging="253"/>
        <w:spacing w:after="0"/>
        <w:tabs>
          <w:tab w:leader="none" w:pos="260" w:val="left"/>
        </w:tabs>
        <w:numPr>
          <w:ilvl w:val="0"/>
          <w:numId w:val="311"/>
        </w:numPr>
        <w:rPr>
          <w:rFonts w:ascii="Arial" w:cs="Arial" w:eastAsia="Arial" w:hAnsi="Arial"/>
          <w:sz w:val="14"/>
          <w:szCs w:val="14"/>
          <w:color w:val="auto"/>
        </w:rPr>
      </w:pPr>
      <w:r>
        <w:rPr>
          <w:rFonts w:ascii="Arial" w:cs="Arial" w:eastAsia="Arial" w:hAnsi="Arial"/>
          <w:sz w:val="14"/>
          <w:szCs w:val="14"/>
          <w:color w:val="auto"/>
        </w:rPr>
        <w:t>Reflects shares received pursuant to restricted stock awards under the 2001 Equity Participation Plan for grants made in 2008 through 2011 to each Named Executive Officer.</w:t>
      </w:r>
    </w:p>
    <w:p>
      <w:pPr>
        <w:spacing w:after="0" w:line="22" w:lineRule="exact"/>
        <w:rPr>
          <w:rFonts w:ascii="Arial" w:cs="Arial" w:eastAsia="Arial" w:hAnsi="Arial"/>
          <w:sz w:val="14"/>
          <w:szCs w:val="14"/>
          <w:color w:val="auto"/>
        </w:rPr>
      </w:pPr>
    </w:p>
    <w:p>
      <w:pPr>
        <w:ind w:left="260" w:hanging="253"/>
        <w:spacing w:after="0"/>
        <w:tabs>
          <w:tab w:leader="none" w:pos="2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See Named Executive Officers table in “Compensation Discussion and Analysis” for more information about Mr. Steininger’s employment arrangements.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41" w:name="page342"/>
    <w:bookmarkEnd w:id="341"/>
    <w:p>
      <w:pPr>
        <w:ind w:left="4120"/>
        <w:spacing w:after="0"/>
        <w:rPr>
          <w:sz w:val="20"/>
          <w:szCs w:val="20"/>
          <w:color w:val="auto"/>
        </w:rPr>
      </w:pPr>
      <w:r>
        <w:rPr>
          <w:rFonts w:ascii="Arial" w:cs="Arial" w:eastAsia="Arial" w:hAnsi="Arial"/>
          <w:sz w:val="15"/>
          <w:szCs w:val="15"/>
          <w:b w:val="1"/>
          <w:bCs w:val="1"/>
          <w:color w:val="auto"/>
        </w:rPr>
        <w:t>NONQUALIFIED DEFERRED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Deferred Compensation Plan and Canadian Non-Registered Savings Plan</w:t>
      </w:r>
    </w:p>
    <w:p>
      <w:pPr>
        <w:spacing w:after="0" w:line="181" w:lineRule="exact"/>
        <w:rPr>
          <w:sz w:val="20"/>
          <w:szCs w:val="20"/>
          <w:color w:val="auto"/>
        </w:rPr>
      </w:pPr>
    </w:p>
    <w:p>
      <w:pPr>
        <w:jc w:val="both"/>
        <w:ind w:right="180" w:firstLine="262"/>
        <w:spacing w:after="0" w:line="248" w:lineRule="auto"/>
        <w:rPr>
          <w:sz w:val="20"/>
          <w:szCs w:val="20"/>
          <w:color w:val="auto"/>
        </w:rPr>
      </w:pPr>
      <w:r>
        <w:rPr>
          <w:rFonts w:ascii="Arial" w:cs="Arial" w:eastAsia="Arial" w:hAnsi="Arial"/>
          <w:sz w:val="15"/>
          <w:szCs w:val="15"/>
          <w:color w:val="auto"/>
        </w:rPr>
        <w:t>Oil States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Oil States maintains a similar plan in which Mr. Green is a participant. See “Compensation Discussion and Analysis—Deferred Compensation Plan”, included herein, for details about the plans. Mr. McCann does not participate in a similar plan.</w:t>
      </w:r>
    </w:p>
    <w:p>
      <w:pPr>
        <w:spacing w:after="0" w:line="161" w:lineRule="exact"/>
        <w:rPr>
          <w:sz w:val="20"/>
          <w:szCs w:val="20"/>
          <w:color w:val="auto"/>
        </w:rPr>
      </w:pPr>
    </w:p>
    <w:p>
      <w:pPr>
        <w:ind w:right="620" w:firstLine="262"/>
        <w:spacing w:after="0" w:line="294" w:lineRule="auto"/>
        <w:rPr>
          <w:sz w:val="20"/>
          <w:szCs w:val="20"/>
          <w:color w:val="auto"/>
        </w:rPr>
      </w:pPr>
      <w:r>
        <w:rPr>
          <w:rFonts w:ascii="Arial" w:cs="Arial" w:eastAsia="Arial" w:hAnsi="Arial"/>
          <w:sz w:val="14"/>
          <w:szCs w:val="14"/>
          <w:color w:val="auto"/>
        </w:rPr>
        <w:t>The investment alternatives currently available to an executive under the Deferred Compensation Plan are the same mutual funds available to all employees under Oil States’ 401(K) Retirement Plan. Mr. Steininger was not employed by Oil States during 2013 and, accordingly, did not participate in Oil States’ deferred compensation plan.</w:t>
      </w:r>
    </w:p>
    <w:p>
      <w:pPr>
        <w:spacing w:after="0" w:line="130" w:lineRule="exact"/>
        <w:rPr>
          <w:sz w:val="20"/>
          <w:szCs w:val="20"/>
          <w:color w:val="auto"/>
        </w:rPr>
      </w:pPr>
    </w:p>
    <w:p>
      <w:pPr>
        <w:ind w:right="280" w:firstLine="262"/>
        <w:spacing w:after="0" w:line="259" w:lineRule="auto"/>
        <w:rPr>
          <w:sz w:val="20"/>
          <w:szCs w:val="20"/>
          <w:color w:val="auto"/>
        </w:rPr>
      </w:pPr>
      <w:r>
        <w:rPr>
          <w:rFonts w:ascii="Arial" w:cs="Arial" w:eastAsia="Arial" w:hAnsi="Arial"/>
          <w:sz w:val="15"/>
          <w:szCs w:val="15"/>
          <w:color w:val="auto"/>
        </w:rPr>
        <w:t>Detailed below is activity in the Deferred Compensation Plan for Mr. Dodson. Mr. Green is a Canadian citizen based in Edmonton, Canada and is not eligible to participate in the Deferred Compensation Plan; however, he does participate in a similar Canadian Non-Registered Savings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Aggregate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Aggregate</w:t>
            </w:r>
          </w:p>
        </w:tc>
      </w:tr>
      <w:tr>
        <w:trPr>
          <w:trHeight w:val="175"/>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Executive</w:t>
            </w: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Registrant</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Earnings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3"/>
              </w:rPr>
              <w:t>Balance</w:t>
            </w:r>
          </w:p>
        </w:tc>
      </w:tr>
      <w:tr>
        <w:trPr>
          <w:trHeight w:val="175"/>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Contributions</w:t>
            </w: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Contribution</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(Loss)</w:t>
            </w: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Aggregate</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At Last</w:t>
            </w:r>
          </w:p>
        </w:tc>
      </w:tr>
      <w:tr>
        <w:trPr>
          <w:trHeight w:val="175"/>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in Last</w:t>
            </w: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in Last</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in Last</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Withdrawals/</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Fiscal</w:t>
            </w:r>
          </w:p>
        </w:tc>
      </w:tr>
      <w:tr>
        <w:trPr>
          <w:trHeight w:val="175"/>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Fiscal Year</w:t>
            </w: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Distributions</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Year End</w:t>
            </w:r>
          </w:p>
        </w:tc>
      </w:tr>
      <w:tr>
        <w:trPr>
          <w:trHeight w:val="189"/>
        </w:trPr>
        <w:tc>
          <w:tcPr>
            <w:tcW w:w="460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1280" w:type="dxa"/>
            <w:vAlign w:val="bottom"/>
            <w:gridSpan w:val="2"/>
          </w:tcPr>
          <w:p>
            <w:pPr>
              <w:jc w:val="center"/>
              <w:ind w:left="27"/>
              <w:spacing w:after="0"/>
              <w:rPr>
                <w:sz w:val="20"/>
                <w:szCs w:val="20"/>
                <w:color w:val="auto"/>
              </w:rPr>
            </w:pPr>
            <w:r>
              <w:rPr>
                <w:rFonts w:ascii="Arial" w:cs="Arial" w:eastAsia="Arial" w:hAnsi="Arial"/>
                <w:sz w:val="15"/>
                <w:szCs w:val="15"/>
                <w:b w:val="1"/>
                <w:bCs w:val="1"/>
                <w:color w:val="auto"/>
                <w:w w:val="92"/>
              </w:rPr>
              <w:t>($)(1)</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2"/>
              </w:rPr>
              <w:t>($)(2)</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($)(3)</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($)(4)</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7"/>
              </w:rPr>
              <w:t>($)</w:t>
            </w:r>
          </w:p>
        </w:tc>
        <w:tc>
          <w:tcPr>
            <w:tcW w:w="100" w:type="dxa"/>
            <w:vAlign w:val="bottom"/>
          </w:tcPr>
          <w:p>
            <w:pPr>
              <w:spacing w:after="0"/>
              <w:rPr>
                <w:sz w:val="16"/>
                <w:szCs w:val="16"/>
                <w:color w:val="auto"/>
              </w:rPr>
            </w:pPr>
          </w:p>
        </w:tc>
      </w:tr>
      <w:tr>
        <w:trPr>
          <w:trHeight w:val="167"/>
        </w:trPr>
        <w:tc>
          <w:tcPr>
            <w:tcW w:w="460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Bradley J. Dodson</w:t>
            </w:r>
          </w:p>
        </w:tc>
        <w:tc>
          <w:tcPr>
            <w:tcW w:w="120" w:type="dxa"/>
            <w:vAlign w:val="bottom"/>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103,071</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29,237</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113,265</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(6,088)</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609,602</w:t>
            </w:r>
          </w:p>
        </w:tc>
        <w:tc>
          <w:tcPr>
            <w:tcW w:w="100" w:type="dxa"/>
            <w:vAlign w:val="bottom"/>
          </w:tcPr>
          <w:p>
            <w:pPr>
              <w:spacing w:after="0"/>
              <w:rPr>
                <w:sz w:val="14"/>
                <w:szCs w:val="14"/>
                <w:color w:val="auto"/>
              </w:rPr>
            </w:pPr>
          </w:p>
        </w:tc>
      </w:tr>
      <w:tr>
        <w:trPr>
          <w:trHeight w:val="17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Ron R. Green</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46,381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36,441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65,238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ind w:left="260" w:right="400" w:hanging="253"/>
        <w:spacing w:after="0" w:line="249" w:lineRule="auto"/>
        <w:tabs>
          <w:tab w:leader="none" w:pos="26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All contribution amounts for the last fiscal year reported in this table are also included in the “Salary” and “Non-Equity Incentive Plan Compensation” amounts reported in the Summary Compensation Table for 2013.</w:t>
      </w:r>
    </w:p>
    <w:p>
      <w:pPr>
        <w:ind w:left="260" w:hanging="253"/>
        <w:spacing w:after="0"/>
        <w:tabs>
          <w:tab w:leader="none" w:pos="26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Amounts reported in this column are also included in the “See All Other Compensation” column of the Summary Compensation Table for 2013.</w:t>
      </w:r>
    </w:p>
    <w:p>
      <w:pPr>
        <w:spacing w:after="0" w:line="2" w:lineRule="exact"/>
        <w:rPr>
          <w:rFonts w:ascii="Arial" w:cs="Arial" w:eastAsia="Arial" w:hAnsi="Arial"/>
          <w:sz w:val="15"/>
          <w:szCs w:val="15"/>
          <w:color w:val="auto"/>
        </w:rPr>
      </w:pPr>
    </w:p>
    <w:p>
      <w:pPr>
        <w:ind w:left="260" w:right="200" w:hanging="253"/>
        <w:spacing w:after="0" w:line="243" w:lineRule="auto"/>
        <w:tabs>
          <w:tab w:leader="none" w:pos="26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This column represents net unrealized appreciation, dividends and distributions from mutual fund investments for 2013 associated with investments held in the Deferred Compensation Plan for Messrs. Dodson and in the Canadian Non-Registered Savings Plan for Mr. Green.</w:t>
      </w:r>
    </w:p>
    <w:p>
      <w:pPr>
        <w:ind w:left="260" w:right="220" w:hanging="253"/>
        <w:spacing w:after="0" w:line="246" w:lineRule="auto"/>
        <w:tabs>
          <w:tab w:leader="none" w:pos="26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The Deferred Compensation Plan allows an annual “roll-over” of deferred compensation amounts into Oil States’ 401(k) Retirement Plan to the maximum extent permitted by U.S. Internal Revenue Service regulations.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181" w:lineRule="exact"/>
        <w:rPr>
          <w:sz w:val="20"/>
          <w:szCs w:val="20"/>
          <w:color w:val="auto"/>
        </w:rPr>
      </w:pPr>
    </w:p>
    <w:p>
      <w:pPr>
        <w:ind w:right="60" w:firstLine="262"/>
        <w:spacing w:after="0" w:line="265" w:lineRule="auto"/>
        <w:rPr>
          <w:sz w:val="20"/>
          <w:szCs w:val="20"/>
          <w:color w:val="auto"/>
        </w:rPr>
      </w:pPr>
      <w:r>
        <w:rPr>
          <w:rFonts w:ascii="Arial" w:cs="Arial" w:eastAsia="Arial" w:hAnsi="Arial"/>
          <w:sz w:val="14"/>
          <w:szCs w:val="14"/>
          <w:color w:val="auto"/>
        </w:rPr>
        <w:t>The table below reflects the amount of compensation to certain of the Named Executive Officers in the event of a qualified termination, which is defined as (i) an 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See “Compensation Discussion and Analysis—Executive and Change of Control Agreements” herein for additional information; such Executive and Change of Control Agreements are referred to herein as “Executive Agreements”.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2013 and, therefore, include compensation earned through such time and are estimates of the amounts which would be paid out to the executives upon their terminations. The actual amounts to be paid can only be determined at the time of such executive’s separation from Oil States.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separation of Civeo is not a change-in-control and therefore will not entitle executive officers of Oil States to any change-in-control benefits.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Executive and Change of Control Agreements</w:t>
      </w:r>
    </w:p>
    <w:p>
      <w:pPr>
        <w:spacing w:after="0" w:line="181" w:lineRule="exact"/>
        <w:rPr>
          <w:sz w:val="20"/>
          <w:szCs w:val="20"/>
          <w:color w:val="auto"/>
        </w:rPr>
      </w:pPr>
    </w:p>
    <w:p>
      <w:pPr>
        <w:ind w:firstLine="262"/>
        <w:spacing w:after="0" w:line="267" w:lineRule="auto"/>
        <w:rPr>
          <w:sz w:val="20"/>
          <w:szCs w:val="20"/>
          <w:color w:val="auto"/>
        </w:rPr>
      </w:pPr>
      <w:r>
        <w:rPr>
          <w:rFonts w:ascii="Arial" w:cs="Arial" w:eastAsia="Arial" w:hAnsi="Arial"/>
          <w:sz w:val="14"/>
          <w:szCs w:val="14"/>
          <w:color w:val="auto"/>
        </w:rPr>
        <w:t>Pursuant to Messrs. Dodson’s and Green’s Executive Agreements, if either of them is terminated by Oil States following a Change of Control of Oil States (other than termination by Oil States for Cause, as defined in the agreement, or by reason of death or disability), or if either of them voluntarily terminate their employment for “Good Reason”, as defined, in either case, in the agreement, during the 24-month period following a corporate Change of Control, then the affected Named Executive Officer is entitled to receive a lump sum severance payment of two times the sum of his base salary and the target annual bonus that may be earned by him pursuant to the AICP for the year of termination. If any of them are terminated by Oil States not for Cause other than during the 24-month period following a Change of Control, he is entitled to receive a lump sum severance payment of one times the sum of his base salary and the target annual bonus that may be earned by him pursuant to the AICP for the year of termination.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If a Named Executive Officer is terminated by Oil States not for Cause other than during the 24-month period following a corporate Change of Control, the Executive Agreements provide</w:t>
      </w:r>
    </w:p>
    <w:p>
      <w:pPr>
        <w:spacing w:after="0" w:line="23" w:lineRule="exact"/>
        <w:rPr>
          <w:sz w:val="20"/>
          <w:szCs w:val="20"/>
          <w:color w:val="auto"/>
        </w:rPr>
      </w:pPr>
    </w:p>
    <w:p>
      <w:pPr>
        <w:ind w:right="180" w:firstLine="7"/>
        <w:spacing w:after="0" w:line="246" w:lineRule="auto"/>
        <w:tabs>
          <w:tab w:leader="none" w:pos="174" w:val="left"/>
        </w:tabs>
        <w:numPr>
          <w:ilvl w:val="0"/>
          <w:numId w:val="313"/>
        </w:numPr>
        <w:rPr>
          <w:rFonts w:ascii="Arial" w:cs="Arial" w:eastAsia="Arial" w:hAnsi="Arial"/>
          <w:sz w:val="15"/>
          <w:szCs w:val="15"/>
          <w:color w:val="auto"/>
        </w:rPr>
      </w:pPr>
      <w:r>
        <w:rPr>
          <w:rFonts w:ascii="Arial" w:cs="Arial" w:eastAsia="Arial" w:hAnsi="Arial"/>
          <w:sz w:val="15"/>
          <w:szCs w:val="15"/>
          <w:color w:val="auto"/>
        </w:rPr>
        <w:t>for the cash lump sum severance payments described above, (ii) that all restrictions on restricted stock and phantom stock units will lapse and (iii) for continued health benefits for 12 months. Any vested, non-qualified stock options would expire after 3 months of the date of termination if not exercised prior to their expiration.</w:t>
      </w:r>
    </w:p>
    <w:p>
      <w:pPr>
        <w:spacing w:after="0" w:line="162" w:lineRule="exact"/>
        <w:rPr>
          <w:sz w:val="20"/>
          <w:szCs w:val="20"/>
          <w:color w:val="auto"/>
        </w:rPr>
      </w:pPr>
    </w:p>
    <w:p>
      <w:pPr>
        <w:ind w:right="20" w:firstLine="262"/>
        <w:spacing w:after="0" w:line="312" w:lineRule="auto"/>
        <w:rPr>
          <w:sz w:val="20"/>
          <w:szCs w:val="20"/>
          <w:color w:val="auto"/>
        </w:rPr>
      </w:pPr>
      <w:r>
        <w:rPr>
          <w:rFonts w:ascii="Arial" w:cs="Arial" w:eastAsia="Arial" w:hAnsi="Arial"/>
          <w:sz w:val="12"/>
          <w:szCs w:val="12"/>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the cash lump sum severance payments described above. In addition, with respect to such a qualified termination, the agreements provide that all restricted stock,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Executive agreements entered into with Mr. Dodson entitle him to be made whole for any excise taxes incurred with respect to severance payments that are in excess of the limits set forth under the Internal Revenue Code. The Executive Agreement entered into with Mr. Green does not contain excise tax gross up protection.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343" w:name="page344"/>
    <w:bookmarkEnd w:id="343"/>
    <w:p>
      <w:pPr>
        <w:ind w:left="260"/>
        <w:spacing w:after="0"/>
        <w:rPr>
          <w:sz w:val="20"/>
          <w:szCs w:val="20"/>
          <w:color w:val="auto"/>
        </w:rPr>
      </w:pPr>
      <w:r>
        <w:rPr>
          <w:rFonts w:ascii="Arial" w:cs="Arial" w:eastAsia="Arial" w:hAnsi="Arial"/>
          <w:sz w:val="15"/>
          <w:szCs w:val="15"/>
          <w:color w:val="auto"/>
        </w:rPr>
        <w:t>To receive benefits under the Executive Agreement, the executive officer will be required to execute a release of all claims against Oil States.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Deferred Compensation Plan</w:t>
      </w:r>
    </w:p>
    <w:p>
      <w:pPr>
        <w:spacing w:after="0" w:line="181" w:lineRule="exact"/>
        <w:rPr>
          <w:sz w:val="20"/>
          <w:szCs w:val="20"/>
          <w:color w:val="auto"/>
        </w:rPr>
      </w:pPr>
    </w:p>
    <w:p>
      <w:pPr>
        <w:ind w:right="320" w:firstLine="262"/>
        <w:spacing w:after="0" w:line="269" w:lineRule="auto"/>
        <w:rPr>
          <w:sz w:val="20"/>
          <w:szCs w:val="20"/>
          <w:color w:val="auto"/>
        </w:rPr>
      </w:pPr>
      <w:r>
        <w:rPr>
          <w:rFonts w:ascii="Arial" w:cs="Arial" w:eastAsia="Arial" w:hAnsi="Arial"/>
          <w:sz w:val="14"/>
          <w:szCs w:val="14"/>
          <w:color w:val="auto"/>
        </w:rPr>
        <w:t>Generally, each participant in the Deferred Compensation Plan will receive, at the participant’s election, a lump sum distribution or installment payments upon a change of control or a termination of the participant’s service with Oil States and its affiliates. For “Key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Analysis—Deferred Compensation Plan” for additional information regarding payments under the Deferred Compensation Plan.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Equity Awards</w:t>
      </w:r>
    </w:p>
    <w:p>
      <w:pPr>
        <w:spacing w:after="0" w:line="181" w:lineRule="exact"/>
        <w:rPr>
          <w:sz w:val="20"/>
          <w:szCs w:val="20"/>
          <w:color w:val="auto"/>
        </w:rPr>
      </w:pPr>
    </w:p>
    <w:p>
      <w:pPr>
        <w:ind w:right="40" w:firstLine="262"/>
        <w:spacing w:after="0" w:line="264" w:lineRule="auto"/>
        <w:rPr>
          <w:sz w:val="20"/>
          <w:szCs w:val="20"/>
          <w:color w:val="auto"/>
        </w:rPr>
      </w:pPr>
      <w:r>
        <w:rPr>
          <w:rFonts w:ascii="Arial" w:cs="Arial" w:eastAsia="Arial" w:hAnsi="Arial"/>
          <w:sz w:val="14"/>
          <w:szCs w:val="14"/>
          <w:color w:val="auto"/>
        </w:rPr>
        <w:t>Oil States’ stock option agreements provide that, in the event of an employee’s disability, retirement or death, outstanding unvested stock options will become fully vested and will be exercisable for a period of one year following the employee’s date of termination due to disability (within the meaning of Section 22(e)(3) of the Internal Revenue Code, retirement (on or after attainment of age 65 or, with the Oil States Compensation Committee’s express written consent, on or after the age of 55) or death. Oil States’ restricted stock award agreements provide that restricted stock awards will become fully vested on (i) the date a Change of Control occurs or (ii) the termination of an employee’s employment due to his death or a disability that entitles the employee to receive benefits under a long term disability plan of Oil States. Oil States’ performance based award agreements provided that, if prior to the second anniversary of the grant date of the award, (A) a Change of Control occurs, or (B) the employee becomes disabled or dies, then the performance based award will vest upon the occurrence of such event at the “determined percentage.” The “determined percentage” is the performance of vesting that would have occurred under the award as if the date of the applicable vesting event were the most recently completed fiscal quarter of Oil States. In addition, in the case of disability or death, the “determined percentage” shall be multiplied by a fraction representing the time of actual employment by the employee from the grant date of the award until the third anniversary thereof.</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Qualification of Payments</w:t>
      </w:r>
    </w:p>
    <w:p>
      <w:pPr>
        <w:spacing w:after="0" w:line="181"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color w:val="auto"/>
        </w:rPr>
        <w:t>Shown in the table below are potential payments upon the assumed (i) involuntary not for Cause termination of the Named Executive Officers other than during the 24-month period following a Change of Control, or (ii) involuntary not for Cause termination or termination by the Named Executive Officer for “Good Reason,” in either case, during the 24-month period following a Change of Control of Oil States, occurring as of December 31, 2013. None of the named executive officers’ potential payments as of December 31, 2013 would trigger a gross up payment for excise taxes that would be reimbursed under their Executive Agreement.</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501" w:right="25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right"/>
              <w:ind w:right="920"/>
              <w:spacing w:after="0"/>
              <w:rPr>
                <w:sz w:val="20"/>
                <w:szCs w:val="20"/>
                <w:color w:val="auto"/>
              </w:rPr>
            </w:pPr>
            <w:r>
              <w:rPr>
                <w:rFonts w:ascii="Arial" w:cs="Arial" w:eastAsia="Arial" w:hAnsi="Arial"/>
                <w:sz w:val="15"/>
                <w:szCs w:val="15"/>
                <w:b w:val="1"/>
                <w:bCs w:val="1"/>
                <w:color w:val="auto"/>
              </w:rPr>
              <w:t>Bradley J. Dodson</w:t>
            </w:r>
          </w:p>
        </w:tc>
        <w:tc>
          <w:tcPr>
            <w:tcW w:w="100" w:type="dxa"/>
            <w:vAlign w:val="bottom"/>
          </w:tcPr>
          <w:p>
            <w:pPr>
              <w:spacing w:after="0"/>
              <w:rPr>
                <w:sz w:val="16"/>
                <w:szCs w:val="16"/>
                <w:color w:val="auto"/>
              </w:rPr>
            </w:pPr>
          </w:p>
        </w:tc>
        <w:tc>
          <w:tcPr>
            <w:tcW w:w="2220" w:type="dxa"/>
            <w:vAlign w:val="bottom"/>
            <w:gridSpan w:val="3"/>
          </w:tcPr>
          <w:p>
            <w:pPr>
              <w:ind w:left="420"/>
              <w:spacing w:after="0"/>
              <w:rPr>
                <w:sz w:val="20"/>
                <w:szCs w:val="20"/>
                <w:color w:val="auto"/>
              </w:rPr>
            </w:pPr>
            <w:r>
              <w:rPr>
                <w:rFonts w:ascii="Arial" w:cs="Arial" w:eastAsia="Arial" w:hAnsi="Arial"/>
                <w:sz w:val="15"/>
                <w:szCs w:val="15"/>
                <w:b w:val="1"/>
                <w:bCs w:val="1"/>
                <w:color w:val="auto"/>
              </w:rPr>
              <w:t>Frank C. Steininger (4)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20"/>
              <w:spacing w:after="0" w:line="152" w:lineRule="exact"/>
              <w:rPr>
                <w:sz w:val="20"/>
                <w:szCs w:val="20"/>
                <w:color w:val="auto"/>
              </w:rPr>
            </w:pPr>
            <w:r>
              <w:rPr>
                <w:rFonts w:ascii="Arial" w:cs="Arial" w:eastAsia="Arial" w:hAnsi="Arial"/>
                <w:sz w:val="15"/>
                <w:szCs w:val="15"/>
                <w:b w:val="1"/>
                <w:bCs w:val="1"/>
                <w:color w:val="auto"/>
                <w:w w:val="91"/>
              </w:rPr>
              <w:t>Involuntary</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20"/>
              <w:spacing w:after="0" w:line="152" w:lineRule="exact"/>
              <w:rPr>
                <w:sz w:val="20"/>
                <w:szCs w:val="20"/>
                <w:color w:val="auto"/>
              </w:rPr>
            </w:pPr>
            <w:r>
              <w:rPr>
                <w:rFonts w:ascii="Arial" w:cs="Arial" w:eastAsia="Arial" w:hAnsi="Arial"/>
                <w:sz w:val="15"/>
                <w:szCs w:val="15"/>
                <w:b w:val="1"/>
                <w:bCs w:val="1"/>
                <w:color w:val="auto"/>
                <w:w w:val="91"/>
              </w:rPr>
              <w:t>Involuntary</w:t>
            </w: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Not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Not for</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Cause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Cause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Termination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Termination</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without an Oil</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Termination</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without an Oil</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8"/>
              </w:rPr>
              <w:t>Termination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79"/>
              </w:rPr>
              <w:t>States</w:t>
            </w:r>
          </w:p>
        </w:tc>
        <w:tc>
          <w:tcPr>
            <w:tcW w:w="13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with an Oil States</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States</w:t>
            </w:r>
          </w:p>
        </w:tc>
        <w:tc>
          <w:tcPr>
            <w:tcW w:w="1240" w:type="dxa"/>
            <w:vAlign w:val="bottom"/>
            <w:gridSpan w:val="3"/>
          </w:tcPr>
          <w:p>
            <w:pPr>
              <w:ind w:left="20"/>
              <w:spacing w:after="0"/>
              <w:rPr>
                <w:sz w:val="20"/>
                <w:szCs w:val="20"/>
                <w:color w:val="auto"/>
              </w:rPr>
            </w:pPr>
            <w:r>
              <w:rPr>
                <w:rFonts w:ascii="Arial" w:cs="Arial" w:eastAsia="Arial" w:hAnsi="Arial"/>
                <w:sz w:val="15"/>
                <w:szCs w:val="15"/>
                <w:b w:val="1"/>
                <w:bCs w:val="1"/>
                <w:color w:val="auto"/>
                <w:w w:val="95"/>
              </w:rPr>
              <w:t>with an Oil States</w:t>
            </w: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Change of</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Change of</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Change of</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7"/>
              </w:rPr>
              <w:t>Change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Executive benefits and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Control</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Control</w:t>
            </w: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Control</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9"/>
              </w:rPr>
              <w:t>Control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Payments Upon</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on</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on</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76"/>
              </w:rPr>
              <w:t>on</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7"/>
              </w:rPr>
              <w:t>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Separation</w:t>
            </w:r>
          </w:p>
        </w:tc>
        <w:tc>
          <w:tcPr>
            <w:tcW w:w="100" w:type="dxa"/>
            <w:vAlign w:val="bottom"/>
          </w:tcPr>
          <w:p>
            <w:pPr>
              <w:spacing w:after="0"/>
              <w:rPr>
                <w:sz w:val="16"/>
                <w:szCs w:val="16"/>
                <w:color w:val="auto"/>
              </w:rPr>
            </w:pPr>
          </w:p>
        </w:tc>
        <w:tc>
          <w:tcPr>
            <w:tcW w:w="1060" w:type="dxa"/>
            <w:vAlign w:val="bottom"/>
          </w:tcPr>
          <w:p>
            <w:pPr>
              <w:jc w:val="center"/>
              <w:ind w:right="7"/>
              <w:spacing w:after="0"/>
              <w:rPr>
                <w:sz w:val="20"/>
                <w:szCs w:val="20"/>
                <w:color w:val="auto"/>
              </w:rPr>
            </w:pPr>
            <w:r>
              <w:rPr>
                <w:rFonts w:ascii="Arial" w:cs="Arial" w:eastAsia="Arial" w:hAnsi="Arial"/>
                <w:sz w:val="15"/>
                <w:szCs w:val="15"/>
                <w:b w:val="1"/>
                <w:bCs w:val="1"/>
                <w:color w:val="auto"/>
                <w:w w:val="87"/>
              </w:rPr>
              <w:t>12/31/2013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Arial" w:cs="Arial" w:eastAsia="Arial" w:hAnsi="Arial"/>
                <w:sz w:val="15"/>
                <w:szCs w:val="15"/>
                <w:b w:val="1"/>
                <w:bCs w:val="1"/>
                <w:color w:val="auto"/>
                <w:w w:val="87"/>
              </w:rPr>
              <w:t>12/31/2013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7"/>
              <w:spacing w:after="0"/>
              <w:rPr>
                <w:sz w:val="20"/>
                <w:szCs w:val="20"/>
                <w:color w:val="auto"/>
              </w:rPr>
            </w:pPr>
            <w:r>
              <w:rPr>
                <w:rFonts w:ascii="Arial" w:cs="Arial" w:eastAsia="Arial" w:hAnsi="Arial"/>
                <w:sz w:val="15"/>
                <w:szCs w:val="15"/>
                <w:b w:val="1"/>
                <w:bCs w:val="1"/>
                <w:color w:val="auto"/>
                <w:w w:val="87"/>
              </w:rPr>
              <w:t>12/31/2013</w:t>
            </w:r>
          </w:p>
        </w:tc>
        <w:tc>
          <w:tcPr>
            <w:tcW w:w="220" w:type="dxa"/>
            <w:vAlign w:val="bottom"/>
          </w:tcPr>
          <w:p>
            <w:pPr>
              <w:spacing w:after="0"/>
              <w:rPr>
                <w:sz w:val="16"/>
                <w:szCs w:val="16"/>
                <w:color w:val="auto"/>
              </w:rPr>
            </w:pPr>
          </w:p>
        </w:tc>
        <w:tc>
          <w:tcPr>
            <w:tcW w:w="960" w:type="dxa"/>
            <w:vAlign w:val="bottom"/>
          </w:tcPr>
          <w:p>
            <w:pPr>
              <w:jc w:val="center"/>
              <w:ind w:left="107"/>
              <w:spacing w:after="0"/>
              <w:rPr>
                <w:sz w:val="20"/>
                <w:szCs w:val="20"/>
                <w:color w:val="auto"/>
              </w:rPr>
            </w:pPr>
            <w:r>
              <w:rPr>
                <w:rFonts w:ascii="Arial" w:cs="Arial" w:eastAsia="Arial" w:hAnsi="Arial"/>
                <w:sz w:val="15"/>
                <w:szCs w:val="15"/>
                <w:b w:val="1"/>
                <w:bCs w:val="1"/>
                <w:color w:val="auto"/>
                <w:w w:val="87"/>
              </w:rPr>
              <w:t>12/31/2013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96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Compensation:</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Cash Severance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767,250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2,146,594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Stock Options(1)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349,558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Stock Awards(1)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1,538,515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3,340,485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Benefits &amp; Perquisites: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Health and Welfare Benefits(2)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8,645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17,256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Outplacement Assistance(3)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r>
      <w:tr>
        <w:trPr>
          <w:trHeight w:val="184"/>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Tax Gross Up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515"/>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tcPr>
          <w:p>
            <w:pPr>
              <w:jc w:val="right"/>
              <w:ind w:right="1060"/>
              <w:spacing w:after="0"/>
              <w:rPr>
                <w:sz w:val="20"/>
                <w:szCs w:val="20"/>
                <w:color w:val="auto"/>
              </w:rPr>
            </w:pPr>
            <w:r>
              <w:rPr>
                <w:rFonts w:ascii="Arial" w:cs="Arial" w:eastAsia="Arial" w:hAnsi="Arial"/>
                <w:sz w:val="15"/>
                <w:szCs w:val="15"/>
                <w:b w:val="1"/>
                <w:bCs w:val="1"/>
                <w:color w:val="auto"/>
              </w:rPr>
              <w:t>Ron R. Green</w:t>
            </w:r>
          </w:p>
        </w:tc>
        <w:tc>
          <w:tcPr>
            <w:tcW w:w="100" w:type="dxa"/>
            <w:vAlign w:val="bottom"/>
          </w:tcPr>
          <w:p>
            <w:pPr>
              <w:spacing w:after="0"/>
              <w:rPr>
                <w:sz w:val="24"/>
                <w:szCs w:val="24"/>
                <w:color w:val="auto"/>
              </w:rPr>
            </w:pPr>
          </w:p>
        </w:tc>
        <w:tc>
          <w:tcPr>
            <w:tcW w:w="2220" w:type="dxa"/>
            <w:vAlign w:val="bottom"/>
            <w:gridSpan w:val="3"/>
          </w:tcPr>
          <w:p>
            <w:pPr>
              <w:ind w:left="600"/>
              <w:spacing w:after="0"/>
              <w:rPr>
                <w:sz w:val="20"/>
                <w:szCs w:val="20"/>
                <w:color w:val="auto"/>
              </w:rPr>
            </w:pPr>
            <w:r>
              <w:rPr>
                <w:rFonts w:ascii="Arial" w:cs="Arial" w:eastAsia="Arial" w:hAnsi="Arial"/>
                <w:sz w:val="15"/>
                <w:szCs w:val="15"/>
                <w:b w:val="1"/>
                <w:bCs w:val="1"/>
                <w:color w:val="auto"/>
              </w:rPr>
              <w:t>Peter L. McCann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20"/>
              <w:spacing w:after="0" w:line="152" w:lineRule="exact"/>
              <w:rPr>
                <w:sz w:val="20"/>
                <w:szCs w:val="20"/>
                <w:color w:val="auto"/>
              </w:rPr>
            </w:pPr>
            <w:r>
              <w:rPr>
                <w:rFonts w:ascii="Arial" w:cs="Arial" w:eastAsia="Arial" w:hAnsi="Arial"/>
                <w:sz w:val="15"/>
                <w:szCs w:val="15"/>
                <w:b w:val="1"/>
                <w:bCs w:val="1"/>
                <w:color w:val="auto"/>
                <w:w w:val="91"/>
              </w:rPr>
              <w:t>Involuntary</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20"/>
              <w:spacing w:after="0" w:line="152" w:lineRule="exact"/>
              <w:rPr>
                <w:sz w:val="20"/>
                <w:szCs w:val="20"/>
                <w:color w:val="auto"/>
              </w:rPr>
            </w:pPr>
            <w:r>
              <w:rPr>
                <w:rFonts w:ascii="Arial" w:cs="Arial" w:eastAsia="Arial" w:hAnsi="Arial"/>
                <w:sz w:val="15"/>
                <w:szCs w:val="15"/>
                <w:b w:val="1"/>
                <w:bCs w:val="1"/>
                <w:color w:val="auto"/>
                <w:w w:val="91"/>
              </w:rPr>
              <w:t>Involuntary</w:t>
            </w: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Not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Not for</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Cause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Cause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Termination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Termination</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without an Oil</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Termination</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without an Oil</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8"/>
              </w:rPr>
              <w:t>Termination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79"/>
              </w:rPr>
              <w:t>States</w:t>
            </w:r>
          </w:p>
        </w:tc>
        <w:tc>
          <w:tcPr>
            <w:tcW w:w="13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with an Oil States</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States</w:t>
            </w:r>
          </w:p>
        </w:tc>
        <w:tc>
          <w:tcPr>
            <w:tcW w:w="1240" w:type="dxa"/>
            <w:vAlign w:val="bottom"/>
            <w:gridSpan w:val="3"/>
          </w:tcPr>
          <w:p>
            <w:pPr>
              <w:ind w:left="20"/>
              <w:spacing w:after="0"/>
              <w:rPr>
                <w:sz w:val="20"/>
                <w:szCs w:val="20"/>
                <w:color w:val="auto"/>
              </w:rPr>
            </w:pPr>
            <w:r>
              <w:rPr>
                <w:rFonts w:ascii="Arial" w:cs="Arial" w:eastAsia="Arial" w:hAnsi="Arial"/>
                <w:sz w:val="15"/>
                <w:szCs w:val="15"/>
                <w:b w:val="1"/>
                <w:bCs w:val="1"/>
                <w:color w:val="auto"/>
                <w:w w:val="95"/>
              </w:rPr>
              <w:t>with an Oil States</w:t>
            </w: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Change of</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Change of</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4"/>
              </w:rPr>
              <w:t>Change of</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7"/>
              </w:rPr>
              <w:t>Change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Executive benefits and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Control</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Control</w:t>
            </w: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Control</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9"/>
              </w:rPr>
              <w:t>Control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Payments Upon</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on</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on</w:t>
            </w: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76"/>
              </w:rPr>
              <w:t>on</w:t>
            </w:r>
          </w:p>
        </w:tc>
        <w:tc>
          <w:tcPr>
            <w:tcW w:w="960" w:type="dxa"/>
            <w:vAlign w:val="bottom"/>
          </w:tcPr>
          <w:p>
            <w:pPr>
              <w:jc w:val="center"/>
              <w:ind w:left="87"/>
              <w:spacing w:after="0"/>
              <w:rPr>
                <w:sz w:val="20"/>
                <w:szCs w:val="20"/>
                <w:color w:val="auto"/>
              </w:rPr>
            </w:pPr>
            <w:r>
              <w:rPr>
                <w:rFonts w:ascii="Arial" w:cs="Arial" w:eastAsia="Arial" w:hAnsi="Arial"/>
                <w:sz w:val="15"/>
                <w:szCs w:val="15"/>
                <w:b w:val="1"/>
                <w:bCs w:val="1"/>
                <w:color w:val="auto"/>
                <w:w w:val="87"/>
              </w:rPr>
              <w:t>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Separation</w:t>
            </w:r>
          </w:p>
        </w:tc>
        <w:tc>
          <w:tcPr>
            <w:tcW w:w="100" w:type="dxa"/>
            <w:vAlign w:val="bottom"/>
          </w:tcPr>
          <w:p>
            <w:pPr>
              <w:spacing w:after="0"/>
              <w:rPr>
                <w:sz w:val="16"/>
                <w:szCs w:val="16"/>
                <w:color w:val="auto"/>
              </w:rPr>
            </w:pPr>
          </w:p>
        </w:tc>
        <w:tc>
          <w:tcPr>
            <w:tcW w:w="1060" w:type="dxa"/>
            <w:vAlign w:val="bottom"/>
          </w:tcPr>
          <w:p>
            <w:pPr>
              <w:jc w:val="center"/>
              <w:ind w:right="7"/>
              <w:spacing w:after="0"/>
              <w:rPr>
                <w:sz w:val="20"/>
                <w:szCs w:val="20"/>
                <w:color w:val="auto"/>
              </w:rPr>
            </w:pPr>
            <w:r>
              <w:rPr>
                <w:rFonts w:ascii="Arial" w:cs="Arial" w:eastAsia="Arial" w:hAnsi="Arial"/>
                <w:sz w:val="15"/>
                <w:szCs w:val="15"/>
                <w:b w:val="1"/>
                <w:bCs w:val="1"/>
                <w:color w:val="auto"/>
                <w:w w:val="87"/>
              </w:rPr>
              <w:t>12/31/2013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Arial" w:cs="Arial" w:eastAsia="Arial" w:hAnsi="Arial"/>
                <w:sz w:val="15"/>
                <w:szCs w:val="15"/>
                <w:b w:val="1"/>
                <w:bCs w:val="1"/>
                <w:color w:val="auto"/>
                <w:w w:val="87"/>
              </w:rPr>
              <w:t>12/31/2013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7"/>
              <w:spacing w:after="0"/>
              <w:rPr>
                <w:sz w:val="20"/>
                <w:szCs w:val="20"/>
                <w:color w:val="auto"/>
              </w:rPr>
            </w:pPr>
            <w:r>
              <w:rPr>
                <w:rFonts w:ascii="Arial" w:cs="Arial" w:eastAsia="Arial" w:hAnsi="Arial"/>
                <w:sz w:val="15"/>
                <w:szCs w:val="15"/>
                <w:b w:val="1"/>
                <w:bCs w:val="1"/>
                <w:color w:val="auto"/>
                <w:w w:val="87"/>
              </w:rPr>
              <w:t>12/31/2013</w:t>
            </w:r>
          </w:p>
        </w:tc>
        <w:tc>
          <w:tcPr>
            <w:tcW w:w="220" w:type="dxa"/>
            <w:vAlign w:val="bottom"/>
          </w:tcPr>
          <w:p>
            <w:pPr>
              <w:spacing w:after="0"/>
              <w:rPr>
                <w:sz w:val="16"/>
                <w:szCs w:val="16"/>
                <w:color w:val="auto"/>
              </w:rPr>
            </w:pPr>
          </w:p>
        </w:tc>
        <w:tc>
          <w:tcPr>
            <w:tcW w:w="960" w:type="dxa"/>
            <w:vAlign w:val="bottom"/>
          </w:tcPr>
          <w:p>
            <w:pPr>
              <w:jc w:val="center"/>
              <w:ind w:left="107"/>
              <w:spacing w:after="0"/>
              <w:rPr>
                <w:sz w:val="20"/>
                <w:szCs w:val="20"/>
                <w:color w:val="auto"/>
              </w:rPr>
            </w:pPr>
            <w:r>
              <w:rPr>
                <w:rFonts w:ascii="Arial" w:cs="Arial" w:eastAsia="Arial" w:hAnsi="Arial"/>
                <w:sz w:val="15"/>
                <w:szCs w:val="15"/>
                <w:b w:val="1"/>
                <w:bCs w:val="1"/>
                <w:color w:val="auto"/>
                <w:w w:val="87"/>
              </w:rPr>
              <w:t>12/31/2013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96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Compensation:</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Cash Severance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805,000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1,610,000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Stock Options(1)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520,406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Stock Awards(1)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508,600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2,715,924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Benefits &amp; Perquisites: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080" w:type="dxa"/>
            <w:vAlign w:val="bottom"/>
            <w:gridSpan w:val="2"/>
          </w:tcPr>
          <w:p>
            <w:pPr>
              <w:ind w:left="360"/>
              <w:spacing w:after="0"/>
              <w:rPr>
                <w:sz w:val="20"/>
                <w:szCs w:val="20"/>
                <w:color w:val="auto"/>
              </w:rPr>
            </w:pPr>
            <w:r>
              <w:rPr>
                <w:rFonts w:ascii="Arial" w:cs="Arial" w:eastAsia="Arial" w:hAnsi="Arial"/>
                <w:sz w:val="15"/>
                <w:szCs w:val="15"/>
                <w:color w:val="auto"/>
              </w:rPr>
              <w:t>Health and Welfare Benefits(2)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8,562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75"/>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Outplacement Assistance(3)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64,840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r>
      <w:tr>
        <w:trPr>
          <w:trHeight w:val="164"/>
        </w:trPr>
        <w:tc>
          <w:tcPr>
            <w:tcW w:w="6080" w:type="dxa"/>
            <w:vAlign w:val="bottom"/>
            <w:gridSpan w:val="2"/>
          </w:tcPr>
          <w:p>
            <w:pPr>
              <w:ind w:left="360"/>
              <w:spacing w:after="0" w:line="164" w:lineRule="exact"/>
              <w:rPr>
                <w:sz w:val="20"/>
                <w:szCs w:val="20"/>
                <w:color w:val="auto"/>
              </w:rPr>
            </w:pPr>
            <w:r>
              <w:rPr>
                <w:rFonts w:ascii="Arial" w:cs="Arial" w:eastAsia="Arial" w:hAnsi="Arial"/>
                <w:sz w:val="15"/>
                <w:szCs w:val="15"/>
                <w:color w:val="auto"/>
              </w:rPr>
              <w:t>Tax Gross Up</w:t>
            </w:r>
          </w:p>
        </w:tc>
        <w:tc>
          <w:tcPr>
            <w:tcW w:w="100" w:type="dxa"/>
            <w:vAlign w:val="bottom"/>
          </w:tcPr>
          <w:p>
            <w:pPr>
              <w:jc w:val="right"/>
              <w:spacing w:after="0" w:line="164"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line="164"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4" w:lineRule="exact"/>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164"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64"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900"/>
              <w:spacing w:after="0" w:line="164" w:lineRule="exact"/>
              <w:rPr>
                <w:sz w:val="20"/>
                <w:szCs w:val="20"/>
                <w:color w:val="auto"/>
              </w:rPr>
            </w:pPr>
            <w:r>
              <w:rPr>
                <w:rFonts w:ascii="Arial" w:cs="Arial" w:eastAsia="Arial" w:hAnsi="Arial"/>
                <w:sz w:val="15"/>
                <w:szCs w:val="15"/>
                <w:color w:val="auto"/>
              </w:rPr>
              <w:t>—</w:t>
            </w:r>
          </w:p>
        </w:tc>
        <w:tc>
          <w:tcPr>
            <w:tcW w:w="96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280" w:type="dxa"/>
            <w:vAlign w:val="bottom"/>
            <w:gridSpan w:val="2"/>
          </w:tcPr>
          <w:p>
            <w:pPr>
              <w:ind w:left="20"/>
              <w:spacing w:after="0" w:line="164" w:lineRule="exact"/>
              <w:rPr>
                <w:sz w:val="20"/>
                <w:szCs w:val="20"/>
                <w:color w:val="auto"/>
              </w:rPr>
            </w:pPr>
            <w:r>
              <w:rPr>
                <w:rFonts w:ascii="Arial" w:cs="Arial" w:eastAsia="Arial" w:hAnsi="Arial"/>
                <w:sz w:val="15"/>
                <w:szCs w:val="15"/>
                <w:color w:val="auto"/>
              </w:rPr>
              <w:t>—</w:t>
            </w:r>
          </w:p>
        </w:tc>
      </w:tr>
      <w:tr>
        <w:trPr>
          <w:trHeight w:val="184"/>
        </w:trPr>
        <w:tc>
          <w:tcPr>
            <w:tcW w:w="5960" w:type="dxa"/>
            <w:vAlign w:val="bottom"/>
          </w:tcPr>
          <w:p>
            <w:pPr>
              <w:spacing w:after="0"/>
              <w:rPr>
                <w:sz w:val="20"/>
                <w:szCs w:val="20"/>
                <w:color w:val="auto"/>
              </w:rPr>
            </w:pPr>
            <w:r>
              <w:rPr>
                <w:rFonts w:ascii="Arial" w:cs="Arial" w:eastAsia="Arial" w:hAnsi="Arial"/>
                <w:sz w:val="15"/>
                <w:szCs w:val="15"/>
                <w:color w:val="auto"/>
              </w:rPr>
              <w:t>________________</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ind w:left="260" w:right="40" w:hanging="253"/>
        <w:spacing w:after="0" w:line="304" w:lineRule="auto"/>
        <w:tabs>
          <w:tab w:leader="none" w:pos="260" w:val="left"/>
        </w:tabs>
        <w:numPr>
          <w:ilvl w:val="0"/>
          <w:numId w:val="314"/>
        </w:numPr>
        <w:rPr>
          <w:rFonts w:ascii="Arial" w:cs="Arial" w:eastAsia="Arial" w:hAnsi="Arial"/>
          <w:sz w:val="12"/>
          <w:szCs w:val="12"/>
          <w:color w:val="auto"/>
        </w:rPr>
      </w:pPr>
      <w:r>
        <w:rPr>
          <w:rFonts w:ascii="Arial" w:cs="Arial" w:eastAsia="Arial" w:hAnsi="Arial"/>
          <w:sz w:val="12"/>
          <w:szCs w:val="12"/>
          <w:color w:val="auto"/>
        </w:rPr>
        <w:t>Reflects the value of unvested stock options, restricted stock awards, phantom stock awards, and performance based awards as of December 31, 2013 that would be accelerated as a result of the separation event based on Oil States’ stock price of $101.72, which was the closing market price of Oil States’ common stock as of December 31, 2013. Performance based awards have been quantified assuming that the performance period ended on December 31, 2013 and that the performance level achievement would have been 200% of target. The amounts reported in the “Stock Options” row would also be realized by the Named Executive Officers in the event of a Named Executive Officer’s disability, retirement or death occurring on December 31, 2013.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2013.</w:t>
      </w:r>
    </w:p>
    <w:p>
      <w:pPr>
        <w:ind w:left="260" w:right="180" w:hanging="253"/>
        <w:spacing w:after="0" w:line="243" w:lineRule="auto"/>
        <w:tabs>
          <w:tab w:leader="none" w:pos="2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Reflects the estimated lump-sum present value of all future premiums which will be paid on behalf of the Named Executive Officer under Oil States’ health and welfare benefit plans for the applicable continuation period specified in the Executive Agreements.</w:t>
      </w:r>
    </w:p>
    <w:p>
      <w:pPr>
        <w:ind w:left="260" w:hanging="253"/>
        <w:spacing w:after="0"/>
        <w:tabs>
          <w:tab w:leader="none" w:pos="2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Reflects the maximum amount of outplacement assistance that would be provided for the Named Executive Officer pursuant to the Executive Agreement.</w:t>
      </w:r>
    </w:p>
    <w:p>
      <w:pPr>
        <w:spacing w:after="0" w:line="2" w:lineRule="exact"/>
        <w:rPr>
          <w:rFonts w:ascii="Arial" w:cs="Arial" w:eastAsia="Arial" w:hAnsi="Arial"/>
          <w:sz w:val="15"/>
          <w:szCs w:val="15"/>
          <w:color w:val="auto"/>
        </w:rPr>
      </w:pPr>
    </w:p>
    <w:p>
      <w:pPr>
        <w:ind w:left="260" w:right="60" w:hanging="253"/>
        <w:spacing w:after="0" w:line="244" w:lineRule="auto"/>
        <w:tabs>
          <w:tab w:leader="none" w:pos="2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See Named Executive Officers table in “Compensation Discussion and Analysis” for more information about Mr. Steininger’s employment arrangements; see also “Agreement with Our Chief Financial Officer” in “Compensation Discussion and Analysis” for a summary of the proposed severance protection arrangement with Mr. Steininger. It is anticipated that Mr. Steininger will enter into an Executive Agreement after the completion of the spin-off.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45" w:name="page346"/>
    <w:bookmarkEnd w:id="345"/>
    <w:p>
      <w:pPr>
        <w:jc w:val="center"/>
        <w:ind w:right="-59"/>
        <w:spacing w:after="0"/>
        <w:rPr>
          <w:sz w:val="20"/>
          <w:szCs w:val="20"/>
          <w:color w:val="auto"/>
        </w:rPr>
      </w:pPr>
      <w:r>
        <w:rPr>
          <w:rFonts w:ascii="Arial" w:cs="Arial" w:eastAsia="Arial" w:hAnsi="Arial"/>
          <w:sz w:val="15"/>
          <w:szCs w:val="15"/>
          <w:b w:val="1"/>
          <w:bCs w:val="1"/>
          <w:color w:val="auto"/>
        </w:rPr>
        <w:t>DIRECTOR COMPENSATION</w:t>
      </w:r>
    </w:p>
    <w:p>
      <w:pPr>
        <w:spacing w:after="0" w:line="181"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color w:val="auto"/>
        </w:rPr>
        <w:t>Our non-employee directors will receive compensation for their services on the board of directors. Following the separation, we expect our director compensation programs and amounts will be structured similarly to those currently in place at Oil States.</w:t>
      </w:r>
    </w:p>
    <w:p>
      <w:pPr>
        <w:spacing w:after="0" w:line="152" w:lineRule="exact"/>
        <w:rPr>
          <w:sz w:val="20"/>
          <w:szCs w:val="20"/>
          <w:color w:val="auto"/>
        </w:rPr>
      </w:pPr>
    </w:p>
    <w:p>
      <w:pPr>
        <w:ind w:firstLine="262"/>
        <w:spacing w:after="0" w:line="313" w:lineRule="auto"/>
        <w:rPr>
          <w:sz w:val="20"/>
          <w:szCs w:val="20"/>
          <w:color w:val="auto"/>
        </w:rPr>
      </w:pPr>
      <w:r>
        <w:rPr>
          <w:rFonts w:ascii="Arial" w:cs="Arial" w:eastAsia="Arial" w:hAnsi="Arial"/>
          <w:sz w:val="12"/>
          <w:szCs w:val="12"/>
          <w:color w:val="auto"/>
        </w:rPr>
        <w:t>Directors who are also our employees will not receive a retainer or fees for service on our board of directors or any committees. Mr. Dodson, a Director of Civeo and the Civeo’s President and Chief Executive Officer, will not receive director compensation. Directors who are not employees will receive an annual retainer of $50,000 and fees of $2,000 for attendance at each board of directors or committee meeting. The non-employee director who serves as the Chairman of the Board will receive an additional annual retainer of $100,000, which is paid quarterly 50% in cash and 50% in fully vested shares of Civeo common stock, and each non-employee director who serves as the chairman of the Compensation Committee or the Nominating &amp; Corporate Governance Committee will receive an additional annual retainer of $10,000. The chairman of the Audit Committee will receive an additional annual retainer of $17,500. Members of the Nominating &amp; Corporate Governance Committee and the Compensation Committee, other than the Committee chairman, will receive an additional annual retainer of $5,000 and members of the Audit Committee, other than the Committee Chairs, will receive an additional annual retainer of $10,000. Newly elected non-employee directors will receive restricted stock awards of Civeo common stock valued at $125,000 after their initial election. Non-employee directors will receive additional restricted stock awards of Civeo common stock valued at $125,000 at each annual stockholders’ meeting after which they continue to serve. The non-employee directors’ restricted stock awards will be valued on the award date based on the closing stock price and vest on the earlier of one year from the date of grant or the next annual stockholders’ meeting date following the date of grant.</w:t>
      </w:r>
    </w:p>
    <w:p>
      <w:pPr>
        <w:spacing w:after="0" w:line="304" w:lineRule="exact"/>
        <w:rPr>
          <w:sz w:val="20"/>
          <w:szCs w:val="20"/>
          <w:color w:val="auto"/>
        </w:rPr>
      </w:pPr>
    </w:p>
    <w:p>
      <w:pPr>
        <w:ind w:right="80" w:firstLine="262"/>
        <w:spacing w:after="0" w:line="247" w:lineRule="auto"/>
        <w:rPr>
          <w:sz w:val="20"/>
          <w:szCs w:val="20"/>
          <w:color w:val="auto"/>
        </w:rPr>
      </w:pPr>
      <w:r>
        <w:rPr>
          <w:rFonts w:ascii="Arial" w:cs="Arial" w:eastAsia="Arial" w:hAnsi="Arial"/>
          <w:sz w:val="15"/>
          <w:szCs w:val="15"/>
          <w:color w:val="auto"/>
        </w:rPr>
        <w:t>Non-Employee directors will also be subject to Civeo’s stock ownership and holding period guidelines pursuant to which they are expected to retain restricted stock award shares remaining, after payment of applicable taxes, valued at five times the annual retainer amount, or $250,000, until retirement or until leaving the board of directors. Once the ownership guideline is established for a director and communicated, the director has four years to attain the targeted level of ownership. All of our directors will be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6" w:right="259" w:bottom="1440" w:gutter="0" w:footer="0" w:header="0"/>
        </w:sectPr>
      </w:pPr>
    </w:p>
    <w:bookmarkStart w:id="346" w:name="page347"/>
    <w:bookmarkEnd w:id="346"/>
    <w:p>
      <w:pPr>
        <w:jc w:val="center"/>
        <w:ind w:right="-39"/>
        <w:spacing w:after="0"/>
        <w:rPr>
          <w:sz w:val="20"/>
          <w:szCs w:val="20"/>
          <w:color w:val="auto"/>
        </w:rPr>
      </w:pPr>
      <w:r>
        <w:rPr>
          <w:rFonts w:ascii="Arial" w:cs="Arial" w:eastAsia="Arial" w:hAnsi="Arial"/>
          <w:sz w:val="15"/>
          <w:szCs w:val="15"/>
          <w:b w:val="1"/>
          <w:bCs w:val="1"/>
          <w:color w:val="auto"/>
        </w:rPr>
        <w:t>SECURITY OWNERSHIP OF CERTAIN BENEFICIAL OWNERS AND MANAGEMENT</w:t>
      </w:r>
    </w:p>
    <w:p>
      <w:pPr>
        <w:spacing w:after="0" w:line="181" w:lineRule="exact"/>
        <w:rPr>
          <w:sz w:val="20"/>
          <w:szCs w:val="20"/>
          <w:color w:val="auto"/>
        </w:rPr>
      </w:pPr>
    </w:p>
    <w:p>
      <w:pPr>
        <w:ind w:right="160" w:firstLine="262"/>
        <w:spacing w:after="0" w:line="259" w:lineRule="auto"/>
        <w:rPr>
          <w:sz w:val="20"/>
          <w:szCs w:val="20"/>
          <w:color w:val="auto"/>
        </w:rPr>
      </w:pPr>
      <w:r>
        <w:rPr>
          <w:rFonts w:ascii="Arial" w:cs="Arial" w:eastAsia="Arial" w:hAnsi="Arial"/>
          <w:sz w:val="15"/>
          <w:szCs w:val="15"/>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152" w:lineRule="exact"/>
        <w:rPr>
          <w:sz w:val="20"/>
          <w:szCs w:val="20"/>
          <w:color w:val="auto"/>
        </w:rPr>
      </w:pPr>
    </w:p>
    <w:p>
      <w:pPr>
        <w:ind w:left="540" w:hanging="270"/>
        <w:spacing w:after="0"/>
        <w:tabs>
          <w:tab w:leader="none" w:pos="54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each shareholder who we believe (based on the assumptions described below) will beneficially own more than 5% of Civeo’s outstanding common stock;</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each person who is expected to serve as a director upon completion of the spin-off;</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each person who is expected to serve as an executive officer upon completion of the spin-off;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all persons who are expected to serve as directors or executive officers upon completion of the spin-off as a group.</w:t>
      </w:r>
    </w:p>
    <w:p>
      <w:pPr>
        <w:spacing w:after="0" w:line="177" w:lineRule="exact"/>
        <w:rPr>
          <w:sz w:val="20"/>
          <w:szCs w:val="20"/>
          <w:color w:val="auto"/>
        </w:rPr>
      </w:pPr>
    </w:p>
    <w:p>
      <w:pPr>
        <w:ind w:right="380" w:firstLine="262"/>
        <w:spacing w:after="0" w:line="304" w:lineRule="auto"/>
        <w:rPr>
          <w:sz w:val="20"/>
          <w:szCs w:val="20"/>
          <w:color w:val="auto"/>
        </w:rPr>
      </w:pPr>
      <w:r>
        <w:rPr>
          <w:rFonts w:ascii="Arial" w:cs="Arial" w:eastAsia="Arial" w:hAnsi="Arial"/>
          <w:sz w:val="15"/>
          <w:szCs w:val="15"/>
          <w:color w:val="auto"/>
        </w:rPr>
        <w:t>Except as otherwise noted below, we based the share amounts shown on each person’s beneficial ownership of Oil States common stock on April 30, 2014, and a distribution ratio of two shares of our common stock for each share of Oil States common stock held by such person.</w:t>
      </w:r>
    </w:p>
    <w:p>
      <w:pPr>
        <w:spacing w:after="0" w:line="131"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152" w:lineRule="exact"/>
        <w:rPr>
          <w:sz w:val="20"/>
          <w:szCs w:val="20"/>
          <w:color w:val="auto"/>
        </w:rPr>
      </w:pPr>
    </w:p>
    <w:p>
      <w:pPr>
        <w:ind w:right="40" w:firstLine="262"/>
        <w:spacing w:after="0" w:line="343" w:lineRule="auto"/>
        <w:rPr>
          <w:sz w:val="20"/>
          <w:szCs w:val="20"/>
          <w:color w:val="auto"/>
        </w:rPr>
      </w:pPr>
      <w:r>
        <w:rPr>
          <w:rFonts w:ascii="Arial" w:cs="Arial" w:eastAsia="Arial" w:hAnsi="Arial"/>
          <w:sz w:val="12"/>
          <w:szCs w:val="12"/>
          <w:color w:val="auto"/>
        </w:rPr>
        <w:t>Immediately following the spin-off, we expect to have approximately 23 stockholders of record and approximately 106,112,722 million shares of Civeo common stock outstanding, based on the number of registered stockholders of Oil States common stock on April 30, 2014. The actual number of shares of our common stock outstanding following the spin-off will be determined on May 21, 2014, the record date. As of April 30, 2014, Oil States had approximately 23 stockholders of record and approximately 53,054,661 million shares of Oil States common stock outstanding.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47" w:name="page348"/>
    <w:bookmarkEnd w:id="347"/>
    <w:p>
      <w:pPr>
        <w:ind w:right="300" w:firstLine="262"/>
        <w:spacing w:after="0" w:line="259" w:lineRule="auto"/>
        <w:rPr>
          <w:sz w:val="20"/>
          <w:szCs w:val="20"/>
          <w:color w:val="auto"/>
        </w:rPr>
      </w:pPr>
      <w:r>
        <w:rPr>
          <w:rFonts w:ascii="Arial" w:cs="Arial" w:eastAsia="Arial" w:hAnsi="Arial"/>
          <w:sz w:val="15"/>
          <w:szCs w:val="15"/>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3"/>
          </w:tcPr>
          <w:p>
            <w:pPr>
              <w:ind w:left="920"/>
              <w:spacing w:after="0"/>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77"/>
        </w:trPr>
        <w:tc>
          <w:tcPr>
            <w:tcW w:w="80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Name and Address of Beneficial Owners(1)</w:t>
            </w: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020" w:type="dxa"/>
            <w:vAlign w:val="bottom"/>
            <w:gridSpan w:val="3"/>
            <w:vMerge w:val="continue"/>
          </w:tcPr>
          <w:p>
            <w:pPr>
              <w:spacing w:after="0"/>
              <w:rPr>
                <w:sz w:val="14"/>
                <w:szCs w:val="14"/>
                <w:color w:val="auto"/>
              </w:rPr>
            </w:pPr>
          </w:p>
        </w:tc>
        <w:tc>
          <w:tcPr>
            <w:tcW w:w="1580" w:type="dxa"/>
            <w:vAlign w:val="bottom"/>
          </w:tcPr>
          <w:p>
            <w:pPr>
              <w:ind w:left="580"/>
              <w:spacing w:after="0" w:line="166" w:lineRule="exact"/>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4"/>
                <w:szCs w:val="14"/>
                <w:color w:val="auto"/>
              </w:rPr>
            </w:pPr>
          </w:p>
        </w:tc>
        <w:tc>
          <w:tcPr>
            <w:tcW w:w="15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86"/>
              </w:rPr>
              <w:t>Percentage(2)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Jana Partners LLC(3)</w:t>
            </w:r>
          </w:p>
        </w:tc>
        <w:tc>
          <w:tcPr>
            <w:tcW w:w="120" w:type="dxa"/>
            <w:vAlign w:val="bottom"/>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w w:val="85"/>
              </w:rPr>
              <w:t>12,241,760</w:t>
            </w:r>
          </w:p>
        </w:tc>
        <w:tc>
          <w:tcPr>
            <w:tcW w:w="100" w:type="dxa"/>
            <w:vAlign w:val="bottom"/>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w w:val="89"/>
              </w:rPr>
              <w:t>11.5%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gridSpan w:val="2"/>
          </w:tcPr>
          <w:p>
            <w:pPr>
              <w:ind w:left="320"/>
              <w:spacing w:after="0" w:line="164" w:lineRule="exact"/>
              <w:rPr>
                <w:sz w:val="20"/>
                <w:szCs w:val="20"/>
                <w:color w:val="auto"/>
              </w:rPr>
            </w:pPr>
            <w:r>
              <w:rPr>
                <w:rFonts w:ascii="Arial" w:cs="Arial" w:eastAsia="Arial" w:hAnsi="Arial"/>
                <w:sz w:val="12"/>
                <w:szCs w:val="12"/>
                <w:color w:val="auto"/>
              </w:rPr>
              <w:t>767 Fifth Avenue, 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gridSpan w:val="2"/>
          </w:tcPr>
          <w:p>
            <w:pPr>
              <w:ind w:left="320"/>
              <w:spacing w:after="0"/>
              <w:rPr>
                <w:sz w:val="20"/>
                <w:szCs w:val="20"/>
                <w:color w:val="auto"/>
              </w:rPr>
            </w:pPr>
            <w:r>
              <w:rPr>
                <w:rFonts w:ascii="Arial" w:cs="Arial" w:eastAsia="Arial" w:hAnsi="Arial"/>
                <w:sz w:val="15"/>
                <w:szCs w:val="15"/>
                <w:color w:val="auto"/>
              </w:rPr>
              <w:t>New York, NY 10153</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Capital World Investors(4)</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11,824,000</w:t>
            </w:r>
          </w:p>
        </w:tc>
        <w:tc>
          <w:tcPr>
            <w:tcW w:w="16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9"/>
              </w:rPr>
              <w:t>11.1%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333 South Hope Street</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gridSpan w:val="2"/>
          </w:tcPr>
          <w:p>
            <w:pPr>
              <w:ind w:left="320"/>
              <w:spacing w:after="0"/>
              <w:rPr>
                <w:sz w:val="20"/>
                <w:szCs w:val="20"/>
                <w:color w:val="auto"/>
              </w:rPr>
            </w:pPr>
            <w:r>
              <w:rPr>
                <w:rFonts w:ascii="Arial" w:cs="Arial" w:eastAsia="Arial" w:hAnsi="Arial"/>
                <w:sz w:val="15"/>
                <w:szCs w:val="15"/>
                <w:color w:val="auto"/>
              </w:rPr>
              <w:t>Los Angeles, CA 90071</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FMR LLC(5)</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7,879,538</w:t>
            </w:r>
          </w:p>
        </w:tc>
        <w:tc>
          <w:tcPr>
            <w:tcW w:w="16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82 Devonshire Street</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gridSpan w:val="2"/>
          </w:tcPr>
          <w:p>
            <w:pPr>
              <w:ind w:left="320"/>
              <w:spacing w:after="0"/>
              <w:rPr>
                <w:sz w:val="20"/>
                <w:szCs w:val="20"/>
                <w:color w:val="auto"/>
              </w:rPr>
            </w:pPr>
            <w:r>
              <w:rPr>
                <w:rFonts w:ascii="Arial" w:cs="Arial" w:eastAsia="Arial" w:hAnsi="Arial"/>
                <w:sz w:val="15"/>
                <w:szCs w:val="15"/>
                <w:color w:val="auto"/>
              </w:rPr>
              <w:t>Boston, Massachusetts 02109</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BlackRock, Inc(6)</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7,696,208</w:t>
            </w:r>
          </w:p>
        </w:tc>
        <w:tc>
          <w:tcPr>
            <w:tcW w:w="16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7.3%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40 East 52nd Street</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gridSpan w:val="2"/>
          </w:tcPr>
          <w:p>
            <w:pPr>
              <w:ind w:left="320"/>
              <w:spacing w:after="0"/>
              <w:rPr>
                <w:sz w:val="20"/>
                <w:szCs w:val="20"/>
                <w:color w:val="auto"/>
              </w:rPr>
            </w:pPr>
            <w:r>
              <w:rPr>
                <w:rFonts w:ascii="Arial" w:cs="Arial" w:eastAsia="Arial" w:hAnsi="Arial"/>
                <w:sz w:val="15"/>
                <w:szCs w:val="15"/>
                <w:color w:val="auto"/>
              </w:rPr>
              <w:t>New York, NY 10022</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Vanguard Group(7)</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6,352,822</w:t>
            </w:r>
          </w:p>
        </w:tc>
        <w:tc>
          <w:tcPr>
            <w:tcW w:w="168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87"/>
              </w:rPr>
              <w:t>6.0%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100 Vanguard Blvd</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0" w:type="dxa"/>
            <w:vAlign w:val="bottom"/>
            <w:gridSpan w:val="2"/>
          </w:tcPr>
          <w:p>
            <w:pPr>
              <w:ind w:left="320"/>
              <w:spacing w:after="0"/>
              <w:rPr>
                <w:sz w:val="20"/>
                <w:szCs w:val="20"/>
                <w:color w:val="auto"/>
              </w:rPr>
            </w:pPr>
            <w:r>
              <w:rPr>
                <w:rFonts w:ascii="Arial" w:cs="Arial" w:eastAsia="Arial" w:hAnsi="Arial"/>
                <w:sz w:val="15"/>
                <w:szCs w:val="15"/>
                <w:color w:val="auto"/>
              </w:rPr>
              <w:t>Malvern, PA 19355</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Bradley J. Dodson(8)(9)</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266,793</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5"/>
                <w:szCs w:val="15"/>
                <w:color w:val="auto"/>
              </w:rPr>
              <w:t>Frank C. Steininger(9)</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68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 R. Green(8)</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261,122</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5"/>
                <w:szCs w:val="15"/>
                <w:color w:val="auto"/>
              </w:rPr>
              <w:t>Peter McCann</w:t>
            </w:r>
          </w:p>
        </w:tc>
        <w:tc>
          <w:tcPr>
            <w:tcW w:w="1580" w:type="dxa"/>
            <w:vAlign w:val="bottom"/>
          </w:tcPr>
          <w:p>
            <w:pPr>
              <w:jc w:val="center"/>
              <w:spacing w:after="0"/>
              <w:rPr>
                <w:sz w:val="20"/>
                <w:szCs w:val="20"/>
                <w:color w:val="auto"/>
              </w:rPr>
            </w:pPr>
            <w:r>
              <w:rPr>
                <w:rFonts w:ascii="Arial" w:cs="Arial" w:eastAsia="Arial" w:hAnsi="Arial"/>
                <w:sz w:val="15"/>
                <w:szCs w:val="15"/>
                <w:color w:val="auto"/>
                <w:w w:val="85"/>
              </w:rPr>
              <w:t>9,364</w:t>
            </w:r>
          </w:p>
        </w:tc>
        <w:tc>
          <w:tcPr>
            <w:tcW w:w="168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Martin A. Lambert</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67,766</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5"/>
                <w:szCs w:val="15"/>
                <w:color w:val="auto"/>
              </w:rPr>
              <w:t>Constance B. Moore</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68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Richard A. Navarre</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5"/>
                <w:szCs w:val="15"/>
                <w:color w:val="auto"/>
              </w:rPr>
              <w:t>Gary L. Rosenthal</w:t>
            </w:r>
          </w:p>
        </w:tc>
        <w:tc>
          <w:tcPr>
            <w:tcW w:w="1580" w:type="dxa"/>
            <w:vAlign w:val="bottom"/>
          </w:tcPr>
          <w:p>
            <w:pPr>
              <w:jc w:val="center"/>
              <w:spacing w:after="0"/>
              <w:rPr>
                <w:sz w:val="20"/>
                <w:szCs w:val="20"/>
                <w:color w:val="auto"/>
              </w:rPr>
            </w:pPr>
            <w:r>
              <w:rPr>
                <w:rFonts w:ascii="Arial" w:cs="Arial" w:eastAsia="Arial" w:hAnsi="Arial"/>
                <w:sz w:val="15"/>
                <w:szCs w:val="15"/>
                <w:color w:val="auto"/>
                <w:w w:val="87"/>
              </w:rPr>
              <w:t>49,498</w:t>
            </w:r>
          </w:p>
        </w:tc>
        <w:tc>
          <w:tcPr>
            <w:tcW w:w="168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Douglas E. Swanson</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102,188</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5"/>
                <w:szCs w:val="15"/>
                <w:color w:val="auto"/>
              </w:rPr>
              <w:t>Charles Szalkowski</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68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directors and executive officers as a group (16 persons)(8)</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756,731</w:t>
            </w:r>
          </w:p>
        </w:tc>
        <w:tc>
          <w:tcPr>
            <w:tcW w:w="16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ind w:left="260" w:hanging="216"/>
        <w:spacing w:after="0"/>
        <w:tabs>
          <w:tab w:leader="none" w:pos="26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11" w:lineRule="exact"/>
        <w:rPr>
          <w:sz w:val="20"/>
          <w:szCs w:val="20"/>
          <w:color w:val="auto"/>
        </w:rPr>
      </w:pPr>
    </w:p>
    <w:p>
      <w:pPr>
        <w:ind w:left="260" w:hanging="253"/>
        <w:spacing w:after="0"/>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Unless otherwise indicated, the address of each beneficial owner is c/o Civeo Corporation, Three Allen Center, 333 Clay Street, Suite 4980, Houston, Texas 77002.</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Based on total shares outstanding of 106,112,722 as of April 30, 2014.</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Based on a Form 4 filed with the SEC pursuant to the Exchange Act on December 30, 2013.</w:t>
      </w:r>
    </w:p>
    <w:p>
      <w:pPr>
        <w:spacing w:after="0" w:line="2" w:lineRule="exact"/>
        <w:rPr>
          <w:rFonts w:ascii="Arial" w:cs="Arial" w:eastAsia="Arial" w:hAnsi="Arial"/>
          <w:sz w:val="15"/>
          <w:szCs w:val="15"/>
          <w:color w:val="auto"/>
        </w:rPr>
      </w:pPr>
    </w:p>
    <w:p>
      <w:pPr>
        <w:ind w:left="260" w:hanging="253"/>
        <w:spacing w:after="0" w:line="260" w:lineRule="auto"/>
        <w:tabs>
          <w:tab w:leader="none" w:pos="26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Based on a Schedule 13G (Amendment No. 1) filed with the SEC pursuant to the Exchange Act on February 13, 2014. The shares reported represent the aggregate beneficial interest owned by Capital World Investors. Capital World Investors may be deemed to have sole voting power and sole dispositive power with respect to 11,924,000 shares.</w:t>
      </w:r>
    </w:p>
    <w:p>
      <w:pPr>
        <w:ind w:left="260" w:hanging="253"/>
        <w:spacing w:after="0" w:line="243" w:lineRule="auto"/>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Based on a Schedule 13G-A (Amendment No. 11) filed with the SEC pursuant to the Exchange Act on February 14, 2013, the shares reported represent the aggregated beneficial ownership by FMR LLC (“FMR”) (together with its wholly owned subsidiaries). FMR may be deemed to have sole voting power with respect to 86,888 shares and sole dispositive power with respect to 7,879,538 shares. FMR has no shared voting or dispositive power with respect to any of the shares shown.</w:t>
      </w:r>
    </w:p>
    <w:p>
      <w:pPr>
        <w:ind w:left="260" w:right="60" w:hanging="253"/>
        <w:spacing w:after="0" w:line="260" w:lineRule="auto"/>
        <w:tabs>
          <w:tab w:leader="none" w:pos="26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Based on a Schedule 13G-A (Amendment No. 4) filed pursuant to the Exchange Act on January 30, 2014, the shares reported represent the aggregate beneficial ownership by BlackRock, Inc. and certain of its affiliates. BlackRock, Inc. may be deemed to have sole voting power and sole dispositive power with respect to 7,696,208 shares.</w:t>
      </w:r>
    </w:p>
    <w:p>
      <w:pPr>
        <w:ind w:left="260" w:right="140" w:hanging="253"/>
        <w:spacing w:after="0" w:line="243" w:lineRule="auto"/>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Based on a Schedule 13G filed with the SEC pursuant to the Exchange Act on February 12, 2014. The shares reported represent the aggregated beneficial ownership by the Vanguard Group. The Vanguard Group may be deemed to have the sole voting power with respect to 68,954 shares and sole dispositive power with respect to 3,145,734 and shared dispositive power with respect to 61,354 shares.</w:t>
      </w:r>
    </w:p>
    <w:p>
      <w:pPr>
        <w:ind w:left="260" w:right="840" w:hanging="253"/>
        <w:spacing w:after="0" w:line="243" w:lineRule="auto"/>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Includes shares that may be acquired within 60 days of April 30, 2014 through the exercise of options to purchase shares of our common stock as follows: Mr. Dodson—190,727 and Mr. Green—227,272.</w:t>
      </w:r>
    </w:p>
    <w:p>
      <w:pPr>
        <w:ind w:left="260" w:hanging="253"/>
        <w:spacing w:after="0"/>
        <w:tabs>
          <w:tab w:leader="none" w:pos="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Does not include the restricted shares that Mr. Dodson and Mr. Steininger are expected to receive under the EPP upon completion of the spin-off.</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48" w:name="page349"/>
    <w:bookmarkEnd w:id="348"/>
    <w:p>
      <w:pPr>
        <w:jc w:val="center"/>
        <w:ind w:right="-79"/>
        <w:spacing w:after="0"/>
        <w:rPr>
          <w:sz w:val="20"/>
          <w:szCs w:val="20"/>
          <w:color w:val="auto"/>
        </w:rPr>
      </w:pPr>
      <w:r>
        <w:rPr>
          <w:rFonts w:ascii="Arial" w:cs="Arial" w:eastAsia="Arial" w:hAnsi="Arial"/>
          <w:sz w:val="15"/>
          <w:szCs w:val="15"/>
          <w:b w:val="1"/>
          <w:bCs w:val="1"/>
          <w:color w:val="auto"/>
        </w:rPr>
        <w:t>ARRANGEMENTS BETWEEN OIL STATES AND OUR COMPANY</w:t>
      </w:r>
    </w:p>
    <w:p>
      <w:pPr>
        <w:spacing w:after="0" w:line="181" w:lineRule="exact"/>
        <w:rPr>
          <w:sz w:val="20"/>
          <w:szCs w:val="20"/>
          <w:color w:val="auto"/>
        </w:rPr>
      </w:pPr>
    </w:p>
    <w:p>
      <w:pPr>
        <w:ind w:right="20" w:firstLine="262"/>
        <w:spacing w:after="0" w:line="269" w:lineRule="auto"/>
        <w:rPr>
          <w:sz w:val="20"/>
          <w:szCs w:val="20"/>
          <w:color w:val="auto"/>
        </w:rPr>
      </w:pPr>
      <w:r>
        <w:rPr>
          <w:rFonts w:ascii="Arial" w:cs="Arial" w:eastAsia="Arial" w:hAnsi="Arial"/>
          <w:sz w:val="14"/>
          <w:szCs w:val="14"/>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47" w:lineRule="exact"/>
        <w:rPr>
          <w:sz w:val="20"/>
          <w:szCs w:val="20"/>
          <w:color w:val="auto"/>
        </w:rPr>
      </w:pPr>
    </w:p>
    <w:p>
      <w:pPr>
        <w:ind w:right="60" w:firstLine="262"/>
        <w:spacing w:after="0" w:line="259" w:lineRule="auto"/>
        <w:rPr>
          <w:sz w:val="20"/>
          <w:szCs w:val="20"/>
          <w:color w:val="auto"/>
        </w:rPr>
      </w:pPr>
      <w:r>
        <w:rPr>
          <w:rFonts w:ascii="Arial" w:cs="Arial" w:eastAsia="Arial" w:hAnsi="Arial"/>
          <w:sz w:val="15"/>
          <w:szCs w:val="15"/>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Separation and Distribution Agreement</w:t>
      </w:r>
    </w:p>
    <w:p>
      <w:pPr>
        <w:spacing w:after="0" w:line="181" w:lineRule="exact"/>
        <w:rPr>
          <w:sz w:val="20"/>
          <w:szCs w:val="20"/>
          <w:color w:val="auto"/>
        </w:rPr>
      </w:pPr>
    </w:p>
    <w:p>
      <w:pPr>
        <w:ind w:right="20" w:firstLine="262"/>
        <w:spacing w:after="0" w:line="312" w:lineRule="auto"/>
        <w:rPr>
          <w:sz w:val="20"/>
          <w:szCs w:val="20"/>
          <w:color w:val="auto"/>
        </w:rPr>
      </w:pPr>
      <w:r>
        <w:rPr>
          <w:rFonts w:ascii="Arial" w:cs="Arial" w:eastAsia="Arial" w:hAnsi="Arial"/>
          <w:sz w:val="12"/>
          <w:szCs w:val="12"/>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As a result of this transfer, we will own all assets exclusively related to the accommodations business and will assume all liabilities to the extent related to the accommodations business. Oil States will generally retain all other assets and liabilities, including assets and liabilities related to discontinued, non-accommodation businesses. The Separation and Distribution Agreement will require Oil States and us to endeavor to obtain consents, approvals and amendments required to novate or assign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assets and liabilities that are to be transferred pursuant to the Separation and Distribution Agreement as soon as reasonably practicable.</w:t>
      </w:r>
    </w:p>
    <w:p>
      <w:pPr>
        <w:spacing w:after="0" w:line="188" w:lineRule="exact"/>
        <w:rPr>
          <w:sz w:val="20"/>
          <w:szCs w:val="20"/>
          <w:color w:val="auto"/>
        </w:rPr>
      </w:pPr>
    </w:p>
    <w:p>
      <w:pPr>
        <w:ind w:right="20" w:firstLine="262"/>
        <w:spacing w:after="0" w:line="343" w:lineRule="auto"/>
        <w:rPr>
          <w:sz w:val="20"/>
          <w:szCs w:val="20"/>
          <w:color w:val="auto"/>
        </w:rPr>
      </w:pPr>
      <w:r>
        <w:rPr>
          <w:rFonts w:ascii="Arial" w:cs="Arial" w:eastAsia="Arial" w:hAnsi="Arial"/>
          <w:sz w:val="12"/>
          <w:szCs w:val="12"/>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08" w:lineRule="exact"/>
        <w:rPr>
          <w:sz w:val="20"/>
          <w:szCs w:val="20"/>
          <w:color w:val="auto"/>
        </w:rPr>
      </w:pPr>
    </w:p>
    <w:p>
      <w:pPr>
        <w:ind w:right="40" w:firstLine="262"/>
        <w:spacing w:after="0" w:line="332" w:lineRule="auto"/>
        <w:rPr>
          <w:sz w:val="20"/>
          <w:szCs w:val="20"/>
          <w:color w:val="auto"/>
        </w:rPr>
      </w:pPr>
      <w:r>
        <w:rPr>
          <w:rFonts w:ascii="Arial" w:cs="Arial" w:eastAsia="Arial" w:hAnsi="Arial"/>
          <w:sz w:val="12"/>
          <w:szCs w:val="12"/>
          <w:color w:val="auto"/>
        </w:rPr>
        <w:t>The Separation and Distribution Agreement will specify those conditions that must be satisfied or waived by Oil States prior to the distribution. In addition, Oil States will have the right to determine the date and terms of the distribution, including payment by us of a special dividend of $750.0 million to Oil States, and will have the right, at any time until completion of the spin-off,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to determine to abandon or modify the distribution and to terminate the Separation and Distribution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Transition Services Agreement</w:t>
      </w:r>
    </w:p>
    <w:p>
      <w:pPr>
        <w:spacing w:after="0" w:line="181" w:lineRule="exact"/>
        <w:rPr>
          <w:sz w:val="20"/>
          <w:szCs w:val="20"/>
          <w:color w:val="auto"/>
        </w:rPr>
      </w:pPr>
    </w:p>
    <w:p>
      <w:pPr>
        <w:ind w:firstLine="262"/>
        <w:spacing w:after="0" w:line="318" w:lineRule="auto"/>
        <w:rPr>
          <w:sz w:val="20"/>
          <w:szCs w:val="20"/>
          <w:color w:val="auto"/>
        </w:rPr>
      </w:pPr>
      <w:r>
        <w:rPr>
          <w:rFonts w:ascii="Arial" w:cs="Arial" w:eastAsia="Arial" w:hAnsi="Arial"/>
          <w:sz w:val="12"/>
          <w:szCs w:val="12"/>
          <w:color w:val="auto"/>
        </w:rPr>
        <w:t>The Transition Services Agreement will set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We expect the agreement will provide for the provision of specified transition services, generally for a period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 up to nine months, with a possible extension of 1 month (an aggregate of 10 months) at a predetermined fee based on estimated cost to Oil States.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80"/>
          </w:cols>
          <w:pgMar w:left="220" w:top="496" w:right="299" w:bottom="1440" w:gutter="0" w:footer="0" w:header="0"/>
        </w:sectPr>
      </w:pPr>
    </w:p>
    <w:bookmarkStart w:id="349" w:name="page350"/>
    <w:bookmarkEnd w:id="349"/>
    <w:p>
      <w:pPr>
        <w:spacing w:after="0"/>
        <w:rPr>
          <w:sz w:val="20"/>
          <w:szCs w:val="20"/>
          <w:color w:val="auto"/>
        </w:rPr>
      </w:pPr>
      <w:r>
        <w:rPr>
          <w:rFonts w:ascii="Arial" w:cs="Arial" w:eastAsia="Arial" w:hAnsi="Arial"/>
          <w:sz w:val="15"/>
          <w:szCs w:val="15"/>
          <w:b w:val="1"/>
          <w:bCs w:val="1"/>
          <w:u w:val="single" w:color="auto"/>
          <w:color w:val="auto"/>
        </w:rPr>
        <w:t>Tax Sharing Agreement</w:t>
      </w:r>
    </w:p>
    <w:p>
      <w:pPr>
        <w:spacing w:after="0" w:line="181" w:lineRule="exact"/>
        <w:rPr>
          <w:sz w:val="20"/>
          <w:szCs w:val="20"/>
          <w:color w:val="auto"/>
        </w:rPr>
      </w:pPr>
    </w:p>
    <w:p>
      <w:pPr>
        <w:ind w:right="60" w:firstLine="262"/>
        <w:spacing w:after="0" w:line="248" w:lineRule="auto"/>
        <w:rPr>
          <w:sz w:val="20"/>
          <w:szCs w:val="20"/>
          <w:color w:val="auto"/>
        </w:rPr>
      </w:pPr>
      <w:r>
        <w:rPr>
          <w:rFonts w:ascii="Arial" w:cs="Arial" w:eastAsia="Arial" w:hAnsi="Arial"/>
          <w:sz w:val="15"/>
          <w:szCs w:val="15"/>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 general, pursuant to the Tax Sharing Agreement:</w:t>
      </w:r>
    </w:p>
    <w:p>
      <w:pPr>
        <w:spacing w:after="0" w:line="177" w:lineRule="exact"/>
        <w:rPr>
          <w:sz w:val="20"/>
          <w:szCs w:val="20"/>
          <w:color w:val="auto"/>
        </w:rPr>
      </w:pPr>
    </w:p>
    <w:p>
      <w:pPr>
        <w:ind w:left="540" w:hanging="270"/>
        <w:spacing w:after="0"/>
        <w:tabs>
          <w:tab w:leader="none" w:pos="54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Civeo and Oil States will agree to cooperate in the preparation of tax returns and with regard to any audits related to Civeo’s or Oil States’ tax returns;</w:t>
      </w:r>
    </w:p>
    <w:p>
      <w:pPr>
        <w:spacing w:after="0" w:line="177" w:lineRule="exact"/>
        <w:rPr>
          <w:rFonts w:ascii="Arial" w:cs="Arial" w:eastAsia="Arial" w:hAnsi="Arial"/>
          <w:sz w:val="15"/>
          <w:szCs w:val="15"/>
          <w:color w:val="auto"/>
        </w:rPr>
      </w:pPr>
    </w:p>
    <w:p>
      <w:pPr>
        <w:ind w:left="540" w:right="480" w:hanging="270"/>
        <w:spacing w:after="0" w:line="259" w:lineRule="auto"/>
        <w:tabs>
          <w:tab w:leader="none" w:pos="54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 Tax Sharing Agreement will assign responsibilities for administrative matters, such as the filing of tax returns, payment of taxes due, retention of records and conduct of audits, examinations, or similar proceedings;</w:t>
      </w:r>
    </w:p>
    <w:p>
      <w:pPr>
        <w:spacing w:after="0" w:line="152" w:lineRule="exact"/>
        <w:rPr>
          <w:rFonts w:ascii="Arial" w:cs="Arial" w:eastAsia="Arial" w:hAnsi="Arial"/>
          <w:sz w:val="15"/>
          <w:szCs w:val="15"/>
          <w:color w:val="auto"/>
        </w:rPr>
      </w:pPr>
    </w:p>
    <w:p>
      <w:pPr>
        <w:ind w:left="540" w:right="20" w:hanging="270"/>
        <w:spacing w:after="0" w:line="271" w:lineRule="auto"/>
        <w:tabs>
          <w:tab w:leader="none" w:pos="54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with respect to any periods (or portions thereof) ending prior to the distribution, Oil States will pay any U.S. federal income taxes of the affiliated group of which Oil States is the common parent and, if Civeo (including any of its subsidiaries) is included in that affiliated group, Civeo will pay Oil States an amount equal to the amount of U.S. federal income tax Civeo would have paid had Civeo filed a separate consolidated U.S. federal income tax return, subject to certain adjustments. With respect to any periods (or portions thereof) beginning after the distribution, Civeo will be responsible for any U.S. federal income taxes of Civeo and its subsidiaries;</w:t>
      </w:r>
    </w:p>
    <w:p>
      <w:pPr>
        <w:spacing w:after="0" w:line="147" w:lineRule="exact"/>
        <w:rPr>
          <w:rFonts w:ascii="Arial" w:cs="Arial" w:eastAsia="Arial" w:hAnsi="Arial"/>
          <w:sz w:val="14"/>
          <w:szCs w:val="14"/>
          <w:color w:val="auto"/>
        </w:rPr>
      </w:pPr>
    </w:p>
    <w:p>
      <w:pPr>
        <w:jc w:val="both"/>
        <w:ind w:left="540" w:right="140" w:hanging="270"/>
        <w:spacing w:after="0" w:line="251" w:lineRule="auto"/>
        <w:tabs>
          <w:tab w:leader="none" w:pos="54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with respect to any periods (or portions thereof) ending prior to the distribution, Oil States will pay any U.S. state or local income taxes that are determined on a consolidated, combined, or unitary basis and, if Civeo (including any of its subsidiaries) is included in such determination, Civeo will pay Oil States an amount equal to the amount of tax Civeo would have paid had Civeo filed a separate return for such income, subject to certain adjustments;</w:t>
      </w:r>
    </w:p>
    <w:p>
      <w:pPr>
        <w:spacing w:after="0" w:line="158" w:lineRule="exact"/>
        <w:rPr>
          <w:rFonts w:ascii="Arial" w:cs="Arial" w:eastAsia="Arial" w:hAnsi="Arial"/>
          <w:sz w:val="15"/>
          <w:szCs w:val="15"/>
          <w:color w:val="auto"/>
        </w:rPr>
      </w:pPr>
    </w:p>
    <w:p>
      <w:pPr>
        <w:ind w:left="540" w:hanging="270"/>
        <w:spacing w:after="0"/>
        <w:tabs>
          <w:tab w:leader="none" w:pos="54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with respect to any periods (or portions thereof) beginning after the distribution, Civeo will be responsible for any U.S. federal income taxes of Civeo and its subsidiaries;</w:t>
      </w:r>
    </w:p>
    <w:p>
      <w:pPr>
        <w:spacing w:after="0" w:line="188" w:lineRule="exact"/>
        <w:rPr>
          <w:rFonts w:ascii="Arial" w:cs="Arial" w:eastAsia="Arial" w:hAnsi="Arial"/>
          <w:sz w:val="14"/>
          <w:szCs w:val="14"/>
          <w:color w:val="auto"/>
        </w:rPr>
      </w:pPr>
    </w:p>
    <w:p>
      <w:pPr>
        <w:ind w:left="540" w:right="160" w:hanging="270"/>
        <w:spacing w:after="0" w:line="383" w:lineRule="auto"/>
        <w:tabs>
          <w:tab w:leader="none" w:pos="540" w:val="left"/>
        </w:tabs>
        <w:numPr>
          <w:ilvl w:val="0"/>
          <w:numId w:val="318"/>
        </w:numPr>
        <w:rPr>
          <w:rFonts w:ascii="Arial" w:cs="Arial" w:eastAsia="Arial" w:hAnsi="Arial"/>
          <w:sz w:val="12"/>
          <w:szCs w:val="12"/>
          <w:color w:val="auto"/>
        </w:rPr>
      </w:pPr>
      <w:r>
        <w:rPr>
          <w:rFonts w:ascii="Arial" w:cs="Arial" w:eastAsia="Arial" w:hAnsi="Arial"/>
          <w:sz w:val="12"/>
          <w:szCs w:val="12"/>
          <w:color w:val="auto"/>
        </w:rPr>
        <w:t>Oil States will be responsible for any U.S. federal, state, local, or foreign taxes due with respect to tax returns that include only Oil States and/or its subsidiaries (excluding Civeo and its subsidiaries), and Civeo will be responsible for any U.S. federal, state, local or foreign taxes due with respect to tax returns that include only Civeo and/or its subsidiaries;</w:t>
      </w:r>
    </w:p>
    <w:p>
      <w:pPr>
        <w:spacing w:after="0" w:line="84" w:lineRule="exact"/>
        <w:rPr>
          <w:rFonts w:ascii="Arial" w:cs="Arial" w:eastAsia="Arial" w:hAnsi="Arial"/>
          <w:sz w:val="12"/>
          <w:szCs w:val="12"/>
          <w:color w:val="auto"/>
        </w:rPr>
      </w:pPr>
    </w:p>
    <w:p>
      <w:pPr>
        <w:ind w:left="540" w:hanging="270"/>
        <w:spacing w:after="0"/>
        <w:tabs>
          <w:tab w:leader="none" w:pos="540" w:val="left"/>
        </w:tabs>
        <w:numPr>
          <w:ilvl w:val="0"/>
          <w:numId w:val="318"/>
        </w:numPr>
        <w:rPr>
          <w:rFonts w:ascii="Arial" w:cs="Arial" w:eastAsia="Arial" w:hAnsi="Arial"/>
          <w:sz w:val="12"/>
          <w:szCs w:val="12"/>
          <w:color w:val="auto"/>
        </w:rPr>
      </w:pPr>
      <w:r>
        <w:rPr>
          <w:rFonts w:ascii="Arial" w:cs="Arial" w:eastAsia="Arial" w:hAnsi="Arial"/>
          <w:sz w:val="12"/>
          <w:szCs w:val="12"/>
          <w:color w:val="auto"/>
        </w:rPr>
        <w:t>to the extent that any gain or income is recognized by Oil States (including its subsidiaries) in connection with the failure of the spin-off to qualify for tax-free treatment under Sections</w:t>
      </w:r>
    </w:p>
    <w:p>
      <w:pPr>
        <w:spacing w:after="0" w:line="45"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5"/>
          <w:szCs w:val="15"/>
          <w:color w:val="auto"/>
        </w:rPr>
        <w:t>355 and 368(a)(1)(D) of the Code, Civeo will indemnify Oil States for any taxes on such gain or income to the extent such failure is attributable to:</w:t>
      </w:r>
    </w:p>
    <w:p>
      <w:pPr>
        <w:spacing w:after="0" w:line="168" w:lineRule="exact"/>
        <w:rPr>
          <w:rFonts w:ascii="Arial" w:cs="Arial" w:eastAsia="Arial" w:hAnsi="Arial"/>
          <w:sz w:val="12"/>
          <w:szCs w:val="12"/>
          <w:color w:val="auto"/>
        </w:rPr>
      </w:pPr>
    </w:p>
    <w:p>
      <w:pPr>
        <w:ind w:left="800" w:right="240" w:hanging="268"/>
        <w:spacing w:after="0" w:line="259" w:lineRule="auto"/>
        <w:tabs>
          <w:tab w:leader="none" w:pos="80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any inaccurate written covenant, representation, or warranty by Civeo made in connection with the Tax Sharing Agreement or any tax ruling requested or received from the IRS or opinions of Oil States’ outside tax advisors;</w:t>
      </w:r>
    </w:p>
    <w:p>
      <w:pPr>
        <w:spacing w:after="0" w:line="152" w:lineRule="exact"/>
        <w:rPr>
          <w:rFonts w:ascii="Arial" w:cs="Arial" w:eastAsia="Arial" w:hAnsi="Arial"/>
          <w:sz w:val="15"/>
          <w:szCs w:val="15"/>
          <w:color w:val="auto"/>
        </w:rPr>
      </w:pPr>
    </w:p>
    <w:p>
      <w:pPr>
        <w:ind w:left="800" w:hanging="268"/>
        <w:spacing w:after="0"/>
        <w:tabs>
          <w:tab w:leader="none" w:pos="80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any breach by Civeo of applicable representations, warranties, or covenants in the Tax Sharing Agreement; or</w:t>
      </w:r>
    </w:p>
    <w:p>
      <w:pPr>
        <w:spacing w:after="0" w:line="177" w:lineRule="exact"/>
        <w:rPr>
          <w:rFonts w:ascii="Arial" w:cs="Arial" w:eastAsia="Arial" w:hAnsi="Arial"/>
          <w:sz w:val="15"/>
          <w:szCs w:val="15"/>
          <w:color w:val="auto"/>
        </w:rPr>
      </w:pPr>
    </w:p>
    <w:p>
      <w:pPr>
        <w:ind w:left="800" w:hanging="268"/>
        <w:spacing w:after="0"/>
        <w:tabs>
          <w:tab w:leader="none" w:pos="80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any other action taken by Civeo; and</w:t>
      </w:r>
    </w:p>
    <w:p>
      <w:pPr>
        <w:spacing w:after="0" w:line="177" w:lineRule="exact"/>
        <w:rPr>
          <w:rFonts w:ascii="Arial" w:cs="Arial" w:eastAsia="Arial" w:hAnsi="Arial"/>
          <w:sz w:val="15"/>
          <w:szCs w:val="15"/>
          <w:color w:val="auto"/>
        </w:rPr>
      </w:pPr>
    </w:p>
    <w:p>
      <w:pPr>
        <w:ind w:left="800" w:right="180" w:hanging="268"/>
        <w:spacing w:after="0" w:line="259" w:lineRule="auto"/>
        <w:tabs>
          <w:tab w:leader="none" w:pos="80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Civeo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152" w:lineRule="exact"/>
        <w:rPr>
          <w:sz w:val="20"/>
          <w:szCs w:val="20"/>
          <w:color w:val="auto"/>
        </w:rPr>
      </w:pPr>
    </w:p>
    <w:p>
      <w:pPr>
        <w:ind w:firstLine="262"/>
        <w:spacing w:after="0" w:line="248" w:lineRule="auto"/>
        <w:rPr>
          <w:sz w:val="20"/>
          <w:szCs w:val="20"/>
          <w:color w:val="auto"/>
        </w:rPr>
      </w:pPr>
      <w:r>
        <w:rPr>
          <w:rFonts w:ascii="Arial" w:cs="Arial" w:eastAsia="Arial" w:hAnsi="Arial"/>
          <w:sz w:val="15"/>
          <w:szCs w:val="15"/>
          <w:color w:val="auto"/>
        </w:rPr>
        <w:t>Oil States has received a private letter ruling substantially to the effect that, for U.S. federal income tax purposes, (i) certain transactions to be effected in connection with the separation qualify as transactions under Sections 355 and/or 368(a) of the Code, and (ii) the distribution qualifies as a tax-free transaction under Sections 355 and 368(a)(1)(D) of the Code. In addition, Oil States will receive an opinion from its tax counsel, in form and substance acceptable to Oil States, regarding certain matters upon which the IRS will not rule. The opinion will rely on the private letter ruling as to matters covered by the private letter ruling.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350" w:name="page351"/>
    <w:bookmarkEnd w:id="350"/>
    <w:p>
      <w:pPr>
        <w:ind w:firstLine="262"/>
        <w:spacing w:after="0" w:line="267" w:lineRule="auto"/>
        <w:rPr>
          <w:sz w:val="20"/>
          <w:szCs w:val="20"/>
          <w:color w:val="auto"/>
        </w:rPr>
      </w:pPr>
      <w:r>
        <w:rPr>
          <w:rFonts w:ascii="Arial" w:cs="Arial" w:eastAsia="Arial" w:hAnsi="Arial"/>
          <w:sz w:val="14"/>
          <w:szCs w:val="14"/>
          <w:color w:val="auto"/>
        </w:rPr>
        <w:t>Civeo will agree to certain restrictions that are intended to preserve the tax-free status of the contribution, distribution, and related transactions. During the two-year period following the spin-off, these covenants will restrict Civeo’s ability to sell assets outside the ordinary course of business, to issue or sell its common stock or other securities (including securities convertible into its common stock), or to enter into any other corporate transaction that would cause Civeo to undergo either a 50% or greater change in the ownership of its voting stock or a 50% or greater change in the ownership (measured by value) of all classes of its stock. Civeo may take certain actions otherwise subject to these restrictions only if Oil States consents to the taking of such action or if Civeo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Employee Matters Agreement</w:t>
      </w:r>
    </w:p>
    <w:p>
      <w:pPr>
        <w:spacing w:after="0" w:line="181" w:lineRule="exact"/>
        <w:rPr>
          <w:sz w:val="20"/>
          <w:szCs w:val="20"/>
          <w:color w:val="auto"/>
        </w:rPr>
      </w:pPr>
    </w:p>
    <w:p>
      <w:pPr>
        <w:ind w:firstLine="262"/>
        <w:spacing w:after="0" w:line="251" w:lineRule="auto"/>
        <w:rPr>
          <w:sz w:val="20"/>
          <w:szCs w:val="20"/>
          <w:color w:val="auto"/>
        </w:rPr>
      </w:pPr>
      <w:r>
        <w:rPr>
          <w:rFonts w:ascii="Arial" w:cs="Arial" w:eastAsia="Arial" w:hAnsi="Arial"/>
          <w:sz w:val="15"/>
          <w:szCs w:val="15"/>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and will provide for the treatment of outstanding Oil States equity and other compensation awards and programs.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Employee Matters Agreement will generally provide that:</w:t>
      </w:r>
    </w:p>
    <w:p>
      <w:pPr>
        <w:spacing w:after="0" w:line="177" w:lineRule="exact"/>
        <w:rPr>
          <w:sz w:val="20"/>
          <w:szCs w:val="20"/>
          <w:color w:val="auto"/>
        </w:rPr>
      </w:pPr>
    </w:p>
    <w:p>
      <w:pPr>
        <w:ind w:left="540" w:hanging="270"/>
        <w:spacing w:after="0"/>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Civeo will assume all liabilities and obligations relating to Civeo employees and former employees of the accommodations business;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Civeo will assume all obligations pursuant to any collective bargaining, employment and other agreements between any Civeo employee and Oil States;</w:t>
      </w:r>
    </w:p>
    <w:p>
      <w:pPr>
        <w:spacing w:after="0" w:line="177" w:lineRule="exact"/>
        <w:rPr>
          <w:rFonts w:ascii="Arial" w:cs="Arial" w:eastAsia="Arial" w:hAnsi="Arial"/>
          <w:sz w:val="15"/>
          <w:szCs w:val="15"/>
          <w:color w:val="auto"/>
        </w:rPr>
      </w:pPr>
    </w:p>
    <w:p>
      <w:pPr>
        <w:ind w:left="540" w:right="60" w:hanging="270"/>
        <w:spacing w:after="0" w:line="294" w:lineRule="auto"/>
        <w:tabs>
          <w:tab w:leader="none" w:pos="54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Oil States’ time-based equity and equity-based awards held by Civeo employees will be converted into similar awards with respect to Civeo common stock or cancelled and replaced with comparable awards under the EPP, with adjustments to the number of shares subject to the award and exercise price to preserve the pre spin-off value;</w:t>
      </w:r>
    </w:p>
    <w:p>
      <w:pPr>
        <w:spacing w:after="0" w:line="130" w:lineRule="exact"/>
        <w:rPr>
          <w:rFonts w:ascii="Arial" w:cs="Arial" w:eastAsia="Arial" w:hAnsi="Arial"/>
          <w:sz w:val="14"/>
          <w:szCs w:val="14"/>
          <w:color w:val="auto"/>
        </w:rPr>
      </w:pPr>
    </w:p>
    <w:p>
      <w:pPr>
        <w:ind w:left="540" w:right="340" w:hanging="270"/>
        <w:spacing w:after="0" w:line="259" w:lineRule="auto"/>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Oil States’ time-based equity and equity-based awards held by current and former Oil States employees or directors will remain outstanding with adjustments to the number of shares subject to the award and exercise price to preserve the pre spin-off value;</w:t>
      </w:r>
    </w:p>
    <w:p>
      <w:pPr>
        <w:spacing w:after="0" w:line="152" w:lineRule="exact"/>
        <w:rPr>
          <w:rFonts w:ascii="Arial" w:cs="Arial" w:eastAsia="Arial" w:hAnsi="Arial"/>
          <w:sz w:val="15"/>
          <w:szCs w:val="15"/>
          <w:color w:val="auto"/>
        </w:rPr>
      </w:pPr>
    </w:p>
    <w:p>
      <w:pPr>
        <w:jc w:val="both"/>
        <w:ind w:left="540" w:right="140" w:hanging="270"/>
        <w:spacing w:after="0" w:line="251" w:lineRule="auto"/>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Oil States’ performance-based deferred stock awards will be cancelled with the holders thereof entitled to receive a number of time-based restricted shares of Civeo (in the case of Civeo employees) or Oil States (in the case of Oil States employees) to preserve the pre-spinoff value of the prior award, assuming settlement based upon the actual attainment of performance objectives to date as of Oil States’ most recently-completed fiscal quarter;</w:t>
      </w:r>
    </w:p>
    <w:p>
      <w:pPr>
        <w:spacing w:after="0" w:line="158" w:lineRule="exact"/>
        <w:rPr>
          <w:rFonts w:ascii="Arial" w:cs="Arial" w:eastAsia="Arial" w:hAnsi="Arial"/>
          <w:sz w:val="15"/>
          <w:szCs w:val="15"/>
          <w:color w:val="auto"/>
        </w:rPr>
      </w:pPr>
    </w:p>
    <w:p>
      <w:pPr>
        <w:ind w:left="540" w:right="180" w:hanging="270"/>
        <w:spacing w:after="0" w:line="259" w:lineRule="auto"/>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Account balances under Oil States’ tax-qualified savings plan which relate to Civeo employees and former employees of the accommodations business will be transferred directly to the tax-qualified savings plan that Civeo will establish;</w:t>
      </w:r>
    </w:p>
    <w:p>
      <w:pPr>
        <w:spacing w:after="0" w:line="152" w:lineRule="exact"/>
        <w:rPr>
          <w:rFonts w:ascii="Arial" w:cs="Arial" w:eastAsia="Arial" w:hAnsi="Arial"/>
          <w:sz w:val="15"/>
          <w:szCs w:val="15"/>
          <w:color w:val="auto"/>
        </w:rPr>
      </w:pPr>
    </w:p>
    <w:p>
      <w:pPr>
        <w:ind w:left="540" w:right="100" w:hanging="270"/>
        <w:spacing w:after="0" w:line="251" w:lineRule="auto"/>
        <w:tabs>
          <w:tab w:leader="none" w:pos="5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Responsibility for amounts held by current Civeo employees and former employees of the accommodations business pursuant to Oil States’ nonqualified deferred compensation plan will be transferred to a comparable plan of Civeo as soon as practicable following the spin-off, with the portion of assets held pursuant to the “rabbi” trust relating to Oil States’ nonqualified deferred compensation plan being transferred contemporaneously; 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51" w:name="page352"/>
    <w:bookmarkEnd w:id="351"/>
    <w:p>
      <w:pPr>
        <w:ind w:left="540" w:hanging="270"/>
        <w:spacing w:after="0" w:line="271" w:lineRule="auto"/>
        <w:tabs>
          <w:tab w:leader="none" w:pos="54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Unless otherwise agreed by Oil States and Civeo, following the spin-off, Civeo employees will cease active participation under all benefit plans sponsored by Oil States and, to the extent Civeo has adopted such plans, will be covered under the corresponding benefit plans of Civeo. Civeo will recognize service with Oil States for all purposes of determining vesting, eligibility and benefit level under Civeo’s benefit plans and will provide credit for all deductibles and other limitations under the Civeo benefit plans to the extent the Civeo employee and former accommodations business employee satisfied the obligation under the corresponding Oil States benefit plan.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Indemnification and Release Agreement</w:t>
      </w:r>
    </w:p>
    <w:p>
      <w:pPr>
        <w:spacing w:after="0" w:line="181" w:lineRule="exact"/>
        <w:rPr>
          <w:sz w:val="20"/>
          <w:szCs w:val="20"/>
          <w:color w:val="auto"/>
        </w:rPr>
      </w:pPr>
    </w:p>
    <w:p>
      <w:pPr>
        <w:ind w:right="60" w:firstLine="262"/>
        <w:spacing w:after="0" w:line="308" w:lineRule="auto"/>
        <w:rPr>
          <w:sz w:val="20"/>
          <w:szCs w:val="20"/>
          <w:color w:val="auto"/>
        </w:rPr>
      </w:pPr>
      <w:r>
        <w:rPr>
          <w:rFonts w:ascii="Arial" w:cs="Arial" w:eastAsia="Arial" w:hAnsi="Arial"/>
          <w:sz w:val="12"/>
          <w:szCs w:val="12"/>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 Pursuant to the Indemnification and Release Agreement, we and Oil States will generally release the other</w:t>
      </w:r>
    </w:p>
    <w:p>
      <w:pPr>
        <w:ind w:right="40"/>
        <w:spacing w:after="0" w:line="292" w:lineRule="auto"/>
        <w:rPr>
          <w:sz w:val="20"/>
          <w:szCs w:val="20"/>
          <w:color w:val="auto"/>
        </w:rPr>
      </w:pPr>
      <w:r>
        <w:rPr>
          <w:rFonts w:ascii="Arial" w:cs="Arial" w:eastAsia="Arial" w:hAnsi="Arial"/>
          <w:sz w:val="14"/>
          <w:szCs w:val="14"/>
          <w:color w:val="auto"/>
        </w:rPr>
        <w:t xml:space="preserve">party from all claims arising prior to the spin-off other than claims arising under the transaction agreements, including the indemnification provisions described above. </w:t>
      </w:r>
      <w:r>
        <w:rPr>
          <w:rFonts w:ascii="Arial" w:cs="Arial" w:eastAsia="Arial" w:hAnsi="Arial"/>
          <w:sz w:val="16"/>
          <w:szCs w:val="16"/>
          <w:color w:val="auto"/>
        </w:rPr>
        <w:t>The Indemnification</w:t>
      </w:r>
      <w:r>
        <w:rPr>
          <w:rFonts w:ascii="Arial" w:cs="Arial" w:eastAsia="Arial" w:hAnsi="Arial"/>
          <w:sz w:val="14"/>
          <w:szCs w:val="14"/>
          <w:color w:val="auto"/>
        </w:rPr>
        <w:t xml:space="preserve"> </w:t>
      </w:r>
      <w:r>
        <w:rPr>
          <w:rFonts w:ascii="Arial" w:cs="Arial" w:eastAsia="Arial" w:hAnsi="Arial"/>
          <w:sz w:val="16"/>
          <w:szCs w:val="16"/>
          <w:color w:val="auto"/>
        </w:rPr>
        <w:t>and Release Agreement also provides that we will use our commercially reasonable efforts to remove Oil States as party to certain contracts. In the event that we are unable to remove Oil States as a party,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 such person or entity has agreed to indemnify Oil States for any liability under such contracts.</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80"/>
          </w:cols>
          <w:pgMar w:left="220" w:top="500" w:right="29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5"/>
          <w:szCs w:val="15"/>
          <w:b w:val="1"/>
          <w:bCs w:val="1"/>
          <w:color w:val="auto"/>
        </w:rPr>
        <w:t>OTHER RELATED PARTY TRANSACTIONS</w:t>
      </w:r>
    </w:p>
    <w:p>
      <w:pPr>
        <w:spacing w:after="0" w:line="181"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Policies and Procedures with Respect to Related Party Transactions and Conflicts of Interest</w:t>
      </w:r>
    </w:p>
    <w:p>
      <w:pPr>
        <w:spacing w:after="0" w:line="181" w:lineRule="exact"/>
        <w:rPr>
          <w:sz w:val="20"/>
          <w:szCs w:val="20"/>
          <w:color w:val="auto"/>
        </w:rPr>
      </w:pPr>
    </w:p>
    <w:p>
      <w:pPr>
        <w:ind w:right="140" w:firstLine="262"/>
        <w:spacing w:after="0" w:line="324" w:lineRule="auto"/>
        <w:rPr>
          <w:sz w:val="20"/>
          <w:szCs w:val="20"/>
          <w:color w:val="auto"/>
        </w:rPr>
      </w:pPr>
      <w:r>
        <w:rPr>
          <w:rFonts w:ascii="Arial" w:cs="Arial" w:eastAsia="Arial" w:hAnsi="Arial"/>
          <w:sz w:val="12"/>
          <w:szCs w:val="12"/>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18" w:lineRule="exact"/>
        <w:rPr>
          <w:sz w:val="20"/>
          <w:szCs w:val="20"/>
          <w:color w:val="auto"/>
        </w:rPr>
      </w:pPr>
    </w:p>
    <w:p>
      <w:pPr>
        <w:ind w:right="160" w:firstLine="262"/>
        <w:spacing w:after="0" w:line="251" w:lineRule="auto"/>
        <w:rPr>
          <w:sz w:val="20"/>
          <w:szCs w:val="20"/>
          <w:color w:val="auto"/>
        </w:rPr>
      </w:pPr>
      <w:r>
        <w:rPr>
          <w:rFonts w:ascii="Arial" w:cs="Arial" w:eastAsia="Arial" w:hAnsi="Arial"/>
          <w:sz w:val="15"/>
          <w:szCs w:val="15"/>
          <w:color w:val="auto"/>
        </w:rPr>
        <w:t>Our Business Conduct &amp; Ethics Code will prohibit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will include related person transactions.</w:t>
      </w:r>
    </w:p>
    <w:p>
      <w:pPr>
        <w:spacing w:after="0" w:line="158" w:lineRule="exact"/>
        <w:rPr>
          <w:sz w:val="20"/>
          <w:szCs w:val="20"/>
          <w:color w:val="auto"/>
        </w:rPr>
      </w:pPr>
    </w:p>
    <w:p>
      <w:pPr>
        <w:ind w:firstLine="262"/>
        <w:spacing w:after="0" w:line="330" w:lineRule="auto"/>
        <w:rPr>
          <w:sz w:val="20"/>
          <w:szCs w:val="20"/>
          <w:color w:val="auto"/>
        </w:rPr>
      </w:pPr>
      <w:r>
        <w:rPr>
          <w:rFonts w:ascii="Arial" w:cs="Arial" w:eastAsia="Arial" w:hAnsi="Arial"/>
          <w:sz w:val="12"/>
          <w:szCs w:val="12"/>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15" w:lineRule="exact"/>
        <w:rPr>
          <w:sz w:val="20"/>
          <w:szCs w:val="20"/>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the nature of the related person’s interest in the transaction;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the material terms of the transaction, including, without limitation, the amount and type of the transaction;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the importance of the transaction to the related person;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the importance of the transaction to us;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whether the transaction would impair the judgment of a director or executive officer to act in the best interest of our Company;</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whether the transaction might affect the status of a director as independent under the independence standards of the NYSE; and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any other matters deemed appropriate with respect to the particular transaction.</w:t>
      </w:r>
    </w:p>
    <w:p>
      <w:pPr>
        <w:spacing w:after="0" w:line="177" w:lineRule="exact"/>
        <w:rPr>
          <w:sz w:val="20"/>
          <w:szCs w:val="20"/>
          <w:color w:val="auto"/>
        </w:rPr>
      </w:pPr>
    </w:p>
    <w:p>
      <w:pPr>
        <w:ind w:right="660" w:firstLine="262"/>
        <w:spacing w:after="0" w:line="294" w:lineRule="auto"/>
        <w:rPr>
          <w:sz w:val="20"/>
          <w:szCs w:val="20"/>
          <w:color w:val="auto"/>
        </w:rPr>
      </w:pPr>
      <w:r>
        <w:rPr>
          <w:rFonts w:ascii="Arial" w:cs="Arial" w:eastAsia="Arial" w:hAnsi="Arial"/>
          <w:sz w:val="14"/>
          <w:szCs w:val="14"/>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30" w:lineRule="exact"/>
        <w:rPr>
          <w:sz w:val="20"/>
          <w:szCs w:val="20"/>
          <w:color w:val="auto"/>
        </w:rPr>
      </w:pPr>
    </w:p>
    <w:p>
      <w:pPr>
        <w:ind w:right="340" w:firstLine="262"/>
        <w:spacing w:after="0" w:line="383" w:lineRule="auto"/>
        <w:rPr>
          <w:sz w:val="20"/>
          <w:szCs w:val="20"/>
          <w:color w:val="auto"/>
        </w:rPr>
      </w:pPr>
      <w:r>
        <w:rPr>
          <w:rFonts w:ascii="Arial" w:cs="Arial" w:eastAsia="Arial" w:hAnsi="Arial"/>
          <w:sz w:val="12"/>
          <w:szCs w:val="12"/>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53" w:name="page354"/>
    <w:bookmarkEnd w:id="353"/>
    <w:p>
      <w:pPr>
        <w:ind w:right="180" w:firstLine="262"/>
        <w:spacing w:after="0" w:line="343" w:lineRule="auto"/>
        <w:rPr>
          <w:sz w:val="20"/>
          <w:szCs w:val="20"/>
          <w:color w:val="auto"/>
        </w:rPr>
      </w:pPr>
      <w:r>
        <w:rPr>
          <w:rFonts w:ascii="Arial" w:cs="Arial" w:eastAsia="Arial" w:hAnsi="Arial"/>
          <w:sz w:val="12"/>
          <w:szCs w:val="12"/>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 establish restrictions with regard to corporate participation in the political system as imposed by law, the following guidelines will be contained in our Business Conduct and Ethics Code:</w:t>
      </w:r>
    </w:p>
    <w:p>
      <w:pPr>
        <w:spacing w:after="0" w:line="212" w:lineRule="exact"/>
        <w:rPr>
          <w:sz w:val="20"/>
          <w:szCs w:val="20"/>
          <w:color w:val="auto"/>
        </w:rPr>
      </w:pPr>
    </w:p>
    <w:p>
      <w:pPr>
        <w:ind w:left="540" w:right="60" w:hanging="270"/>
        <w:spacing w:after="0" w:line="259" w:lineRule="auto"/>
        <w:tabs>
          <w:tab w:leader="none" w:pos="54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funds, assets, or services of the Company will be used for political contributions, directly or indirectly, unless allowed by applicable foreign and U.S. law and approved in advance by the board of directors.</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Company contributions to support or oppose public referenda or similar ballot issues are only permitted with advance approval of the board of directors.</w:t>
      </w:r>
    </w:p>
    <w:p>
      <w:pPr>
        <w:spacing w:after="0" w:line="177" w:lineRule="exact"/>
        <w:rPr>
          <w:rFonts w:ascii="Arial" w:cs="Arial" w:eastAsia="Arial" w:hAnsi="Arial"/>
          <w:sz w:val="15"/>
          <w:szCs w:val="15"/>
          <w:color w:val="auto"/>
        </w:rPr>
      </w:pPr>
    </w:p>
    <w:p>
      <w:pPr>
        <w:ind w:left="540" w:hanging="270"/>
        <w:spacing w:after="0" w:line="271" w:lineRule="auto"/>
        <w:tabs>
          <w:tab w:leader="none" w:pos="540" w:val="left"/>
        </w:tabs>
        <w:numPr>
          <w:ilvl w:val="0"/>
          <w:numId w:val="322"/>
        </w:numPr>
        <w:rPr>
          <w:rFonts w:ascii="Arial" w:cs="Arial" w:eastAsia="Arial" w:hAnsi="Arial"/>
          <w:sz w:val="14"/>
          <w:szCs w:val="14"/>
          <w:color w:val="auto"/>
        </w:rPr>
      </w:pPr>
      <w:r>
        <w:rPr>
          <w:rFonts w:ascii="Arial" w:cs="Arial" w:eastAsia="Arial" w:hAnsi="Arial"/>
          <w:sz w:val="14"/>
          <w:szCs w:val="14"/>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675" w:right="25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5"/>
          <w:szCs w:val="15"/>
          <w:b w:val="1"/>
          <w:bCs w:val="1"/>
          <w:color w:val="auto"/>
        </w:rPr>
        <w:t>DESCRIPTION OF MATERIAL INDEBTEDNESS</w:t>
      </w:r>
    </w:p>
    <w:p>
      <w:pPr>
        <w:spacing w:after="0" w:line="181" w:lineRule="exact"/>
        <w:rPr>
          <w:sz w:val="20"/>
          <w:szCs w:val="20"/>
          <w:color w:val="auto"/>
        </w:rPr>
      </w:pPr>
    </w:p>
    <w:p>
      <w:pPr>
        <w:ind w:firstLine="262"/>
        <w:spacing w:after="0" w:line="306" w:lineRule="auto"/>
        <w:rPr>
          <w:sz w:val="20"/>
          <w:szCs w:val="20"/>
          <w:color w:val="auto"/>
        </w:rPr>
      </w:pPr>
      <w:r>
        <w:rPr>
          <w:rFonts w:ascii="Arial" w:cs="Arial" w:eastAsia="Arial" w:hAnsi="Arial"/>
          <w:sz w:val="12"/>
          <w:szCs w:val="12"/>
          <w:color w:val="auto"/>
        </w:rPr>
        <w:t>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an amount to be determined up to $775.0 million in favor of Civeo. U.S. Dollar amounts outstanding under the credit facilities are expected to bear interest at a variable rate equal to LIBOR plus a margin of 1.75% to 2.75%, or a base rate plus 0.75% to 1.75%, in each case based on a ratio of our total leverage to EBITDA (as defined in the credit facilities). Canadian Dollar amounts outstanding under the credit facilities are expected to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are expected to bear interest at a variable rate equal to BBSY plus a margin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of 1.75% to 2.75%, based on our total leverage. We expect to pay certain customary fees with respect to the indebtedness. </w:t>
      </w:r>
      <w:r>
        <w:rPr>
          <w:rFonts w:ascii="Arial" w:cs="Arial" w:eastAsia="Arial" w:hAnsi="Arial"/>
          <w:sz w:val="15"/>
          <w:szCs w:val="15"/>
          <w:color w:val="auto"/>
        </w:rPr>
        <w:t>We anticipate that, upon closing of the spin-off, our U.S.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term loan facility will be fully drawn and that we will have no borrowings outstanding under our credit facilities.</w:t>
      </w:r>
    </w:p>
    <w:p>
      <w:pPr>
        <w:spacing w:after="0" w:line="190" w:lineRule="exact"/>
        <w:rPr>
          <w:sz w:val="20"/>
          <w:szCs w:val="20"/>
          <w:color w:val="auto"/>
        </w:rPr>
      </w:pPr>
    </w:p>
    <w:p>
      <w:pPr>
        <w:ind w:right="500" w:firstLine="262"/>
        <w:spacing w:after="0" w:line="251" w:lineRule="auto"/>
        <w:rPr>
          <w:sz w:val="20"/>
          <w:szCs w:val="20"/>
          <w:color w:val="auto"/>
        </w:rPr>
      </w:pPr>
      <w:r>
        <w:rPr>
          <w:rFonts w:ascii="Arial" w:cs="Arial" w:eastAsia="Arial" w:hAnsi="Arial"/>
          <w:sz w:val="15"/>
          <w:szCs w:val="15"/>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81" w:lineRule="exact"/>
        <w:rPr>
          <w:sz w:val="20"/>
          <w:szCs w:val="20"/>
          <w:color w:val="auto"/>
        </w:rPr>
      </w:pPr>
    </w:p>
    <w:p>
      <w:pPr>
        <w:ind w:right="200" w:firstLine="262"/>
        <w:spacing w:after="0" w:line="251" w:lineRule="auto"/>
        <w:rPr>
          <w:sz w:val="20"/>
          <w:szCs w:val="20"/>
          <w:color w:val="auto"/>
        </w:rPr>
      </w:pPr>
      <w:r>
        <w:rPr>
          <w:rFonts w:ascii="Arial" w:cs="Arial" w:eastAsia="Arial" w:hAnsi="Arial"/>
          <w:sz w:val="15"/>
          <w:szCs w:val="15"/>
          <w:color w:val="auto"/>
        </w:rPr>
        <w:t>The following is a description of the material terms of our capital stock as to be provided in our amended and restated certificate of incorporation and amended and restated bylaws. We also refer you to our amended and restated certificate of incorporation and amended and restated bylaws, copies of which are filed as exhibits to the registration statement of which this information statement forms a part.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Authorized Capitalization</w:t>
      </w:r>
    </w:p>
    <w:p>
      <w:pPr>
        <w:spacing w:after="0" w:line="181" w:lineRule="exact"/>
        <w:rPr>
          <w:sz w:val="20"/>
          <w:szCs w:val="20"/>
          <w:color w:val="auto"/>
        </w:rPr>
      </w:pPr>
    </w:p>
    <w:p>
      <w:pPr>
        <w:ind w:right="120" w:firstLine="262"/>
        <w:spacing w:after="0" w:line="251" w:lineRule="auto"/>
        <w:rPr>
          <w:sz w:val="20"/>
          <w:szCs w:val="20"/>
          <w:color w:val="auto"/>
        </w:rPr>
      </w:pPr>
      <w:r>
        <w:rPr>
          <w:rFonts w:ascii="Arial" w:cs="Arial" w:eastAsia="Arial" w:hAnsi="Arial"/>
          <w:sz w:val="15"/>
          <w:szCs w:val="15"/>
          <w:color w:val="auto"/>
        </w:rPr>
        <w:t>Following completion of the spin-off, our authorized capital stock will consist of (i) 550,000,000 shares of common stock, par value $0.01 per share, of which we expect 106,112,722 shares will be issued and outstanding, based on the number of shares of Oil States common stock expected to be outstanding as of the record date, and (ii) 50,000,000 shares of preferred stock, par value $0.01 per share, of which no shares will be issued and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Common Stock</w:t>
      </w:r>
    </w:p>
    <w:p>
      <w:pPr>
        <w:spacing w:after="0" w:line="181" w:lineRule="exact"/>
        <w:rPr>
          <w:sz w:val="20"/>
          <w:szCs w:val="20"/>
          <w:color w:val="auto"/>
        </w:rPr>
      </w:pPr>
    </w:p>
    <w:p>
      <w:pPr>
        <w:ind w:firstLine="262"/>
        <w:spacing w:after="0" w:line="263" w:lineRule="auto"/>
        <w:rPr>
          <w:sz w:val="20"/>
          <w:szCs w:val="20"/>
          <w:color w:val="auto"/>
        </w:rPr>
      </w:pPr>
      <w:r>
        <w:rPr>
          <w:rFonts w:ascii="Arial" w:cs="Arial" w:eastAsia="Arial" w:hAnsi="Arial"/>
          <w:sz w:val="14"/>
          <w:szCs w:val="14"/>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in connection with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Preferred Stock</w:t>
      </w:r>
    </w:p>
    <w:p>
      <w:pPr>
        <w:spacing w:after="0" w:line="181" w:lineRule="exact"/>
        <w:rPr>
          <w:sz w:val="20"/>
          <w:szCs w:val="20"/>
          <w:color w:val="auto"/>
        </w:rPr>
      </w:pPr>
    </w:p>
    <w:p>
      <w:pPr>
        <w:ind w:right="100" w:firstLine="262"/>
        <w:spacing w:after="0" w:line="269" w:lineRule="auto"/>
        <w:rPr>
          <w:sz w:val="20"/>
          <w:szCs w:val="20"/>
          <w:color w:val="auto"/>
        </w:rPr>
      </w:pPr>
      <w:r>
        <w:rPr>
          <w:rFonts w:ascii="Arial" w:cs="Arial" w:eastAsia="Arial" w:hAnsi="Arial"/>
          <w:sz w:val="14"/>
          <w:szCs w:val="14"/>
          <w:color w:val="auto"/>
        </w:rPr>
        <w:t>Our amended and restated certificate of incorporation authorizes our board of directors, subject to any limitations prescribed by law, without further stockholder approval, to establish and to issue from time to time one or more classes or series of preferred stock, par value $0.01 per share, covering up to an aggregate of 50,000,000 shares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Anti-Takeover Effects of Provisions of Our Amended and Restated Certificate of Incorporation, our Amended and Restated Bylaws and Delaware Law</w:t>
      </w:r>
    </w:p>
    <w:p>
      <w:pPr>
        <w:spacing w:after="0" w:line="181" w:lineRule="exact"/>
        <w:rPr>
          <w:sz w:val="20"/>
          <w:szCs w:val="20"/>
          <w:color w:val="auto"/>
        </w:rPr>
      </w:pPr>
    </w:p>
    <w:p>
      <w:pPr>
        <w:ind w:right="100" w:firstLine="262"/>
        <w:spacing w:after="0" w:line="271" w:lineRule="auto"/>
        <w:rPr>
          <w:sz w:val="20"/>
          <w:szCs w:val="20"/>
          <w:color w:val="auto"/>
        </w:rPr>
      </w:pPr>
      <w:r>
        <w:rPr>
          <w:rFonts w:ascii="Arial" w:cs="Arial" w:eastAsia="Arial" w:hAnsi="Arial"/>
          <w:sz w:val="14"/>
          <w:szCs w:val="14"/>
          <w:color w:val="auto"/>
        </w:rPr>
        <w:t>Some provisions of Delaware law, our amended and restated certificate of incorporation and our amended and restated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56" w:name="page357"/>
    <w:bookmarkEnd w:id="356"/>
    <w:p>
      <w:pPr>
        <w:ind w:right="20" w:firstLine="262"/>
        <w:spacing w:after="0" w:line="343" w:lineRule="auto"/>
        <w:rPr>
          <w:sz w:val="20"/>
          <w:szCs w:val="20"/>
          <w:color w:val="auto"/>
        </w:rPr>
      </w:pPr>
      <w:r>
        <w:rPr>
          <w:rFonts w:ascii="Arial" w:cs="Arial" w:eastAsia="Arial" w:hAnsi="Arial"/>
          <w:sz w:val="12"/>
          <w:szCs w:val="12"/>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Law</w:t>
      </w:r>
    </w:p>
    <w:p>
      <w:pPr>
        <w:spacing w:after="0" w:line="177" w:lineRule="exact"/>
        <w:rPr>
          <w:sz w:val="20"/>
          <w:szCs w:val="20"/>
          <w:color w:val="auto"/>
        </w:rPr>
      </w:pPr>
    </w:p>
    <w:p>
      <w:pPr>
        <w:ind w:right="420" w:firstLine="262"/>
        <w:spacing w:after="0" w:line="343" w:lineRule="auto"/>
        <w:rPr>
          <w:sz w:val="20"/>
          <w:szCs w:val="20"/>
          <w:color w:val="auto"/>
        </w:rPr>
      </w:pPr>
      <w:r>
        <w:rPr>
          <w:rFonts w:ascii="Arial" w:cs="Arial" w:eastAsia="Arial" w:hAnsi="Arial"/>
          <w:sz w:val="14"/>
          <w:szCs w:val="14"/>
          <w:color w:val="auto"/>
        </w:rPr>
        <w:t>We are subject to Section 203 of the DGCL, which prohibits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108" w:lineRule="exact"/>
        <w:rPr>
          <w:sz w:val="20"/>
          <w:szCs w:val="20"/>
          <w:color w:val="auto"/>
        </w:rPr>
      </w:pPr>
    </w:p>
    <w:p>
      <w:pPr>
        <w:ind w:left="540" w:hanging="270"/>
        <w:spacing w:after="0"/>
        <w:tabs>
          <w:tab w:leader="none" w:pos="54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the transaction is approved by the board of directors before the date the interested stockholder attained that status;</w:t>
      </w:r>
    </w:p>
    <w:p>
      <w:pPr>
        <w:spacing w:after="0" w:line="177" w:lineRule="exact"/>
        <w:rPr>
          <w:rFonts w:ascii="Arial" w:cs="Arial" w:eastAsia="Arial" w:hAnsi="Arial"/>
          <w:sz w:val="15"/>
          <w:szCs w:val="15"/>
          <w:color w:val="auto"/>
        </w:rPr>
      </w:pPr>
    </w:p>
    <w:p>
      <w:pPr>
        <w:ind w:left="540" w:right="520" w:hanging="270"/>
        <w:spacing w:after="0" w:line="259" w:lineRule="auto"/>
        <w:tabs>
          <w:tab w:leader="none" w:pos="54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52" w:lineRule="exact"/>
        <w:rPr>
          <w:rFonts w:ascii="Arial" w:cs="Arial" w:eastAsia="Arial" w:hAnsi="Arial"/>
          <w:sz w:val="15"/>
          <w:szCs w:val="15"/>
          <w:color w:val="auto"/>
        </w:rPr>
      </w:pPr>
    </w:p>
    <w:p>
      <w:pPr>
        <w:ind w:left="540" w:right="100" w:hanging="270"/>
        <w:spacing w:after="0" w:line="259" w:lineRule="auto"/>
        <w:tabs>
          <w:tab w:leader="none" w:pos="54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Amended and Restated Certificate of Incorporation and Amended and Restated Bylaws</w:t>
      </w:r>
    </w:p>
    <w:p>
      <w:pPr>
        <w:spacing w:after="0" w:line="177"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Provisions of our amended and restated certificate of incorporation and amended and restated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Among other things, our amended and restated certificate of incorporation and amended and restated bylaws:</w:t>
      </w:r>
    </w:p>
    <w:p>
      <w:pPr>
        <w:spacing w:after="0" w:line="177" w:lineRule="exact"/>
        <w:rPr>
          <w:sz w:val="20"/>
          <w:szCs w:val="20"/>
          <w:color w:val="auto"/>
        </w:rPr>
      </w:pPr>
    </w:p>
    <w:p>
      <w:pPr>
        <w:ind w:left="540" w:right="40" w:hanging="270"/>
        <w:spacing w:after="0" w:line="251" w:lineRule="auto"/>
        <w:tabs>
          <w:tab w:leader="none" w:pos="54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provide that, upon completion of the spin-off, our directors will be divided into three classes serving staggered three-year terms, with only one class being elected each year by our stockholders. This classified board may discourage a third party from making a tender offer or otherwise attempting to obtain control of us, because it generally makes it more difficult for stockholders to replace a majority of our directors;</w:t>
      </w:r>
    </w:p>
    <w:p>
      <w:pPr>
        <w:spacing w:after="0" w:line="158" w:lineRule="exact"/>
        <w:rPr>
          <w:rFonts w:ascii="Arial" w:cs="Arial" w:eastAsia="Arial" w:hAnsi="Arial"/>
          <w:sz w:val="15"/>
          <w:szCs w:val="15"/>
          <w:color w:val="auto"/>
        </w:rPr>
      </w:pPr>
    </w:p>
    <w:p>
      <w:pPr>
        <w:ind w:left="540" w:right="100" w:hanging="270"/>
        <w:spacing w:after="0" w:line="259" w:lineRule="auto"/>
        <w:tabs>
          <w:tab w:leader="none" w:pos="54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provide that our directors may only be removed for cause by the affirmative vote of the holders of a majority of the voting power of the shares of common stock generally entitled to vote in the election of directors, voting together as a single class;</w:t>
      </w:r>
    </w:p>
    <w:p>
      <w:pPr>
        <w:spacing w:after="0" w:line="152" w:lineRule="exact"/>
        <w:rPr>
          <w:rFonts w:ascii="Arial" w:cs="Arial" w:eastAsia="Arial" w:hAnsi="Arial"/>
          <w:sz w:val="15"/>
          <w:szCs w:val="15"/>
          <w:color w:val="auto"/>
        </w:rPr>
      </w:pPr>
    </w:p>
    <w:p>
      <w:pPr>
        <w:ind w:left="540" w:hanging="270"/>
        <w:spacing w:after="0" w:line="247" w:lineRule="auto"/>
        <w:tabs>
          <w:tab w:leader="none" w:pos="54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161" w:lineRule="exact"/>
        <w:rPr>
          <w:rFonts w:ascii="Arial" w:cs="Arial" w:eastAsia="Arial" w:hAnsi="Arial"/>
          <w:sz w:val="15"/>
          <w:szCs w:val="15"/>
          <w:color w:val="auto"/>
        </w:rPr>
      </w:pPr>
    </w:p>
    <w:p>
      <w:pPr>
        <w:ind w:left="540" w:right="60" w:hanging="270"/>
        <w:spacing w:after="0" w:line="251" w:lineRule="auto"/>
        <w:tabs>
          <w:tab w:leader="none" w:pos="54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158" w:lineRule="exact"/>
        <w:rPr>
          <w:rFonts w:ascii="Arial" w:cs="Arial" w:eastAsia="Arial" w:hAnsi="Arial"/>
          <w:sz w:val="15"/>
          <w:szCs w:val="15"/>
          <w:color w:val="auto"/>
        </w:rPr>
      </w:pPr>
    </w:p>
    <w:p>
      <w:pPr>
        <w:ind w:left="540" w:hanging="270"/>
        <w:spacing w:after="0"/>
        <w:tabs>
          <w:tab w:leader="none" w:pos="54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provide that the authorized number of directors may be changed only by resolution of the board of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501" w:right="219" w:bottom="1440" w:gutter="0" w:footer="0" w:header="0"/>
        </w:sectPr>
      </w:pPr>
    </w:p>
    <w:bookmarkStart w:id="357" w:name="page358"/>
    <w:bookmarkEnd w:id="357"/>
    <w:p>
      <w:pPr>
        <w:ind w:left="540" w:right="60" w:hanging="270"/>
        <w:spacing w:after="0" w:line="259" w:lineRule="auto"/>
        <w:tabs>
          <w:tab w:leader="none" w:pos="5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52" w:lineRule="exact"/>
        <w:rPr>
          <w:rFonts w:ascii="Arial" w:cs="Arial" w:eastAsia="Arial" w:hAnsi="Arial"/>
          <w:sz w:val="15"/>
          <w:szCs w:val="15"/>
          <w:color w:val="auto"/>
        </w:rPr>
      </w:pPr>
    </w:p>
    <w:p>
      <w:pPr>
        <w:ind w:left="540" w:right="220" w:hanging="270"/>
        <w:spacing w:after="0" w:line="294" w:lineRule="auto"/>
        <w:tabs>
          <w:tab w:leader="none" w:pos="54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w:t>
      </w:r>
    </w:p>
    <w:p>
      <w:pPr>
        <w:spacing w:after="0" w:line="130" w:lineRule="exact"/>
        <w:rPr>
          <w:rFonts w:ascii="Arial" w:cs="Arial" w:eastAsia="Arial" w:hAnsi="Arial"/>
          <w:sz w:val="14"/>
          <w:szCs w:val="14"/>
          <w:color w:val="auto"/>
        </w:rPr>
      </w:pPr>
    </w:p>
    <w:p>
      <w:pPr>
        <w:ind w:left="540" w:hanging="270"/>
        <w:spacing w:after="0"/>
        <w:tabs>
          <w:tab w:leader="none" w:pos="5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provide that special meetings of our stockholders may only be called by the board of directors or the chairman of the board; and</w:t>
      </w:r>
    </w:p>
    <w:p>
      <w:pPr>
        <w:spacing w:after="0" w:line="177" w:lineRule="exact"/>
        <w:rPr>
          <w:rFonts w:ascii="Arial" w:cs="Arial" w:eastAsia="Arial" w:hAnsi="Arial"/>
          <w:sz w:val="15"/>
          <w:szCs w:val="15"/>
          <w:color w:val="auto"/>
        </w:rPr>
      </w:pPr>
    </w:p>
    <w:p>
      <w:pPr>
        <w:ind w:left="540" w:right="80" w:hanging="270"/>
        <w:spacing w:after="0" w:line="251" w:lineRule="auto"/>
        <w:tabs>
          <w:tab w:leader="none" w:pos="5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provide that our certificate of incorporation and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Forum Selection</w:t>
      </w:r>
    </w:p>
    <w:p>
      <w:pPr>
        <w:spacing w:after="0" w:line="181"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152" w:lineRule="exact"/>
        <w:rPr>
          <w:sz w:val="20"/>
          <w:szCs w:val="20"/>
          <w:color w:val="auto"/>
        </w:rPr>
      </w:pPr>
    </w:p>
    <w:p>
      <w:pPr>
        <w:ind w:left="540" w:hanging="270"/>
        <w:spacing w:after="0"/>
        <w:tabs>
          <w:tab w:leader="none" w:pos="54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action asserting a claim against us arising pursuant to any provision of the DGCL, our amended and restated certificate of incorporation or our bylaws; or</w:t>
      </w:r>
    </w:p>
    <w:p>
      <w:pPr>
        <w:spacing w:after="0" w:line="177" w:lineRule="exact"/>
        <w:rPr>
          <w:rFonts w:ascii="Arial" w:cs="Arial" w:eastAsia="Arial" w:hAnsi="Arial"/>
          <w:sz w:val="15"/>
          <w:szCs w:val="15"/>
          <w:color w:val="auto"/>
        </w:rPr>
      </w:pPr>
    </w:p>
    <w:p>
      <w:pPr>
        <w:ind w:left="540" w:right="640" w:hanging="270"/>
        <w:spacing w:after="0" w:line="259" w:lineRule="auto"/>
        <w:tabs>
          <w:tab w:leader="none" w:pos="54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52" w:lineRule="exact"/>
        <w:rPr>
          <w:sz w:val="20"/>
          <w:szCs w:val="20"/>
          <w:color w:val="auto"/>
        </w:rPr>
      </w:pPr>
    </w:p>
    <w:p>
      <w:pPr>
        <w:ind w:right="260" w:firstLine="262"/>
        <w:spacing w:after="0" w:line="383" w:lineRule="auto"/>
        <w:rPr>
          <w:sz w:val="20"/>
          <w:szCs w:val="20"/>
          <w:color w:val="auto"/>
        </w:rPr>
      </w:pPr>
      <w:r>
        <w:rPr>
          <w:rFonts w:ascii="Arial" w:cs="Arial" w:eastAsia="Arial" w:hAnsi="Arial"/>
          <w:sz w:val="12"/>
          <w:szCs w:val="12"/>
          <w:color w:val="auto"/>
        </w:rPr>
        <w:t>Our amended and restated certificate of incorporation also provides that any person or entity purchasing or otherwise acquiring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Limitation of Liability and Indemnification Matters</w:t>
      </w:r>
    </w:p>
    <w:p>
      <w:pPr>
        <w:spacing w:after="0" w:line="181" w:lineRule="exact"/>
        <w:rPr>
          <w:sz w:val="20"/>
          <w:szCs w:val="20"/>
          <w:color w:val="auto"/>
        </w:rPr>
      </w:pPr>
    </w:p>
    <w:p>
      <w:pPr>
        <w:ind w:right="40" w:firstLine="262"/>
        <w:spacing w:after="0" w:line="251" w:lineRule="auto"/>
        <w:rPr>
          <w:sz w:val="20"/>
          <w:szCs w:val="20"/>
          <w:color w:val="auto"/>
        </w:rPr>
      </w:pPr>
      <w:r>
        <w:rPr>
          <w:rFonts w:ascii="Arial" w:cs="Arial" w:eastAsia="Arial" w:hAnsi="Arial"/>
          <w:sz w:val="15"/>
          <w:szCs w:val="15"/>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158" w:lineRule="exact"/>
        <w:rPr>
          <w:sz w:val="20"/>
          <w:szCs w:val="20"/>
          <w:color w:val="auto"/>
        </w:rPr>
      </w:pPr>
    </w:p>
    <w:p>
      <w:pPr>
        <w:ind w:left="540" w:hanging="270"/>
        <w:spacing w:after="0"/>
        <w:tabs>
          <w:tab w:leader="none" w:pos="54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for any breach of their duty of loyalty to us or our stockholders;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for unlawful payment of dividend or unlawful stock repurchase or redemption, as provided under Section 174 of the DGCL; 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1" w:right="239" w:bottom="1440" w:gutter="0" w:footer="0" w:header="0"/>
        </w:sectPr>
      </w:pPr>
    </w:p>
    <w:bookmarkStart w:id="358" w:name="page359"/>
    <w:bookmarkEnd w:id="358"/>
    <w:p>
      <w:pPr>
        <w:ind w:left="540" w:hanging="270"/>
        <w:spacing w:after="0"/>
        <w:tabs>
          <w:tab w:leader="none" w:pos="540" w:val="left"/>
        </w:tabs>
        <w:numPr>
          <w:ilvl w:val="0"/>
          <w:numId w:val="328"/>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77"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52" w:lineRule="exact"/>
        <w:rPr>
          <w:sz w:val="20"/>
          <w:szCs w:val="20"/>
          <w:color w:val="auto"/>
        </w:rPr>
      </w:pPr>
    </w:p>
    <w:p>
      <w:pPr>
        <w:ind w:right="160" w:firstLine="262"/>
        <w:spacing w:after="0" w:line="266" w:lineRule="auto"/>
        <w:rPr>
          <w:sz w:val="20"/>
          <w:szCs w:val="20"/>
          <w:color w:val="auto"/>
        </w:rPr>
      </w:pPr>
      <w:r>
        <w:rPr>
          <w:rFonts w:ascii="Arial" w:cs="Arial" w:eastAsia="Arial" w:hAnsi="Arial"/>
          <w:sz w:val="14"/>
          <w:szCs w:val="14"/>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Transfer Agent and Registrar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transfer agent and registrar for our common stock is Computershare Trust Company, N.A.</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Listing</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been approved to list our common stock on the NYSE under the symbol “CVEO”.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500" w:right="23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81" w:lineRule="exact"/>
        <w:rPr>
          <w:sz w:val="20"/>
          <w:szCs w:val="20"/>
          <w:color w:val="auto"/>
        </w:rPr>
      </w:pPr>
    </w:p>
    <w:p>
      <w:pPr>
        <w:ind w:right="20" w:firstLine="262"/>
        <w:spacing w:after="0" w:line="269" w:lineRule="auto"/>
        <w:rPr>
          <w:sz w:val="20"/>
          <w:szCs w:val="20"/>
          <w:color w:val="auto"/>
        </w:rPr>
      </w:pPr>
      <w:r>
        <w:rPr>
          <w:rFonts w:ascii="Arial" w:cs="Arial" w:eastAsia="Arial" w:hAnsi="Arial"/>
          <w:sz w:val="14"/>
          <w:szCs w:val="14"/>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147" w:lineRule="exact"/>
        <w:rPr>
          <w:sz w:val="20"/>
          <w:szCs w:val="20"/>
          <w:color w:val="auto"/>
        </w:rPr>
      </w:pPr>
    </w:p>
    <w:p>
      <w:pPr>
        <w:jc w:val="both"/>
        <w:ind w:right="140" w:firstLine="262"/>
        <w:spacing w:after="0" w:line="251" w:lineRule="auto"/>
        <w:rPr>
          <w:sz w:val="20"/>
          <w:szCs w:val="20"/>
          <w:color w:val="auto"/>
        </w:rPr>
      </w:pPr>
      <w:r>
        <w:rPr>
          <w:rFonts w:ascii="Arial" w:cs="Arial" w:eastAsia="Arial" w:hAnsi="Arial"/>
          <w:sz w:val="15"/>
          <w:szCs w:val="15"/>
          <w:color w:val="auto"/>
        </w:rPr>
        <w:t xml:space="preserve">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you can electronically access the Form 10, including its exhibits.</w:t>
      </w:r>
    </w:p>
    <w:p>
      <w:pPr>
        <w:spacing w:after="0" w:line="158" w:lineRule="exact"/>
        <w:rPr>
          <w:sz w:val="20"/>
          <w:szCs w:val="20"/>
          <w:color w:val="auto"/>
        </w:rPr>
      </w:pPr>
    </w:p>
    <w:p>
      <w:pPr>
        <w:ind w:right="80" w:firstLine="262"/>
        <w:spacing w:after="0" w:line="259" w:lineRule="auto"/>
        <w:rPr>
          <w:sz w:val="20"/>
          <w:szCs w:val="20"/>
          <w:color w:val="auto"/>
        </w:rPr>
      </w:pPr>
      <w:r>
        <w:rPr>
          <w:rFonts w:ascii="Arial" w:cs="Arial" w:eastAsia="Arial" w:hAnsi="Arial"/>
          <w:sz w:val="15"/>
          <w:szCs w:val="15"/>
          <w:color w:val="auto"/>
        </w:rPr>
        <w:t xml:space="preserve">We maintain an Internet site at </w:t>
      </w:r>
      <w:r>
        <w:rPr>
          <w:rFonts w:ascii="Arial" w:cs="Arial" w:eastAsia="Arial" w:hAnsi="Arial"/>
          <w:sz w:val="15"/>
          <w:szCs w:val="15"/>
          <w:i w:val="1"/>
          <w:iCs w:val="1"/>
          <w:color w:val="auto"/>
        </w:rPr>
        <w:t>www.civeo.com</w:t>
      </w:r>
      <w:r>
        <w:rPr>
          <w:rFonts w:ascii="Arial" w:cs="Arial" w:eastAsia="Arial" w:hAnsi="Arial"/>
          <w:sz w:val="15"/>
          <w:szCs w:val="15"/>
          <w:color w:val="auto"/>
        </w:rPr>
        <w:t>. We do not incorporate our Internet site, or the information contained on that site or connected to that site, into the information statement or our Registration Statement on Form 10.</w:t>
      </w:r>
    </w:p>
    <w:p>
      <w:pPr>
        <w:spacing w:after="0" w:line="152" w:lineRule="exact"/>
        <w:rPr>
          <w:sz w:val="20"/>
          <w:szCs w:val="20"/>
          <w:color w:val="auto"/>
        </w:rPr>
      </w:pPr>
    </w:p>
    <w:p>
      <w:pPr>
        <w:ind w:right="120" w:firstLine="262"/>
        <w:spacing w:after="0" w:line="259" w:lineRule="auto"/>
        <w:rPr>
          <w:sz w:val="20"/>
          <w:szCs w:val="20"/>
          <w:color w:val="auto"/>
        </w:rPr>
      </w:pPr>
      <w:r>
        <w:rPr>
          <w:rFonts w:ascii="Arial" w:cs="Arial" w:eastAsia="Arial" w:hAnsi="Arial"/>
          <w:sz w:val="15"/>
          <w:szCs w:val="15"/>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52" w:lineRule="exact"/>
        <w:rPr>
          <w:sz w:val="20"/>
          <w:szCs w:val="20"/>
          <w:color w:val="auto"/>
        </w:rPr>
      </w:pPr>
    </w:p>
    <w:p>
      <w:pPr>
        <w:jc w:val="both"/>
        <w:ind w:right="60" w:firstLine="262"/>
        <w:spacing w:after="0" w:line="277" w:lineRule="auto"/>
        <w:rPr>
          <w:sz w:val="20"/>
          <w:szCs w:val="20"/>
          <w:color w:val="auto"/>
        </w:rPr>
      </w:pPr>
      <w:r>
        <w:rPr>
          <w:rFonts w:ascii="Arial" w:cs="Arial" w:eastAsia="Arial" w:hAnsi="Arial"/>
          <w:sz w:val="14"/>
          <w:szCs w:val="14"/>
          <w:color w:val="auto"/>
        </w:rPr>
        <w:t xml:space="preserve">We plan to make available free of charge on our website, at </w:t>
      </w:r>
      <w:r>
        <w:rPr>
          <w:rFonts w:ascii="Arial" w:cs="Arial" w:eastAsia="Arial" w:hAnsi="Arial"/>
          <w:sz w:val="14"/>
          <w:szCs w:val="14"/>
          <w:i w:val="1"/>
          <w:iCs w:val="1"/>
          <w:color w:val="auto"/>
        </w:rPr>
        <w:t>www.civeo.com</w:t>
      </w:r>
      <w:r>
        <w:rPr>
          <w:rFonts w:ascii="Arial" w:cs="Arial" w:eastAsia="Arial" w:hAnsi="Arial"/>
          <w:sz w:val="14"/>
          <w:szCs w:val="14"/>
          <w:color w:val="auto"/>
        </w:rPr>
        <w:t>,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142" w:lineRule="exact"/>
        <w:rPr>
          <w:sz w:val="20"/>
          <w:szCs w:val="20"/>
          <w:color w:val="auto"/>
        </w:rPr>
      </w:pPr>
    </w:p>
    <w:p>
      <w:pPr>
        <w:ind w:firstLine="262"/>
        <w:spacing w:after="0" w:line="259" w:lineRule="auto"/>
        <w:rPr>
          <w:sz w:val="20"/>
          <w:szCs w:val="20"/>
          <w:color w:val="auto"/>
        </w:rPr>
      </w:pPr>
      <w:r>
        <w:rPr>
          <w:rFonts w:ascii="Arial" w:cs="Arial" w:eastAsia="Arial" w:hAnsi="Arial"/>
          <w:sz w:val="15"/>
          <w:szCs w:val="15"/>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10440" w:type="dxa"/>
            <w:vAlign w:val="bottom"/>
          </w:tcPr>
          <w:p>
            <w:pPr>
              <w:jc w:val="center"/>
              <w:ind w:left="707"/>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20" w:type="dxa"/>
            <w:vAlign w:val="bottom"/>
          </w:tcPr>
          <w:p>
            <w:pPr>
              <w:spacing w:after="0"/>
              <w:rPr>
                <w:sz w:val="24"/>
                <w:szCs w:val="24"/>
                <w:color w:val="auto"/>
              </w:rPr>
            </w:pPr>
          </w:p>
        </w:tc>
        <w:tc>
          <w:tcPr>
            <w:tcW w:w="10440" w:type="dxa"/>
            <w:vAlign w:val="bottom"/>
          </w:tcPr>
          <w:p>
            <w:pPr>
              <w:jc w:val="center"/>
              <w:ind w:left="707"/>
              <w:spacing w:after="0"/>
              <w:rPr>
                <w:sz w:val="20"/>
                <w:szCs w:val="20"/>
                <w:color w:val="auto"/>
              </w:rPr>
            </w:pPr>
            <w:r>
              <w:rPr>
                <w:rFonts w:ascii="Arial" w:cs="Arial" w:eastAsia="Arial" w:hAnsi="Arial"/>
                <w:sz w:val="15"/>
                <w:szCs w:val="15"/>
                <w:b w:val="1"/>
                <w:bCs w:val="1"/>
                <w:color w:val="auto"/>
                <w:w w:val="97"/>
              </w:rPr>
              <w:t>INDEX TO FINANCIAL STATEMENTS, SUPPLEMENTARY DATA AND SCHEDULES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0" w:type="dxa"/>
            <w:vAlign w:val="bottom"/>
          </w:tcPr>
          <w:p>
            <w:pPr>
              <w:spacing w:after="0"/>
              <w:rPr>
                <w:sz w:val="24"/>
                <w:szCs w:val="24"/>
                <w:color w:val="auto"/>
              </w:rPr>
            </w:pPr>
          </w:p>
        </w:tc>
        <w:tc>
          <w:tcPr>
            <w:tcW w:w="1044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1044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Audited Combined Financial Statements</w:t>
            </w: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on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20"/>
                <w:szCs w:val="20"/>
                <w:color w:val="auto"/>
              </w:rPr>
            </w:pPr>
            <w:r>
              <w:rPr>
                <w:rFonts w:ascii="Arial" w:cs="Arial" w:eastAsia="Arial" w:hAnsi="Arial"/>
                <w:sz w:val="15"/>
                <w:szCs w:val="15"/>
                <w:color w:val="auto"/>
              </w:rPr>
              <w:t>Combined Statements of Income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5"/>
                <w:szCs w:val="15"/>
                <w:color w:val="auto"/>
              </w:rPr>
              <w:t>F-3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Combined Statements of Comprehensive Income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20"/>
                <w:szCs w:val="20"/>
                <w:color w:val="auto"/>
              </w:rPr>
            </w:pPr>
            <w:r>
              <w:rPr>
                <w:rFonts w:ascii="Arial" w:cs="Arial" w:eastAsia="Arial" w:hAnsi="Arial"/>
                <w:sz w:val="15"/>
                <w:szCs w:val="15"/>
                <w:color w:val="auto"/>
              </w:rPr>
              <w:t>Combined Balance Sheets at December 31, 2013 and 2012</w:t>
            </w:r>
          </w:p>
        </w:tc>
        <w:tc>
          <w:tcPr>
            <w:tcW w:w="880" w:type="dxa"/>
            <w:vAlign w:val="bottom"/>
          </w:tcPr>
          <w:p>
            <w:pPr>
              <w:jc w:val="right"/>
              <w:spacing w:after="0"/>
              <w:rPr>
                <w:sz w:val="20"/>
                <w:szCs w:val="20"/>
                <w:color w:val="auto"/>
              </w:rPr>
            </w:pPr>
            <w:r>
              <w:rPr>
                <w:rFonts w:ascii="Arial" w:cs="Arial" w:eastAsia="Arial" w:hAnsi="Arial"/>
                <w:sz w:val="15"/>
                <w:szCs w:val="15"/>
                <w:color w:val="auto"/>
              </w:rPr>
              <w:t>F-5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Combined Statement of Changes in Net Investment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20"/>
                <w:szCs w:val="20"/>
                <w:color w:val="auto"/>
              </w:rPr>
            </w:pPr>
            <w:r>
              <w:rPr>
                <w:rFonts w:ascii="Arial" w:cs="Arial" w:eastAsia="Arial" w:hAnsi="Arial"/>
                <w:sz w:val="15"/>
                <w:szCs w:val="15"/>
                <w:color w:val="auto"/>
              </w:rPr>
              <w:t>Combined Statements of Cash Flows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5"/>
                <w:szCs w:val="15"/>
                <w:color w:val="auto"/>
              </w:rPr>
              <w:t>F-7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Notes to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F-8 – F30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Audited Financial Statements of OIS Accommodations SpinCo Inc.</w:t>
            </w: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on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F-31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20"/>
                <w:szCs w:val="20"/>
                <w:color w:val="auto"/>
              </w:rPr>
            </w:pPr>
            <w:r>
              <w:rPr>
                <w:rFonts w:ascii="Arial" w:cs="Arial" w:eastAsia="Arial" w:hAnsi="Arial"/>
                <w:sz w:val="15"/>
                <w:szCs w:val="15"/>
                <w:color w:val="auto"/>
              </w:rPr>
              <w:t>Balance Sheet as of December 31, 2013</w:t>
            </w:r>
          </w:p>
        </w:tc>
        <w:tc>
          <w:tcPr>
            <w:tcW w:w="880" w:type="dxa"/>
            <w:vAlign w:val="bottom"/>
          </w:tcPr>
          <w:p>
            <w:pPr>
              <w:jc w:val="right"/>
              <w:spacing w:after="0"/>
              <w:rPr>
                <w:sz w:val="20"/>
                <w:szCs w:val="20"/>
                <w:color w:val="auto"/>
              </w:rPr>
            </w:pPr>
            <w:r>
              <w:rPr>
                <w:rFonts w:ascii="Arial" w:cs="Arial" w:eastAsia="Arial" w:hAnsi="Arial"/>
                <w:sz w:val="15"/>
                <w:szCs w:val="15"/>
                <w:color w:val="auto"/>
              </w:rPr>
              <w:t>F-32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Statement of Changes in Stockholder’s Equity for the Period from October 8, 2013 (date of inception) to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tcPr>
          <w:p>
            <w:pPr>
              <w:spacing w:after="0"/>
              <w:rPr>
                <w:sz w:val="20"/>
                <w:szCs w:val="20"/>
                <w:color w:val="auto"/>
              </w:rPr>
            </w:pPr>
            <w:r>
              <w:rPr>
                <w:rFonts w:ascii="Arial" w:cs="Arial" w:eastAsia="Arial" w:hAnsi="Arial"/>
                <w:sz w:val="15"/>
                <w:szCs w:val="15"/>
                <w:color w:val="auto"/>
              </w:rPr>
              <w:t>Statement of Cash Flows for the Period from October 8, 2013 (date of inception) to December 31, 2013</w:t>
            </w:r>
          </w:p>
        </w:tc>
        <w:tc>
          <w:tcPr>
            <w:tcW w:w="880" w:type="dxa"/>
            <w:vAlign w:val="bottom"/>
          </w:tcPr>
          <w:p>
            <w:pPr>
              <w:jc w:val="right"/>
              <w:spacing w:after="0"/>
              <w:rPr>
                <w:sz w:val="20"/>
                <w:szCs w:val="20"/>
                <w:color w:val="auto"/>
              </w:rPr>
            </w:pPr>
            <w:r>
              <w:rPr>
                <w:rFonts w:ascii="Arial" w:cs="Arial" w:eastAsia="Arial" w:hAnsi="Arial"/>
                <w:sz w:val="15"/>
                <w:szCs w:val="15"/>
                <w:color w:val="auto"/>
              </w:rPr>
              <w:t>F-34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5"/>
                <w:szCs w:val="15"/>
                <w:color w:val="auto"/>
              </w:rPr>
              <w:t>Notes to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F-35 – F-36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120" w:type="dxa"/>
            <w:vAlign w:val="bottom"/>
          </w:tcPr>
          <w:p>
            <w:pPr>
              <w:spacing w:after="0"/>
              <w:rPr>
                <w:sz w:val="24"/>
                <w:szCs w:val="24"/>
                <w:color w:val="auto"/>
              </w:rPr>
            </w:pPr>
          </w:p>
        </w:tc>
        <w:tc>
          <w:tcPr>
            <w:tcW w:w="10440" w:type="dxa"/>
            <w:vAlign w:val="bottom"/>
          </w:tcPr>
          <w:p>
            <w:pPr>
              <w:jc w:val="center"/>
              <w:ind w:left="727"/>
              <w:spacing w:after="0"/>
              <w:rPr>
                <w:sz w:val="20"/>
                <w:szCs w:val="20"/>
                <w:color w:val="auto"/>
              </w:rPr>
            </w:pPr>
            <w:r>
              <w:rPr>
                <w:rFonts w:ascii="Arial" w:cs="Arial" w:eastAsia="Arial" w:hAnsi="Arial"/>
                <w:sz w:val="15"/>
                <w:szCs w:val="15"/>
                <w:color w:val="auto"/>
                <w:w w:val="88"/>
              </w:rPr>
              <w:t>F-1</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0" w:type="dxa"/>
            <w:vAlign w:val="bottom"/>
            <w:tcBorders>
              <w:bottom w:val="single" w:sz="8" w:color="808080"/>
            </w:tcBorders>
          </w:tcPr>
          <w:p>
            <w:pPr>
              <w:spacing w:after="0"/>
              <w:rPr>
                <w:sz w:val="10"/>
                <w:szCs w:val="10"/>
                <w:color w:val="auto"/>
              </w:rPr>
            </w:pPr>
          </w:p>
        </w:tc>
        <w:tc>
          <w:tcPr>
            <w:tcW w:w="10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61" w:name="page362"/>
    <w:bookmarkEnd w:id="361"/>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the Board of Directors and Stockholders of Oil States International, Inc.:</w:t>
      </w:r>
    </w:p>
    <w:p>
      <w:pPr>
        <w:spacing w:after="0" w:line="181" w:lineRule="exact"/>
        <w:rPr>
          <w:sz w:val="20"/>
          <w:szCs w:val="20"/>
          <w:color w:val="auto"/>
        </w:rPr>
      </w:pPr>
    </w:p>
    <w:p>
      <w:pPr>
        <w:ind w:right="100"/>
        <w:spacing w:after="0" w:line="343" w:lineRule="auto"/>
        <w:rPr>
          <w:sz w:val="20"/>
          <w:szCs w:val="20"/>
          <w:color w:val="auto"/>
        </w:rPr>
      </w:pPr>
      <w:r>
        <w:rPr>
          <w:rFonts w:ascii="Arial" w:cs="Arial" w:eastAsia="Arial" w:hAnsi="Arial"/>
          <w:sz w:val="12"/>
          <w:szCs w:val="12"/>
          <w:color w:val="auto"/>
        </w:rPr>
        <w:t>We have audited the accompanying combined balance sheets of the Accommodations Business of Oil States International, Inc. (the “Accommodations Business”) as of December 31, 2013 and 2012, and the related combined statements of income, comprehensive income, changes in net investment, and cash flows for each of the three years in the period ended December 31, 2013. These financial statements are the responsibility of Oil States International, Inc.’s management. Our responsibility is to express an opinion on these financial statements based on our audits.</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3"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combined financial position of the Accommodations Business of Oil States International, Inc. at December 31, 2013 and 2012, and the combined results of its operations and its cash flows for each of the three years in the period ended December 31, 2013, in conformity with U.S. generally accepted accounting principles.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March 18, 2014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480" w:type="dxa"/>
            <w:vAlign w:val="bottom"/>
            <w:gridSpan w:val="7"/>
          </w:tcPr>
          <w:p>
            <w:pPr>
              <w:jc w:val="center"/>
              <w:ind w:left="2867"/>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7320" w:type="dxa"/>
            <w:vAlign w:val="bottom"/>
            <w:gridSpan w:val="3"/>
          </w:tcPr>
          <w:p>
            <w:pPr>
              <w:ind w:left="4480"/>
              <w:spacing w:after="0"/>
              <w:rPr>
                <w:sz w:val="20"/>
                <w:szCs w:val="20"/>
                <w:color w:val="auto"/>
              </w:rPr>
            </w:pPr>
            <w:r>
              <w:rPr>
                <w:rFonts w:ascii="Arial" w:cs="Arial" w:eastAsia="Arial" w:hAnsi="Arial"/>
                <w:sz w:val="15"/>
                <w:szCs w:val="15"/>
                <w:b w:val="1"/>
                <w:bCs w:val="1"/>
                <w:color w:val="auto"/>
              </w:rPr>
              <w:t>COMBINED STATEMENTS OF INCOME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200" w:type="dxa"/>
            <w:vAlign w:val="bottom"/>
            <w:gridSpan w:val="2"/>
          </w:tcPr>
          <w:p>
            <w:pPr>
              <w:jc w:val="center"/>
              <w:ind w:right="961"/>
              <w:spacing w:after="0"/>
              <w:rPr>
                <w:sz w:val="20"/>
                <w:szCs w:val="20"/>
                <w:color w:val="auto"/>
              </w:rPr>
            </w:pPr>
            <w:r>
              <w:rPr>
                <w:rFonts w:ascii="Arial" w:cs="Arial" w:eastAsia="Arial" w:hAnsi="Arial"/>
                <w:sz w:val="15"/>
                <w:szCs w:val="15"/>
                <w:b w:val="1"/>
                <w:bCs w:val="1"/>
                <w:color w:val="auto"/>
                <w:w w:val="87"/>
              </w:rPr>
              <w:t>(In 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40"/>
              <w:spacing w:after="0"/>
              <w:rPr>
                <w:sz w:val="20"/>
                <w:szCs w:val="20"/>
                <w:color w:val="auto"/>
              </w:rPr>
            </w:pPr>
            <w:r>
              <w:rPr>
                <w:rFonts w:ascii="Arial" w:cs="Arial" w:eastAsia="Arial" w:hAnsi="Arial"/>
                <w:sz w:val="15"/>
                <w:szCs w:val="15"/>
                <w:color w:val="auto"/>
              </w:rPr>
              <w:t>Service and other</w:t>
            </w:r>
          </w:p>
        </w:tc>
        <w:tc>
          <w:tcPr>
            <w:tcW w:w="2200" w:type="dxa"/>
            <w:vAlign w:val="bottom"/>
            <w:gridSpan w:val="2"/>
          </w:tcPr>
          <w:p>
            <w:pPr>
              <w:jc w:val="right"/>
              <w:ind w:right="781"/>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1,016,769</w:t>
            </w:r>
          </w:p>
        </w:tc>
        <w:tc>
          <w:tcPr>
            <w:tcW w:w="100" w:type="dxa"/>
            <w:vAlign w:val="bottom"/>
          </w:tcPr>
          <w:p>
            <w:pPr>
              <w:spacing w:after="0"/>
              <w:rPr>
                <w:sz w:val="15"/>
                <w:szCs w:val="15"/>
                <w:color w:val="auto"/>
              </w:rPr>
            </w:pPr>
          </w:p>
        </w:tc>
        <w:tc>
          <w:tcPr>
            <w:tcW w:w="460" w:type="dxa"/>
            <w:vAlign w:val="bottom"/>
            <w:gridSpan w:val="2"/>
          </w:tcPr>
          <w:p>
            <w:pPr>
              <w:jc w:val="right"/>
              <w:ind w:right="208"/>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1,069,439</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848,786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Product</w:t>
            </w:r>
          </w:p>
        </w:tc>
        <w:tc>
          <w:tcPr>
            <w:tcW w:w="1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24,335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39,436</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15,915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Arial" w:cs="Arial" w:eastAsia="Arial" w:hAnsi="Arial"/>
                <w:sz w:val="15"/>
                <w:szCs w:val="15"/>
                <w:color w:val="auto"/>
                <w:w w:val="86"/>
              </w:rPr>
              <w:t>1,041,104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1,108,875</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864,701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Costs and expenses:</w:t>
            </w:r>
          </w:p>
        </w:tc>
        <w:tc>
          <w:tcPr>
            <w:tcW w:w="13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40"/>
              <w:spacing w:after="0"/>
              <w:rPr>
                <w:sz w:val="20"/>
                <w:szCs w:val="20"/>
                <w:color w:val="auto"/>
              </w:rPr>
            </w:pPr>
            <w:r>
              <w:rPr>
                <w:rFonts w:ascii="Arial" w:cs="Arial" w:eastAsia="Arial" w:hAnsi="Arial"/>
                <w:sz w:val="15"/>
                <w:szCs w:val="15"/>
                <w:color w:val="auto"/>
              </w:rPr>
              <w:t>Service and other costs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530,575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517,746</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444,138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costs</w:t>
            </w: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19,040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34,612</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40"/>
              <w:spacing w:after="0"/>
              <w:rPr>
                <w:sz w:val="20"/>
                <w:szCs w:val="20"/>
                <w:color w:val="auto"/>
              </w:rPr>
            </w:pPr>
            <w:r>
              <w:rPr>
                <w:rFonts w:ascii="Arial" w:cs="Arial" w:eastAsia="Arial" w:hAnsi="Arial"/>
                <w:sz w:val="15"/>
                <w:szCs w:val="15"/>
                <w:color w:val="auto"/>
              </w:rPr>
              <w:t>Selling, general and administrative expenses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69,590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64,206</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54,374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167,213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139,047</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110,708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40"/>
              <w:spacing w:after="0"/>
              <w:rPr>
                <w:sz w:val="20"/>
                <w:szCs w:val="20"/>
                <w:color w:val="auto"/>
              </w:rPr>
            </w:pPr>
            <w:r>
              <w:rPr>
                <w:rFonts w:ascii="Arial" w:cs="Arial" w:eastAsia="Arial" w:hAnsi="Arial"/>
                <w:sz w:val="15"/>
                <w:szCs w:val="15"/>
                <w:color w:val="auto"/>
              </w:rPr>
              <w:t>Other operating (income) expense</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(4,770)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335</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781,648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755,946</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622,542</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tcPr>
          <w:p>
            <w:pPr>
              <w:spacing w:after="0" w:line="166" w:lineRule="exact"/>
              <w:rPr>
                <w:sz w:val="20"/>
                <w:szCs w:val="20"/>
                <w:color w:val="auto"/>
              </w:rPr>
            </w:pPr>
            <w:r>
              <w:rPr>
                <w:rFonts w:ascii="Arial" w:cs="Arial" w:eastAsia="Arial" w:hAnsi="Arial"/>
                <w:sz w:val="15"/>
                <w:szCs w:val="15"/>
                <w:color w:val="auto"/>
              </w:rPr>
              <w:t>Operating income</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Arial" w:cs="Arial" w:eastAsia="Arial" w:hAnsi="Arial"/>
                <w:sz w:val="15"/>
                <w:szCs w:val="15"/>
                <w:color w:val="auto"/>
              </w:rPr>
              <w:t>259,456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352,929</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242,159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Interest expense to affiliates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(18,933)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(20,456)</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(15,251)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to third-parties, net of capitalized interest</w:t>
            </w: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(6,029)</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(7,415)</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Interest income from third-parties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1,712</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1,724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3,438</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2,400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shd w:val="clear" w:color="auto" w:fill="CCEEFF"/>
          </w:tcPr>
          <w:p>
            <w:pPr>
              <w:ind w:left="140"/>
              <w:spacing w:after="0" w:line="166" w:lineRule="exact"/>
              <w:rPr>
                <w:sz w:val="20"/>
                <w:szCs w:val="20"/>
                <w:color w:val="auto"/>
              </w:rPr>
            </w:pPr>
            <w:r>
              <w:rPr>
                <w:rFonts w:ascii="Arial" w:cs="Arial" w:eastAsia="Arial" w:hAnsi="Arial"/>
                <w:sz w:val="15"/>
                <w:szCs w:val="15"/>
                <w:color w:val="auto"/>
              </w:rPr>
              <w:t>Income before income taxes</w:t>
            </w:r>
          </w:p>
        </w:tc>
        <w:tc>
          <w:tcPr>
            <w:tcW w:w="13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239,368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330,208</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224,541</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40" w:type="dxa"/>
            <w:vAlign w:val="bottom"/>
            <w:gridSpan w:val="2"/>
          </w:tcPr>
          <w:p>
            <w:pPr>
              <w:spacing w:after="0"/>
              <w:rPr>
                <w:sz w:val="20"/>
                <w:szCs w:val="20"/>
                <w:color w:val="auto"/>
              </w:rPr>
            </w:pPr>
            <w:r>
              <w:rPr>
                <w:rFonts w:ascii="Arial" w:cs="Arial" w:eastAsia="Arial" w:hAnsi="Arial"/>
                <w:sz w:val="15"/>
                <w:szCs w:val="15"/>
                <w:color w:val="auto"/>
              </w:rPr>
              <w:t>Income tax provision</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(56,056)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(84,266)</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(55,110)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income</w:t>
            </w:r>
          </w:p>
        </w:tc>
        <w:tc>
          <w:tcPr>
            <w:tcW w:w="13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183,312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245,942</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169,431</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40"/>
              <w:spacing w:after="0"/>
              <w:rPr>
                <w:sz w:val="20"/>
                <w:szCs w:val="20"/>
                <w:color w:val="auto"/>
              </w:rPr>
            </w:pPr>
            <w:r>
              <w:rPr>
                <w:rFonts w:ascii="Arial" w:cs="Arial" w:eastAsia="Arial" w:hAnsi="Arial"/>
                <w:sz w:val="15"/>
                <w:szCs w:val="15"/>
                <w:color w:val="auto"/>
              </w:rPr>
              <w:t>Less: Net income attributable to noncontrolling interests</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1,221</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926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w w:val="91"/>
              </w:rPr>
              <w:t>Net income attributable to Accommodations Business of Oil States International, Inc.</w:t>
            </w:r>
          </w:p>
        </w:tc>
        <w:tc>
          <w:tcPr>
            <w:tcW w:w="1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181,876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244,721</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168,505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0" w:type="dxa"/>
            <w:vAlign w:val="bottom"/>
            <w:gridSpan w:val="2"/>
          </w:tcPr>
          <w:p>
            <w:pPr>
              <w:jc w:val="center"/>
              <w:ind w:right="941"/>
              <w:spacing w:after="0"/>
              <w:rPr>
                <w:sz w:val="20"/>
                <w:szCs w:val="20"/>
                <w:color w:val="auto"/>
              </w:rPr>
            </w:pPr>
            <w:r>
              <w:rPr>
                <w:rFonts w:ascii="Arial" w:cs="Arial" w:eastAsia="Arial" w:hAnsi="Arial"/>
                <w:sz w:val="15"/>
                <w:szCs w:val="15"/>
                <w:color w:val="auto"/>
                <w:w w:val="88"/>
              </w:rPr>
              <w:t>F-3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480" w:type="dxa"/>
            <w:vAlign w:val="bottom"/>
            <w:gridSpan w:val="7"/>
          </w:tcPr>
          <w:p>
            <w:pPr>
              <w:jc w:val="center"/>
              <w:ind w:left="2827"/>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8020" w:type="dxa"/>
            <w:vAlign w:val="bottom"/>
            <w:gridSpan w:val="5"/>
          </w:tcPr>
          <w:p>
            <w:pPr>
              <w:jc w:val="center"/>
              <w:ind w:left="3327"/>
              <w:spacing w:after="0"/>
              <w:rPr>
                <w:sz w:val="20"/>
                <w:szCs w:val="20"/>
                <w:color w:val="auto"/>
              </w:rPr>
            </w:pPr>
            <w:r>
              <w:rPr>
                <w:rFonts w:ascii="Arial" w:cs="Arial" w:eastAsia="Arial" w:hAnsi="Arial"/>
                <w:sz w:val="15"/>
                <w:szCs w:val="15"/>
                <w:b w:val="1"/>
                <w:bCs w:val="1"/>
                <w:color w:val="auto"/>
                <w:w w:val="98"/>
              </w:rPr>
              <w:t>COMBINED STATEMENTS OF COMPREHENSIVE INCOME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jc w:val="center"/>
              <w:ind w:left="5067"/>
              <w:spacing w:after="0"/>
              <w:rPr>
                <w:sz w:val="20"/>
                <w:szCs w:val="20"/>
                <w:color w:val="auto"/>
              </w:rPr>
            </w:pPr>
            <w:r>
              <w:rPr>
                <w:rFonts w:ascii="Arial" w:cs="Arial" w:eastAsia="Arial" w:hAnsi="Arial"/>
                <w:sz w:val="15"/>
                <w:szCs w:val="15"/>
                <w:b w:val="1"/>
                <w:bCs w:val="1"/>
                <w:color w:val="auto"/>
                <w:w w:val="87"/>
              </w:rPr>
              <w:t>(In thousands)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7"/>
              <w:spacing w:after="0" w:line="167" w:lineRule="exact"/>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7"/>
              <w:spacing w:after="0" w:line="167"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7"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2"/>
          </w:tcPr>
          <w:p>
            <w:pPr>
              <w:spacing w:after="0"/>
              <w:rPr>
                <w:sz w:val="14"/>
                <w:szCs w:val="14"/>
                <w:color w:val="auto"/>
              </w:rPr>
            </w:pPr>
          </w:p>
        </w:tc>
        <w:tc>
          <w:tcPr>
            <w:tcW w:w="4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480" w:type="dxa"/>
            <w:vAlign w:val="bottom"/>
            <w:gridSpan w:val="2"/>
            <w:shd w:val="clear" w:color="auto" w:fill="CCEEFF"/>
          </w:tcPr>
          <w:p>
            <w:pPr>
              <w:jc w:val="right"/>
              <w:ind w:right="228"/>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183,312</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245,942</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169,431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2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8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(167,712)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16,919</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Total other comprehensive income</w:t>
            </w: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(167,712)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16,919</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3,216</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Comprehensive income</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262,861</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172,647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80" w:type="dxa"/>
            <w:vAlign w:val="bottom"/>
          </w:tcPr>
          <w:p>
            <w:pPr>
              <w:ind w:left="140"/>
              <w:spacing w:after="0"/>
              <w:rPr>
                <w:sz w:val="20"/>
                <w:szCs w:val="20"/>
                <w:color w:val="auto"/>
              </w:rPr>
            </w:pPr>
            <w:r>
              <w:rPr>
                <w:rFonts w:ascii="Arial" w:cs="Arial" w:eastAsia="Arial" w:hAnsi="Arial"/>
                <w:sz w:val="15"/>
                <w:szCs w:val="15"/>
                <w:color w:val="auto"/>
              </w:rPr>
              <w:t>Comprehensive income attributable to noncontrolling interest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(1,345)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(1,238)</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(905)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w w:val="97"/>
              </w:rPr>
              <w:t>Comprehensive income attributable to Accommodations Business of Oil States International, Inc.</w:t>
            </w: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14,255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261,623</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171,742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6280" w:type="dxa"/>
            <w:vAlign w:val="bottom"/>
          </w:tcPr>
          <w:p>
            <w:pPr>
              <w:jc w:val="center"/>
              <w:ind w:left="5087"/>
              <w:spacing w:after="0"/>
              <w:rPr>
                <w:sz w:val="20"/>
                <w:szCs w:val="20"/>
                <w:color w:val="auto"/>
              </w:rPr>
            </w:pPr>
            <w:r>
              <w:rPr>
                <w:rFonts w:ascii="Arial" w:cs="Arial" w:eastAsia="Arial" w:hAnsi="Arial"/>
                <w:sz w:val="15"/>
                <w:szCs w:val="15"/>
                <w:color w:val="auto"/>
                <w:w w:val="88"/>
              </w:rPr>
              <w:t>F-4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6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7" w:right="19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6200" w:type="dxa"/>
            <w:vAlign w:val="bottom"/>
            <w:gridSpan w:val="2"/>
          </w:tcPr>
          <w:p>
            <w:pPr>
              <w:jc w:val="center"/>
              <w:ind w:right="507"/>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12"/>
        </w:trPr>
        <w:tc>
          <w:tcPr>
            <w:tcW w:w="2900" w:type="dxa"/>
            <w:vAlign w:val="bottom"/>
          </w:tcPr>
          <w:p>
            <w:pPr>
              <w:spacing w:after="0"/>
              <w:rPr>
                <w:sz w:val="24"/>
                <w:szCs w:val="24"/>
                <w:color w:val="auto"/>
              </w:rPr>
            </w:pPr>
          </w:p>
        </w:tc>
        <w:tc>
          <w:tcPr>
            <w:tcW w:w="6200" w:type="dxa"/>
            <w:vAlign w:val="bottom"/>
            <w:gridSpan w:val="2"/>
          </w:tcPr>
          <w:p>
            <w:pPr>
              <w:jc w:val="center"/>
              <w:ind w:right="467"/>
              <w:spacing w:after="0"/>
              <w:rPr>
                <w:sz w:val="20"/>
                <w:szCs w:val="20"/>
                <w:color w:val="auto"/>
              </w:rPr>
            </w:pPr>
            <w:r>
              <w:rPr>
                <w:rFonts w:ascii="Arial" w:cs="Arial" w:eastAsia="Arial" w:hAnsi="Arial"/>
                <w:sz w:val="15"/>
                <w:szCs w:val="15"/>
                <w:b w:val="1"/>
                <w:bCs w:val="1"/>
                <w:color w:val="auto"/>
                <w:w w:val="97"/>
              </w:rPr>
              <w:t>COMBINED BALANCE SHEETS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2900" w:type="dxa"/>
            <w:vAlign w:val="bottom"/>
          </w:tcPr>
          <w:p>
            <w:pPr>
              <w:spacing w:after="0"/>
              <w:rPr>
                <w:sz w:val="16"/>
                <w:szCs w:val="16"/>
                <w:color w:val="auto"/>
              </w:rPr>
            </w:pPr>
          </w:p>
        </w:tc>
        <w:tc>
          <w:tcPr>
            <w:tcW w:w="6200" w:type="dxa"/>
            <w:vAlign w:val="bottom"/>
            <w:gridSpan w:val="2"/>
          </w:tcPr>
          <w:p>
            <w:pPr>
              <w:jc w:val="center"/>
              <w:ind w:right="467"/>
              <w:spacing w:after="0"/>
              <w:rPr>
                <w:sz w:val="20"/>
                <w:szCs w:val="20"/>
                <w:color w:val="auto"/>
              </w:rPr>
            </w:pPr>
            <w:r>
              <w:rPr>
                <w:rFonts w:ascii="Arial" w:cs="Arial" w:eastAsia="Arial" w:hAnsi="Arial"/>
                <w:sz w:val="15"/>
                <w:szCs w:val="15"/>
                <w:b w:val="1"/>
                <w:bCs w:val="1"/>
                <w:color w:val="auto"/>
                <w:w w:val="87"/>
              </w:rPr>
              <w:t>(In thousands)</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0"/>
        </w:trPr>
        <w:tc>
          <w:tcPr>
            <w:tcW w:w="29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5"/>
                <w:szCs w:val="15"/>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4"/>
                <w:szCs w:val="14"/>
                <w:color w:val="auto"/>
              </w:rPr>
            </w:pPr>
          </w:p>
        </w:tc>
      </w:tr>
      <w:tr>
        <w:trPr>
          <w:trHeight w:val="166"/>
        </w:trPr>
        <w:tc>
          <w:tcPr>
            <w:tcW w:w="2900" w:type="dxa"/>
            <w:vAlign w:val="bottom"/>
            <w:shd w:val="clear" w:color="auto" w:fill="CCEEFF"/>
          </w:tcPr>
          <w:p>
            <w:pPr>
              <w:spacing w:after="0"/>
              <w:rPr>
                <w:sz w:val="14"/>
                <w:szCs w:val="14"/>
                <w:color w:val="auto"/>
              </w:rPr>
            </w:pPr>
          </w:p>
        </w:tc>
        <w:tc>
          <w:tcPr>
            <w:tcW w:w="5240" w:type="dxa"/>
            <w:vAlign w:val="bottom"/>
            <w:shd w:val="clear" w:color="auto" w:fill="CCEEFF"/>
          </w:tcPr>
          <w:p>
            <w:pPr>
              <w:ind w:left="840"/>
              <w:spacing w:after="0" w:line="166" w:lineRule="exact"/>
              <w:rPr>
                <w:sz w:val="20"/>
                <w:szCs w:val="20"/>
                <w:color w:val="auto"/>
              </w:rPr>
            </w:pPr>
            <w:r>
              <w:rPr>
                <w:rFonts w:ascii="Arial" w:cs="Arial" w:eastAsia="Arial" w:hAnsi="Arial"/>
                <w:sz w:val="15"/>
                <w:szCs w:val="15"/>
                <w:b w:val="1"/>
                <w:bCs w:val="1"/>
                <w:color w:val="auto"/>
              </w:rPr>
              <w:t>ASSETS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2900" w:type="dxa"/>
            <w:vAlign w:val="bottom"/>
          </w:tcPr>
          <w:p>
            <w:pPr>
              <w:spacing w:after="0"/>
              <w:rPr>
                <w:sz w:val="20"/>
                <w:szCs w:val="20"/>
                <w:color w:val="auto"/>
              </w:rPr>
            </w:pPr>
            <w:r>
              <w:rPr>
                <w:rFonts w:ascii="Arial" w:cs="Arial" w:eastAsia="Arial" w:hAnsi="Arial"/>
                <w:sz w:val="15"/>
                <w:szCs w:val="15"/>
                <w:color w:val="auto"/>
              </w:rPr>
              <w:t>Current assets:</w:t>
            </w:r>
          </w:p>
        </w:tc>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w:t>
            </w:r>
          </w:p>
        </w:tc>
        <w:tc>
          <w:tcPr>
            <w:tcW w:w="6200" w:type="dxa"/>
            <w:vAlign w:val="bottom"/>
            <w:gridSpan w:val="2"/>
            <w:shd w:val="clear" w:color="auto" w:fill="CCEEFF"/>
          </w:tcPr>
          <w:p>
            <w:pPr>
              <w:jc w:val="right"/>
              <w:ind w:right="807"/>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224,128</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161,396</w:t>
            </w:r>
          </w:p>
        </w:tc>
      </w:tr>
      <w:tr>
        <w:trPr>
          <w:trHeight w:val="175"/>
        </w:trPr>
        <w:tc>
          <w:tcPr>
            <w:tcW w:w="2900" w:type="dxa"/>
            <w:vAlign w:val="bottom"/>
          </w:tcPr>
          <w:p>
            <w:pPr>
              <w:ind w:left="160"/>
              <w:spacing w:after="0"/>
              <w:rPr>
                <w:sz w:val="20"/>
                <w:szCs w:val="20"/>
                <w:color w:val="auto"/>
              </w:rPr>
            </w:pPr>
            <w:r>
              <w:rPr>
                <w:rFonts w:ascii="Arial" w:cs="Arial" w:eastAsia="Arial" w:hAnsi="Arial"/>
                <w:sz w:val="15"/>
                <w:szCs w:val="15"/>
                <w:color w:val="auto"/>
              </w:rPr>
              <w:t>Accounts receivable, net</w:t>
            </w:r>
          </w:p>
        </w:tc>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177,845</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208,581</w:t>
            </w:r>
          </w:p>
        </w:tc>
      </w:tr>
      <w:tr>
        <w:trPr>
          <w:trHeight w:val="175"/>
        </w:trPr>
        <w:tc>
          <w:tcPr>
            <w:tcW w:w="2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Inventories</w:t>
            </w:r>
          </w:p>
        </w:tc>
        <w:tc>
          <w:tcPr>
            <w:tcW w:w="5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29,815</w:t>
            </w: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19,654</w:t>
            </w:r>
          </w:p>
        </w:tc>
      </w:tr>
      <w:tr>
        <w:trPr>
          <w:trHeight w:val="175"/>
        </w:trPr>
        <w:tc>
          <w:tcPr>
            <w:tcW w:w="2900" w:type="dxa"/>
            <w:vAlign w:val="bottom"/>
          </w:tcPr>
          <w:p>
            <w:pPr>
              <w:ind w:left="160"/>
              <w:spacing w:after="0"/>
              <w:rPr>
                <w:sz w:val="20"/>
                <w:szCs w:val="20"/>
                <w:color w:val="auto"/>
              </w:rPr>
            </w:pPr>
            <w:r>
              <w:rPr>
                <w:rFonts w:ascii="Arial" w:cs="Arial" w:eastAsia="Arial" w:hAnsi="Arial"/>
                <w:sz w:val="15"/>
                <w:szCs w:val="15"/>
                <w:color w:val="auto"/>
                <w:w w:val="95"/>
              </w:rPr>
              <w:t>Prepaid expenses and other current assets</w:t>
            </w:r>
          </w:p>
        </w:tc>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11,769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7,336</w:t>
            </w:r>
          </w:p>
        </w:tc>
      </w:tr>
      <w:tr>
        <w:trPr>
          <w:trHeight w:val="166"/>
        </w:trPr>
        <w:tc>
          <w:tcPr>
            <w:tcW w:w="2900" w:type="dxa"/>
            <w:vAlign w:val="bottom"/>
            <w:shd w:val="clear" w:color="auto" w:fill="CCEEFF"/>
          </w:tcPr>
          <w:p>
            <w:pPr>
              <w:ind w:left="320"/>
              <w:spacing w:after="0" w:line="166" w:lineRule="exact"/>
              <w:rPr>
                <w:sz w:val="20"/>
                <w:szCs w:val="20"/>
                <w:color w:val="auto"/>
              </w:rPr>
            </w:pPr>
            <w:r>
              <w:rPr>
                <w:rFonts w:ascii="Arial" w:cs="Arial" w:eastAsia="Arial" w:hAnsi="Arial"/>
                <w:sz w:val="15"/>
                <w:szCs w:val="15"/>
                <w:color w:val="auto"/>
              </w:rPr>
              <w:t>Total current assets</w:t>
            </w:r>
          </w:p>
        </w:tc>
        <w:tc>
          <w:tcPr>
            <w:tcW w:w="524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443,557</w:t>
            </w:r>
          </w:p>
        </w:tc>
        <w:tc>
          <w:tcPr>
            <w:tcW w:w="24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396,967</w:t>
            </w:r>
          </w:p>
        </w:tc>
        <w:tc>
          <w:tcPr>
            <w:tcW w:w="100" w:type="dxa"/>
            <w:vAlign w:val="bottom"/>
            <w:shd w:val="clear" w:color="auto" w:fill="CCEEFF"/>
          </w:tcPr>
          <w:p>
            <w:pPr>
              <w:spacing w:after="0"/>
              <w:rPr>
                <w:sz w:val="14"/>
                <w:szCs w:val="14"/>
                <w:color w:val="auto"/>
              </w:rPr>
            </w:pPr>
          </w:p>
        </w:tc>
      </w:tr>
    </w:tbl>
    <w:p>
      <w:pPr>
        <w:spacing w:after="0" w:line="164" w:lineRule="exact"/>
        <w:rPr>
          <w:sz w:val="20"/>
          <w:szCs w:val="20"/>
          <w:color w:val="auto"/>
        </w:rPr>
      </w:pPr>
    </w:p>
    <w:p>
      <w:pPr>
        <w:sectPr>
          <w:pgSz w:w="11900" w:h="16838" w:orient="portrait"/>
          <w:cols w:equalWidth="0" w:num="1">
            <w:col w:w="11480"/>
          </w:cols>
          <w:pgMar w:left="220" w:top="497" w:right="199" w:bottom="1440" w:gutter="0" w:footer="0" w:header="0"/>
        </w:sectPr>
      </w:pPr>
    </w:p>
    <w:p>
      <w:pPr>
        <w:spacing w:after="0" w:line="249" w:lineRule="auto"/>
        <w:rPr>
          <w:sz w:val="20"/>
          <w:szCs w:val="20"/>
          <w:color w:val="auto"/>
        </w:rPr>
      </w:pPr>
      <w:r>
        <w:rPr>
          <w:rFonts w:ascii="Arial" w:cs="Arial" w:eastAsia="Arial" w:hAnsi="Arial"/>
          <w:sz w:val="15"/>
          <w:szCs w:val="15"/>
          <w:color w:val="auto"/>
        </w:rPr>
        <w:t>Property, plant and equipment, net Goodwill, net</w:t>
      </w:r>
    </w:p>
    <w:p>
      <w:pPr>
        <w:spacing w:after="0" w:line="1" w:lineRule="exact"/>
        <w:rPr>
          <w:sz w:val="20"/>
          <w:szCs w:val="20"/>
          <w:color w:val="auto"/>
        </w:rPr>
      </w:pPr>
    </w:p>
    <w:p>
      <w:pPr>
        <w:ind w:right="440"/>
        <w:spacing w:after="0" w:line="334" w:lineRule="auto"/>
        <w:rPr>
          <w:sz w:val="20"/>
          <w:szCs w:val="20"/>
          <w:color w:val="auto"/>
        </w:rPr>
      </w:pPr>
      <w:r>
        <w:rPr>
          <w:rFonts w:ascii="Arial" w:cs="Arial" w:eastAsia="Arial" w:hAnsi="Arial"/>
          <w:sz w:val="12"/>
          <w:szCs w:val="12"/>
          <w:color w:val="auto"/>
        </w:rPr>
        <w:t>Other intangible assets, net Other noncurrent assets</w:t>
      </w:r>
    </w:p>
    <w:p>
      <w:pPr>
        <w:ind w:left="32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4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1,325,867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1,317,532</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261,056</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295,132</w:t>
            </w: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75,675</w:t>
            </w:r>
          </w:p>
        </w:tc>
        <w:tc>
          <w:tcPr>
            <w:tcW w:w="48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97,569</w:t>
            </w: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20,895</w:t>
            </w:r>
          </w:p>
        </w:tc>
        <w:tc>
          <w:tcPr>
            <w:tcW w:w="4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25,725</w:t>
            </w:r>
          </w:p>
        </w:tc>
      </w:tr>
      <w:tr>
        <w:trPr>
          <w:trHeight w:val="167"/>
        </w:trPr>
        <w:tc>
          <w:tcPr>
            <w:tcW w:w="2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2,127,050</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2,132,925</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-582295</wp:posOffset>
            </wp:positionV>
            <wp:extent cx="7272655" cy="1111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-360045</wp:posOffset>
            </wp:positionV>
            <wp:extent cx="7272655" cy="1111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-131445</wp:posOffset>
            </wp:positionV>
            <wp:extent cx="7272655" cy="1320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2655" cy="13208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LIABILITIES AND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-99695</wp:posOffset>
            </wp:positionV>
            <wp:extent cx="7272655" cy="1111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2655" cy="11112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2020" w:space="700"/>
            <w:col w:w="8760"/>
          </w:cols>
          <w:pgMar w:left="220" w:top="497" w:right="19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452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412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45,376</w:t>
            </w: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56,697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26,874</w:t>
            </w: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52,704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taxes</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6,574</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21,190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Current portion of long-term debt and capitalized leases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10,092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revenue</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19,571</w:t>
            </w: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2,470</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current liabilities</w:t>
            </w:r>
          </w:p>
        </w:tc>
        <w:tc>
          <w:tcPr>
            <w:tcW w:w="362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100,865</w:t>
            </w:r>
          </w:p>
        </w:tc>
        <w:tc>
          <w:tcPr>
            <w:tcW w:w="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151,889</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debt to affiliates</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335,171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358,316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Long-term debt to third-parties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123,497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79,739</w:t>
            </w: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Other noncurrent liabilities</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18,530</w:t>
            </w: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12,534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liabilities</w:t>
            </w:r>
          </w:p>
        </w:tc>
        <w:tc>
          <w:tcPr>
            <w:tcW w:w="362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534,305</w:t>
            </w:r>
          </w:p>
        </w:tc>
        <w:tc>
          <w:tcPr>
            <w:tcW w:w="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721,280</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Net investment:</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5"/>
                <w:szCs w:val="15"/>
                <w:color w:val="auto"/>
              </w:rPr>
              <w:t>Oil States International, Inc. net investment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1,651,013</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1,302,664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income (loss)</w:t>
            </w: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(59,979)</w:t>
            </w: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107,733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tcBorders>
              <w:top w:val="single" w:sz="8" w:color="CCEEFF"/>
            </w:tcBorders>
          </w:tcPr>
          <w:p>
            <w:pPr>
              <w:ind w:left="300"/>
              <w:spacing w:after="0" w:line="166" w:lineRule="exact"/>
              <w:rPr>
                <w:sz w:val="20"/>
                <w:szCs w:val="20"/>
                <w:color w:val="auto"/>
              </w:rPr>
            </w:pPr>
            <w:r>
              <w:rPr>
                <w:rFonts w:ascii="Arial" w:cs="Arial" w:eastAsia="Arial" w:hAnsi="Arial"/>
                <w:sz w:val="15"/>
                <w:szCs w:val="15"/>
                <w:color w:val="auto"/>
              </w:rPr>
              <w:t>Total Oil States International, Inc. net investment</w:t>
            </w:r>
          </w:p>
        </w:tc>
        <w:tc>
          <w:tcPr>
            <w:tcW w:w="3620" w:type="dxa"/>
            <w:vAlign w:val="bottom"/>
            <w:tcBorders>
              <w:top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1,591,034</w:t>
            </w:r>
          </w:p>
        </w:tc>
        <w:tc>
          <w:tcPr>
            <w:tcW w:w="240" w:type="dxa"/>
            <w:vAlign w:val="bottom"/>
            <w:tcBorders>
              <w:top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1,410,397</w:t>
            </w:r>
          </w:p>
        </w:tc>
        <w:tc>
          <w:tcPr>
            <w:tcW w:w="10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Noncontrolling interest</w:t>
            </w:r>
          </w:p>
        </w:tc>
        <w:tc>
          <w:tcPr>
            <w:tcW w:w="3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1,711</w:t>
            </w:r>
          </w:p>
        </w:tc>
        <w:tc>
          <w:tcPr>
            <w:tcW w:w="2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1,248</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tcPr>
          <w:p>
            <w:pPr>
              <w:ind w:left="140"/>
              <w:spacing w:after="0" w:line="166" w:lineRule="exact"/>
              <w:rPr>
                <w:sz w:val="20"/>
                <w:szCs w:val="20"/>
                <w:color w:val="auto"/>
              </w:rPr>
            </w:pPr>
            <w:r>
              <w:rPr>
                <w:rFonts w:ascii="Arial" w:cs="Arial" w:eastAsia="Arial" w:hAnsi="Arial"/>
                <w:sz w:val="15"/>
                <w:szCs w:val="15"/>
                <w:color w:val="auto"/>
              </w:rPr>
              <w:t>Total net investment</w:t>
            </w: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line="166" w:lineRule="exact"/>
              <w:rPr>
                <w:sz w:val="20"/>
                <w:szCs w:val="20"/>
                <w:color w:val="auto"/>
              </w:rPr>
            </w:pPr>
            <w:r>
              <w:rPr>
                <w:rFonts w:ascii="Arial" w:cs="Arial" w:eastAsia="Arial" w:hAnsi="Arial"/>
                <w:sz w:val="15"/>
                <w:szCs w:val="15"/>
                <w:color w:val="auto"/>
              </w:rPr>
              <w:t>1,592,745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1,411,645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Borders>
              <w:bottom w:val="single" w:sz="8" w:color="CCEEFF"/>
            </w:tcBorders>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liabilities and net investment</w:t>
            </w:r>
          </w:p>
        </w:tc>
        <w:tc>
          <w:tcPr>
            <w:tcW w:w="3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7"/>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2,127,050</w:t>
            </w: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2,132,925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120" w:type="dxa"/>
            <w:vAlign w:val="bottom"/>
            <w:gridSpan w:val="2"/>
          </w:tcPr>
          <w:p>
            <w:pPr>
              <w:jc w:val="right"/>
              <w:ind w:right="2727"/>
              <w:spacing w:after="0"/>
              <w:rPr>
                <w:sz w:val="20"/>
                <w:szCs w:val="20"/>
                <w:color w:val="auto"/>
              </w:rPr>
            </w:pPr>
            <w:r>
              <w:rPr>
                <w:rFonts w:ascii="Arial" w:cs="Arial" w:eastAsia="Arial" w:hAnsi="Arial"/>
                <w:sz w:val="15"/>
                <w:szCs w:val="15"/>
                <w:color w:val="auto"/>
              </w:rPr>
              <w:t>F-5</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7" w:right="199" w:bottom="1440" w:gutter="0" w:footer="0" w:header="0"/>
          <w:type w:val="continuous"/>
        </w:sectPr>
      </w:pPr>
    </w:p>
    <w:bookmarkStart w:id="365" w:name="page366"/>
    <w:bookmarkEnd w:id="365"/>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860" w:type="dxa"/>
            <w:vAlign w:val="bottom"/>
            <w:gridSpan w:val="12"/>
          </w:tcPr>
          <w:p>
            <w:pPr>
              <w:jc w:val="center"/>
              <w:ind w:right="400"/>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860" w:type="dxa"/>
            <w:vAlign w:val="bottom"/>
            <w:gridSpan w:val="12"/>
          </w:tcPr>
          <w:p>
            <w:pPr>
              <w:jc w:val="center"/>
              <w:ind w:right="400"/>
              <w:spacing w:after="0"/>
              <w:rPr>
                <w:sz w:val="20"/>
                <w:szCs w:val="20"/>
                <w:color w:val="auto"/>
              </w:rPr>
            </w:pPr>
            <w:r>
              <w:rPr>
                <w:rFonts w:ascii="Arial" w:cs="Arial" w:eastAsia="Arial" w:hAnsi="Arial"/>
                <w:sz w:val="15"/>
                <w:szCs w:val="15"/>
                <w:b w:val="1"/>
                <w:bCs w:val="1"/>
                <w:color w:val="auto"/>
                <w:w w:val="98"/>
              </w:rPr>
              <w:t>COMBINED STATEMENT OF CHANGES IN NET INVESTMENT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5"/>
                <w:szCs w:val="15"/>
                <w:b w:val="1"/>
                <w:bCs w:val="1"/>
                <w:color w:val="auto"/>
              </w:rPr>
              <w:t>(In thousands)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0"/>
              </w:rPr>
              <w:t>Oil States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87"/>
              </w:rPr>
              <w:t>Total Oil States</w:t>
            </w:r>
          </w:p>
        </w:tc>
        <w:tc>
          <w:tcPr>
            <w:tcW w:w="8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88"/>
              </w:rPr>
              <w:t>Noncontrolling</w:t>
            </w:r>
          </w:p>
        </w:tc>
        <w:tc>
          <w:tcPr>
            <w:tcW w:w="14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Total Net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Investment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
              <w:spacing w:after="0"/>
              <w:rPr>
                <w:sz w:val="20"/>
                <w:szCs w:val="20"/>
                <w:color w:val="auto"/>
              </w:rPr>
            </w:pPr>
            <w:r>
              <w:rPr>
                <w:rFonts w:ascii="Arial" w:cs="Arial" w:eastAsia="Arial" w:hAnsi="Arial"/>
                <w:sz w:val="15"/>
                <w:szCs w:val="15"/>
                <w:b w:val="1"/>
                <w:bCs w:val="1"/>
                <w:color w:val="auto"/>
                <w:w w:val="86"/>
              </w:rPr>
              <w:t>Income (Loss)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87"/>
              </w:rPr>
              <w:t>Net Investment</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Interest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95"/>
              </w:rPr>
              <w:t>Investment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120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122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2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872,225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87,598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959,823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960,683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168,505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168,505</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926</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169,431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3,216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Dividends paid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(859)</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Distributions to Oil States International, Inc.</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(9,355)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(9,355)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2980" w:type="dxa"/>
            <w:vAlign w:val="bottom"/>
          </w:tcPr>
          <w:p>
            <w:pPr>
              <w:spacing w:after="0" w:line="166" w:lineRule="exact"/>
              <w:rPr>
                <w:sz w:val="20"/>
                <w:szCs w:val="20"/>
                <w:color w:val="auto"/>
              </w:rPr>
            </w:pPr>
            <w:r>
              <w:rPr>
                <w:rFonts w:ascii="Arial" w:cs="Arial" w:eastAsia="Arial" w:hAnsi="Arial"/>
                <w:sz w:val="15"/>
                <w:szCs w:val="15"/>
                <w:b w:val="1"/>
                <w:bCs w:val="1"/>
                <w:color w:val="auto"/>
              </w:rPr>
              <w:t>Balance, December 31, 2011</w:t>
            </w:r>
          </w:p>
        </w:tc>
        <w:tc>
          <w:tcPr>
            <w:tcW w:w="18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6" w:lineRule="exact"/>
              <w:rPr>
                <w:sz w:val="20"/>
                <w:szCs w:val="20"/>
                <w:color w:val="auto"/>
              </w:rPr>
            </w:pPr>
            <w:r>
              <w:rPr>
                <w:rFonts w:ascii="Arial" w:cs="Arial" w:eastAsia="Arial" w:hAnsi="Arial"/>
                <w:sz w:val="15"/>
                <w:szCs w:val="15"/>
                <w:color w:val="auto"/>
              </w:rPr>
              <w:t>1,031,375</w:t>
            </w:r>
          </w:p>
        </w:tc>
        <w:tc>
          <w:tcPr>
            <w:tcW w:w="140" w:type="dxa"/>
            <w:vAlign w:val="bottom"/>
          </w:tcPr>
          <w:p>
            <w:pPr>
              <w:spacing w:after="0"/>
              <w:rPr>
                <w:sz w:val="14"/>
                <w:szCs w:val="14"/>
                <w:color w:val="auto"/>
              </w:rPr>
            </w:pPr>
          </w:p>
        </w:tc>
        <w:tc>
          <w:tcPr>
            <w:tcW w:w="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90,814</w:t>
            </w:r>
          </w:p>
        </w:tc>
        <w:tc>
          <w:tcPr>
            <w:tcW w:w="1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1,122,189</w:t>
            </w: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907</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6" w:lineRule="exact"/>
              <w:rPr>
                <w:sz w:val="20"/>
                <w:szCs w:val="20"/>
                <w:color w:val="auto"/>
              </w:rPr>
            </w:pPr>
            <w:r>
              <w:rPr>
                <w:rFonts w:ascii="Arial" w:cs="Arial" w:eastAsia="Arial" w:hAnsi="Arial"/>
                <w:sz w:val="15"/>
                <w:szCs w:val="15"/>
                <w:color w:val="auto"/>
              </w:rPr>
              <w:t>1,123,096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244,721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244,721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1,221</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245,942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16,919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16,919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16,936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Dividends paid</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(897)</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gridSpan w:val="2"/>
          </w:tcPr>
          <w:p>
            <w:pPr>
              <w:spacing w:after="0"/>
              <w:rPr>
                <w:sz w:val="20"/>
                <w:szCs w:val="20"/>
                <w:color w:val="auto"/>
              </w:rPr>
            </w:pPr>
            <w:r>
              <w:rPr>
                <w:rFonts w:ascii="Arial" w:cs="Arial" w:eastAsia="Arial" w:hAnsi="Arial"/>
                <w:sz w:val="15"/>
                <w:szCs w:val="15"/>
                <w:color w:val="auto"/>
                <w:w w:val="96"/>
              </w:rPr>
              <w:t>Net transfers from Oil States International, Inc.</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26,568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26,568</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26,568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December 31, 2012</w:t>
            </w:r>
          </w:p>
        </w:tc>
        <w:tc>
          <w:tcPr>
            <w:tcW w:w="17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1,302,664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107,733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1,410,397</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1,248</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1,411,645</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181,876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181,876</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1,436</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183,312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(167,712)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(167,712)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Dividends paid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(882)</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(882)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w w:val="95"/>
              </w:rPr>
              <w:t>Net transfers from Oil States International, Inc.</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166,473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166,473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166,473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Balance, December 31, 2013</w:t>
            </w:r>
          </w:p>
        </w:tc>
        <w:tc>
          <w:tcPr>
            <w:tcW w:w="18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6" w:lineRule="exact"/>
              <w:rPr>
                <w:sz w:val="20"/>
                <w:szCs w:val="20"/>
                <w:color w:val="auto"/>
              </w:rPr>
            </w:pPr>
            <w:r>
              <w:rPr>
                <w:rFonts w:ascii="Arial" w:cs="Arial" w:eastAsia="Arial" w:hAnsi="Arial"/>
                <w:sz w:val="15"/>
                <w:szCs w:val="15"/>
                <w:color w:val="auto"/>
              </w:rPr>
              <w:t>1,651,013</w:t>
            </w:r>
          </w:p>
        </w:tc>
        <w:tc>
          <w:tcPr>
            <w:tcW w:w="140" w:type="dxa"/>
            <w:vAlign w:val="bottom"/>
          </w:tcPr>
          <w:p>
            <w:pPr>
              <w:spacing w:after="0"/>
              <w:rPr>
                <w:sz w:val="14"/>
                <w:szCs w:val="14"/>
                <w:color w:val="auto"/>
              </w:rPr>
            </w:pPr>
          </w:p>
        </w:tc>
        <w:tc>
          <w:tcPr>
            <w:tcW w:w="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(59,979)</w:t>
            </w:r>
          </w:p>
        </w:tc>
        <w:tc>
          <w:tcPr>
            <w:tcW w:w="1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1,591,034</w:t>
            </w: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1,711</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6" w:lineRule="exact"/>
              <w:rPr>
                <w:sz w:val="20"/>
                <w:szCs w:val="20"/>
                <w:color w:val="auto"/>
              </w:rPr>
            </w:pPr>
            <w:r>
              <w:rPr>
                <w:rFonts w:ascii="Arial" w:cs="Arial" w:eastAsia="Arial" w:hAnsi="Arial"/>
                <w:sz w:val="15"/>
                <w:szCs w:val="15"/>
                <w:color w:val="auto"/>
              </w:rPr>
              <w:t>1,592,745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left="567"/>
              <w:spacing w:after="0"/>
              <w:rPr>
                <w:sz w:val="20"/>
                <w:szCs w:val="20"/>
                <w:color w:val="auto"/>
              </w:rPr>
            </w:pPr>
            <w:r>
              <w:rPr>
                <w:rFonts w:ascii="Arial" w:cs="Arial" w:eastAsia="Arial" w:hAnsi="Arial"/>
                <w:sz w:val="15"/>
                <w:szCs w:val="15"/>
                <w:color w:val="auto"/>
                <w:w w:val="88"/>
              </w:rPr>
              <w:t>F-6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260" w:type="dxa"/>
            <w:vAlign w:val="bottom"/>
            <w:gridSpan w:val="6"/>
          </w:tcPr>
          <w:p>
            <w:pPr>
              <w:jc w:val="center"/>
              <w:ind w:right="280"/>
              <w:spacing w:after="0"/>
              <w:rPr>
                <w:sz w:val="20"/>
                <w:szCs w:val="20"/>
                <w:color w:val="auto"/>
              </w:rPr>
            </w:pPr>
            <w:r>
              <w:rPr>
                <w:rFonts w:ascii="Arial" w:cs="Arial" w:eastAsia="Arial" w:hAnsi="Arial"/>
                <w:sz w:val="15"/>
                <w:szCs w:val="15"/>
                <w:b w:val="1"/>
                <w:bCs w:val="1"/>
                <w:color w:val="auto"/>
                <w:w w:val="97"/>
              </w:rPr>
              <w:t>ACCOMMODATIONS BUSINESS OF OIL STATES INTERNATIONAL, INC.</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20" w:type="dxa"/>
            <w:vAlign w:val="bottom"/>
            <w:gridSpan w:val="2"/>
          </w:tcPr>
          <w:p>
            <w:pPr>
              <w:jc w:val="center"/>
              <w:ind w:left="787"/>
              <w:spacing w:after="0"/>
              <w:rPr>
                <w:sz w:val="20"/>
                <w:szCs w:val="20"/>
                <w:color w:val="auto"/>
              </w:rPr>
            </w:pPr>
            <w:r>
              <w:rPr>
                <w:rFonts w:ascii="Arial" w:cs="Arial" w:eastAsia="Arial" w:hAnsi="Arial"/>
                <w:sz w:val="15"/>
                <w:szCs w:val="15"/>
                <w:b w:val="1"/>
                <w:bCs w:val="1"/>
                <w:color w:val="auto"/>
                <w:w w:val="96"/>
              </w:rPr>
              <w:t>COMBINED STATEMENTS OF CASH FLOWS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20" w:type="dxa"/>
            <w:vAlign w:val="bottom"/>
            <w:gridSpan w:val="2"/>
          </w:tcPr>
          <w:p>
            <w:pPr>
              <w:jc w:val="right"/>
              <w:ind w:right="1127"/>
              <w:spacing w:after="0"/>
              <w:rPr>
                <w:sz w:val="20"/>
                <w:szCs w:val="20"/>
                <w:color w:val="auto"/>
              </w:rPr>
            </w:pPr>
            <w:r>
              <w:rPr>
                <w:rFonts w:ascii="Arial" w:cs="Arial" w:eastAsia="Arial" w:hAnsi="Arial"/>
                <w:sz w:val="15"/>
                <w:szCs w:val="15"/>
                <w:b w:val="1"/>
                <w:b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5"/>
                <w:szCs w:val="15"/>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8" w:lineRule="exact"/>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4120" w:type="dxa"/>
            <w:vAlign w:val="bottom"/>
            <w:gridSpan w:val="2"/>
          </w:tcPr>
          <w:p>
            <w:pPr>
              <w:jc w:val="right"/>
              <w:ind w:right="7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183,312</w:t>
            </w:r>
          </w:p>
        </w:tc>
        <w:tc>
          <w:tcPr>
            <w:tcW w:w="10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245,942</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169,431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300"/>
              <w:spacing w:after="0"/>
              <w:rPr>
                <w:sz w:val="20"/>
                <w:szCs w:val="20"/>
                <w:color w:val="auto"/>
              </w:rPr>
            </w:pPr>
            <w:r>
              <w:rPr>
                <w:rFonts w:ascii="Arial" w:cs="Arial" w:eastAsia="Arial" w:hAnsi="Arial"/>
                <w:sz w:val="15"/>
                <w:szCs w:val="15"/>
                <w:color w:val="auto"/>
              </w:rPr>
              <w:t>Depreciation and amortization</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167,213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139,047</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110,708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Deferred income tax provision</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13,812</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18,371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300"/>
              <w:spacing w:after="0"/>
              <w:rPr>
                <w:sz w:val="20"/>
                <w:szCs w:val="20"/>
                <w:color w:val="auto"/>
              </w:rPr>
            </w:pPr>
            <w:r>
              <w:rPr>
                <w:rFonts w:ascii="Arial" w:cs="Arial" w:eastAsia="Arial" w:hAnsi="Arial"/>
                <w:sz w:val="15"/>
                <w:szCs w:val="15"/>
                <w:color w:val="auto"/>
              </w:rPr>
              <w:t>Non-cash compensation charge</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3,258</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2,322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Gains on disposals of assets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(2,395)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(3,315)</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300"/>
              <w:spacing w:after="0"/>
              <w:rPr>
                <w:sz w:val="20"/>
                <w:szCs w:val="20"/>
                <w:color w:val="auto"/>
              </w:rPr>
            </w:pPr>
            <w:r>
              <w:rPr>
                <w:rFonts w:ascii="Arial" w:cs="Arial" w:eastAsia="Arial" w:hAnsi="Arial"/>
                <w:sz w:val="15"/>
                <w:szCs w:val="15"/>
                <w:color w:val="auto"/>
              </w:rPr>
              <w:t>Provision for losses on accounts receivable</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129</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1,492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88"/>
              </w:rPr>
              <w:t>Fair value adjustment of contingent consideration</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(3,448)</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1,260</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300"/>
              <w:spacing w:after="0"/>
              <w:rPr>
                <w:sz w:val="20"/>
                <w:szCs w:val="20"/>
                <w:color w:val="auto"/>
              </w:rPr>
            </w:pPr>
            <w:r>
              <w:rPr>
                <w:rFonts w:ascii="Arial" w:cs="Arial" w:eastAsia="Arial" w:hAnsi="Arial"/>
                <w:sz w:val="15"/>
                <w:szCs w:val="15"/>
                <w:color w:val="auto"/>
              </w:rPr>
              <w:t>Other, net</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(500)</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Accounts receivable</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12,554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(12,096)</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(65,309)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(11,885)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10,963</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(14,679)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Accounts payable and accrued liabilities</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(28,257)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27,188</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33,465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Taxes payable</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(24,921)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28,316</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Other current assets and liabilities, net</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26,099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(21,341)</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31,671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w w:val="94"/>
              </w:rPr>
              <w:t>Net cash flows provided by operating activities</w:t>
            </w:r>
          </w:p>
        </w:tc>
        <w:tc>
          <w:tcPr>
            <w:tcW w:w="32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337,378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432,663</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283,463</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w w:val="91"/>
              </w:rPr>
              <w:t>Capital expenditures, including capitalized interest</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(291,694)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(314,047)</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(348,504)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Acquisitions of businesses, net of cash acquired</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40" w:type="dxa"/>
            <w:vAlign w:val="bottom"/>
            <w:gridSpan w:val="3"/>
          </w:tcPr>
          <w:p>
            <w:pPr>
              <w:ind w:left="140"/>
              <w:spacing w:after="0"/>
              <w:rPr>
                <w:sz w:val="20"/>
                <w:szCs w:val="20"/>
                <w:color w:val="auto"/>
              </w:rPr>
            </w:pPr>
            <w:r>
              <w:rPr>
                <w:rFonts w:ascii="Arial" w:cs="Arial" w:eastAsia="Arial" w:hAnsi="Arial"/>
                <w:sz w:val="15"/>
                <w:szCs w:val="15"/>
                <w:color w:val="auto"/>
              </w:rPr>
              <w:t>Proceeds from disposition of property, plant and equipment</w:t>
            </w:r>
          </w:p>
        </w:tc>
        <w:tc>
          <w:tcPr>
            <w:tcW w:w="580" w:type="dxa"/>
            <w:vAlign w:val="bottom"/>
          </w:tcPr>
          <w:p>
            <w:pPr>
              <w:jc w:val="right"/>
              <w:spacing w:after="0"/>
              <w:rPr>
                <w:sz w:val="20"/>
                <w:szCs w:val="20"/>
                <w:color w:val="auto"/>
              </w:rPr>
            </w:pPr>
            <w:r>
              <w:rPr>
                <w:rFonts w:ascii="Arial" w:cs="Arial" w:eastAsia="Arial" w:hAnsi="Arial"/>
                <w:sz w:val="15"/>
                <w:szCs w:val="15"/>
                <w:color w:val="auto"/>
              </w:rPr>
              <w:t>7,488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8,346</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3,996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rPr>
              <w:t>Net cash flows used in investing activities</w:t>
            </w:r>
          </w:p>
        </w:tc>
        <w:tc>
          <w:tcPr>
            <w:tcW w:w="32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87"/>
              </w:rPr>
              <w:t>(284,206)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(305,701)</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(346,708)</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w w:val="91"/>
              </w:rPr>
              <w:t>Revolving credit borrowings and (repayments), net</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(47,901)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3,814</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(38,060)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Term loan repayments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(82,762)</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(10,047)</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Borrowings of long-term debt from Oil States</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131,957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Contributions from (distributions to) Oil States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15,267</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5"/>
                <w:szCs w:val="15"/>
                <w:color w:val="auto"/>
              </w:rPr>
              <w:t>Debt and capital lease repayments</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(4,075)</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financing costs</w:t>
            </w: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(3,442)</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tcBorders>
              <w:top w:val="single" w:sz="8" w:color="CCEEFF"/>
            </w:tcBorders>
          </w:tcPr>
          <w:p>
            <w:pPr>
              <w:ind w:left="300"/>
              <w:spacing w:after="0" w:line="166" w:lineRule="exact"/>
              <w:rPr>
                <w:sz w:val="20"/>
                <w:szCs w:val="20"/>
                <w:color w:val="auto"/>
              </w:rPr>
            </w:pPr>
            <w:r>
              <w:rPr>
                <w:rFonts w:ascii="Arial" w:cs="Arial" w:eastAsia="Arial" w:hAnsi="Arial"/>
                <w:sz w:val="15"/>
                <w:szCs w:val="15"/>
                <w:color w:val="auto"/>
                <w:w w:val="95"/>
              </w:rPr>
              <w:t>Net cash flows provided by financing activities</w:t>
            </w:r>
          </w:p>
        </w:tc>
        <w:tc>
          <w:tcPr>
            <w:tcW w:w="320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30,335</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1,517</w:t>
            </w: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69,436</w:t>
            </w:r>
          </w:p>
        </w:tc>
        <w:tc>
          <w:tcPr>
            <w:tcW w:w="10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2"/>
          </w:tcPr>
          <w:p>
            <w:pPr>
              <w:spacing w:after="0"/>
              <w:rPr>
                <w:sz w:val="20"/>
                <w:szCs w:val="20"/>
                <w:color w:val="auto"/>
              </w:rPr>
            </w:pPr>
            <w:r>
              <w:rPr>
                <w:rFonts w:ascii="Arial" w:cs="Arial" w:eastAsia="Arial" w:hAnsi="Arial"/>
                <w:sz w:val="15"/>
                <w:szCs w:val="15"/>
                <w:color w:val="auto"/>
              </w:rPr>
              <w:t>Effect of exchange rate changes on cash</w:t>
            </w: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(20,775)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843</w:t>
            </w:r>
          </w:p>
        </w:tc>
        <w:tc>
          <w:tcPr>
            <w:tcW w:w="3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(11,469)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increase (decrease) in cash</w:t>
            </w:r>
          </w:p>
        </w:tc>
        <w:tc>
          <w:tcPr>
            <w:tcW w:w="32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62,732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129,322</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(5,278)</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gridSpan w:val="2"/>
          </w:tcPr>
          <w:p>
            <w:pPr>
              <w:spacing w:after="0"/>
              <w:rPr>
                <w:sz w:val="15"/>
                <w:szCs w:val="15"/>
                <w:color w:val="auto"/>
              </w:rPr>
            </w:pP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beginning of year</w:t>
            </w:r>
          </w:p>
        </w:tc>
        <w:tc>
          <w:tcPr>
            <w:tcW w:w="3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161,396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32,074</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37,352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240" w:type="dxa"/>
            <w:vAlign w:val="bottom"/>
            <w:gridSpan w:val="2"/>
          </w:tcPr>
          <w:p>
            <w:pPr>
              <w:spacing w:after="0"/>
              <w:rPr>
                <w:sz w:val="14"/>
                <w:szCs w:val="14"/>
                <w:color w:val="auto"/>
              </w:rPr>
            </w:pPr>
          </w:p>
        </w:tc>
        <w:tc>
          <w:tcPr>
            <w:tcW w:w="412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Cash, end of year</w:t>
            </w:r>
          </w:p>
        </w:tc>
        <w:tc>
          <w:tcPr>
            <w:tcW w:w="4120" w:type="dxa"/>
            <w:vAlign w:val="bottom"/>
            <w:gridSpan w:val="2"/>
            <w:shd w:val="clear" w:color="auto" w:fill="CCEEFF"/>
          </w:tcPr>
          <w:p>
            <w:pPr>
              <w:jc w:val="right"/>
              <w:ind w:right="787"/>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224,128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161,396</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center"/>
              <w:ind w:left="1727"/>
              <w:spacing w:after="0"/>
              <w:rPr>
                <w:sz w:val="20"/>
                <w:szCs w:val="20"/>
                <w:color w:val="auto"/>
              </w:rPr>
            </w:pPr>
            <w:r>
              <w:rPr>
                <w:rFonts w:ascii="Arial" w:cs="Arial" w:eastAsia="Arial" w:hAnsi="Arial"/>
                <w:sz w:val="15"/>
                <w:szCs w:val="15"/>
                <w:color w:val="auto"/>
                <w:w w:val="88"/>
              </w:rPr>
              <w:t>F-7</w:t>
            </w: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67" w:name="page368"/>
    <w:bookmarkEnd w:id="367"/>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352" w:lineRule="exact"/>
        <w:rPr>
          <w:sz w:val="20"/>
          <w:szCs w:val="20"/>
          <w:color w:val="auto"/>
        </w:rPr>
      </w:pPr>
    </w:p>
    <w:p>
      <w:pPr>
        <w:jc w:val="center"/>
        <w:ind w:left="26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181" w:lineRule="exact"/>
        <w:rPr>
          <w:sz w:val="20"/>
          <w:szCs w:val="20"/>
          <w:color w:val="auto"/>
        </w:rPr>
      </w:pPr>
    </w:p>
    <w:p>
      <w:pPr>
        <w:ind w:left="300" w:hanging="293"/>
        <w:spacing w:after="0"/>
        <w:tabs>
          <w:tab w:leader="none" w:pos="30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Spin-off, Description of Business and Basis of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Spin-off</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50"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Description of the Business</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77"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1" w:lineRule="exact"/>
        <w:rPr>
          <w:sz w:val="20"/>
          <w:szCs w:val="20"/>
          <w:color w:val="auto"/>
        </w:rPr>
      </w:pPr>
    </w:p>
    <w:p>
      <w:pPr>
        <w:ind w:right="240"/>
        <w:spacing w:after="0" w:line="383" w:lineRule="auto"/>
        <w:rPr>
          <w:sz w:val="20"/>
          <w:szCs w:val="20"/>
          <w:color w:val="auto"/>
        </w:rPr>
      </w:pPr>
      <w:r>
        <w:rPr>
          <w:rFonts w:ascii="Arial" w:cs="Arial" w:eastAsia="Arial" w:hAnsi="Arial"/>
          <w:sz w:val="12"/>
          <w:szCs w:val="12"/>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84" w:lineRule="exact"/>
        <w:rPr>
          <w:sz w:val="20"/>
          <w:szCs w:val="20"/>
          <w:color w:val="auto"/>
        </w:rPr>
      </w:pPr>
    </w:p>
    <w:p>
      <w:pPr>
        <w:ind w:right="40"/>
        <w:spacing w:after="0" w:line="315" w:lineRule="auto"/>
        <w:rPr>
          <w:sz w:val="20"/>
          <w:szCs w:val="20"/>
          <w:color w:val="auto"/>
        </w:rPr>
      </w:pPr>
      <w:r>
        <w:rPr>
          <w:rFonts w:ascii="Arial" w:cs="Arial" w:eastAsia="Arial" w:hAnsi="Arial"/>
          <w:sz w:val="12"/>
          <w:szCs w:val="12"/>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368" w:name="page369"/>
    <w:bookmarkEnd w:id="368"/>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We record noncontrolling interest in our combined financial statements to recognize the minority ownership interest in our combined subsidiaries. Noncontrolling interest in the earnings and losses of subsidiaries represent the share of net income or loss allocated to these subsidiaries.</w:t>
      </w:r>
    </w:p>
    <w:p>
      <w:pPr>
        <w:spacing w:after="0" w:line="148" w:lineRule="exact"/>
        <w:rPr>
          <w:sz w:val="20"/>
          <w:szCs w:val="20"/>
          <w:color w:val="auto"/>
        </w:rPr>
      </w:pPr>
    </w:p>
    <w:p>
      <w:pPr>
        <w:ind w:left="300" w:hanging="293"/>
        <w:spacing w:after="0"/>
        <w:tabs>
          <w:tab w:leader="none" w:pos="300" w:val="left"/>
        </w:tabs>
        <w:numPr>
          <w:ilvl w:val="0"/>
          <w:numId w:val="330"/>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Accommodations considers all highly liquid investments purchased with an original maturity of three months or less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5"/>
          <w:szCs w:val="15"/>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Arial" w:cs="Arial" w:eastAsia="Arial" w:hAnsi="Arial"/>
                <w:sz w:val="15"/>
                <w:szCs w:val="15"/>
                <w:b w:val="1"/>
                <w:bCs w:val="1"/>
                <w:color w:val="auto"/>
              </w:rPr>
              <w:t>December 31, 2013</w:t>
            </w:r>
          </w:p>
        </w:tc>
        <w:tc>
          <w:tcPr>
            <w:tcW w:w="200" w:type="dxa"/>
            <w:vAlign w:val="bottom"/>
          </w:tcPr>
          <w:p>
            <w:pPr>
              <w:spacing w:after="0"/>
              <w:rPr>
                <w:sz w:val="16"/>
                <w:szCs w:val="16"/>
                <w:color w:val="auto"/>
              </w:rPr>
            </w:pPr>
          </w:p>
        </w:tc>
        <w:tc>
          <w:tcPr>
            <w:tcW w:w="2500" w:type="dxa"/>
            <w:vAlign w:val="bottom"/>
            <w:gridSpan w:val="5"/>
          </w:tcPr>
          <w:p>
            <w:pPr>
              <w:ind w:left="520"/>
              <w:spacing w:after="0"/>
              <w:rPr>
                <w:sz w:val="20"/>
                <w:szCs w:val="20"/>
                <w:color w:val="auto"/>
              </w:rPr>
            </w:pPr>
            <w:r>
              <w:rPr>
                <w:rFonts w:ascii="Arial" w:cs="Arial" w:eastAsia="Arial" w:hAnsi="Arial"/>
                <w:sz w:val="15"/>
                <w:szCs w:val="15"/>
                <w:b w:val="1"/>
                <w:bCs w:val="1"/>
                <w:color w:val="auto"/>
              </w:rPr>
              <w:t>December 31, 2012</w:t>
            </w:r>
          </w:p>
        </w:tc>
      </w:tr>
      <w:tr>
        <w:trPr>
          <w:trHeight w:val="153"/>
        </w:trPr>
        <w:tc>
          <w:tcPr>
            <w:tcW w:w="5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5"/>
                <w:szCs w:val="15"/>
                <w:b w:val="1"/>
                <w:bCs w:val="1"/>
                <w:color w:val="auto"/>
                <w:w w:val="93"/>
              </w:rPr>
              <w:t>Carrying</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67"/>
              <w:spacing w:after="0" w:line="153"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5"/>
                <w:szCs w:val="15"/>
                <w:b w:val="1"/>
                <w:bCs w:val="1"/>
                <w:color w:val="auto"/>
                <w:w w:val="93"/>
              </w:rPr>
              <w:t>Carrying</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67"/>
              <w:spacing w:after="0" w:line="153" w:lineRule="exact"/>
              <w:rPr>
                <w:sz w:val="20"/>
                <w:szCs w:val="20"/>
                <w:color w:val="auto"/>
              </w:rPr>
            </w:pPr>
            <w:r>
              <w:rPr>
                <w:rFonts w:ascii="Arial" w:cs="Arial" w:eastAsia="Arial" w:hAnsi="Arial"/>
                <w:sz w:val="15"/>
                <w:szCs w:val="15"/>
                <w:b w:val="1"/>
                <w:bCs w:val="1"/>
                <w:color w:val="auto"/>
              </w:rPr>
              <w:t>Fair</w:t>
            </w:r>
          </w:p>
        </w:tc>
        <w:tc>
          <w:tcPr>
            <w:tcW w:w="100" w:type="dxa"/>
            <w:vAlign w:val="bottom"/>
          </w:tcPr>
          <w:p>
            <w:pPr>
              <w:spacing w:after="0"/>
              <w:rPr>
                <w:sz w:val="13"/>
                <w:szCs w:val="13"/>
                <w:color w:val="auto"/>
              </w:rPr>
            </w:pPr>
          </w:p>
        </w:tc>
      </w:tr>
      <w:tr>
        <w:trPr>
          <w:trHeight w:val="189"/>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7"/>
              <w:spacing w:after="0"/>
              <w:rPr>
                <w:sz w:val="20"/>
                <w:szCs w:val="20"/>
                <w:color w:val="auto"/>
              </w:rPr>
            </w:pPr>
            <w:r>
              <w:rPr>
                <w:rFonts w:ascii="Arial" w:cs="Arial" w:eastAsia="Arial" w:hAnsi="Arial"/>
                <w:sz w:val="15"/>
                <w:szCs w:val="15"/>
                <w:b w:val="1"/>
                <w:bCs w:val="1"/>
                <w:color w:val="auto"/>
                <w:w w:val="84"/>
              </w:rPr>
              <w:t>Value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67"/>
              <w:spacing w:after="0"/>
              <w:rPr>
                <w:sz w:val="20"/>
                <w:szCs w:val="20"/>
                <w:color w:val="auto"/>
              </w:rPr>
            </w:pPr>
            <w:r>
              <w:rPr>
                <w:rFonts w:ascii="Arial" w:cs="Arial" w:eastAsia="Arial" w:hAnsi="Arial"/>
                <w:sz w:val="15"/>
                <w:szCs w:val="15"/>
                <w:b w:val="1"/>
                <w:bCs w:val="1"/>
                <w:color w:val="auto"/>
                <w:w w:val="84"/>
              </w:rPr>
              <w:t>Value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7"/>
              <w:spacing w:after="0"/>
              <w:rPr>
                <w:sz w:val="20"/>
                <w:szCs w:val="20"/>
                <w:color w:val="auto"/>
              </w:rPr>
            </w:pPr>
            <w:r>
              <w:rPr>
                <w:rFonts w:ascii="Arial" w:cs="Arial" w:eastAsia="Arial" w:hAnsi="Arial"/>
                <w:sz w:val="15"/>
                <w:szCs w:val="15"/>
                <w:b w:val="1"/>
                <w:bCs w:val="1"/>
                <w:color w:val="auto"/>
                <w:w w:val="94"/>
              </w:rPr>
              <w:t>Value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7"/>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6"/>
                <w:szCs w:val="16"/>
                <w:color w:val="auto"/>
              </w:rPr>
            </w:pPr>
          </w:p>
        </w:tc>
      </w:tr>
      <w:tr>
        <w:trPr>
          <w:trHeight w:val="167"/>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r>
      <w:tr>
        <w:trPr>
          <w:trHeight w:val="195"/>
        </w:trPr>
        <w:tc>
          <w:tcPr>
            <w:tcW w:w="5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Long-term debt to affiliates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335,171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361,264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358,316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380,296</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Inventories</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Plant, and Equipment</w:t>
      </w:r>
    </w:p>
    <w:p>
      <w:pPr>
        <w:spacing w:after="0" w:line="177"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369" w:name="page370"/>
    <w:bookmarkEnd w:id="369"/>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Retirement Obligations</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2013 and 2012, $6.1 million and $5.5 million, respectively, of ARO was included in the Balance Sheet in “Other noncurrent liabilities.” The ARO liability reflects the estimated present value of the amount of asset removal and site reclamation costs related to the retirement of Accommodations’ assets. Total expense related to the ARO was $0.3 million in 2013 and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Goodwill represents the excess of the purchase price paid for acquired businesses over the allocated fair value of the related net assets after impairments, if applicable.</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Current accounting standards also give us the option to bypass the qualitative assessment for any reporting unit in any period and proceed directly to performing the first step of the two-step goodwill impairment test. In 2013,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the reporting unit exceeds its fair value, goodwill is considered impaired, and a second step is performed to determine the amount of impairment, if any. We conduct our annual impairment test as of December of each year. In 2011, 2012 and 2013, our goodwill impairment tests indicated that the fair value of each of our reporting units is greater than its carrying amount.</w:t>
      </w:r>
    </w:p>
    <w:p>
      <w:pPr>
        <w:spacing w:after="0" w:line="156"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See Note 7 –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Impairment of Long-Lived Assets</w:t>
      </w:r>
    </w:p>
    <w:p>
      <w:pPr>
        <w:spacing w:after="0" w:line="17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and Other Comprehensive Income</w:t>
      </w:r>
    </w:p>
    <w:p>
      <w:pPr>
        <w:spacing w:after="0" w:line="177" w:lineRule="exact"/>
        <w:rPr>
          <w:sz w:val="20"/>
          <w:szCs w:val="20"/>
          <w:color w:val="auto"/>
        </w:rPr>
      </w:pPr>
    </w:p>
    <w:p>
      <w:pPr>
        <w:ind w:right="80"/>
        <w:spacing w:after="0" w:line="324" w:lineRule="auto"/>
        <w:rPr>
          <w:sz w:val="20"/>
          <w:szCs w:val="20"/>
          <w:color w:val="auto"/>
        </w:rPr>
      </w:pPr>
      <w:r>
        <w:rPr>
          <w:rFonts w:ascii="Arial" w:cs="Arial" w:eastAsia="Arial" w:hAnsi="Arial"/>
          <w:sz w:val="12"/>
          <w:szCs w:val="12"/>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Risk</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Capitalization</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auto"/>
        </w:rPr>
        <w:t>Interest costs for the construction of certain long-term assets are capitalized and amortized over the related assets’ estimated useful lives. For the years ended December 31, 2013, 2012, and 2011, $0.8 million, $3.5 million and $5.1 million were capitalized,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and Cost Recognition</w:t>
      </w:r>
    </w:p>
    <w:p>
      <w:pPr>
        <w:spacing w:after="0" w:line="177"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7" w:right="25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ind w:right="20"/>
        <w:spacing w:after="0" w:line="383" w:lineRule="auto"/>
        <w:rPr>
          <w:sz w:val="20"/>
          <w:szCs w:val="20"/>
          <w:color w:val="auto"/>
        </w:rPr>
      </w:pPr>
      <w:r>
        <w:rPr>
          <w:rFonts w:ascii="Arial" w:cs="Arial" w:eastAsia="Arial" w:hAnsi="Arial"/>
          <w:sz w:val="12"/>
          <w:szCs w:val="12"/>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4"/>
          <w:szCs w:val="14"/>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142" w:lineRule="exact"/>
        <w:rPr>
          <w:sz w:val="20"/>
          <w:szCs w:val="20"/>
          <w:color w:val="auto"/>
        </w:rPr>
      </w:pPr>
    </w:p>
    <w:p>
      <w:pPr>
        <w:ind w:right="420"/>
        <w:spacing w:after="0" w:line="259" w:lineRule="auto"/>
        <w:rPr>
          <w:sz w:val="20"/>
          <w:szCs w:val="20"/>
          <w:color w:val="auto"/>
        </w:rPr>
      </w:pPr>
      <w:r>
        <w:rPr>
          <w:rFonts w:ascii="Arial" w:cs="Arial" w:eastAsia="Arial" w:hAnsi="Arial"/>
          <w:sz w:val="15"/>
          <w:szCs w:val="15"/>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Receivables and Concentration of Credit Risk</w:t>
      </w:r>
    </w:p>
    <w:p>
      <w:pPr>
        <w:spacing w:after="0" w:line="17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Allowances for Doubtful Accounts</w:t>
      </w:r>
    </w:p>
    <w:p>
      <w:pPr>
        <w:spacing w:after="0" w:line="177" w:lineRule="exact"/>
        <w:rPr>
          <w:sz w:val="20"/>
          <w:szCs w:val="20"/>
          <w:color w:val="auto"/>
        </w:rPr>
      </w:pPr>
    </w:p>
    <w:p>
      <w:pPr>
        <w:ind w:right="40"/>
        <w:spacing w:after="0" w:line="317" w:lineRule="auto"/>
        <w:rPr>
          <w:sz w:val="20"/>
          <w:szCs w:val="20"/>
          <w:color w:val="auto"/>
        </w:rPr>
      </w:pPr>
      <w:r>
        <w:rPr>
          <w:rFonts w:ascii="Arial" w:cs="Arial" w:eastAsia="Arial" w:hAnsi="Arial"/>
          <w:sz w:val="12"/>
          <w:szCs w:val="12"/>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7" w:right="259" w:bottom="1440" w:gutter="0" w:footer="0" w:header="0"/>
        </w:sectPr>
      </w:pPr>
    </w:p>
    <w:bookmarkStart w:id="372" w:name="page373"/>
    <w:bookmarkEnd w:id="372"/>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7" w:lineRule="exact"/>
        <w:rPr>
          <w:sz w:val="20"/>
          <w:szCs w:val="20"/>
          <w:color w:val="auto"/>
        </w:rPr>
      </w:pPr>
    </w:p>
    <w:p>
      <w:pPr>
        <w:ind w:right="60"/>
        <w:spacing w:after="0" w:line="320" w:lineRule="auto"/>
        <w:rPr>
          <w:sz w:val="20"/>
          <w:szCs w:val="20"/>
          <w:color w:val="auto"/>
        </w:rPr>
      </w:pPr>
      <w:r>
        <w:rPr>
          <w:rFonts w:ascii="Arial" w:cs="Arial" w:eastAsia="Arial" w:hAnsi="Arial"/>
          <w:sz w:val="12"/>
          <w:szCs w:val="12"/>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2013 and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Retirement Savings Plan</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2013 - $12,135).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$23,820 in 2013 as set out in the Canadian Tax Act.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Australian Retirement Savings Plan</w:t>
      </w:r>
    </w:p>
    <w:p>
      <w:pPr>
        <w:spacing w:after="0" w:line="177" w:lineRule="exact"/>
        <w:rPr>
          <w:sz w:val="20"/>
          <w:szCs w:val="20"/>
          <w:color w:val="auto"/>
        </w:rPr>
      </w:pPr>
    </w:p>
    <w:p>
      <w:pPr>
        <w:ind w:right="260"/>
        <w:spacing w:after="0" w:line="383" w:lineRule="auto"/>
        <w:rPr>
          <w:sz w:val="20"/>
          <w:szCs w:val="20"/>
          <w:color w:val="auto"/>
        </w:rPr>
      </w:pPr>
      <w:r>
        <w:rPr>
          <w:rFonts w:ascii="Arial" w:cs="Arial" w:eastAsia="Arial" w:hAnsi="Arial"/>
          <w:sz w:val="12"/>
          <w:szCs w:val="12"/>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84"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Obligations for contributions to defined contribution plans are recognized as an employee benefit expense in profit or loss in the periods during which services are rendered by employees.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Retirement Savings Plan</w:t>
      </w:r>
    </w:p>
    <w:p>
      <w:pPr>
        <w:spacing w:after="0" w:line="177"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40"/>
          </w:cols>
          <w:pgMar w:left="220" w:top="496" w:right="2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Guarantees</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52" w:lineRule="exact"/>
        <w:rPr>
          <w:sz w:val="20"/>
          <w:szCs w:val="20"/>
          <w:color w:val="auto"/>
        </w:rPr>
      </w:pPr>
    </w:p>
    <w:p>
      <w:pPr>
        <w:jc w:val="both"/>
        <w:ind w:right="520"/>
        <w:spacing w:after="0" w:line="251" w:lineRule="auto"/>
        <w:rPr>
          <w:sz w:val="20"/>
          <w:szCs w:val="20"/>
          <w:color w:val="auto"/>
        </w:rPr>
      </w:pPr>
      <w:r>
        <w:rPr>
          <w:rFonts w:ascii="Arial" w:cs="Arial" w:eastAsia="Arial" w:hAnsi="Arial"/>
          <w:sz w:val="15"/>
          <w:szCs w:val="15"/>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$0.2 million and less than $0.1 million at December 31, 2013 and 2012, respectively.</w:t>
      </w:r>
    </w:p>
    <w:p>
      <w:pPr>
        <w:spacing w:after="0" w:line="158" w:lineRule="exact"/>
        <w:rPr>
          <w:sz w:val="20"/>
          <w:szCs w:val="20"/>
          <w:color w:val="auto"/>
        </w:rPr>
      </w:pPr>
    </w:p>
    <w:p>
      <w:pPr>
        <w:ind w:right="20"/>
        <w:spacing w:after="0" w:line="330" w:lineRule="auto"/>
        <w:rPr>
          <w:sz w:val="20"/>
          <w:szCs w:val="20"/>
          <w:color w:val="auto"/>
        </w:rPr>
      </w:pPr>
      <w:r>
        <w:rPr>
          <w:rFonts w:ascii="Arial" w:cs="Arial" w:eastAsia="Arial" w:hAnsi="Arial"/>
          <w:sz w:val="12"/>
          <w:szCs w:val="12"/>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2013, the maximum potential amount of future payments that Accommodations could be required to make under these guarantee agreements (letters of credit) was approximately $4.9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77" w:lineRule="exact"/>
        <w:rPr>
          <w:sz w:val="20"/>
          <w:szCs w:val="20"/>
          <w:color w:val="auto"/>
        </w:rPr>
      </w:pPr>
    </w:p>
    <w:p>
      <w:pPr>
        <w:spacing w:after="0" w:line="324" w:lineRule="auto"/>
        <w:rPr>
          <w:sz w:val="20"/>
          <w:szCs w:val="20"/>
          <w:color w:val="auto"/>
        </w:rPr>
      </w:pPr>
      <w:r>
        <w:rPr>
          <w:rFonts w:ascii="Arial" w:cs="Arial" w:eastAsia="Arial" w:hAnsi="Arial"/>
          <w:sz w:val="12"/>
          <w:szCs w:val="12"/>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Accounting for Contingencies</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Subsequent Events</w:t>
      </w:r>
    </w:p>
    <w:p>
      <w:pPr>
        <w:spacing w:after="0" w:line="177" w:lineRule="exact"/>
        <w:rPr>
          <w:sz w:val="20"/>
          <w:szCs w:val="20"/>
          <w:color w:val="auto"/>
        </w:rPr>
      </w:pPr>
    </w:p>
    <w:p>
      <w:pPr>
        <w:ind w:firstLine="197"/>
        <w:spacing w:after="0" w:line="251" w:lineRule="auto"/>
        <w:rPr>
          <w:sz w:val="20"/>
          <w:szCs w:val="20"/>
          <w:color w:val="auto"/>
        </w:rPr>
      </w:pPr>
      <w:r>
        <w:rPr>
          <w:rFonts w:ascii="Arial" w:cs="Arial" w:eastAsia="Arial" w:hAnsi="Arial"/>
          <w:sz w:val="15"/>
          <w:szCs w:val="15"/>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2013 through March 18, 2014, the date these combined financial statements were issued.</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6" w:right="259" w:bottom="1440" w:gutter="0" w:footer="0" w:header="0"/>
        </w:sectPr>
      </w:pPr>
    </w:p>
    <w:bookmarkStart w:id="374" w:name="page375"/>
    <w:bookmarkEnd w:id="374"/>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p>
      <w:pPr>
        <w:ind w:left="300" w:hanging="293"/>
        <w:spacing w:after="0"/>
        <w:tabs>
          <w:tab w:leader="none" w:pos="300" w:val="left"/>
        </w:tabs>
        <w:numPr>
          <w:ilvl w:val="0"/>
          <w:numId w:val="331"/>
        </w:numPr>
        <w:rPr>
          <w:rFonts w:ascii="Arial" w:cs="Arial" w:eastAsia="Arial" w:hAnsi="Arial"/>
          <w:sz w:val="15"/>
          <w:szCs w:val="15"/>
          <w:b w:val="1"/>
          <w:bCs w:val="1"/>
          <w:color w:val="auto"/>
        </w:rPr>
      </w:pPr>
      <w:r>
        <w:rPr>
          <w:rFonts w:ascii="Arial" w:cs="Arial" w:eastAsia="Arial" w:hAnsi="Arial"/>
          <w:sz w:val="15"/>
          <w:szCs w:val="15"/>
          <w:b w:val="1"/>
          <w:bCs w:val="1"/>
          <w:color w:val="auto"/>
        </w:rPr>
        <w:t>Details of Selected Combined Balance Sheet Accounts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regarding selected combined balance sheet accounts at December 31, 2013 and 2012 is presented below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2013</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Accounts receivable, net:</w:t>
            </w:r>
          </w:p>
        </w:tc>
        <w:tc>
          <w:tcPr>
            <w:tcW w:w="3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Trade</w:t>
            </w:r>
          </w:p>
        </w:tc>
        <w:tc>
          <w:tcPr>
            <w:tcW w:w="3980" w:type="dxa"/>
            <w:vAlign w:val="bottom"/>
            <w:gridSpan w:val="2"/>
          </w:tcPr>
          <w:p>
            <w:pPr>
              <w:jc w:val="right"/>
              <w:ind w:right="807"/>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128,781</w:t>
            </w:r>
          </w:p>
        </w:tc>
        <w:tc>
          <w:tcPr>
            <w:tcW w:w="240" w:type="dxa"/>
            <w:vAlign w:val="bottom"/>
          </w:tcPr>
          <w:p>
            <w:pPr>
              <w:spacing w:after="0"/>
              <w:rPr>
                <w:sz w:val="15"/>
                <w:szCs w:val="15"/>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144,425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Unbilled revenue</w:t>
            </w:r>
          </w:p>
        </w:tc>
        <w:tc>
          <w:tcPr>
            <w:tcW w:w="3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47,004</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61,584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Other</w:t>
            </w:r>
          </w:p>
        </w:tc>
        <w:tc>
          <w:tcPr>
            <w:tcW w:w="3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5,716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3,690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accounts receivable</w:t>
            </w:r>
          </w:p>
        </w:tc>
        <w:tc>
          <w:tcPr>
            <w:tcW w:w="302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181,501</w:t>
            </w:r>
          </w:p>
        </w:tc>
        <w:tc>
          <w:tcPr>
            <w:tcW w:w="2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209,699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Allowance for doubtful accounts</w:t>
            </w:r>
          </w:p>
        </w:tc>
        <w:tc>
          <w:tcPr>
            <w:tcW w:w="3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(3,656)</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07"/>
              <w:spacing w:after="0" w:line="16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177,845</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208,581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80"/>
          </w:cols>
          <w:pgMar w:left="220" w:top="496" w:right="199" w:bottom="1440" w:gutter="0" w:footer="0" w:header="0"/>
        </w:sectPr>
      </w:pPr>
    </w:p>
    <w:p>
      <w:pPr>
        <w:spacing w:after="0"/>
        <w:rPr>
          <w:sz w:val="20"/>
          <w:szCs w:val="20"/>
          <w:color w:val="auto"/>
        </w:rPr>
      </w:pPr>
      <w:r>
        <w:rPr>
          <w:rFonts w:ascii="Arial" w:cs="Arial" w:eastAsia="Arial" w:hAnsi="Arial"/>
          <w:sz w:val="15"/>
          <w:szCs w:val="15"/>
          <w:b w:val="1"/>
          <w:bCs w:val="1"/>
          <w:color w:val="auto"/>
        </w:rPr>
        <w:t>Inventories: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Finished goods and purchased products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Work in process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Raw materials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Total inventories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680" w:type="dxa"/>
            <w:vAlign w:val="bottom"/>
            <w:gridSpan w:val="4"/>
          </w:tcPr>
          <w:p>
            <w:pPr>
              <w:jc w:val="right"/>
              <w:ind w:right="2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3,574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4,558</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14,328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7,150</w:t>
            </w:r>
          </w:p>
        </w:tc>
      </w:tr>
      <w:tr>
        <w:trPr>
          <w:trHeight w:val="185"/>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11,913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7,946</w:t>
            </w:r>
          </w:p>
        </w:tc>
      </w:tr>
      <w:tr>
        <w:trPr>
          <w:trHeight w:val="167"/>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gridSpan w:val="2"/>
          </w:tcPr>
          <w:p>
            <w:pPr>
              <w:jc w:val="right"/>
              <w:ind w:right="280"/>
              <w:spacing w:after="0" w:line="167"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29,815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19,654</w:t>
            </w:r>
          </w:p>
        </w:tc>
        <w:tc>
          <w:tcPr>
            <w:tcW w:w="20" w:type="dxa"/>
            <w:vAlign w:val="bottom"/>
          </w:tcPr>
          <w:p>
            <w:pPr>
              <w:spacing w:after="0"/>
              <w:rPr>
                <w:sz w:val="14"/>
                <w:szCs w:val="14"/>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8"/>
        </w:trPr>
        <w:tc>
          <w:tcPr>
            <w:tcW w:w="2680" w:type="dxa"/>
            <w:vAlign w:val="bottom"/>
            <w:gridSpan w:val="4"/>
          </w:tcPr>
          <w:p>
            <w:pPr>
              <w:ind w:left="780"/>
              <w:spacing w:after="0"/>
              <w:rPr>
                <w:sz w:val="20"/>
                <w:szCs w:val="20"/>
                <w:color w:val="auto"/>
              </w:rPr>
            </w:pPr>
            <w:r>
              <w:rPr>
                <w:rFonts w:ascii="Arial" w:cs="Arial" w:eastAsia="Arial" w:hAnsi="Arial"/>
                <w:sz w:val="15"/>
                <w:szCs w:val="15"/>
                <w:b w:val="1"/>
                <w:bCs w:val="1"/>
                <w:color w:val="auto"/>
              </w:rPr>
              <w:t>Estimated</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22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Useful Life</w:t>
            </w:r>
          </w:p>
        </w:tc>
        <w:tc>
          <w:tcPr>
            <w:tcW w:w="120" w:type="dxa"/>
            <w:vAlign w:val="bottom"/>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rPr>
              <w:t>2013</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-922020</wp:posOffset>
            </wp:positionV>
            <wp:extent cx="7272655" cy="1111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-700405</wp:posOffset>
            </wp:positionV>
            <wp:extent cx="7272655" cy="1111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-471170</wp:posOffset>
            </wp:positionV>
            <wp:extent cx="7272655" cy="1320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2655" cy="13208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100" w:space="720"/>
            <w:col w:w="5660"/>
          </w:cols>
          <w:pgMar w:left="220" w:top="496" w:right="19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4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20" w:type="dxa"/>
            <w:vAlign w:val="bottom"/>
          </w:tcPr>
          <w:p>
            <w:pPr>
              <w:ind w:left="160"/>
              <w:spacing w:after="0"/>
              <w:rPr>
                <w:sz w:val="20"/>
                <w:szCs w:val="20"/>
                <w:color w:val="auto"/>
              </w:rPr>
            </w:pPr>
            <w:r>
              <w:rPr>
                <w:rFonts w:ascii="Arial" w:cs="Arial" w:eastAsia="Arial" w:hAnsi="Arial"/>
                <w:sz w:val="15"/>
                <w:szCs w:val="15"/>
                <w:color w:val="auto"/>
              </w:rPr>
              <w:t>Land</w:t>
            </w:r>
          </w:p>
        </w:tc>
        <w:tc>
          <w:tcPr>
            <w:tcW w:w="4640" w:type="dxa"/>
            <w:vAlign w:val="bottom"/>
            <w:gridSpan w:val="2"/>
          </w:tcPr>
          <w:p>
            <w:pPr>
              <w:jc w:val="right"/>
              <w:ind w:right="347"/>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49,384</w:t>
            </w:r>
          </w:p>
        </w:tc>
        <w:tc>
          <w:tcPr>
            <w:tcW w:w="220" w:type="dxa"/>
            <w:vAlign w:val="bottom"/>
          </w:tcPr>
          <w:p>
            <w:pPr>
              <w:spacing w:after="0"/>
              <w:rPr>
                <w:sz w:val="15"/>
                <w:szCs w:val="15"/>
                <w:color w:val="auto"/>
              </w:rPr>
            </w:pP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41,450</w:t>
            </w:r>
          </w:p>
        </w:tc>
        <w:tc>
          <w:tcPr>
            <w:tcW w:w="20" w:type="dxa"/>
            <w:vAlign w:val="bottom"/>
          </w:tcPr>
          <w:p>
            <w:pPr>
              <w:spacing w:after="0"/>
              <w:rPr>
                <w:sz w:val="15"/>
                <w:szCs w:val="15"/>
                <w:color w:val="auto"/>
              </w:rPr>
            </w:pPr>
          </w:p>
        </w:tc>
      </w:tr>
      <w:tr>
        <w:trPr>
          <w:trHeight w:val="175"/>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Accommodations assets</w:t>
            </w:r>
          </w:p>
        </w:tc>
        <w:tc>
          <w:tcPr>
            <w:tcW w:w="4640" w:type="dxa"/>
            <w:vAlign w:val="bottom"/>
            <w:gridSpan w:val="2"/>
            <w:shd w:val="clear" w:color="auto" w:fill="CCEEFF"/>
          </w:tcPr>
          <w:p>
            <w:pPr>
              <w:jc w:val="center"/>
              <w:ind w:left="1107"/>
              <w:spacing w:after="0"/>
              <w:rPr>
                <w:sz w:val="20"/>
                <w:szCs w:val="20"/>
                <w:color w:val="auto"/>
              </w:rPr>
            </w:pPr>
            <w:r>
              <w:rPr>
                <w:rFonts w:ascii="Arial" w:cs="Arial" w:eastAsia="Arial" w:hAnsi="Arial"/>
                <w:sz w:val="15"/>
                <w:szCs w:val="15"/>
                <w:color w:val="auto"/>
                <w:w w:val="87"/>
              </w:rPr>
              <w:t>3-15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1,535,407</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1,481,830</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20" w:type="dxa"/>
            <w:vAlign w:val="bottom"/>
          </w:tcPr>
          <w:p>
            <w:pPr>
              <w:ind w:left="160"/>
              <w:spacing w:after="0"/>
              <w:rPr>
                <w:sz w:val="20"/>
                <w:szCs w:val="20"/>
                <w:color w:val="auto"/>
              </w:rPr>
            </w:pPr>
            <w:r>
              <w:rPr>
                <w:rFonts w:ascii="Arial" w:cs="Arial" w:eastAsia="Arial" w:hAnsi="Arial"/>
                <w:sz w:val="15"/>
                <w:szCs w:val="15"/>
                <w:color w:val="auto"/>
              </w:rPr>
              <w:t>Buildings and leasehold improvements</w:t>
            </w:r>
          </w:p>
        </w:tc>
        <w:tc>
          <w:tcPr>
            <w:tcW w:w="4640" w:type="dxa"/>
            <w:vAlign w:val="bottom"/>
            <w:gridSpan w:val="2"/>
          </w:tcPr>
          <w:p>
            <w:pPr>
              <w:jc w:val="center"/>
              <w:ind w:left="1107"/>
              <w:spacing w:after="0"/>
              <w:rPr>
                <w:sz w:val="20"/>
                <w:szCs w:val="20"/>
                <w:color w:val="auto"/>
              </w:rPr>
            </w:pPr>
            <w:r>
              <w:rPr>
                <w:rFonts w:ascii="Arial" w:cs="Arial" w:eastAsia="Arial" w:hAnsi="Arial"/>
                <w:sz w:val="15"/>
                <w:szCs w:val="15"/>
                <w:color w:val="auto"/>
                <w:w w:val="87"/>
              </w:rPr>
              <w:t>3-20 years</w:t>
            </w:r>
          </w:p>
        </w:tc>
        <w:tc>
          <w:tcPr>
            <w:tcW w:w="1000" w:type="dxa"/>
            <w:vAlign w:val="bottom"/>
          </w:tcPr>
          <w:p>
            <w:pPr>
              <w:jc w:val="right"/>
              <w:spacing w:after="0"/>
              <w:rPr>
                <w:sz w:val="20"/>
                <w:szCs w:val="20"/>
                <w:color w:val="auto"/>
              </w:rPr>
            </w:pPr>
            <w:r>
              <w:rPr>
                <w:rFonts w:ascii="Arial" w:cs="Arial" w:eastAsia="Arial" w:hAnsi="Arial"/>
                <w:sz w:val="15"/>
                <w:szCs w:val="15"/>
                <w:color w:val="auto"/>
              </w:rPr>
              <w:t>45,538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44,849</w:t>
            </w:r>
          </w:p>
        </w:tc>
        <w:tc>
          <w:tcPr>
            <w:tcW w:w="20" w:type="dxa"/>
            <w:vAlign w:val="bottom"/>
          </w:tcPr>
          <w:p>
            <w:pPr>
              <w:spacing w:after="0"/>
              <w:rPr>
                <w:sz w:val="15"/>
                <w:szCs w:val="15"/>
                <w:color w:val="auto"/>
              </w:rPr>
            </w:pPr>
          </w:p>
        </w:tc>
      </w:tr>
      <w:tr>
        <w:trPr>
          <w:trHeight w:val="175"/>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Machinery and equipment</w:t>
            </w:r>
          </w:p>
        </w:tc>
        <w:tc>
          <w:tcPr>
            <w:tcW w:w="4640" w:type="dxa"/>
            <w:vAlign w:val="bottom"/>
            <w:gridSpan w:val="2"/>
            <w:shd w:val="clear" w:color="auto" w:fill="CCEEFF"/>
          </w:tcPr>
          <w:p>
            <w:pPr>
              <w:jc w:val="center"/>
              <w:ind w:left="1107"/>
              <w:spacing w:after="0"/>
              <w:rPr>
                <w:sz w:val="20"/>
                <w:szCs w:val="20"/>
                <w:color w:val="auto"/>
              </w:rPr>
            </w:pPr>
            <w:r>
              <w:rPr>
                <w:rFonts w:ascii="Arial" w:cs="Arial" w:eastAsia="Arial" w:hAnsi="Arial"/>
                <w:sz w:val="15"/>
                <w:szCs w:val="15"/>
                <w:color w:val="auto"/>
                <w:w w:val="87"/>
              </w:rPr>
              <w:t>4-15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12,259</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10,316</w:t>
            </w:r>
          </w:p>
        </w:tc>
        <w:tc>
          <w:tcPr>
            <w:tcW w:w="20" w:type="dxa"/>
            <w:vAlign w:val="bottom"/>
          </w:tcPr>
          <w:p>
            <w:pPr>
              <w:spacing w:after="0"/>
              <w:rPr>
                <w:sz w:val="15"/>
                <w:szCs w:val="15"/>
                <w:color w:val="auto"/>
              </w:rPr>
            </w:pPr>
          </w:p>
        </w:tc>
      </w:tr>
      <w:tr>
        <w:trPr>
          <w:trHeight w:val="175"/>
        </w:trPr>
        <w:tc>
          <w:tcPr>
            <w:tcW w:w="4020" w:type="dxa"/>
            <w:vAlign w:val="bottom"/>
          </w:tcPr>
          <w:p>
            <w:pPr>
              <w:ind w:left="160"/>
              <w:spacing w:after="0"/>
              <w:rPr>
                <w:sz w:val="20"/>
                <w:szCs w:val="20"/>
                <w:color w:val="auto"/>
              </w:rPr>
            </w:pPr>
            <w:r>
              <w:rPr>
                <w:rFonts w:ascii="Arial" w:cs="Arial" w:eastAsia="Arial" w:hAnsi="Arial"/>
                <w:sz w:val="15"/>
                <w:szCs w:val="15"/>
                <w:color w:val="auto"/>
              </w:rPr>
              <w:t>Office furniture and equipment</w:t>
            </w:r>
          </w:p>
        </w:tc>
        <w:tc>
          <w:tcPr>
            <w:tcW w:w="4640" w:type="dxa"/>
            <w:vAlign w:val="bottom"/>
            <w:gridSpan w:val="2"/>
          </w:tcPr>
          <w:p>
            <w:pPr>
              <w:jc w:val="center"/>
              <w:ind w:left="1107"/>
              <w:spacing w:after="0"/>
              <w:rPr>
                <w:sz w:val="20"/>
                <w:szCs w:val="20"/>
                <w:color w:val="auto"/>
              </w:rPr>
            </w:pPr>
            <w:r>
              <w:rPr>
                <w:rFonts w:ascii="Arial" w:cs="Arial" w:eastAsia="Arial" w:hAnsi="Arial"/>
                <w:sz w:val="15"/>
                <w:szCs w:val="15"/>
                <w:color w:val="auto"/>
                <w:w w:val="86"/>
              </w:rPr>
              <w:t>3-7 years</w:t>
            </w:r>
          </w:p>
        </w:tc>
        <w:tc>
          <w:tcPr>
            <w:tcW w:w="1000" w:type="dxa"/>
            <w:vAlign w:val="bottom"/>
          </w:tcPr>
          <w:p>
            <w:pPr>
              <w:jc w:val="right"/>
              <w:spacing w:after="0"/>
              <w:rPr>
                <w:sz w:val="20"/>
                <w:szCs w:val="20"/>
                <w:color w:val="auto"/>
              </w:rPr>
            </w:pPr>
            <w:r>
              <w:rPr>
                <w:rFonts w:ascii="Arial" w:cs="Arial" w:eastAsia="Arial" w:hAnsi="Arial"/>
                <w:sz w:val="15"/>
                <w:szCs w:val="15"/>
                <w:color w:val="auto"/>
              </w:rPr>
              <w:t>28,755</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23,311</w:t>
            </w:r>
          </w:p>
        </w:tc>
        <w:tc>
          <w:tcPr>
            <w:tcW w:w="20" w:type="dxa"/>
            <w:vAlign w:val="bottom"/>
          </w:tcPr>
          <w:p>
            <w:pPr>
              <w:spacing w:after="0"/>
              <w:rPr>
                <w:sz w:val="15"/>
                <w:szCs w:val="15"/>
                <w:color w:val="auto"/>
              </w:rPr>
            </w:pPr>
          </w:p>
        </w:tc>
      </w:tr>
      <w:tr>
        <w:trPr>
          <w:trHeight w:val="175"/>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Vehicles</w:t>
            </w:r>
          </w:p>
        </w:tc>
        <w:tc>
          <w:tcPr>
            <w:tcW w:w="4640" w:type="dxa"/>
            <w:vAlign w:val="bottom"/>
            <w:gridSpan w:val="2"/>
            <w:shd w:val="clear" w:color="auto" w:fill="CCEEFF"/>
          </w:tcPr>
          <w:p>
            <w:pPr>
              <w:jc w:val="center"/>
              <w:ind w:left="1107"/>
              <w:spacing w:after="0"/>
              <w:rPr>
                <w:sz w:val="20"/>
                <w:szCs w:val="20"/>
                <w:color w:val="auto"/>
              </w:rPr>
            </w:pPr>
            <w:r>
              <w:rPr>
                <w:rFonts w:ascii="Arial" w:cs="Arial" w:eastAsia="Arial" w:hAnsi="Arial"/>
                <w:sz w:val="15"/>
                <w:szCs w:val="15"/>
                <w:color w:val="auto"/>
                <w:w w:val="86"/>
              </w:rPr>
              <w:t>3-5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20,197</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17,395</w:t>
            </w:r>
          </w:p>
        </w:tc>
        <w:tc>
          <w:tcPr>
            <w:tcW w:w="20" w:type="dxa"/>
            <w:vAlign w:val="bottom"/>
          </w:tcPr>
          <w:p>
            <w:pPr>
              <w:spacing w:after="0"/>
              <w:rPr>
                <w:sz w:val="15"/>
                <w:szCs w:val="15"/>
                <w:color w:val="auto"/>
              </w:rPr>
            </w:pPr>
          </w:p>
        </w:tc>
      </w:tr>
      <w:tr>
        <w:trPr>
          <w:trHeight w:val="175"/>
        </w:trPr>
        <w:tc>
          <w:tcPr>
            <w:tcW w:w="4020" w:type="dxa"/>
            <w:vAlign w:val="bottom"/>
          </w:tcPr>
          <w:p>
            <w:pPr>
              <w:ind w:left="160"/>
              <w:spacing w:after="0"/>
              <w:rPr>
                <w:sz w:val="20"/>
                <w:szCs w:val="20"/>
                <w:color w:val="auto"/>
              </w:rPr>
            </w:pPr>
            <w:r>
              <w:rPr>
                <w:rFonts w:ascii="Arial" w:cs="Arial" w:eastAsia="Arial" w:hAnsi="Arial"/>
                <w:sz w:val="15"/>
                <w:szCs w:val="15"/>
                <w:color w:val="auto"/>
              </w:rPr>
              <w:t>Construction in progress</w:t>
            </w: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129,587</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111,952</w:t>
            </w:r>
          </w:p>
        </w:tc>
        <w:tc>
          <w:tcPr>
            <w:tcW w:w="20" w:type="dxa"/>
            <w:vAlign w:val="bottom"/>
          </w:tcPr>
          <w:p>
            <w:pPr>
              <w:spacing w:after="0"/>
              <w:rPr>
                <w:sz w:val="15"/>
                <w:szCs w:val="15"/>
                <w:color w:val="auto"/>
              </w:rPr>
            </w:pPr>
          </w:p>
        </w:tc>
      </w:tr>
      <w:tr>
        <w:trPr>
          <w:trHeight w:val="166"/>
        </w:trPr>
        <w:tc>
          <w:tcPr>
            <w:tcW w:w="4020" w:type="dxa"/>
            <w:vAlign w:val="bottom"/>
            <w:shd w:val="clear" w:color="auto" w:fill="CCEEFF"/>
          </w:tcPr>
          <w:p>
            <w:pPr>
              <w:ind w:left="320"/>
              <w:spacing w:after="0" w:line="166" w:lineRule="exact"/>
              <w:rPr>
                <w:sz w:val="20"/>
                <w:szCs w:val="20"/>
                <w:color w:val="auto"/>
              </w:rPr>
            </w:pPr>
            <w:r>
              <w:rPr>
                <w:rFonts w:ascii="Arial" w:cs="Arial" w:eastAsia="Arial" w:hAnsi="Arial"/>
                <w:sz w:val="15"/>
                <w:szCs w:val="15"/>
                <w:color w:val="auto"/>
              </w:rPr>
              <w:t>Total property, plant and equipment</w:t>
            </w:r>
          </w:p>
        </w:tc>
        <w:tc>
          <w:tcPr>
            <w:tcW w:w="414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1,821,127</w:t>
            </w:r>
          </w:p>
        </w:tc>
        <w:tc>
          <w:tcPr>
            <w:tcW w:w="2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1,731,103</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020" w:type="dxa"/>
            <w:vAlign w:val="bottom"/>
          </w:tcPr>
          <w:p>
            <w:pPr>
              <w:ind w:left="160"/>
              <w:spacing w:after="0"/>
              <w:rPr>
                <w:sz w:val="20"/>
                <w:szCs w:val="20"/>
                <w:color w:val="auto"/>
              </w:rPr>
            </w:pPr>
            <w:r>
              <w:rPr>
                <w:rFonts w:ascii="Arial" w:cs="Arial" w:eastAsia="Arial" w:hAnsi="Arial"/>
                <w:sz w:val="15"/>
                <w:szCs w:val="15"/>
                <w:color w:val="auto"/>
              </w:rPr>
              <w:t>Accumulated depreciation</w:t>
            </w: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(495,260)</w:t>
            </w:r>
          </w:p>
        </w:tc>
        <w:tc>
          <w:tcPr>
            <w:tcW w:w="48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(413,571)</w:t>
            </w:r>
          </w:p>
        </w:tc>
        <w:tc>
          <w:tcPr>
            <w:tcW w:w="20" w:type="dxa"/>
            <w:vAlign w:val="bottom"/>
          </w:tcPr>
          <w:p>
            <w:pPr>
              <w:spacing w:after="0"/>
              <w:rPr>
                <w:sz w:val="15"/>
                <w:szCs w:val="15"/>
                <w:color w:val="auto"/>
              </w:rPr>
            </w:pPr>
          </w:p>
        </w:tc>
      </w:tr>
      <w:tr>
        <w:trPr>
          <w:trHeight w:val="206"/>
        </w:trPr>
        <w:tc>
          <w:tcPr>
            <w:tcW w:w="402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7"/>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1,325,867</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1,317,532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518"/>
        </w:trPr>
        <w:tc>
          <w:tcPr>
            <w:tcW w:w="4020" w:type="dxa"/>
            <w:vAlign w:val="bottom"/>
          </w:tcPr>
          <w:p>
            <w:pPr>
              <w:spacing w:after="0"/>
              <w:rPr>
                <w:sz w:val="24"/>
                <w:szCs w:val="24"/>
                <w:color w:val="auto"/>
              </w:rPr>
            </w:pPr>
          </w:p>
        </w:tc>
        <w:tc>
          <w:tcPr>
            <w:tcW w:w="4640" w:type="dxa"/>
            <w:vAlign w:val="bottom"/>
            <w:gridSpan w:val="2"/>
          </w:tcPr>
          <w:p>
            <w:pPr>
              <w:jc w:val="right"/>
              <w:ind w:right="2707"/>
              <w:spacing w:after="0"/>
              <w:rPr>
                <w:sz w:val="20"/>
                <w:szCs w:val="20"/>
                <w:color w:val="auto"/>
              </w:rPr>
            </w:pPr>
            <w:r>
              <w:rPr>
                <w:rFonts w:ascii="Arial" w:cs="Arial" w:eastAsia="Arial" w:hAnsi="Arial"/>
                <w:sz w:val="15"/>
                <w:szCs w:val="15"/>
                <w:color w:val="auto"/>
              </w:rPr>
              <w:t>F-15</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40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type w:val="continuous"/>
        </w:sectPr>
      </w:pPr>
    </w:p>
    <w:bookmarkStart w:id="375" w:name="page376"/>
    <w:bookmarkEnd w:id="375"/>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2013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r>
      <w:tr>
        <w:trPr>
          <w:trHeight w:val="168"/>
        </w:trPr>
        <w:tc>
          <w:tcPr>
            <w:tcW w:w="814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Accrued liabilities: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8140" w:type="dxa"/>
            <w:vAlign w:val="bottom"/>
          </w:tcPr>
          <w:p>
            <w:pPr>
              <w:ind w:left="160"/>
              <w:spacing w:after="0"/>
              <w:rPr>
                <w:sz w:val="20"/>
                <w:szCs w:val="20"/>
                <w:color w:val="auto"/>
              </w:rPr>
            </w:pPr>
            <w:r>
              <w:rPr>
                <w:rFonts w:ascii="Arial" w:cs="Arial" w:eastAsia="Arial" w:hAnsi="Arial"/>
                <w:sz w:val="15"/>
                <w:szCs w:val="15"/>
                <w:color w:val="auto"/>
              </w:rPr>
              <w:t>Accrued compensation</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21,988</w:t>
            </w:r>
          </w:p>
        </w:tc>
        <w:tc>
          <w:tcPr>
            <w:tcW w:w="240" w:type="dxa"/>
            <w:vAlign w:val="bottom"/>
          </w:tcPr>
          <w:p>
            <w:pPr>
              <w:spacing w:after="0"/>
              <w:rPr>
                <w:sz w:val="15"/>
                <w:szCs w:val="15"/>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26,891</w:t>
            </w:r>
          </w:p>
        </w:tc>
      </w:tr>
      <w:tr>
        <w:trPr>
          <w:trHeight w:val="175"/>
        </w:trPr>
        <w:tc>
          <w:tcPr>
            <w:tcW w:w="8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taxes, other than income taxes</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1,940</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2,103</w:t>
            </w:r>
          </w:p>
        </w:tc>
      </w:tr>
      <w:tr>
        <w:trPr>
          <w:trHeight w:val="175"/>
        </w:trPr>
        <w:tc>
          <w:tcPr>
            <w:tcW w:w="8140" w:type="dxa"/>
            <w:vAlign w:val="bottom"/>
          </w:tcPr>
          <w:p>
            <w:pPr>
              <w:ind w:left="160"/>
              <w:spacing w:after="0"/>
              <w:rPr>
                <w:sz w:val="20"/>
                <w:szCs w:val="20"/>
                <w:color w:val="auto"/>
              </w:rPr>
            </w:pPr>
            <w:r>
              <w:rPr>
                <w:rFonts w:ascii="Arial" w:cs="Arial" w:eastAsia="Arial" w:hAnsi="Arial"/>
                <w:sz w:val="15"/>
                <w:szCs w:val="15"/>
                <w:color w:val="auto"/>
              </w:rPr>
              <w:t>Accrued interest</w:t>
            </w: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1,560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22,436</w:t>
            </w:r>
          </w:p>
        </w:tc>
      </w:tr>
      <w:tr>
        <w:trPr>
          <w:trHeight w:val="175"/>
        </w:trPr>
        <w:tc>
          <w:tcPr>
            <w:tcW w:w="8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1,386</w:t>
            </w:r>
          </w:p>
        </w:tc>
        <w:tc>
          <w:tcPr>
            <w:tcW w:w="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6"/>
        </w:trPr>
        <w:tc>
          <w:tcPr>
            <w:tcW w:w="8140" w:type="dxa"/>
            <w:vAlign w:val="bottom"/>
          </w:tcPr>
          <w:p>
            <w:pPr>
              <w:spacing w:after="0"/>
              <w:rPr>
                <w:sz w:val="14"/>
                <w:szCs w:val="14"/>
                <w:color w:val="auto"/>
              </w:rPr>
            </w:pPr>
          </w:p>
        </w:tc>
        <w:tc>
          <w:tcPr>
            <w:tcW w:w="1000" w:type="dxa"/>
            <w:vAlign w:val="bottom"/>
          </w:tcPr>
          <w:p>
            <w:pPr>
              <w:jc w:val="right"/>
              <w:ind w:right="847"/>
              <w:spacing w:after="0" w:line="166"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6" w:lineRule="exact"/>
              <w:rPr>
                <w:sz w:val="20"/>
                <w:szCs w:val="20"/>
                <w:color w:val="auto"/>
              </w:rPr>
            </w:pPr>
            <w:r>
              <w:rPr>
                <w:rFonts w:ascii="Arial" w:cs="Arial" w:eastAsia="Arial" w:hAnsi="Arial"/>
                <w:sz w:val="15"/>
                <w:szCs w:val="15"/>
                <w:color w:val="auto"/>
              </w:rPr>
              <w:t>26,874</w:t>
            </w:r>
          </w:p>
        </w:tc>
        <w:tc>
          <w:tcPr>
            <w:tcW w:w="240" w:type="dxa"/>
            <w:vAlign w:val="bottom"/>
          </w:tcPr>
          <w:p>
            <w:pPr>
              <w:spacing w:after="0"/>
              <w:rPr>
                <w:sz w:val="14"/>
                <w:szCs w:val="14"/>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52,704</w:t>
            </w:r>
          </w:p>
        </w:tc>
      </w:tr>
      <w:tr>
        <w:trPr>
          <w:trHeight w:val="20"/>
        </w:trPr>
        <w:tc>
          <w:tcPr>
            <w:tcW w:w="8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was $157.0 million, $128.2 million and $99.9 million for the years ended December 31, 2013, 2012 and 2011, respectively.</w:t>
      </w:r>
    </w:p>
    <w:p>
      <w:pPr>
        <w:spacing w:after="0" w:line="173" w:lineRule="exact"/>
        <w:rPr>
          <w:sz w:val="20"/>
          <w:szCs w:val="20"/>
          <w:color w:val="auto"/>
        </w:rPr>
      </w:pPr>
    </w:p>
    <w:p>
      <w:pPr>
        <w:ind w:left="300" w:hanging="293"/>
        <w:spacing w:after="0"/>
        <w:tabs>
          <w:tab w:leader="none" w:pos="300" w:val="left"/>
        </w:tabs>
        <w:numPr>
          <w:ilvl w:val="0"/>
          <w:numId w:val="332"/>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w:t>
      </w:r>
    </w:p>
    <w:p>
      <w:pPr>
        <w:spacing w:after="0" w:line="181" w:lineRule="exact"/>
        <w:rPr>
          <w:sz w:val="20"/>
          <w:szCs w:val="20"/>
          <w:color w:val="auto"/>
        </w:rPr>
      </w:pPr>
    </w:p>
    <w:p>
      <w:pPr>
        <w:jc w:val="both"/>
        <w:ind w:right="20"/>
        <w:spacing w:after="0" w:line="251" w:lineRule="auto"/>
        <w:rPr>
          <w:sz w:val="20"/>
          <w:szCs w:val="20"/>
          <w:color w:val="auto"/>
        </w:rPr>
      </w:pPr>
      <w:r>
        <w:rPr>
          <w:rFonts w:ascii="Arial" w:cs="Arial" w:eastAsia="Arial" w:hAnsi="Arial"/>
          <w:sz w:val="15"/>
          <w:szCs w:val="15"/>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154" w:lineRule="exact"/>
        <w:rPr>
          <w:sz w:val="20"/>
          <w:szCs w:val="20"/>
          <w:color w:val="auto"/>
        </w:rPr>
      </w:pPr>
    </w:p>
    <w:p>
      <w:pPr>
        <w:ind w:left="300" w:hanging="293"/>
        <w:spacing w:after="0"/>
        <w:tabs>
          <w:tab w:leader="none" w:pos="300" w:val="left"/>
        </w:tabs>
        <w:numPr>
          <w:ilvl w:val="0"/>
          <w:numId w:val="333"/>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and Supplemental Combined Cash Flow Information</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On November 1, 2011, we purchased an open camp accommodations facility located in Carrizo Springs, Texas for total consideration of $2.2 million. The fair value of assets acquired including intangibles was $2.2 million. This facility provides accommodations support to customers working in the Eagle Ford Shale oil and gas basin in Texas. The operations of the Carrizo Springs facility have been included in our U.S. segment since the acquisition date.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76" w:name="page377"/>
    <w:bookmarkEnd w:id="376"/>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Supplemental Combined Cash Flow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Cash paid during the years ended December 31, 2013, 2012 and 2011 for interest and income taxes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2013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2012</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380" w:type="dxa"/>
            <w:vAlign w:val="bottom"/>
          </w:tcPr>
          <w:p>
            <w:pPr>
              <w:spacing w:after="0"/>
              <w:rPr>
                <w:sz w:val="14"/>
                <w:szCs w:val="14"/>
                <w:color w:val="auto"/>
              </w:rPr>
            </w:pPr>
          </w:p>
        </w:tc>
        <w:tc>
          <w:tcPr>
            <w:tcW w:w="302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7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(net of amounts capitalized)</w:t>
            </w:r>
          </w:p>
        </w:tc>
        <w:tc>
          <w:tcPr>
            <w:tcW w:w="3020" w:type="dxa"/>
            <w:vAlign w:val="bottom"/>
            <w:gridSpan w:val="2"/>
            <w:shd w:val="clear" w:color="auto" w:fill="CCEEFF"/>
          </w:tcPr>
          <w:p>
            <w:pPr>
              <w:jc w:val="right"/>
              <w:ind w:right="847"/>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43,610</w:t>
            </w:r>
          </w:p>
        </w:tc>
        <w:tc>
          <w:tcPr>
            <w:tcW w:w="1100" w:type="dxa"/>
            <w:vAlign w:val="bottom"/>
            <w:gridSpan w:val="2"/>
            <w:shd w:val="clear" w:color="auto" w:fill="CCEEFF"/>
          </w:tcPr>
          <w:p>
            <w:pPr>
              <w:jc w:val="right"/>
              <w:ind w:right="847"/>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23,239</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Arial" w:cs="Arial" w:eastAsia="Arial" w:hAnsi="Arial"/>
                <w:sz w:val="15"/>
                <w:szCs w:val="15"/>
                <w:color w:val="auto"/>
              </w:rPr>
              <w:t>Income taxes, net of refunds</w:t>
            </w: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65,875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42,138</w:t>
            </w: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37,011</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380" w:type="dxa"/>
            <w:vAlign w:val="bottom"/>
          </w:tcPr>
          <w:p>
            <w:pPr>
              <w:spacing w:after="0"/>
              <w:rPr>
                <w:sz w:val="20"/>
                <w:szCs w:val="20"/>
                <w:color w:val="auto"/>
              </w:rPr>
            </w:pPr>
            <w:r>
              <w:rPr>
                <w:rFonts w:ascii="Arial" w:cs="Arial" w:eastAsia="Arial" w:hAnsi="Arial"/>
                <w:sz w:val="15"/>
                <w:szCs w:val="15"/>
                <w:color w:val="auto"/>
              </w:rPr>
              <w:t>Non-cash investing activities:</w:t>
            </w: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Assets acquired through lease incentives</w:t>
            </w:r>
          </w:p>
        </w:tc>
        <w:tc>
          <w:tcPr>
            <w:tcW w:w="3020" w:type="dxa"/>
            <w:vAlign w:val="bottom"/>
            <w:gridSpan w:val="2"/>
            <w:shd w:val="clear" w:color="auto" w:fill="CCEEFF"/>
          </w:tcPr>
          <w:p>
            <w:pPr>
              <w:jc w:val="right"/>
              <w:ind w:right="847"/>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847"/>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00" w:hanging="293"/>
        <w:spacing w:after="0"/>
        <w:tabs>
          <w:tab w:leader="none" w:pos="300" w:val="left"/>
        </w:tabs>
        <w:numPr>
          <w:ilvl w:val="0"/>
          <w:numId w:val="334"/>
        </w:numPr>
        <w:rPr>
          <w:rFonts w:ascii="Arial" w:cs="Arial" w:eastAsia="Arial" w:hAnsi="Arial"/>
          <w:sz w:val="15"/>
          <w:szCs w:val="15"/>
          <w:b w:val="1"/>
          <w:bCs w:val="1"/>
          <w:color w:val="auto"/>
        </w:rPr>
      </w:pPr>
      <w:r>
        <w:rPr>
          <w:rFonts w:ascii="Arial" w:cs="Arial" w:eastAsia="Arial" w:hAnsi="Arial"/>
          <w:sz w:val="15"/>
          <w:szCs w:val="15"/>
          <w:b w:val="1"/>
          <w:bCs w:val="1"/>
          <w:color w:val="auto"/>
        </w:rPr>
        <w:t>Mountain West Contingent Consideration</w:t>
      </w:r>
    </w:p>
    <w:p>
      <w:pPr>
        <w:spacing w:after="0" w:line="181" w:lineRule="exact"/>
        <w:rPr>
          <w:sz w:val="20"/>
          <w:szCs w:val="20"/>
          <w:color w:val="auto"/>
        </w:rPr>
      </w:pPr>
    </w:p>
    <w:p>
      <w:pPr>
        <w:ind w:right="100"/>
        <w:spacing w:after="0" w:line="315" w:lineRule="auto"/>
        <w:rPr>
          <w:sz w:val="20"/>
          <w:szCs w:val="20"/>
          <w:color w:val="auto"/>
        </w:rPr>
      </w:pPr>
      <w:r>
        <w:rPr>
          <w:rFonts w:ascii="Arial" w:cs="Arial" w:eastAsia="Arial" w:hAnsi="Arial"/>
          <w:sz w:val="12"/>
          <w:szCs w:val="12"/>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 The earn out provision of the Mountain West acquisition expired in 2013.</w:t>
      </w:r>
    </w:p>
    <w:p>
      <w:pPr>
        <w:spacing w:after="0" w:line="296" w:lineRule="exact"/>
        <w:rPr>
          <w:sz w:val="20"/>
          <w:szCs w:val="20"/>
          <w:color w:val="auto"/>
        </w:rPr>
      </w:pPr>
    </w:p>
    <w:p>
      <w:pPr>
        <w:ind w:left="300" w:hanging="293"/>
        <w:spacing w:after="0"/>
        <w:tabs>
          <w:tab w:leader="none" w:pos="300" w:val="left"/>
        </w:tabs>
        <w:numPr>
          <w:ilvl w:val="0"/>
          <w:numId w:val="335"/>
        </w:numPr>
        <w:rPr>
          <w:rFonts w:ascii="Arial" w:cs="Arial" w:eastAsia="Arial" w:hAnsi="Arial"/>
          <w:sz w:val="15"/>
          <w:szCs w:val="15"/>
          <w:b w:val="1"/>
          <w:bCs w:val="1"/>
          <w:color w:val="auto"/>
        </w:rPr>
      </w:pPr>
      <w:r>
        <w:rPr>
          <w:rFonts w:ascii="Arial" w:cs="Arial" w:eastAsia="Arial" w:hAnsi="Arial"/>
          <w:sz w:val="15"/>
          <w:szCs w:val="15"/>
          <w:b w:val="1"/>
          <w:bCs w:val="1"/>
          <w:color w:val="auto"/>
        </w:rPr>
        <w:t>Goodwill and Other Intangible Assets</w:t>
      </w:r>
    </w:p>
    <w:p>
      <w:pPr>
        <w:spacing w:after="0" w:line="181" w:lineRule="exact"/>
        <w:rPr>
          <w:sz w:val="20"/>
          <w:szCs w:val="20"/>
          <w:color w:val="auto"/>
        </w:rPr>
      </w:pPr>
    </w:p>
    <w:p>
      <w:pPr>
        <w:ind w:right="220"/>
        <w:spacing w:after="0" w:line="320" w:lineRule="auto"/>
        <w:rPr>
          <w:sz w:val="20"/>
          <w:szCs w:val="20"/>
          <w:color w:val="auto"/>
        </w:rPr>
      </w:pPr>
      <w:r>
        <w:rPr>
          <w:rFonts w:ascii="Arial" w:cs="Arial" w:eastAsia="Arial" w:hAnsi="Arial"/>
          <w:sz w:val="12"/>
          <w:szCs w:val="12"/>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2013 and 2012.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 As of December 31, 2013, no provision for impairment of goodwill was required.</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2013, no provision for impairment of other intangible assets was required.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77" w:name="page378"/>
    <w:bookmarkEnd w:id="377"/>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gridSpan w:val="4"/>
          </w:tcPr>
          <w:p>
            <w:pPr>
              <w:spacing w:after="0"/>
              <w:rPr>
                <w:sz w:val="20"/>
                <w:szCs w:val="20"/>
                <w:color w:val="auto"/>
              </w:rPr>
            </w:pPr>
            <w:r>
              <w:rPr>
                <w:rFonts w:ascii="Arial" w:cs="Arial" w:eastAsia="Arial" w:hAnsi="Arial"/>
                <w:sz w:val="15"/>
                <w:szCs w:val="15"/>
                <w:color w:val="auto"/>
                <w:w w:val="90"/>
              </w:rPr>
              <w:t>Changes in the carrying amount of goodwill for the years ended December 31, 2013 and 2012 are as follows (in thousands):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1"/>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Canadian</w:t>
            </w: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Australian</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U.S.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r>
      <w:tr>
        <w:trPr>
          <w:trHeight w:val="167"/>
        </w:trPr>
        <w:tc>
          <w:tcPr>
            <w:tcW w:w="60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Balance as of December 31, 2011</w:t>
            </w:r>
          </w:p>
        </w:tc>
        <w:tc>
          <w:tcPr>
            <w:tcW w:w="18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50,885</w:t>
            </w: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7"/>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223,805</w:t>
            </w:r>
          </w:p>
        </w:tc>
        <w:tc>
          <w:tcPr>
            <w:tcW w:w="2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67"/>
              <w:spacing w:after="0" w:line="167"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87"/>
              </w:rPr>
              <w:t>16,632</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291,322</w:t>
            </w:r>
          </w:p>
        </w:tc>
        <w:tc>
          <w:tcPr>
            <w:tcW w:w="100" w:type="dxa"/>
            <w:vAlign w:val="bottom"/>
            <w:shd w:val="clear" w:color="auto" w:fill="CCEEFF"/>
          </w:tcPr>
          <w:p>
            <w:pPr>
              <w:spacing w:after="0"/>
              <w:rPr>
                <w:sz w:val="14"/>
                <w:szCs w:val="14"/>
                <w:color w:val="auto"/>
              </w:rPr>
            </w:pPr>
          </w:p>
        </w:tc>
      </w:tr>
      <w:tr>
        <w:trPr>
          <w:trHeight w:val="175"/>
        </w:trPr>
        <w:tc>
          <w:tcPr>
            <w:tcW w:w="6080" w:type="dxa"/>
            <w:vAlign w:val="bottom"/>
          </w:tcPr>
          <w:p>
            <w:pPr>
              <w:spacing w:after="0"/>
              <w:rPr>
                <w:sz w:val="20"/>
                <w:szCs w:val="20"/>
                <w:color w:val="auto"/>
              </w:rPr>
            </w:pPr>
            <w:r>
              <w:rPr>
                <w:rFonts w:ascii="Arial" w:cs="Arial" w:eastAsia="Arial" w:hAnsi="Arial"/>
                <w:sz w:val="15"/>
                <w:szCs w:val="15"/>
                <w:color w:val="auto"/>
              </w:rPr>
              <w:t>Foreign currency translation and other changes</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3,101</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3,810</w:t>
            </w:r>
          </w:p>
        </w:tc>
      </w:tr>
      <w:tr>
        <w:trPr>
          <w:trHeight w:val="166"/>
        </w:trPr>
        <w:tc>
          <w:tcPr>
            <w:tcW w:w="6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Balance as of December 31, 2012</w:t>
            </w: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51,594</w:t>
            </w: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226,906</w:t>
            </w:r>
          </w:p>
        </w:tc>
        <w:tc>
          <w:tcPr>
            <w:tcW w:w="2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87"/>
              </w:rPr>
              <w:t>16,632</w:t>
            </w: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295,132</w:t>
            </w:r>
          </w:p>
        </w:tc>
        <w:tc>
          <w:tcPr>
            <w:tcW w:w="100" w:type="dxa"/>
            <w:vAlign w:val="bottom"/>
            <w:shd w:val="clear" w:color="auto" w:fill="CCEEFF"/>
          </w:tcPr>
          <w:p>
            <w:pPr>
              <w:spacing w:after="0"/>
              <w:rPr>
                <w:sz w:val="14"/>
                <w:szCs w:val="14"/>
                <w:color w:val="auto"/>
              </w:rPr>
            </w:pPr>
          </w:p>
        </w:tc>
      </w:tr>
      <w:tr>
        <w:trPr>
          <w:trHeight w:val="175"/>
        </w:trPr>
        <w:tc>
          <w:tcPr>
            <w:tcW w:w="6080" w:type="dxa"/>
            <w:vAlign w:val="bottom"/>
          </w:tcPr>
          <w:p>
            <w:pPr>
              <w:spacing w:after="0"/>
              <w:rPr>
                <w:sz w:val="20"/>
                <w:szCs w:val="20"/>
                <w:color w:val="auto"/>
              </w:rPr>
            </w:pPr>
            <w:r>
              <w:rPr>
                <w:rFonts w:ascii="Arial" w:cs="Arial" w:eastAsia="Arial" w:hAnsi="Arial"/>
                <w:sz w:val="15"/>
                <w:szCs w:val="15"/>
                <w:color w:val="auto"/>
              </w:rPr>
              <w:t>Foreign currency translation and other changes</w:t>
            </w:r>
          </w:p>
        </w:tc>
        <w:tc>
          <w:tcPr>
            <w:tcW w:w="1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(2,109)</w:t>
            </w:r>
          </w:p>
        </w:tc>
        <w:tc>
          <w:tcPr>
            <w:tcW w:w="16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(31,967)</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(34,076)</w:t>
            </w:r>
          </w:p>
        </w:tc>
      </w:tr>
      <w:tr>
        <w:trPr>
          <w:trHeight w:val="206"/>
        </w:trPr>
        <w:tc>
          <w:tcPr>
            <w:tcW w:w="60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Balance as of December 31, 2013</w:t>
            </w:r>
          </w:p>
        </w:tc>
        <w:tc>
          <w:tcPr>
            <w:tcW w:w="180" w:type="dxa"/>
            <w:vAlign w:val="bottom"/>
            <w:tcBorders>
              <w:top w:val="single" w:sz="8" w:color="auto"/>
              <w:bottom w:val="single" w:sz="8" w:color="auto"/>
            </w:tcBorders>
            <w:shd w:val="clear" w:color="auto" w:fill="CCEEFF"/>
          </w:tcPr>
          <w:p>
            <w:pPr>
              <w:jc w:val="right"/>
              <w:ind w:right="27"/>
              <w:spacing w:after="0" w:line="166"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49,485</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194,939</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67"/>
              <w:spacing w:after="0" w:line="166"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87"/>
              </w:rPr>
              <w:t>16,632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261,056</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total amount of intangibles assigned and the total accumulated amortization for major intangible asset classes as of December 31, 2013 and 2012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7"/>
              <w:spacing w:after="0" w:line="167" w:lineRule="exact"/>
              <w:rPr>
                <w:sz w:val="20"/>
                <w:szCs w:val="20"/>
                <w:color w:val="auto"/>
              </w:rPr>
            </w:pPr>
            <w:r>
              <w:rPr>
                <w:rFonts w:ascii="Arial" w:cs="Arial" w:eastAsia="Arial" w:hAnsi="Arial"/>
                <w:sz w:val="15"/>
                <w:szCs w:val="15"/>
                <w:b w:val="1"/>
                <w:bCs w:val="1"/>
                <w:color w:val="auto"/>
              </w:rPr>
              <w:t>2013</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
              <w:spacing w:after="0" w:line="167" w:lineRule="exact"/>
              <w:rPr>
                <w:sz w:val="20"/>
                <w:szCs w:val="20"/>
                <w:color w:val="auto"/>
              </w:rPr>
            </w:pPr>
            <w:r>
              <w:rPr>
                <w:rFonts w:ascii="Arial" w:cs="Arial" w:eastAsia="Arial" w:hAnsi="Arial"/>
                <w:sz w:val="15"/>
                <w:szCs w:val="15"/>
                <w:b w:val="1"/>
                <w:bCs w:val="1"/>
                <w:color w:val="auto"/>
              </w:rPr>
              <w:t>2012</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Arial" w:cs="Arial" w:eastAsia="Arial" w:hAnsi="Arial"/>
                <w:sz w:val="15"/>
                <w:szCs w:val="15"/>
                <w:b w:val="1"/>
                <w:bCs w:val="1"/>
                <w:color w:val="auto"/>
                <w:w w:val="87"/>
              </w:rPr>
              <w:t>Gross Carrying</w:t>
            </w:r>
          </w:p>
        </w:tc>
        <w:tc>
          <w:tcPr>
            <w:tcW w:w="120" w:type="dxa"/>
            <w:vAlign w:val="bottom"/>
          </w:tcPr>
          <w:p>
            <w:pPr>
              <w:spacing w:after="0"/>
              <w:rPr>
                <w:sz w:val="13"/>
                <w:szCs w:val="13"/>
                <w:color w:val="auto"/>
              </w:rPr>
            </w:pPr>
          </w:p>
        </w:tc>
        <w:tc>
          <w:tcPr>
            <w:tcW w:w="1040" w:type="dxa"/>
            <w:vAlign w:val="bottom"/>
          </w:tcPr>
          <w:p>
            <w:pPr>
              <w:jc w:val="right"/>
              <w:ind w:right="87"/>
              <w:spacing w:after="0" w:line="151" w:lineRule="exact"/>
              <w:rPr>
                <w:sz w:val="20"/>
                <w:szCs w:val="20"/>
                <w:color w:val="auto"/>
              </w:rPr>
            </w:pPr>
            <w:r>
              <w:rPr>
                <w:rFonts w:ascii="Arial" w:cs="Arial" w:eastAsia="Arial" w:hAnsi="Arial"/>
                <w:sz w:val="15"/>
                <w:szCs w:val="15"/>
                <w:b w:val="1"/>
                <w:bCs w:val="1"/>
                <w:color w:val="auto"/>
                <w:w w:val="91"/>
              </w:rPr>
              <w:t>Accumulated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89"/>
              </w:rPr>
              <w:t>Gross Carrying</w:t>
            </w:r>
          </w:p>
        </w:tc>
        <w:tc>
          <w:tcPr>
            <w:tcW w:w="100" w:type="dxa"/>
            <w:vAlign w:val="bottom"/>
          </w:tcPr>
          <w:p>
            <w:pPr>
              <w:spacing w:after="0"/>
              <w:rPr>
                <w:sz w:val="13"/>
                <w:szCs w:val="13"/>
                <w:color w:val="auto"/>
              </w:rPr>
            </w:pPr>
          </w:p>
        </w:tc>
        <w:tc>
          <w:tcPr>
            <w:tcW w:w="1040" w:type="dxa"/>
            <w:vAlign w:val="bottom"/>
          </w:tcPr>
          <w:p>
            <w:pPr>
              <w:jc w:val="right"/>
              <w:ind w:right="87"/>
              <w:spacing w:after="0" w:line="151" w:lineRule="exact"/>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80" w:type="dxa"/>
            <w:vAlign w:val="bottom"/>
            <w:gridSpan w:val="4"/>
          </w:tcPr>
          <w:p>
            <w:pPr>
              <w:spacing w:after="0"/>
              <w:rPr>
                <w:sz w:val="20"/>
                <w:szCs w:val="20"/>
                <w:color w:val="auto"/>
              </w:rPr>
            </w:pPr>
            <w:r>
              <w:rPr>
                <w:rFonts w:ascii="Arial" w:cs="Arial" w:eastAsia="Arial" w:hAnsi="Arial"/>
                <w:sz w:val="15"/>
                <w:szCs w:val="15"/>
                <w:b w:val="1"/>
                <w:bCs w:val="1"/>
                <w:color w:val="auto"/>
              </w:rPr>
              <w:t>Other Intangible Assets</w:t>
            </w:r>
          </w:p>
        </w:tc>
        <w:tc>
          <w:tcPr>
            <w:tcW w:w="8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Amount</w:t>
            </w:r>
          </w:p>
        </w:tc>
        <w:tc>
          <w:tcPr>
            <w:tcW w:w="12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Amortization</w:t>
            </w:r>
          </w:p>
        </w:tc>
        <w:tc>
          <w:tcPr>
            <w:tcW w:w="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Amortization</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7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w w:val="87"/>
              </w:rPr>
              <w:t>Amortizable intangible assets:</w:t>
            </w:r>
          </w:p>
        </w:tc>
        <w:tc>
          <w:tcPr>
            <w:tcW w:w="430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gridSpan w:val="3"/>
          </w:tcPr>
          <w:p>
            <w:pPr>
              <w:ind w:left="140"/>
              <w:spacing w:after="0"/>
              <w:rPr>
                <w:sz w:val="20"/>
                <w:szCs w:val="20"/>
                <w:color w:val="auto"/>
              </w:rPr>
            </w:pPr>
            <w:r>
              <w:rPr>
                <w:rFonts w:ascii="Arial" w:cs="Arial" w:eastAsia="Arial" w:hAnsi="Arial"/>
                <w:sz w:val="15"/>
                <w:szCs w:val="15"/>
                <w:color w:val="auto"/>
              </w:rPr>
              <w:t>Customer relationships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50,980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14,875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57,494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11,191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Contracts/Agreements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43,836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13,151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51,025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gridSpan w:val="3"/>
          </w:tcPr>
          <w:p>
            <w:pPr>
              <w:ind w:left="140"/>
              <w:spacing w:after="0"/>
              <w:rPr>
                <w:sz w:val="20"/>
                <w:szCs w:val="20"/>
                <w:color w:val="auto"/>
              </w:rPr>
            </w:pPr>
            <w:r>
              <w:rPr>
                <w:rFonts w:ascii="Arial" w:cs="Arial" w:eastAsia="Arial" w:hAnsi="Arial"/>
                <w:sz w:val="15"/>
                <w:szCs w:val="15"/>
                <w:color w:val="auto"/>
              </w:rPr>
              <w:t>Noncompete agreements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539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gridSpan w:val="3"/>
            <w:shd w:val="clear" w:color="auto" w:fill="CCEEFF"/>
          </w:tcPr>
          <w:p>
            <w:pPr>
              <w:ind w:left="300"/>
              <w:spacing w:after="0" w:line="166" w:lineRule="exact"/>
              <w:rPr>
                <w:sz w:val="20"/>
                <w:szCs w:val="20"/>
                <w:color w:val="auto"/>
              </w:rPr>
            </w:pPr>
            <w:r>
              <w:rPr>
                <w:rFonts w:ascii="Arial" w:cs="Arial" w:eastAsia="Arial" w:hAnsi="Arial"/>
                <w:sz w:val="15"/>
                <w:szCs w:val="15"/>
                <w:color w:val="auto"/>
              </w:rPr>
              <w:t>Total amortizable intangible assets</w:t>
            </w:r>
          </w:p>
        </w:tc>
        <w:tc>
          <w:tcPr>
            <w:tcW w:w="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95,633</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28,565</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109,343</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21,793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060" w:type="dxa"/>
            <w:vAlign w:val="bottom"/>
            <w:gridSpan w:val="3"/>
            <w:shd w:val="clear" w:color="auto" w:fill="CCEEFF"/>
          </w:tcPr>
          <w:p>
            <w:pPr>
              <w:spacing w:after="0" w:line="142" w:lineRule="exact"/>
              <w:rPr>
                <w:sz w:val="20"/>
                <w:szCs w:val="20"/>
                <w:color w:val="auto"/>
              </w:rPr>
            </w:pPr>
            <w:r>
              <w:rPr>
                <w:rFonts w:ascii="Arial" w:cs="Arial" w:eastAsia="Arial" w:hAnsi="Arial"/>
                <w:sz w:val="15"/>
                <w:szCs w:val="15"/>
                <w:color w:val="auto"/>
              </w:rPr>
              <w:t>Indefinite-lived intangible assets not subject to amortization:</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color w:val="auto"/>
              </w:rPr>
              <w:t>Brand names</w:t>
            </w:r>
          </w:p>
        </w:tc>
        <w:tc>
          <w:tcPr>
            <w:tcW w:w="2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8,570</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5"/>
                <w:szCs w:val="15"/>
                <w:color w:val="auto"/>
              </w:rPr>
              <w:t>9,976</w:t>
            </w: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Licenses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gridSpan w:val="3"/>
          </w:tcPr>
          <w:p>
            <w:pPr>
              <w:ind w:left="300"/>
              <w:spacing w:after="0" w:line="166" w:lineRule="exact"/>
              <w:rPr>
                <w:sz w:val="20"/>
                <w:szCs w:val="20"/>
                <w:color w:val="auto"/>
              </w:rPr>
            </w:pPr>
            <w:r>
              <w:rPr>
                <w:rFonts w:ascii="Arial" w:cs="Arial" w:eastAsia="Arial" w:hAnsi="Arial"/>
                <w:sz w:val="15"/>
                <w:szCs w:val="15"/>
                <w:color w:val="auto"/>
              </w:rPr>
              <w:t>Total indefinite-lived intangible assets</w:t>
            </w:r>
          </w:p>
        </w:tc>
        <w:tc>
          <w:tcPr>
            <w:tcW w:w="80" w:type="dxa"/>
            <w:vAlign w:val="bottom"/>
          </w:tcPr>
          <w:p>
            <w:pPr>
              <w:spacing w:after="0"/>
              <w:rPr>
                <w:sz w:val="14"/>
                <w:szCs w:val="14"/>
                <w:color w:val="auto"/>
              </w:rPr>
            </w:pP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8,607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10,019</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tcBorders>
              <w:bottom w:val="single" w:sz="8" w:color="CCEEFF"/>
            </w:tcBorders>
            <w:gridSpan w:val="3"/>
            <w:shd w:val="clear" w:color="auto" w:fill="CCEEFF"/>
          </w:tcPr>
          <w:p>
            <w:pPr>
              <w:ind w:left="460"/>
              <w:spacing w:after="0" w:line="166" w:lineRule="exact"/>
              <w:rPr>
                <w:sz w:val="20"/>
                <w:szCs w:val="20"/>
                <w:color w:val="auto"/>
              </w:rPr>
            </w:pPr>
            <w:r>
              <w:rPr>
                <w:rFonts w:ascii="Arial" w:cs="Arial" w:eastAsia="Arial" w:hAnsi="Arial"/>
                <w:sz w:val="15"/>
                <w:szCs w:val="15"/>
                <w:color w:val="auto"/>
              </w:rPr>
              <w:t>Total other intangible assets</w:t>
            </w:r>
          </w:p>
        </w:tc>
        <w:tc>
          <w:tcPr>
            <w:tcW w:w="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104,240</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28,565</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119,362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21,793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60"/>
        <w:spacing w:after="0" w:line="251" w:lineRule="auto"/>
        <w:rPr>
          <w:sz w:val="20"/>
          <w:szCs w:val="20"/>
          <w:color w:val="auto"/>
        </w:rPr>
      </w:pPr>
      <w:r>
        <w:rPr>
          <w:rFonts w:ascii="Arial" w:cs="Arial" w:eastAsia="Arial" w:hAnsi="Arial"/>
          <w:sz w:val="15"/>
          <w:szCs w:val="15"/>
          <w:color w:val="auto"/>
        </w:rPr>
        <w:t>The weighted average remaining amortization period for all intangible assets, other than goodwill and indefinite- lived intangibles, was 6.3 years as of December 31, 2013 and 7.3 years as of December 31, 2012. Total amortization expense is expected to be $9.5 million in each of 2014 and 2015, $9.4 million in 2016 and $9.3 million in each of 2017 and 2018. Amortization expense was $10.2 million, $10.9 million and $10.8 million in the years ended December 31, 2013, 2012 and 2011,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378" w:name="page379"/>
    <w:bookmarkEnd w:id="378"/>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gridSpan w:val="3"/>
          </w:tcPr>
          <w:p>
            <w:pPr>
              <w:spacing w:after="0"/>
              <w:rPr>
                <w:sz w:val="20"/>
                <w:szCs w:val="20"/>
                <w:color w:val="auto"/>
              </w:rPr>
            </w:pPr>
            <w:r>
              <w:rPr>
                <w:rFonts w:ascii="Arial" w:cs="Arial" w:eastAsia="Arial" w:hAnsi="Arial"/>
                <w:sz w:val="15"/>
                <w:szCs w:val="15"/>
                <w:b w:val="1"/>
                <w:bCs w:val="1"/>
                <w:color w:val="auto"/>
              </w:rPr>
              <w:t>8.   Long-term Debt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8020" w:type="dxa"/>
            <w:vAlign w:val="bottom"/>
            <w:gridSpan w:val="3"/>
          </w:tcPr>
          <w:p>
            <w:pPr>
              <w:spacing w:after="0"/>
              <w:rPr>
                <w:sz w:val="20"/>
                <w:szCs w:val="20"/>
                <w:color w:val="auto"/>
              </w:rPr>
            </w:pPr>
            <w:r>
              <w:rPr>
                <w:rFonts w:ascii="Arial" w:cs="Arial" w:eastAsia="Arial" w:hAnsi="Arial"/>
                <w:sz w:val="15"/>
                <w:szCs w:val="15"/>
                <w:color w:val="auto"/>
              </w:rPr>
              <w:t>As of December 31, 2013 and 2012, long-term debt consisted of the following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2013</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00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w w:val="91"/>
              </w:rPr>
              <w:t>Canadian revolving credit facility, which matures on December 10, 2015, with available commitments up to $250 million; secured by</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89"/>
              </w:rPr>
              <w:t>substantially all of Oil States’ and our U.S. and Canadian assets; commitment fee on unused portion was 0.375% per annum in 2013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4"/>
              </w:rPr>
              <w:t>and 2012; variable interest rate payable monthly based on the Canadian prime rate or Bankers Acceptance discount rate plus</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applicable percentage; no borrowings were outstanding during 2013; weighted average rate was 4.3% for 2012</w:t>
            </w:r>
          </w:p>
        </w:tc>
        <w:tc>
          <w:tcPr>
            <w:tcW w:w="46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00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w w:val="90"/>
              </w:rPr>
              <w:t>Canadian term loan, which was repaid in full in 2013, original principal of $100 million; weighted average rate was 3.3% for 2013 and</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3.4% for 2012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85,786</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00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w w:val="92"/>
              </w:rPr>
              <w:t>Australian revolving credit facility, which matures December 10, 2015, with available commitments up to A$300 million; secured by</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2"/>
              </w:rPr>
              <w:t>substantially all of our Australian assets; commitment fee on unused portion was 0.375% per annum in 2013 and 2012; variable</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1"/>
              </w:rPr>
              <w:t>interest rate payable monthly based on the Australian prime rate plus applicable percentage; weighted average rate was 5.1% for</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2013 and 5.4% for 2012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47,803</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Affiliate debt with Oil States</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335,171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358,316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5"/>
                <w:szCs w:val="15"/>
                <w:color w:val="auto"/>
              </w:rPr>
              <w:t>Total debt</w:t>
            </w:r>
          </w:p>
        </w:tc>
        <w:tc>
          <w:tcPr>
            <w:tcW w:w="1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335,171</w:t>
            </w:r>
          </w:p>
        </w:tc>
        <w:tc>
          <w:tcPr>
            <w:tcW w:w="24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491,905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gridSpan w:val="3"/>
          </w:tcPr>
          <w:p>
            <w:pPr>
              <w:spacing w:after="0"/>
              <w:rPr>
                <w:sz w:val="20"/>
                <w:szCs w:val="20"/>
                <w:color w:val="auto"/>
              </w:rPr>
            </w:pPr>
            <w:r>
              <w:rPr>
                <w:rFonts w:ascii="Arial" w:cs="Arial" w:eastAsia="Arial" w:hAnsi="Arial"/>
                <w:sz w:val="15"/>
                <w:szCs w:val="15"/>
                <w:color w:val="auto"/>
              </w:rPr>
              <w:t>Less: Current portion</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5"/>
                <w:szCs w:val="15"/>
                <w:color w:val="auto"/>
              </w:rPr>
              <w:t>10,092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0" w:type="dxa"/>
            <w:vAlign w:val="bottom"/>
            <w:tcBorders>
              <w:bottom w:val="single" w:sz="8" w:color="CCEEFF"/>
            </w:tcBorders>
            <w:gridSpan w:val="2"/>
            <w:shd w:val="clear" w:color="auto" w:fill="CCEEFF"/>
          </w:tcPr>
          <w:p>
            <w:pPr>
              <w:ind w:left="140"/>
              <w:spacing w:after="0" w:line="166" w:lineRule="exact"/>
              <w:rPr>
                <w:sz w:val="20"/>
                <w:szCs w:val="20"/>
                <w:color w:val="auto"/>
              </w:rPr>
            </w:pPr>
            <w:r>
              <w:rPr>
                <w:rFonts w:ascii="Arial" w:cs="Arial" w:eastAsia="Arial" w:hAnsi="Arial"/>
                <w:sz w:val="15"/>
                <w:szCs w:val="15"/>
                <w:color w:val="auto"/>
              </w:rPr>
              <w:t>Total long-term debt</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335,171</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481,813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8020" w:type="dxa"/>
            <w:vAlign w:val="bottom"/>
            <w:gridSpan w:val="3"/>
          </w:tcPr>
          <w:p>
            <w:pPr>
              <w:spacing w:after="0"/>
              <w:rPr>
                <w:sz w:val="20"/>
                <w:szCs w:val="20"/>
                <w:color w:val="auto"/>
              </w:rPr>
            </w:pPr>
            <w:r>
              <w:rPr>
                <w:rFonts w:ascii="Arial" w:cs="Arial" w:eastAsia="Arial" w:hAnsi="Arial"/>
                <w:sz w:val="15"/>
                <w:szCs w:val="15"/>
                <w:color w:val="auto"/>
              </w:rPr>
              <w:t>Scheduled maturities of combined long-term debt as of December 31, 2013, are as follows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0" w:type="dxa"/>
            <w:vAlign w:val="bottom"/>
            <w:gridSpan w:val="2"/>
            <w:vMerge w:val="restart"/>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gridSpan w:val="2"/>
            <w:vMerge w:val="continue"/>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2015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2017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Thereafter</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335,171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line="166" w:lineRule="exact"/>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335,171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Credit Facilities</w:t>
      </w:r>
    </w:p>
    <w:p>
      <w:pPr>
        <w:spacing w:after="0" w:line="177" w:lineRule="exact"/>
        <w:rPr>
          <w:sz w:val="20"/>
          <w:szCs w:val="20"/>
          <w:color w:val="auto"/>
        </w:rPr>
      </w:pPr>
    </w:p>
    <w:p>
      <w:pPr>
        <w:ind w:right="320"/>
        <w:spacing w:after="0" w:line="248" w:lineRule="auto"/>
        <w:rPr>
          <w:sz w:val="20"/>
          <w:szCs w:val="20"/>
          <w:color w:val="auto"/>
        </w:rPr>
      </w:pPr>
      <w:r>
        <w:rPr>
          <w:rFonts w:ascii="Arial" w:cs="Arial" w:eastAsia="Arial" w:hAnsi="Arial"/>
          <w:sz w:val="15"/>
          <w:szCs w:val="15"/>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7" w:right="219" w:bottom="1440" w:gutter="0" w:footer="0" w:header="0"/>
        </w:sectPr>
      </w:pPr>
    </w:p>
    <w:bookmarkStart w:id="379" w:name="page380"/>
    <w:bookmarkEnd w:id="379"/>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5"/>
          <w:szCs w:val="15"/>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2013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166" w:lineRule="exact"/>
        <w:rPr>
          <w:sz w:val="20"/>
          <w:szCs w:val="20"/>
          <w:color w:val="auto"/>
        </w:rPr>
      </w:pPr>
    </w:p>
    <w:p>
      <w:pPr>
        <w:ind w:left="260" w:hanging="253"/>
        <w:spacing w:after="0"/>
        <w:tabs>
          <w:tab w:leader="none" w:pos="26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a variable rate equal to LIBOR (or, in the case of Canadian dollar denominated loans, the Bankers’ Acceptance discount rate) plus a margin ranging from 2.0% to 3.0%; or</w:t>
      </w:r>
    </w:p>
    <w:p>
      <w:pPr>
        <w:spacing w:after="0" w:line="188" w:lineRule="exact"/>
        <w:rPr>
          <w:rFonts w:ascii="Arial" w:cs="Arial" w:eastAsia="Arial" w:hAnsi="Arial"/>
          <w:sz w:val="14"/>
          <w:szCs w:val="14"/>
          <w:color w:val="auto"/>
        </w:rPr>
      </w:pPr>
    </w:p>
    <w:p>
      <w:pPr>
        <w:ind w:right="620" w:firstLine="7"/>
        <w:spacing w:after="0" w:line="521" w:lineRule="auto"/>
        <w:tabs>
          <w:tab w:leader="none" w:pos="262" w:val="left"/>
        </w:tabs>
        <w:numPr>
          <w:ilvl w:val="0"/>
          <w:numId w:val="336"/>
        </w:numPr>
        <w:rPr>
          <w:rFonts w:ascii="Arial" w:cs="Arial" w:eastAsia="Arial" w:hAnsi="Arial"/>
          <w:sz w:val="14"/>
          <w:szCs w:val="14"/>
          <w:color w:val="auto"/>
        </w:rPr>
      </w:pPr>
      <w:r>
        <w:rPr>
          <w:rFonts w:ascii="Arial" w:cs="Arial" w:eastAsia="Arial" w:hAnsi="Arial"/>
          <w:sz w:val="14"/>
          <w:szCs w:val="14"/>
          <w:color w:val="auto"/>
        </w:rPr>
        <w:t>an alternate base rate equal to the higher of the bank’s prime rate and the federal funds effective rate (or, in the case of Canadian dollar denominated loans, the Canadian Prime Rate). Commitment fees ranging from 0.375% to 0.50% per year are paid on the undrawn portion of the facilities, depending upon our leverage ratio.</w:t>
      </w:r>
    </w:p>
    <w:p>
      <w:pPr>
        <w:spacing w:after="0" w:line="277" w:lineRule="auto"/>
        <w:rPr>
          <w:sz w:val="20"/>
          <w:szCs w:val="20"/>
          <w:color w:val="auto"/>
        </w:rPr>
      </w:pPr>
      <w:r>
        <w:rPr>
          <w:rFonts w:ascii="Arial" w:cs="Arial" w:eastAsia="Arial" w:hAnsi="Arial"/>
          <w:sz w:val="14"/>
          <w:szCs w:val="14"/>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142"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The Oil States Credit Agreement contains customary financial covenants and restrictions applicable to Oil States. As of December 31, 2013,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5"/>
          <w:szCs w:val="15"/>
          <w:color w:val="auto"/>
        </w:rPr>
        <w:t>As of December 31, 2013, we had no outstanding balance under these facilities and an additional $4.9 million of outstanding letters of credit, leaving $249.1 million available to be drawn under the facilities by Accommodations.</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On September 18, 2012, Accommodations’ Australian accommodations subsidiary, The MAC Services Group Pty Limited (The MAC), entered into a A$300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2013, we were in compliance with our Australian debt covenants. As of December 31, 2013, we had no outstanding balance under the Australian credit facility leaving A$300 million available to be drawn under this facility.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Affiliate Debt with Oil States</w:t>
      </w:r>
    </w:p>
    <w:p>
      <w:pPr>
        <w:spacing w:after="0" w:line="177"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0" w:name="page381"/>
    <w:bookmarkEnd w:id="380"/>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p>
      <w:pPr>
        <w:ind w:left="300" w:hanging="293"/>
        <w:spacing w:after="0"/>
        <w:tabs>
          <w:tab w:leader="none" w:pos="300" w:val="left"/>
        </w:tabs>
        <w:numPr>
          <w:ilvl w:val="0"/>
          <w:numId w:val="337"/>
        </w:numPr>
        <w:rPr>
          <w:rFonts w:ascii="Arial" w:cs="Arial" w:eastAsia="Arial" w:hAnsi="Arial"/>
          <w:sz w:val="15"/>
          <w:szCs w:val="15"/>
          <w:b w:val="1"/>
          <w:bCs w:val="1"/>
          <w:color w:val="auto"/>
        </w:rPr>
      </w:pPr>
      <w:r>
        <w:rPr>
          <w:rFonts w:ascii="Arial" w:cs="Arial" w:eastAsia="Arial" w:hAnsi="Arial"/>
          <w:sz w:val="15"/>
          <w:szCs w:val="15"/>
          <w:b w:val="1"/>
          <w:bCs w:val="1"/>
          <w:color w:val="auto"/>
        </w:rPr>
        <w:t>Retirement Plans</w:t>
      </w:r>
    </w:p>
    <w:p>
      <w:pPr>
        <w:spacing w:after="0" w:line="181" w:lineRule="exact"/>
        <w:rPr>
          <w:sz w:val="20"/>
          <w:szCs w:val="20"/>
          <w:color w:val="auto"/>
        </w:rPr>
      </w:pPr>
    </w:p>
    <w:p>
      <w:pPr>
        <w:ind w:right="100"/>
        <w:spacing w:after="0" w:line="383" w:lineRule="auto"/>
        <w:rPr>
          <w:sz w:val="20"/>
          <w:szCs w:val="20"/>
          <w:color w:val="auto"/>
        </w:rPr>
      </w:pPr>
      <w:r>
        <w:rPr>
          <w:rFonts w:ascii="Arial" w:cs="Arial" w:eastAsia="Arial" w:hAnsi="Arial"/>
          <w:sz w:val="12"/>
          <w:szCs w:val="12"/>
          <w:color w:val="auto"/>
        </w:rPr>
        <w:t>Accommodations sponsors defined contribution plans. Participation in these plans is available to substantially all employees. Accommodations recognized expense of $18.6 million, $17.0 million and $11.5 million, respectively, related to matching contributions under its various defined contribution plans during the years ended December 31, 2013, 2012 and 2011, respectively.</w:t>
      </w:r>
    </w:p>
    <w:p>
      <w:pPr>
        <w:spacing w:after="0" w:line="80" w:lineRule="exact"/>
        <w:rPr>
          <w:sz w:val="20"/>
          <w:szCs w:val="20"/>
          <w:color w:val="auto"/>
        </w:rPr>
      </w:pPr>
    </w:p>
    <w:p>
      <w:pPr>
        <w:ind w:left="380" w:hanging="373"/>
        <w:spacing w:after="0"/>
        <w:tabs>
          <w:tab w:leader="none" w:pos="380"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Pre-tax income (loss) for the years ended December 31, 2013, 2012 and 2011 consisted of the following (in thousands):</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50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2013</w:t>
            </w:r>
          </w:p>
        </w:tc>
        <w:tc>
          <w:tcPr>
            <w:tcW w:w="560" w:type="dxa"/>
            <w:vAlign w:val="bottom"/>
          </w:tcPr>
          <w:p>
            <w:pPr>
              <w:spacing w:after="0"/>
              <w:rPr>
                <w:sz w:val="16"/>
                <w:szCs w:val="16"/>
                <w:color w:val="auto"/>
              </w:rPr>
            </w:pPr>
          </w:p>
        </w:tc>
        <w:tc>
          <w:tcPr>
            <w:tcW w:w="116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2012</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6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r>
      <w:tr>
        <w:trPr>
          <w:trHeight w:val="167"/>
        </w:trPr>
        <w:tc>
          <w:tcPr>
            <w:tcW w:w="25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US operations</w:t>
            </w:r>
          </w:p>
        </w:tc>
        <w:tc>
          <w:tcPr>
            <w:tcW w:w="148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(2,054)</w:t>
            </w:r>
          </w:p>
        </w:tc>
        <w:tc>
          <w:tcPr>
            <w:tcW w:w="16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4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29,894</w:t>
            </w:r>
          </w:p>
        </w:tc>
        <w:tc>
          <w:tcPr>
            <w:tcW w:w="1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17,570</w:t>
            </w:r>
          </w:p>
        </w:tc>
        <w:tc>
          <w:tcPr>
            <w:tcW w:w="100" w:type="dxa"/>
            <w:vAlign w:val="bottom"/>
            <w:shd w:val="clear" w:color="auto" w:fill="CCEEFF"/>
          </w:tcPr>
          <w:p>
            <w:pPr>
              <w:spacing w:after="0"/>
              <w:rPr>
                <w:sz w:val="14"/>
                <w:szCs w:val="14"/>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5"/>
                <w:szCs w:val="15"/>
                <w:color w:val="auto"/>
              </w:rPr>
              <w:t>Foreign operations</w:t>
            </w:r>
          </w:p>
        </w:tc>
        <w:tc>
          <w:tcPr>
            <w:tcW w:w="14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241,422</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300,314</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206,971</w:t>
            </w:r>
          </w:p>
        </w:tc>
        <w:tc>
          <w:tcPr>
            <w:tcW w:w="100" w:type="dxa"/>
            <w:vAlign w:val="bottom"/>
          </w:tcPr>
          <w:p>
            <w:pPr>
              <w:spacing w:after="0"/>
              <w:rPr>
                <w:sz w:val="15"/>
                <w:szCs w:val="15"/>
                <w:color w:val="auto"/>
              </w:rPr>
            </w:pPr>
          </w:p>
        </w:tc>
      </w:tr>
      <w:tr>
        <w:trPr>
          <w:trHeight w:val="206"/>
        </w:trPr>
        <w:tc>
          <w:tcPr>
            <w:tcW w:w="2560" w:type="dxa"/>
            <w:vAlign w:val="bottom"/>
            <w:tcBorders>
              <w:bottom w:val="single" w:sz="8" w:color="CCEEFF"/>
            </w:tcBorders>
            <w:shd w:val="clear" w:color="auto" w:fill="CCEEFF"/>
          </w:tcPr>
          <w:p>
            <w:pPr>
              <w:ind w:left="120"/>
              <w:spacing w:after="0" w:line="166" w:lineRule="exact"/>
              <w:rPr>
                <w:sz w:val="20"/>
                <w:szCs w:val="20"/>
                <w:color w:val="auto"/>
              </w:rPr>
            </w:pPr>
            <w:r>
              <w:rPr>
                <w:rFonts w:ascii="Arial" w:cs="Arial" w:eastAsia="Arial" w:hAnsi="Arial"/>
                <w:sz w:val="15"/>
                <w:szCs w:val="15"/>
                <w:color w:val="auto"/>
              </w:rPr>
              <w:t>Total</w:t>
            </w:r>
          </w:p>
        </w:tc>
        <w:tc>
          <w:tcPr>
            <w:tcW w:w="1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239,368</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7"/>
              <w:spacing w:after="0" w:line="166"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330,208</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224,541</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income tax provision for the years ended December 31, 2013, 2012 and 2011 consisted of the following (in thousands):</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2013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7"/>
              <w:spacing w:after="0"/>
              <w:rPr>
                <w:sz w:val="20"/>
                <w:szCs w:val="20"/>
                <w:color w:val="auto"/>
              </w:rPr>
            </w:pPr>
            <w:r>
              <w:rPr>
                <w:rFonts w:ascii="Arial" w:cs="Arial" w:eastAsia="Arial" w:hAnsi="Arial"/>
                <w:sz w:val="15"/>
                <w:szCs w:val="15"/>
                <w:b w:val="1"/>
                <w:bCs w:val="1"/>
                <w:color w:val="auto"/>
              </w:rPr>
              <w:t>2012</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6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4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Current:</w:t>
            </w:r>
          </w:p>
        </w:tc>
        <w:tc>
          <w:tcPr>
            <w:tcW w:w="10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5"/>
                <w:szCs w:val="15"/>
                <w:color w:val="auto"/>
              </w:rPr>
              <w:t>Federal</w:t>
            </w:r>
          </w:p>
        </w:tc>
        <w:tc>
          <w:tcPr>
            <w:tcW w:w="1040" w:type="dxa"/>
            <w:vAlign w:val="bottom"/>
          </w:tcPr>
          <w:p>
            <w:pPr>
              <w:jc w:val="right"/>
              <w:ind w:right="925"/>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(7,525)</w:t>
            </w:r>
          </w:p>
        </w:tc>
        <w:tc>
          <w:tcPr>
            <w:tcW w:w="1100" w:type="dxa"/>
            <w:vAlign w:val="bottom"/>
            <w:gridSpan w:val="2"/>
          </w:tcPr>
          <w:p>
            <w:pPr>
              <w:jc w:val="right"/>
              <w:ind w:right="887"/>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8,495</w:t>
            </w:r>
          </w:p>
        </w:tc>
        <w:tc>
          <w:tcPr>
            <w:tcW w:w="520" w:type="dxa"/>
            <w:vAlign w:val="bottom"/>
            <w:gridSpan w:val="2"/>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2,750</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State</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5"/>
                <w:szCs w:val="15"/>
                <w:color w:val="auto"/>
              </w:rPr>
              <w:t>Foreign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61,261</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33,554</w:t>
            </w:r>
          </w:p>
        </w:tc>
        <w:tc>
          <w:tcPr>
            <w:tcW w:w="10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40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44,448</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87"/>
              <w:spacing w:after="0" w:line="16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70,454</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36,739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020" w:type="dxa"/>
            <w:vAlign w:val="bottom"/>
          </w:tcPr>
          <w:p>
            <w:pPr>
              <w:spacing w:after="0" w:line="166" w:lineRule="exact"/>
              <w:rPr>
                <w:sz w:val="20"/>
                <w:szCs w:val="20"/>
                <w:color w:val="auto"/>
              </w:rPr>
            </w:pPr>
            <w:r>
              <w:rPr>
                <w:rFonts w:ascii="Arial" w:cs="Arial" w:eastAsia="Arial" w:hAnsi="Arial"/>
                <w:sz w:val="15"/>
                <w:szCs w:val="15"/>
                <w:color w:val="auto"/>
              </w:rPr>
              <w:t>Deferred: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Federal</w:t>
            </w:r>
          </w:p>
        </w:tc>
        <w:tc>
          <w:tcPr>
            <w:tcW w:w="1040" w:type="dxa"/>
            <w:vAlign w:val="bottom"/>
            <w:shd w:val="clear" w:color="auto" w:fill="CCEEFF"/>
          </w:tcPr>
          <w:p>
            <w:pPr>
              <w:jc w:val="right"/>
              <w:ind w:right="92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6,787</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87"/>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4,262</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3,952</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5"/>
                <w:szCs w:val="15"/>
                <w:color w:val="auto"/>
              </w:rPr>
              <w:t>Foreign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9,550</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14,419</w:t>
            </w:r>
          </w:p>
        </w:tc>
        <w:tc>
          <w:tcPr>
            <w:tcW w:w="10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40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11,607</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87"/>
              <w:spacing w:after="0" w:line="16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13,812</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18,371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020" w:type="dxa"/>
            <w:vAlign w:val="bottom"/>
          </w:tcPr>
          <w:p>
            <w:pPr>
              <w:ind w:left="240"/>
              <w:spacing w:after="0" w:line="166" w:lineRule="exact"/>
              <w:rPr>
                <w:sz w:val="20"/>
                <w:szCs w:val="20"/>
                <w:color w:val="auto"/>
              </w:rPr>
            </w:pPr>
            <w:r>
              <w:rPr>
                <w:rFonts w:ascii="Arial" w:cs="Arial" w:eastAsia="Arial" w:hAnsi="Arial"/>
                <w:sz w:val="15"/>
                <w:szCs w:val="15"/>
                <w:color w:val="auto"/>
              </w:rPr>
              <w:t>Total Provision</w:t>
            </w:r>
          </w:p>
        </w:tc>
        <w:tc>
          <w:tcPr>
            <w:tcW w:w="1040" w:type="dxa"/>
            <w:vAlign w:val="bottom"/>
          </w:tcPr>
          <w:p>
            <w:pPr>
              <w:jc w:val="right"/>
              <w:ind w:right="92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66" w:lineRule="exact"/>
              <w:rPr>
                <w:sz w:val="20"/>
                <w:szCs w:val="20"/>
                <w:color w:val="auto"/>
              </w:rPr>
            </w:pPr>
            <w:r>
              <w:rPr>
                <w:rFonts w:ascii="Arial" w:cs="Arial" w:eastAsia="Arial" w:hAnsi="Arial"/>
                <w:sz w:val="15"/>
                <w:szCs w:val="15"/>
                <w:color w:val="auto"/>
              </w:rPr>
              <w:t>56,055</w:t>
            </w:r>
          </w:p>
        </w:tc>
        <w:tc>
          <w:tcPr>
            <w:tcW w:w="100" w:type="dxa"/>
            <w:vAlign w:val="bottom"/>
          </w:tcPr>
          <w:p>
            <w:pPr>
              <w:spacing w:after="0"/>
              <w:rPr>
                <w:sz w:val="14"/>
                <w:szCs w:val="14"/>
                <w:color w:val="auto"/>
              </w:rPr>
            </w:pPr>
          </w:p>
        </w:tc>
        <w:tc>
          <w:tcPr>
            <w:tcW w:w="1100" w:type="dxa"/>
            <w:vAlign w:val="bottom"/>
            <w:gridSpan w:val="2"/>
          </w:tcPr>
          <w:p>
            <w:pPr>
              <w:jc w:val="right"/>
              <w:ind w:right="887"/>
              <w:spacing w:after="0" w:line="166"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6" w:lineRule="exact"/>
              <w:rPr>
                <w:sz w:val="20"/>
                <w:szCs w:val="20"/>
                <w:color w:val="auto"/>
              </w:rPr>
            </w:pPr>
            <w:r>
              <w:rPr>
                <w:rFonts w:ascii="Arial" w:cs="Arial" w:eastAsia="Arial" w:hAnsi="Arial"/>
                <w:sz w:val="15"/>
                <w:szCs w:val="15"/>
                <w:color w:val="auto"/>
              </w:rPr>
              <w:t>84,266</w:t>
            </w:r>
          </w:p>
        </w:tc>
        <w:tc>
          <w:tcPr>
            <w:tcW w:w="520" w:type="dxa"/>
            <w:vAlign w:val="bottom"/>
            <w:gridSpan w:val="2"/>
          </w:tcPr>
          <w:p>
            <w:pPr>
              <w:jc w:val="right"/>
              <w:ind w:right="228"/>
              <w:spacing w:after="0" w:line="166"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55,110</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The provision for taxes differs from an amount computed at U.S. statutory rates as follows for the years ended December 31, 2013, 2010 and 2011 consisted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12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2013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2012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7"/>
        </w:trPr>
        <w:tc>
          <w:tcPr>
            <w:tcW w:w="880" w:type="dxa"/>
            <w:vAlign w:val="bottom"/>
          </w:tcPr>
          <w:p>
            <w:pPr>
              <w:spacing w:after="0"/>
              <w:rPr>
                <w:sz w:val="14"/>
                <w:szCs w:val="14"/>
                <w:color w:val="auto"/>
              </w:rPr>
            </w:pPr>
          </w:p>
        </w:tc>
        <w:tc>
          <w:tcPr>
            <w:tcW w:w="34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Federal tax expense at statutory rates</w:t>
            </w:r>
          </w:p>
        </w:tc>
        <w:tc>
          <w:tcPr>
            <w:tcW w:w="110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83,778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95"/>
              </w:rPr>
              <w:t>115,571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7"/>
              <w:spacing w:after="0" w:line="167"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78,589</w:t>
            </w:r>
          </w:p>
        </w:tc>
        <w:tc>
          <w:tcPr>
            <w:tcW w:w="100" w:type="dxa"/>
            <w:vAlign w:val="bottom"/>
            <w:shd w:val="clear" w:color="auto" w:fill="CCEEFF"/>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8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Effect of foreign income tax, net</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(27,051)</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(31,200)</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(26,403)</w:t>
            </w:r>
          </w:p>
        </w:tc>
        <w:tc>
          <w:tcPr>
            <w:tcW w:w="8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Other nondeductible expenses</w:t>
            </w:r>
          </w:p>
        </w:tc>
        <w:tc>
          <w:tcPr>
            <w:tcW w:w="1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c>
          <w:tcPr>
            <w:tcW w:w="100" w:type="dxa"/>
            <w:vAlign w:val="bottom"/>
            <w:shd w:val="clear" w:color="auto" w:fill="CCEEFF"/>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State tax expense, net of federal benefits</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698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Domestic manufacturing deduction</w:t>
            </w:r>
          </w:p>
        </w:tc>
        <w:tc>
          <w:tcPr>
            <w:tcW w:w="1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w:t>
            </w:r>
          </w:p>
        </w:tc>
        <w:tc>
          <w:tcPr>
            <w:tcW w:w="8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Uncertain tax positions adjustments, net</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(888)</w:t>
            </w:r>
          </w:p>
        </w:tc>
        <w:tc>
          <w:tcPr>
            <w:tcW w:w="8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Other, net</w:t>
            </w:r>
          </w:p>
        </w:tc>
        <w:tc>
          <w:tcPr>
            <w:tcW w:w="1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(248)</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100" w:type="dxa"/>
            <w:vAlign w:val="bottom"/>
            <w:shd w:val="clear" w:color="auto" w:fill="CCEEFF"/>
          </w:tcPr>
          <w:p>
            <w:pPr>
              <w:spacing w:after="0"/>
              <w:rPr>
                <w:sz w:val="15"/>
                <w:szCs w:val="15"/>
                <w:color w:val="auto"/>
              </w:rPr>
            </w:pPr>
          </w:p>
        </w:tc>
        <w:tc>
          <w:tcPr>
            <w:tcW w:w="880" w:type="dxa"/>
            <w:vAlign w:val="bottom"/>
          </w:tcPr>
          <w:p>
            <w:pPr>
              <w:spacing w:after="0"/>
              <w:rPr>
                <w:sz w:val="15"/>
                <w:szCs w:val="15"/>
                <w:color w:val="auto"/>
              </w:rPr>
            </w:pPr>
          </w:p>
        </w:tc>
      </w:tr>
      <w:tr>
        <w:trPr>
          <w:trHeight w:val="166"/>
        </w:trPr>
        <w:tc>
          <w:tcPr>
            <w:tcW w:w="880" w:type="dxa"/>
            <w:vAlign w:val="bottom"/>
          </w:tcPr>
          <w:p>
            <w:pPr>
              <w:spacing w:after="0"/>
              <w:rPr>
                <w:sz w:val="14"/>
                <w:szCs w:val="14"/>
                <w:color w:val="auto"/>
              </w:rPr>
            </w:pPr>
          </w:p>
        </w:tc>
        <w:tc>
          <w:tcPr>
            <w:tcW w:w="3460" w:type="dxa"/>
            <w:vAlign w:val="bottom"/>
            <w:tcBorders>
              <w:top w:val="single" w:sz="8" w:color="CCEEFF"/>
            </w:tcBorders>
          </w:tcPr>
          <w:p>
            <w:pPr>
              <w:ind w:left="120"/>
              <w:spacing w:after="0" w:line="166" w:lineRule="exact"/>
              <w:rPr>
                <w:sz w:val="20"/>
                <w:szCs w:val="20"/>
                <w:color w:val="auto"/>
              </w:rPr>
            </w:pPr>
            <w:r>
              <w:rPr>
                <w:rFonts w:ascii="Arial" w:cs="Arial" w:eastAsia="Arial" w:hAnsi="Arial"/>
                <w:sz w:val="15"/>
                <w:szCs w:val="15"/>
                <w:color w:val="auto"/>
              </w:rPr>
              <w:t>Net income tax provision</w:t>
            </w: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67"/>
              <w:spacing w:after="0" w:line="16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56,056</w:t>
            </w: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67"/>
              <w:spacing w:after="0" w:line="16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84,266</w:t>
            </w: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55,110</w:t>
            </w:r>
          </w:p>
        </w:tc>
        <w:tc>
          <w:tcPr>
            <w:tcW w:w="100" w:type="dxa"/>
            <w:vAlign w:val="bottom"/>
            <w:tcBorders>
              <w:top w:val="single" w:sz="8" w:color="CCEEFF"/>
            </w:tcBorders>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18"/>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jc w:val="right"/>
              <w:ind w:right="507"/>
              <w:spacing w:after="0"/>
              <w:rPr>
                <w:sz w:val="20"/>
                <w:szCs w:val="20"/>
                <w:color w:val="auto"/>
              </w:rPr>
            </w:pPr>
            <w:r>
              <w:rPr>
                <w:rFonts w:ascii="Arial" w:cs="Arial" w:eastAsia="Arial" w:hAnsi="Arial"/>
                <w:sz w:val="15"/>
                <w:szCs w:val="15"/>
                <w:color w:val="auto"/>
              </w:rPr>
              <w:t>F-21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6" w:right="199" w:bottom="1440" w:gutter="0" w:footer="0" w:header="0"/>
        </w:sectPr>
      </w:pPr>
    </w:p>
    <w:bookmarkStart w:id="381" w:name="page382"/>
    <w:bookmarkEnd w:id="381"/>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180" w:type="dxa"/>
            <w:vAlign w:val="bottom"/>
            <w:gridSpan w:val="4"/>
          </w:tcPr>
          <w:p>
            <w:pPr>
              <w:jc w:val="right"/>
              <w:ind w:right="108"/>
              <w:spacing w:after="0"/>
              <w:rPr>
                <w:sz w:val="20"/>
                <w:szCs w:val="20"/>
                <w:color w:val="auto"/>
              </w:rPr>
            </w:pPr>
            <w:r>
              <w:rPr>
                <w:rFonts w:ascii="Arial" w:cs="Arial" w:eastAsia="Arial" w:hAnsi="Arial"/>
                <w:sz w:val="15"/>
                <w:szCs w:val="15"/>
                <w:color w:val="auto"/>
                <w:w w:val="87"/>
              </w:rPr>
              <w:t>The significant items giving rise to the deferred tax assets and liabilities as of December 31, 2013 and 2012 are as follows (in thousands):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1"/>
        </w:trPr>
        <w:tc>
          <w:tcPr>
            <w:tcW w:w="8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0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2013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4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24"/>
                <w:szCs w:val="24"/>
                <w:color w:val="auto"/>
              </w:rPr>
            </w:pPr>
          </w:p>
        </w:tc>
      </w:tr>
      <w:tr>
        <w:trPr>
          <w:trHeight w:val="167"/>
        </w:trPr>
        <w:tc>
          <w:tcPr>
            <w:tcW w:w="840" w:type="dxa"/>
            <w:vAlign w:val="bottom"/>
          </w:tcPr>
          <w:p>
            <w:pPr>
              <w:spacing w:after="0"/>
              <w:rPr>
                <w:sz w:val="14"/>
                <w:szCs w:val="14"/>
                <w:color w:val="auto"/>
              </w:rPr>
            </w:pPr>
          </w:p>
        </w:tc>
        <w:tc>
          <w:tcPr>
            <w:tcW w:w="44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Deferred tax assets:</w:t>
            </w:r>
          </w:p>
        </w:tc>
        <w:tc>
          <w:tcPr>
            <w:tcW w:w="188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Allowance for doubtful accounts</w:t>
            </w:r>
          </w:p>
        </w:tc>
        <w:tc>
          <w:tcPr>
            <w:tcW w:w="2900" w:type="dxa"/>
            <w:vAlign w:val="bottom"/>
            <w:gridSpan w:val="2"/>
          </w:tcPr>
          <w:p>
            <w:pPr>
              <w:jc w:val="right"/>
              <w:ind w:right="90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572</w:t>
            </w:r>
          </w:p>
        </w:tc>
        <w:tc>
          <w:tcPr>
            <w:tcW w:w="120" w:type="dxa"/>
            <w:vAlign w:val="bottom"/>
          </w:tcPr>
          <w:p>
            <w:pPr>
              <w:spacing w:after="0"/>
              <w:rPr>
                <w:sz w:val="15"/>
                <w:szCs w:val="15"/>
                <w:color w:val="auto"/>
              </w:rPr>
            </w:pPr>
          </w:p>
        </w:tc>
        <w:tc>
          <w:tcPr>
            <w:tcW w:w="420" w:type="dxa"/>
            <w:vAlign w:val="bottom"/>
            <w:gridSpan w:val="2"/>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Allowance for inventory reserves</w:t>
            </w:r>
          </w:p>
        </w:tc>
        <w:tc>
          <w:tcPr>
            <w:tcW w:w="1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Employee benefits</w:t>
            </w:r>
          </w:p>
        </w:tc>
        <w:tc>
          <w:tcPr>
            <w:tcW w:w="1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Deductible goodwill and other intangibles</w:t>
            </w:r>
          </w:p>
        </w:tc>
        <w:tc>
          <w:tcPr>
            <w:tcW w:w="1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7,775</w:t>
            </w:r>
          </w:p>
        </w:tc>
        <w:tc>
          <w:tcPr>
            <w:tcW w:w="100" w:type="dxa"/>
            <w:vAlign w:val="bottom"/>
            <w:shd w:val="clear" w:color="auto" w:fill="CCEEFF"/>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Other reserves</w:t>
            </w:r>
          </w:p>
        </w:tc>
        <w:tc>
          <w:tcPr>
            <w:tcW w:w="1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3,384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3,342</w:t>
            </w: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w:t>
            </w:r>
          </w:p>
        </w:tc>
        <w:tc>
          <w:tcPr>
            <w:tcW w:w="1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00" w:type="dxa"/>
            <w:vAlign w:val="bottom"/>
            <w:shd w:val="clear" w:color="auto" w:fill="CCEEFF"/>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Deferred revenue $1,152</w:t>
            </w:r>
          </w:p>
        </w:tc>
        <w:tc>
          <w:tcPr>
            <w:tcW w:w="1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5,251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1,152</w:t>
            </w: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8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6"/>
        </w:trPr>
        <w:tc>
          <w:tcPr>
            <w:tcW w:w="840" w:type="dxa"/>
            <w:vAlign w:val="bottom"/>
          </w:tcPr>
          <w:p>
            <w:pPr>
              <w:spacing w:after="0"/>
              <w:rPr>
                <w:sz w:val="14"/>
                <w:szCs w:val="14"/>
                <w:color w:val="auto"/>
              </w:rPr>
            </w:pPr>
          </w:p>
        </w:tc>
        <w:tc>
          <w:tcPr>
            <w:tcW w:w="4440" w:type="dxa"/>
            <w:vAlign w:val="bottom"/>
          </w:tcPr>
          <w:p>
            <w:pPr>
              <w:ind w:left="120"/>
              <w:spacing w:after="0" w:line="166" w:lineRule="exact"/>
              <w:rPr>
                <w:sz w:val="20"/>
                <w:szCs w:val="20"/>
                <w:color w:val="auto"/>
              </w:rPr>
            </w:pPr>
            <w:r>
              <w:rPr>
                <w:rFonts w:ascii="Arial" w:cs="Arial" w:eastAsia="Arial" w:hAnsi="Arial"/>
                <w:sz w:val="15"/>
                <w:szCs w:val="15"/>
                <w:color w:val="auto"/>
              </w:rPr>
              <w:t>Deferred tax asset</w:t>
            </w:r>
          </w:p>
        </w:tc>
        <w:tc>
          <w:tcPr>
            <w:tcW w:w="2900" w:type="dxa"/>
            <w:vAlign w:val="bottom"/>
            <w:gridSpan w:val="2"/>
          </w:tcPr>
          <w:p>
            <w:pPr>
              <w:jc w:val="right"/>
              <w:ind w:right="908"/>
              <w:spacing w:after="0" w:line="166"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6" w:lineRule="exact"/>
              <w:rPr>
                <w:sz w:val="20"/>
                <w:szCs w:val="20"/>
                <w:color w:val="auto"/>
              </w:rPr>
            </w:pPr>
            <w:r>
              <w:rPr>
                <w:rFonts w:ascii="Arial" w:cs="Arial" w:eastAsia="Arial" w:hAnsi="Arial"/>
                <w:sz w:val="15"/>
                <w:szCs w:val="15"/>
                <w:color w:val="auto"/>
              </w:rPr>
              <w:t>18,383</w:t>
            </w:r>
          </w:p>
        </w:tc>
        <w:tc>
          <w:tcPr>
            <w:tcW w:w="120" w:type="dxa"/>
            <w:vAlign w:val="bottom"/>
          </w:tcPr>
          <w:p>
            <w:pPr>
              <w:spacing w:after="0"/>
              <w:rPr>
                <w:sz w:val="14"/>
                <w:szCs w:val="14"/>
                <w:color w:val="auto"/>
              </w:rPr>
            </w:pPr>
          </w:p>
        </w:tc>
        <w:tc>
          <w:tcPr>
            <w:tcW w:w="420" w:type="dxa"/>
            <w:vAlign w:val="bottom"/>
            <w:gridSpan w:val="2"/>
          </w:tcPr>
          <w:p>
            <w:pPr>
              <w:jc w:val="right"/>
              <w:ind w:right="228"/>
              <w:spacing w:after="0" w:line="166"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14,990</w:t>
            </w:r>
          </w:p>
        </w:tc>
        <w:tc>
          <w:tcPr>
            <w:tcW w:w="100" w:type="dxa"/>
            <w:vAlign w:val="bottom"/>
          </w:tcPr>
          <w:p>
            <w:pPr>
              <w:spacing w:after="0"/>
              <w:rPr>
                <w:sz w:val="14"/>
                <w:szCs w:val="14"/>
                <w:color w:val="auto"/>
              </w:rPr>
            </w:pPr>
          </w:p>
        </w:tc>
      </w:tr>
      <w:tr>
        <w:trPr>
          <w:trHeight w:val="166"/>
        </w:trPr>
        <w:tc>
          <w:tcPr>
            <w:tcW w:w="840" w:type="dxa"/>
            <w:vAlign w:val="bottom"/>
          </w:tcPr>
          <w:p>
            <w:pPr>
              <w:spacing w:after="0"/>
              <w:rPr>
                <w:sz w:val="14"/>
                <w:szCs w:val="14"/>
                <w:color w:val="auto"/>
              </w:rPr>
            </w:pPr>
          </w:p>
        </w:tc>
        <w:tc>
          <w:tcPr>
            <w:tcW w:w="44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Deferred tax liabilities:</w:t>
            </w:r>
          </w:p>
        </w:tc>
        <w:tc>
          <w:tcPr>
            <w:tcW w:w="188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2900" w:type="dxa"/>
            <w:vAlign w:val="bottom"/>
            <w:gridSpan w:val="2"/>
          </w:tcPr>
          <w:p>
            <w:pPr>
              <w:jc w:val="right"/>
              <w:ind w:right="908"/>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(78,518)</w:t>
            </w:r>
          </w:p>
        </w:tc>
        <w:tc>
          <w:tcPr>
            <w:tcW w:w="420" w:type="dxa"/>
            <w:vAlign w:val="bottom"/>
            <w:gridSpan w:val="2"/>
          </w:tcPr>
          <w:p>
            <w:pPr>
              <w:jc w:val="right"/>
              <w:ind w:right="228"/>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(67,558)</w:t>
            </w:r>
          </w:p>
        </w:tc>
      </w:tr>
      <w:tr>
        <w:trPr>
          <w:trHeight w:val="175"/>
        </w:trPr>
        <w:tc>
          <w:tcPr>
            <w:tcW w:w="8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Intangibles</w:t>
            </w:r>
          </w:p>
        </w:tc>
        <w:tc>
          <w:tcPr>
            <w:tcW w:w="1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(6,686)</w:t>
            </w:r>
          </w:p>
        </w:tc>
      </w:tr>
      <w:tr>
        <w:trPr>
          <w:trHeight w:val="175"/>
        </w:trPr>
        <w:tc>
          <w:tcPr>
            <w:tcW w:w="8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Arial" w:cs="Arial" w:eastAsia="Arial" w:hAnsi="Arial"/>
                <w:sz w:val="15"/>
                <w:szCs w:val="15"/>
                <w:color w:val="auto"/>
              </w:rPr>
              <w:t>Accrued liabilities</w:t>
            </w:r>
          </w:p>
        </w:tc>
        <w:tc>
          <w:tcPr>
            <w:tcW w:w="1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(3,161)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(2,899)</w:t>
            </w:r>
          </w:p>
        </w:tc>
      </w:tr>
      <w:tr>
        <w:trPr>
          <w:trHeight w:val="175"/>
        </w:trPr>
        <w:tc>
          <w:tcPr>
            <w:tcW w:w="8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18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(1,988)</w:t>
            </w:r>
          </w:p>
        </w:tc>
      </w:tr>
      <w:tr>
        <w:trPr>
          <w:trHeight w:val="20"/>
        </w:trPr>
        <w:tc>
          <w:tcPr>
            <w:tcW w:w="84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6"/>
        </w:trPr>
        <w:tc>
          <w:tcPr>
            <w:tcW w:w="840" w:type="dxa"/>
            <w:vAlign w:val="bottom"/>
          </w:tcPr>
          <w:p>
            <w:pPr>
              <w:spacing w:after="0"/>
              <w:rPr>
                <w:sz w:val="14"/>
                <w:szCs w:val="14"/>
                <w:color w:val="auto"/>
              </w:rPr>
            </w:pPr>
          </w:p>
        </w:tc>
        <w:tc>
          <w:tcPr>
            <w:tcW w:w="4440" w:type="dxa"/>
            <w:vAlign w:val="bottom"/>
          </w:tcPr>
          <w:p>
            <w:pPr>
              <w:ind w:left="120"/>
              <w:spacing w:after="0" w:line="166" w:lineRule="exact"/>
              <w:rPr>
                <w:sz w:val="20"/>
                <w:szCs w:val="20"/>
                <w:color w:val="auto"/>
              </w:rPr>
            </w:pPr>
            <w:r>
              <w:rPr>
                <w:rFonts w:ascii="Arial" w:cs="Arial" w:eastAsia="Arial" w:hAnsi="Arial"/>
                <w:sz w:val="15"/>
                <w:szCs w:val="15"/>
                <w:color w:val="auto"/>
              </w:rPr>
              <w:t>Deferred tax liability</w:t>
            </w: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(90,361)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(79,131)</w:t>
            </w:r>
          </w:p>
        </w:tc>
      </w:tr>
      <w:tr>
        <w:trPr>
          <w:trHeight w:val="206"/>
        </w:trPr>
        <w:tc>
          <w:tcPr>
            <w:tcW w:w="840" w:type="dxa"/>
            <w:vAlign w:val="bottom"/>
          </w:tcPr>
          <w:p>
            <w:pPr>
              <w:spacing w:after="0"/>
              <w:rPr>
                <w:sz w:val="17"/>
                <w:szCs w:val="17"/>
                <w:color w:val="auto"/>
              </w:rPr>
            </w:pPr>
          </w:p>
        </w:tc>
        <w:tc>
          <w:tcPr>
            <w:tcW w:w="4440" w:type="dxa"/>
            <w:vAlign w:val="bottom"/>
            <w:tcBorders>
              <w:bottom w:val="single" w:sz="8" w:color="CCEEFF"/>
            </w:tcBorders>
            <w:shd w:val="clear" w:color="auto" w:fill="CCEEFF"/>
          </w:tcPr>
          <w:p>
            <w:pPr>
              <w:ind w:left="240"/>
              <w:spacing w:after="0" w:line="166" w:lineRule="exact"/>
              <w:rPr>
                <w:sz w:val="20"/>
                <w:szCs w:val="20"/>
                <w:color w:val="auto"/>
              </w:rPr>
            </w:pPr>
            <w:r>
              <w:rPr>
                <w:rFonts w:ascii="Arial" w:cs="Arial" w:eastAsia="Arial" w:hAnsi="Arial"/>
                <w:sz w:val="15"/>
                <w:szCs w:val="15"/>
                <w:color w:val="auto"/>
              </w:rPr>
              <w:t>Net deferred tax liability</w:t>
            </w:r>
          </w:p>
        </w:tc>
        <w:tc>
          <w:tcPr>
            <w:tcW w:w="18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3"/>
              </w:rPr>
              <w:t>(71,978)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(64,141)</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Reclassifications of Accommodations’ deferred tax balance based on net current items and net non-current items as of December 31, 2013 and 2012 are as follows (in thousands):</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300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2013</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4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r>
      <w:tr>
        <w:trPr>
          <w:trHeight w:val="167"/>
        </w:trPr>
        <w:tc>
          <w:tcPr>
            <w:tcW w:w="38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Current deferred tax asset</w:t>
            </w:r>
          </w:p>
        </w:tc>
        <w:tc>
          <w:tcPr>
            <w:tcW w:w="198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306</w:t>
            </w:r>
          </w:p>
        </w:tc>
        <w:tc>
          <w:tcPr>
            <w:tcW w:w="1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4"/>
                <w:szCs w:val="14"/>
                <w:color w:val="auto"/>
              </w:rPr>
            </w:pPr>
          </w:p>
        </w:tc>
      </w:tr>
      <w:tr>
        <w:trPr>
          <w:trHeight w:val="175"/>
        </w:trPr>
        <w:tc>
          <w:tcPr>
            <w:tcW w:w="3800" w:type="dxa"/>
            <w:vAlign w:val="bottom"/>
          </w:tcPr>
          <w:p>
            <w:pPr>
              <w:spacing w:after="0"/>
              <w:rPr>
                <w:sz w:val="20"/>
                <w:szCs w:val="20"/>
                <w:color w:val="auto"/>
              </w:rPr>
            </w:pPr>
            <w:r>
              <w:rPr>
                <w:rFonts w:ascii="Arial" w:cs="Arial" w:eastAsia="Arial" w:hAnsi="Arial"/>
                <w:sz w:val="15"/>
                <w:szCs w:val="15"/>
                <w:color w:val="auto"/>
              </w:rPr>
              <w:t>Long-term deferred tax liability</w:t>
            </w:r>
          </w:p>
        </w:tc>
        <w:tc>
          <w:tcPr>
            <w:tcW w:w="1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(72,284)</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(64,486)</w:t>
            </w:r>
          </w:p>
        </w:tc>
      </w:tr>
      <w:tr>
        <w:trPr>
          <w:trHeight w:val="206"/>
        </w:trPr>
        <w:tc>
          <w:tcPr>
            <w:tcW w:w="380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Net deferred tax liability</w:t>
            </w:r>
          </w:p>
        </w:tc>
        <w:tc>
          <w:tcPr>
            <w:tcW w:w="19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3"/>
              </w:rPr>
              <w:t>(71,978)</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(64,141)</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Our primary deferred tax assets at December 31, 2013, were related to deductible goodwill and other intangibles.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income tax provision for the year ended December 31, 2013 totaled $56.1 million, or 23.4% of pretax income, compared to $84.3 million, or 25.5% of pretax income, for the year ended December 31, 2012.</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Appropriate U.S. and foreign income taxes have been provided for earnings of foreign subsidiary companies that are expected to be remitted in the near future. The cumulative amount of undistributed earnings of foreign subsidiaries that Accommodations intends to permanently reinvest, and upon which foreign taxes have been accrued or paid but no deferred US income taxes have been provided is $1,027 million at December 31, 2013, the majority of which has been generated in Canada. Upon distribution of these earnings in the form of dividends or otherwise, Accommodations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Accommodations files tax returns in the jurisdictions in which they are required. All of these returns are subject to examination or audit and possible adjustment as a result of assessments by taxing authorities. Accommodations believes that it has recorded sufficient tax liabilities and does not expect the resolution of any examination or audit of its tax returns would have a material adverse effect on its operating results, financial condition or liquidity.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2" w:name="page383"/>
    <w:bookmarkEnd w:id="382"/>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total amount of unrecognized tax benefits as of December 31, 2013 and 2012 were $0.7 million. The unrecognized tax benefits, if recognized, would affect the effective tax rate.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Accommodations accrues interest and penalties related to unrecognized tax benefits as a component of the Company's provision for income taxes. As of December 31, 2013 and 2012,</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Accommodations had accrued $0.3 million and $0.3 million, respectively, of interest expense and penalties.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beginning and ending amount of unrecognized tax benefits is as follows (in thousands):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120" w:type="dxa"/>
            <w:vAlign w:val="bottom"/>
            <w:gridSpan w:val="2"/>
          </w:tcPr>
          <w:p>
            <w:pPr>
              <w:jc w:val="right"/>
              <w:ind w:right="127"/>
              <w:spacing w:after="0"/>
              <w:rPr>
                <w:sz w:val="20"/>
                <w:szCs w:val="20"/>
                <w:color w:val="auto"/>
              </w:rPr>
            </w:pPr>
            <w:r>
              <w:rPr>
                <w:rFonts w:ascii="Arial" w:cs="Arial" w:eastAsia="Arial" w:hAnsi="Arial"/>
                <w:sz w:val="15"/>
                <w:szCs w:val="15"/>
                <w:b w:val="1"/>
                <w:bCs w:val="1"/>
                <w:color w:val="auto"/>
              </w:rPr>
              <w:t>2013</w:t>
            </w:r>
          </w:p>
        </w:tc>
        <w:tc>
          <w:tcPr>
            <w:tcW w:w="440" w:type="dxa"/>
            <w:vAlign w:val="bottom"/>
          </w:tcPr>
          <w:p>
            <w:pPr>
              <w:spacing w:after="0"/>
              <w:rPr>
                <w:sz w:val="16"/>
                <w:szCs w:val="16"/>
                <w:color w:val="auto"/>
              </w:rPr>
            </w:pPr>
          </w:p>
        </w:tc>
        <w:tc>
          <w:tcPr>
            <w:tcW w:w="1320" w:type="dxa"/>
            <w:vAlign w:val="bottom"/>
            <w:gridSpan w:val="2"/>
          </w:tcPr>
          <w:p>
            <w:pPr>
              <w:jc w:val="right"/>
              <w:ind w:right="127"/>
              <w:spacing w:after="0"/>
              <w:rPr>
                <w:sz w:val="20"/>
                <w:szCs w:val="20"/>
                <w:color w:val="auto"/>
              </w:rPr>
            </w:pPr>
            <w:r>
              <w:rPr>
                <w:rFonts w:ascii="Arial" w:cs="Arial" w:eastAsia="Arial" w:hAnsi="Arial"/>
                <w:sz w:val="15"/>
                <w:szCs w:val="15"/>
                <w:b w:val="1"/>
                <w:bCs w:val="1"/>
                <w:color w:val="auto"/>
              </w:rPr>
              <w:t>2012</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spacing w:after="0" w:line="167" w:lineRule="exact"/>
              <w:rPr>
                <w:sz w:val="20"/>
                <w:szCs w:val="20"/>
                <w:color w:val="auto"/>
              </w:rPr>
            </w:pPr>
            <w:r>
              <w:rPr>
                <w:rFonts w:ascii="Arial" w:cs="Arial" w:eastAsia="Arial" w:hAnsi="Arial"/>
                <w:sz w:val="12"/>
                <w:szCs w:val="12"/>
                <w:color w:val="auto"/>
              </w:rPr>
              <w:t>Balance as of January 1</w:t>
            </w:r>
            <w:r>
              <w:rPr>
                <w:rFonts w:ascii="Arial" w:cs="Arial" w:eastAsia="Arial" w:hAnsi="Arial"/>
                <w:sz w:val="19"/>
                <w:szCs w:val="19"/>
                <w:color w:val="auto"/>
                <w:vertAlign w:val="superscript"/>
              </w:rPr>
              <w:t>st</w:t>
            </w:r>
          </w:p>
        </w:tc>
        <w:tc>
          <w:tcPr>
            <w:tcW w:w="98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7"/>
              <w:spacing w:after="0" w:line="168"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679</w:t>
            </w:r>
          </w:p>
        </w:tc>
        <w:tc>
          <w:tcPr>
            <w:tcW w:w="18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7"/>
              <w:spacing w:after="0" w:line="168"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679</w:t>
            </w:r>
          </w:p>
        </w:tc>
        <w:tc>
          <w:tcPr>
            <w:tcW w:w="1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7"/>
              <w:spacing w:after="0" w:line="168"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1,078</w:t>
            </w: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Additions for tax positions of prior years</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Reductions for tax positions of prior years</w:t>
            </w:r>
          </w:p>
        </w:tc>
        <w:tc>
          <w:tcPr>
            <w:tcW w:w="9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(399)</w:t>
            </w:r>
          </w:p>
        </w:tc>
      </w:tr>
      <w:tr>
        <w:trPr>
          <w:trHeight w:val="175"/>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Lapse of the applicable statute of limitations</w:t>
            </w:r>
          </w:p>
        </w:tc>
        <w:tc>
          <w:tcPr>
            <w:tcW w:w="9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35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2"/>
                <w:szCs w:val="12"/>
                <w:color w:val="auto"/>
              </w:rPr>
              <w:t>Balance as of December 31</w:t>
            </w:r>
            <w:r>
              <w:rPr>
                <w:rFonts w:ascii="Arial" w:cs="Arial" w:eastAsia="Arial" w:hAnsi="Arial"/>
                <w:sz w:val="19"/>
                <w:szCs w:val="19"/>
                <w:color w:val="auto"/>
                <w:vertAlign w:val="superscript"/>
              </w:rPr>
              <w:t>st</w:t>
            </w:r>
          </w:p>
        </w:tc>
        <w:tc>
          <w:tcPr>
            <w:tcW w:w="9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87"/>
              <w:spacing w:after="0" w:line="166"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679</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87"/>
              <w:spacing w:after="0" w:line="166"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679</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line="166"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679</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gridSpan w:val="2"/>
          </w:tcPr>
          <w:p>
            <w:pPr>
              <w:spacing w:after="0"/>
              <w:rPr>
                <w:sz w:val="20"/>
                <w:szCs w:val="20"/>
                <w:color w:val="auto"/>
              </w:rPr>
            </w:pPr>
            <w:r>
              <w:rPr>
                <w:rFonts w:ascii="Arial" w:cs="Arial" w:eastAsia="Arial" w:hAnsi="Arial"/>
                <w:sz w:val="15"/>
                <w:szCs w:val="15"/>
                <w:b w:val="1"/>
                <w:bCs w:val="1"/>
                <w:color w:val="auto"/>
              </w:rPr>
              <w:t>11.   Commitments and Contingencies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0"/>
        </w:trPr>
        <w:tc>
          <w:tcPr>
            <w:tcW w:w="9240" w:type="dxa"/>
            <w:vAlign w:val="bottom"/>
            <w:gridSpan w:val="2"/>
          </w:tcPr>
          <w:p>
            <w:pPr>
              <w:spacing w:after="0"/>
              <w:rPr>
                <w:sz w:val="20"/>
                <w:szCs w:val="20"/>
                <w:color w:val="auto"/>
              </w:rPr>
            </w:pPr>
            <w:r>
              <w:rPr>
                <w:rFonts w:ascii="Arial" w:cs="Arial" w:eastAsia="Arial" w:hAnsi="Arial"/>
                <w:sz w:val="15"/>
                <w:szCs w:val="15"/>
                <w:color w:val="auto"/>
                <w:w w:val="90"/>
              </w:rPr>
              <w:t>Accommodations leases a portion of its equipment, office space, computer equipment, automobiles and trucks under leases which expire at various dates.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9240" w:type="dxa"/>
            <w:vAlign w:val="bottom"/>
            <w:gridSpan w:val="2"/>
          </w:tcPr>
          <w:p>
            <w:pPr>
              <w:spacing w:after="0"/>
              <w:rPr>
                <w:sz w:val="20"/>
                <w:szCs w:val="20"/>
                <w:color w:val="auto"/>
              </w:rPr>
            </w:pPr>
            <w:r>
              <w:rPr>
                <w:rFonts w:ascii="Arial" w:cs="Arial" w:eastAsia="Arial" w:hAnsi="Arial"/>
                <w:sz w:val="15"/>
                <w:szCs w:val="15"/>
                <w:color w:val="auto"/>
              </w:rPr>
              <w:t>Minimum future operating lease obligations in effect at December 31, 2013, were as follows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5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Operating</w:t>
            </w:r>
          </w:p>
        </w:tc>
      </w:tr>
      <w:tr>
        <w:trPr>
          <w:trHeight w:val="189"/>
        </w:trPr>
        <w:tc>
          <w:tcPr>
            <w:tcW w:w="58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78"/>
              </w:rPr>
              <w:t>Leases</w:t>
            </w:r>
          </w:p>
        </w:tc>
      </w:tr>
      <w:tr>
        <w:trPr>
          <w:trHeight w:val="167"/>
        </w:trPr>
        <w:tc>
          <w:tcPr>
            <w:tcW w:w="580" w:type="dxa"/>
            <w:vAlign w:val="bottom"/>
          </w:tcPr>
          <w:p>
            <w:pPr>
              <w:spacing w:after="0"/>
              <w:rPr>
                <w:sz w:val="14"/>
                <w:szCs w:val="14"/>
                <w:color w:val="auto"/>
              </w:rPr>
            </w:pPr>
          </w:p>
        </w:tc>
        <w:tc>
          <w:tcPr>
            <w:tcW w:w="86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2014</w:t>
            </w:r>
          </w:p>
        </w:tc>
        <w:tc>
          <w:tcPr>
            <w:tcW w:w="260" w:type="dxa"/>
            <w:vAlign w:val="bottom"/>
            <w:tcBorders>
              <w:top w:val="single" w:sz="8" w:color="auto"/>
            </w:tcBorders>
            <w:shd w:val="clear" w:color="auto" w:fill="CCEEFF"/>
          </w:tcPr>
          <w:p>
            <w:pPr>
              <w:jc w:val="right"/>
              <w:ind w:right="107"/>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5,992</w:t>
            </w:r>
          </w:p>
        </w:tc>
        <w:tc>
          <w:tcPr>
            <w:tcW w:w="100" w:type="dxa"/>
            <w:vAlign w:val="bottom"/>
            <w:shd w:val="clear" w:color="auto" w:fill="CCEEFF"/>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5"/>
                <w:szCs w:val="15"/>
                <w:color w:val="auto"/>
              </w:rPr>
              <w:t>2015</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5,579</w:t>
            </w:r>
          </w:p>
        </w:tc>
        <w:tc>
          <w:tcPr>
            <w:tcW w:w="1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4,785</w:t>
            </w:r>
          </w:p>
        </w:tc>
        <w:tc>
          <w:tcPr>
            <w:tcW w:w="100" w:type="dxa"/>
            <w:vAlign w:val="bottom"/>
            <w:shd w:val="clear" w:color="auto" w:fill="CCEEFF"/>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5"/>
                <w:szCs w:val="15"/>
                <w:color w:val="auto"/>
              </w:rPr>
              <w:t>2017</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4,525</w:t>
            </w:r>
          </w:p>
        </w:tc>
        <w:tc>
          <w:tcPr>
            <w:tcW w:w="1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3,623</w:t>
            </w:r>
          </w:p>
        </w:tc>
        <w:tc>
          <w:tcPr>
            <w:tcW w:w="100" w:type="dxa"/>
            <w:vAlign w:val="bottom"/>
            <w:shd w:val="clear" w:color="auto" w:fill="CCEEFF"/>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5"/>
                <w:szCs w:val="15"/>
                <w:color w:val="auto"/>
              </w:rPr>
              <w:t>Thereafter</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18,729</w:t>
            </w:r>
          </w:p>
        </w:tc>
        <w:tc>
          <w:tcPr>
            <w:tcW w:w="100" w:type="dxa"/>
            <w:vAlign w:val="bottom"/>
          </w:tcPr>
          <w:p>
            <w:pPr>
              <w:spacing w:after="0"/>
              <w:rPr>
                <w:sz w:val="15"/>
                <w:szCs w:val="15"/>
                <w:color w:val="auto"/>
              </w:rPr>
            </w:pPr>
          </w:p>
        </w:tc>
      </w:tr>
      <w:tr>
        <w:trPr>
          <w:trHeight w:val="206"/>
        </w:trPr>
        <w:tc>
          <w:tcPr>
            <w:tcW w:w="58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107"/>
              <w:spacing w:after="0" w:line="166"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43,233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Rental expense under operating leases was $7.1 million, $5.3 million and $5.1 million for the years ended December 31, 2013, 2012 and 2011, respectively.</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p>
      <w:pPr>
        <w:ind w:left="360" w:hanging="353"/>
        <w:spacing w:after="0"/>
        <w:tabs>
          <w:tab w:leader="none" w:pos="360" w:val="left"/>
        </w:tabs>
        <w:numPr>
          <w:ilvl w:val="0"/>
          <w:numId w:val="339"/>
        </w:numPr>
        <w:rPr>
          <w:rFonts w:ascii="Arial" w:cs="Arial" w:eastAsia="Arial" w:hAnsi="Arial"/>
          <w:sz w:val="15"/>
          <w:szCs w:val="15"/>
          <w:b w:val="1"/>
          <w:bCs w:val="1"/>
          <w:color w:val="auto"/>
        </w:rPr>
      </w:pPr>
      <w:r>
        <w:rPr>
          <w:rFonts w:ascii="Arial" w:cs="Arial" w:eastAsia="Arial" w:hAnsi="Arial"/>
          <w:sz w:val="15"/>
          <w:szCs w:val="15"/>
          <w:b w:val="1"/>
          <w:bCs w:val="1"/>
          <w:color w:val="auto"/>
        </w:rPr>
        <w:t>Accumulated Other Comprehensive Income (Loss)</w:t>
      </w:r>
    </w:p>
    <w:p>
      <w:pPr>
        <w:spacing w:after="0" w:line="181"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Accumulated other comprehensive income decreased from $107.7 million at December 31, 2012 to a loss of $60.0 million at December 31, 2013, a net change of $167.7 million, as a result of decreases in the Canadian and Australian dollar exchange rates compared to the U.S. dollar. The Canadian dollar was valued at an exchange rate of U.S. $0.94 at December 31, 2013 compared to U.S. $1.01 at December 31, 2012, a decrease of 6%. The Australian dollar was valued at an exchange rate of U.S. $0.89 at December 31, 2013 compared to U.S. $1.04 at December 31, 2012, a decrease of 14%. Excluding intercompany balances, our Canadian dollar and Australian dollar functional currency net assets total approximately C$574 million and A$957 million, respectively, at December 31, 2013.</w:t>
      </w:r>
    </w:p>
    <w:p>
      <w:pPr>
        <w:spacing w:after="0" w:line="158" w:lineRule="exact"/>
        <w:rPr>
          <w:sz w:val="20"/>
          <w:szCs w:val="20"/>
          <w:color w:val="auto"/>
        </w:rPr>
      </w:pPr>
    </w:p>
    <w:p>
      <w:pPr>
        <w:ind w:left="380" w:hanging="373"/>
        <w:spacing w:after="0"/>
        <w:tabs>
          <w:tab w:leader="none" w:pos="380" w:val="left"/>
        </w:tabs>
        <w:numPr>
          <w:ilvl w:val="0"/>
          <w:numId w:val="340"/>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Stock-based compensation pre-tax expense recognized by Accommodations in the years ended December 31, 2013, 2012 and 2011 totaled $6.4 million, $3.3 million and $2.3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2013, 2012 and 2011 was based on a formula considering the vesting period, term of the options awarded and past experience.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gridSpan w:val="2"/>
          </w:tcPr>
          <w:p>
            <w:pPr>
              <w:spacing w:after="0"/>
              <w:rPr>
                <w:sz w:val="16"/>
                <w:szCs w:val="16"/>
                <w:color w:val="auto"/>
              </w:rPr>
            </w:pPr>
          </w:p>
        </w:tc>
        <w:tc>
          <w:tcPr>
            <w:tcW w:w="11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2013</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500" w:type="dxa"/>
            <w:vAlign w:val="bottom"/>
            <w:gridSpan w:val="2"/>
          </w:tcPr>
          <w:p>
            <w:pPr>
              <w:spacing w:after="0"/>
              <w:rPr>
                <w:sz w:val="14"/>
                <w:szCs w:val="14"/>
                <w:color w:val="auto"/>
              </w:rPr>
            </w:pPr>
          </w:p>
        </w:tc>
        <w:tc>
          <w:tcPr>
            <w:tcW w:w="620" w:type="dxa"/>
            <w:vAlign w:val="bottom"/>
            <w:gridSpan w:val="2"/>
          </w:tcPr>
          <w:p>
            <w:pPr>
              <w:spacing w:after="0"/>
              <w:rPr>
                <w:sz w:val="14"/>
                <w:szCs w:val="14"/>
                <w:color w:val="auto"/>
              </w:rPr>
            </w:pPr>
          </w:p>
        </w:tc>
        <w:tc>
          <w:tcPr>
            <w:tcW w:w="1720" w:type="dxa"/>
            <w:vAlign w:val="bottom"/>
            <w:gridSpan w:val="2"/>
          </w:tcPr>
          <w:p>
            <w:pPr>
              <w:spacing w:after="0"/>
              <w:rPr>
                <w:sz w:val="14"/>
                <w:szCs w:val="14"/>
                <w:color w:val="auto"/>
              </w:rPr>
            </w:pPr>
          </w:p>
        </w:tc>
        <w:tc>
          <w:tcPr>
            <w:tcW w:w="1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Risk-free weighted interest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gridSpan w:val="2"/>
          </w:tcPr>
          <w:p>
            <w:pPr>
              <w:spacing w:after="0"/>
              <w:rPr>
                <w:sz w:val="20"/>
                <w:szCs w:val="20"/>
                <w:color w:val="auto"/>
              </w:rPr>
            </w:pPr>
            <w:r>
              <w:rPr>
                <w:rFonts w:ascii="Arial" w:cs="Arial" w:eastAsia="Arial" w:hAnsi="Arial"/>
                <w:sz w:val="15"/>
                <w:szCs w:val="15"/>
                <w:color w:val="auto"/>
              </w:rPr>
              <w:t>Expected life (in years)</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4.1</w:t>
            </w:r>
          </w:p>
        </w:tc>
        <w:tc>
          <w:tcPr>
            <w:tcW w:w="1480" w:type="dxa"/>
            <w:vAlign w:val="bottom"/>
          </w:tcPr>
          <w:p>
            <w:pPr>
              <w:jc w:val="right"/>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4" w:name="page385"/>
    <w:bookmarkEnd w:id="384"/>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ind w:right="300"/>
        <w:spacing w:after="0" w:line="259" w:lineRule="auto"/>
        <w:rPr>
          <w:sz w:val="20"/>
          <w:szCs w:val="20"/>
          <w:color w:val="auto"/>
        </w:rPr>
      </w:pPr>
      <w:r>
        <w:rPr>
          <w:rFonts w:ascii="Arial" w:cs="Arial" w:eastAsia="Arial" w:hAnsi="Arial"/>
          <w:sz w:val="15"/>
          <w:szCs w:val="15"/>
          <w:color w:val="auto"/>
        </w:rPr>
        <w:t>The following table presents the changes in stock options outstanding and related information for Accommodations’ employees for each of the three years ended December 31, 2013, 2012 and 2011: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Weighted</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Average</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6"/>
              </w:rPr>
              <w:t>Average Exercise</w:t>
            </w: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Contractual Life</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Options</w:t>
            </w:r>
          </w:p>
        </w:tc>
        <w:tc>
          <w:tcPr>
            <w:tcW w:w="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Price Per Share</w:t>
            </w:r>
          </w:p>
        </w:tc>
        <w:tc>
          <w:tcPr>
            <w:tcW w:w="13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(Years)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3"/>
              </w:rPr>
              <w:t>(thousands)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Outstanding Options at December 31, 2010</w:t>
            </w:r>
          </w:p>
        </w:tc>
        <w:tc>
          <w:tcPr>
            <w:tcW w:w="11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421,250</w:t>
            </w: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29.87</w:t>
            </w: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14,414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80,250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75.41</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(70,625)</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30.29</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(29,125)</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48.16</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Outstanding Options at December 31, 2011</w:t>
            </w: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401,750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37.57</w:t>
            </w:r>
          </w:p>
        </w:tc>
        <w:tc>
          <w:tcPr>
            <w:tcW w:w="136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3.5</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15,588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5,000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84.63</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(127,000)</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31.81</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(1,750)</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80.68</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Outstanding Options at December 31, 2012</w:t>
            </w: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278,000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40.78</w:t>
            </w:r>
          </w:p>
        </w:tc>
        <w:tc>
          <w:tcPr>
            <w:tcW w:w="136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3.0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7,500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80.25</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(160,626)</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38.59</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(7,250)</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68.55</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Outstanding Options at December 31, 2013</w:t>
            </w: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117,624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44.56</w:t>
            </w:r>
          </w:p>
        </w:tc>
        <w:tc>
          <w:tcPr>
            <w:tcW w:w="136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3.6</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6,723</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Exercisable Options at December 31, 2011</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153,750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Options at December 31, 2012</w:t>
            </w:r>
          </w:p>
        </w:tc>
        <w:tc>
          <w:tcPr>
            <w:tcW w:w="1160" w:type="dxa"/>
            <w:vAlign w:val="bottom"/>
          </w:tcPr>
          <w:p>
            <w:pPr>
              <w:jc w:val="right"/>
              <w:spacing w:after="0"/>
              <w:rPr>
                <w:sz w:val="20"/>
                <w:szCs w:val="20"/>
                <w:color w:val="auto"/>
              </w:rPr>
            </w:pPr>
            <w:r>
              <w:rPr>
                <w:rFonts w:ascii="Arial" w:cs="Arial" w:eastAsia="Arial" w:hAnsi="Arial"/>
                <w:sz w:val="15"/>
                <w:szCs w:val="15"/>
                <w:color w:val="auto"/>
              </w:rPr>
              <w:t>132,938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33.40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5,110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Exercisable Options at December 31, 2013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58,625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4,261</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weighted average fair values of options granted to Accommodations’ employees during 2013, 2012 and 2011 were $28.31, $37.43 and $33.27 per share, respectively. All options awarded in 2013 had a term of ten years and were granted with exercise prices at the grant date closing market price. The total intrinsic value of options exercised by Accommodations’ employees during 2013, 2012 and 2011 were $8.2 million, $6.2 million and $3.2 million, respectively. Oil States received all cash from option exercises during 2013, 2012 and 2011. The tax benefits realized for the tax deduction from stock options exercised during 2013, 2012 and 2011 totaled $0.6 million, $0.2 million and $0.2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for outstanding stock options of Accommodations’ employees at December 31,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88"/>
              </w:rPr>
              <w:t>Options Outstanding</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1067"/>
              <w:spacing w:after="0"/>
              <w:rPr>
                <w:sz w:val="20"/>
                <w:szCs w:val="20"/>
                <w:color w:val="auto"/>
              </w:rPr>
            </w:pPr>
            <w:r>
              <w:rPr>
                <w:rFonts w:ascii="Arial" w:cs="Arial" w:eastAsia="Arial" w:hAnsi="Arial"/>
                <w:sz w:val="15"/>
                <w:szCs w:val="15"/>
                <w:b w:val="1"/>
                <w:bCs w:val="1"/>
                <w:color w:val="auto"/>
              </w:rPr>
              <w:t>Options Exercisable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20"/>
              <w:spacing w:after="0" w:line="15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7"/>
              </w:rPr>
              <w:t>Average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107"/>
              <w:spacing w:after="0"/>
              <w:rPr>
                <w:sz w:val="20"/>
                <w:szCs w:val="20"/>
                <w:color w:val="auto"/>
              </w:rPr>
            </w:pPr>
            <w:r>
              <w:rPr>
                <w:rFonts w:ascii="Arial" w:cs="Arial" w:eastAsia="Arial" w:hAnsi="Arial"/>
                <w:sz w:val="15"/>
                <w:szCs w:val="15"/>
                <w:b w:val="1"/>
                <w:bCs w:val="1"/>
                <w:color w:val="auto"/>
                <w:w w:val="85"/>
              </w:rPr>
              <w:t>Weighted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00" w:type="dxa"/>
            <w:vAlign w:val="bottom"/>
          </w:tcPr>
          <w:p>
            <w:pPr>
              <w:jc w:val="right"/>
              <w:ind w:right="167"/>
              <w:spacing w:after="0"/>
              <w:rPr>
                <w:sz w:val="20"/>
                <w:szCs w:val="20"/>
                <w:color w:val="auto"/>
              </w:rPr>
            </w:pPr>
            <w:r>
              <w:rPr>
                <w:rFonts w:ascii="Arial" w:cs="Arial" w:eastAsia="Arial" w:hAnsi="Arial"/>
                <w:sz w:val="15"/>
                <w:szCs w:val="15"/>
                <w:b w:val="1"/>
                <w:bCs w:val="1"/>
                <w:color w:val="auto"/>
              </w:rPr>
              <w:t>Range of Exercise</w:t>
            </w:r>
          </w:p>
        </w:tc>
        <w:tc>
          <w:tcPr>
            <w:tcW w:w="300" w:type="dxa"/>
            <w:vAlign w:val="bottom"/>
          </w:tcPr>
          <w:p>
            <w:pPr>
              <w:spacing w:after="0"/>
              <w:rPr>
                <w:sz w:val="15"/>
                <w:szCs w:val="15"/>
                <w:color w:val="auto"/>
              </w:rPr>
            </w:pPr>
          </w:p>
        </w:tc>
        <w:tc>
          <w:tcPr>
            <w:tcW w:w="1900" w:type="dxa"/>
            <w:vAlign w:val="bottom"/>
            <w:gridSpan w:val="2"/>
          </w:tcPr>
          <w:p>
            <w:pPr>
              <w:ind w:left="140"/>
              <w:spacing w:after="0"/>
              <w:rPr>
                <w:sz w:val="20"/>
                <w:szCs w:val="20"/>
                <w:color w:val="auto"/>
              </w:rPr>
            </w:pPr>
            <w:r>
              <w:rPr>
                <w:rFonts w:ascii="Arial" w:cs="Arial" w:eastAsia="Arial" w:hAnsi="Arial"/>
                <w:sz w:val="15"/>
                <w:szCs w:val="15"/>
                <w:b w:val="1"/>
                <w:bCs w:val="1"/>
                <w:color w:val="auto"/>
              </w:rPr>
              <w:t>Number Outstanding</w:t>
            </w:r>
          </w:p>
        </w:tc>
        <w:tc>
          <w:tcPr>
            <w:tcW w:w="162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Remaining</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7"/>
              </w:rPr>
              <w:t>Weighted Average</w:t>
            </w:r>
          </w:p>
        </w:tc>
        <w:tc>
          <w:tcPr>
            <w:tcW w:w="1760" w:type="dxa"/>
            <w:vAlign w:val="bottom"/>
            <w:gridSpan w:val="2"/>
          </w:tcPr>
          <w:p>
            <w:pPr>
              <w:ind w:left="180"/>
              <w:spacing w:after="0"/>
              <w:rPr>
                <w:sz w:val="20"/>
                <w:szCs w:val="20"/>
                <w:color w:val="auto"/>
              </w:rPr>
            </w:pPr>
            <w:r>
              <w:rPr>
                <w:rFonts w:ascii="Arial" w:cs="Arial" w:eastAsia="Arial" w:hAnsi="Arial"/>
                <w:sz w:val="15"/>
                <w:szCs w:val="15"/>
                <w:b w:val="1"/>
                <w:bCs w:val="1"/>
                <w:color w:val="auto"/>
              </w:rPr>
              <w:t>Number Exercisable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107"/>
              <w:spacing w:after="0"/>
              <w:rPr>
                <w:sz w:val="20"/>
                <w:szCs w:val="20"/>
                <w:color w:val="auto"/>
              </w:rPr>
            </w:pPr>
            <w:r>
              <w:rPr>
                <w:rFonts w:ascii="Arial" w:cs="Arial" w:eastAsia="Arial" w:hAnsi="Arial"/>
                <w:sz w:val="15"/>
                <w:szCs w:val="15"/>
                <w:b w:val="1"/>
                <w:bCs w:val="1"/>
                <w:color w:val="auto"/>
                <w:w w:val="84"/>
              </w:rPr>
              <w:t>Average Exercise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b w:val="1"/>
                <w:bCs w:val="1"/>
                <w:color w:val="auto"/>
              </w:rPr>
              <w:t>Prices</w:t>
            </w:r>
          </w:p>
        </w:tc>
        <w:tc>
          <w:tcPr>
            <w:tcW w:w="300" w:type="dxa"/>
            <w:vAlign w:val="bottom"/>
          </w:tcPr>
          <w:p>
            <w:pPr>
              <w:spacing w:after="0"/>
              <w:rPr>
                <w:sz w:val="16"/>
                <w:szCs w:val="16"/>
                <w:color w:val="auto"/>
              </w:rPr>
            </w:pPr>
          </w:p>
        </w:tc>
        <w:tc>
          <w:tcPr>
            <w:tcW w:w="160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as of 12/31/2013</w:t>
            </w:r>
          </w:p>
        </w:tc>
        <w:tc>
          <w:tcPr>
            <w:tcW w:w="3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Contractual Life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b w:val="1"/>
                <w:bCs w:val="1"/>
                <w:color w:val="auto"/>
                <w:w w:val="85"/>
              </w:rPr>
              <w:t>Exercise Price</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as of 12/31/2013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87"/>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60" w:type="dxa"/>
            <w:vAlign w:val="bottom"/>
            <w:gridSpan w:val="2"/>
          </w:tcPr>
          <w:p>
            <w:pPr>
              <w:spacing w:after="0"/>
              <w:rPr>
                <w:sz w:val="14"/>
                <w:szCs w:val="14"/>
                <w:color w:val="auto"/>
              </w:rPr>
            </w:pPr>
          </w:p>
        </w:tc>
        <w:tc>
          <w:tcPr>
            <w:tcW w:w="2200" w:type="dxa"/>
            <w:vAlign w:val="bottom"/>
            <w:gridSpan w:val="3"/>
          </w:tcPr>
          <w:p>
            <w:pPr>
              <w:spacing w:after="0"/>
              <w:rPr>
                <w:sz w:val="14"/>
                <w:szCs w:val="14"/>
                <w:color w:val="auto"/>
              </w:rPr>
            </w:pPr>
          </w:p>
        </w:tc>
        <w:tc>
          <w:tcPr>
            <w:tcW w:w="1620" w:type="dxa"/>
            <w:vAlign w:val="bottom"/>
            <w:gridSpan w:val="2"/>
          </w:tcPr>
          <w:p>
            <w:pPr>
              <w:spacing w:after="0"/>
              <w:rPr>
                <w:sz w:val="14"/>
                <w:szCs w:val="14"/>
                <w:color w:val="auto"/>
              </w:rPr>
            </w:pPr>
          </w:p>
        </w:tc>
        <w:tc>
          <w:tcPr>
            <w:tcW w:w="440" w:type="dxa"/>
            <w:vAlign w:val="bottom"/>
            <w:gridSpan w:val="2"/>
          </w:tcPr>
          <w:p>
            <w:pPr>
              <w:spacing w:after="0"/>
              <w:rPr>
                <w:sz w:val="14"/>
                <w:szCs w:val="14"/>
                <w:color w:val="auto"/>
              </w:rPr>
            </w:pPr>
          </w:p>
        </w:tc>
        <w:tc>
          <w:tcPr>
            <w:tcW w:w="1740" w:type="dxa"/>
            <w:vAlign w:val="bottom"/>
            <w:gridSpan w:val="2"/>
          </w:tcPr>
          <w:p>
            <w:pPr>
              <w:spacing w:after="0"/>
              <w:rPr>
                <w:sz w:val="14"/>
                <w:szCs w:val="14"/>
                <w:color w:val="auto"/>
              </w:rPr>
            </w:pPr>
          </w:p>
        </w:tc>
        <w:tc>
          <w:tcPr>
            <w:tcW w:w="176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60" w:type="dxa"/>
            <w:vAlign w:val="bottom"/>
            <w:gridSpan w:val="2"/>
            <w:shd w:val="clear" w:color="auto" w:fill="CCEEFF"/>
          </w:tcPr>
          <w:p>
            <w:pPr>
              <w:jc w:val="right"/>
              <w:ind w:right="607"/>
              <w:spacing w:after="0"/>
              <w:rPr>
                <w:sz w:val="20"/>
                <w:szCs w:val="20"/>
                <w:color w:val="auto"/>
              </w:rPr>
            </w:pPr>
            <w:r>
              <w:rPr>
                <w:rFonts w:ascii="Arial" w:cs="Arial" w:eastAsia="Arial" w:hAnsi="Arial"/>
                <w:sz w:val="15"/>
                <w:szCs w:val="15"/>
                <w:color w:val="auto"/>
              </w:rPr>
              <w:t>$16.65 - $16.65</w:t>
            </w:r>
          </w:p>
        </w:tc>
        <w:tc>
          <w:tcPr>
            <w:tcW w:w="220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30,000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16.65</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jc w:val="right"/>
              <w:ind w:right="607"/>
              <w:spacing w:after="0"/>
              <w:rPr>
                <w:sz w:val="20"/>
                <w:szCs w:val="20"/>
                <w:color w:val="auto"/>
              </w:rPr>
            </w:pPr>
            <w:r>
              <w:rPr>
                <w:rFonts w:ascii="Arial" w:cs="Arial" w:eastAsia="Arial" w:hAnsi="Arial"/>
                <w:sz w:val="15"/>
                <w:szCs w:val="15"/>
                <w:color w:val="auto"/>
              </w:rPr>
              <w:t>$37.67 - $37.67</w:t>
            </w:r>
          </w:p>
        </w:tc>
        <w:tc>
          <w:tcPr>
            <w:tcW w:w="2200" w:type="dxa"/>
            <w:vAlign w:val="bottom"/>
            <w:gridSpan w:val="3"/>
          </w:tcPr>
          <w:p>
            <w:pPr>
              <w:jc w:val="right"/>
              <w:ind w:right="300"/>
              <w:spacing w:after="0"/>
              <w:rPr>
                <w:sz w:val="20"/>
                <w:szCs w:val="20"/>
                <w:color w:val="auto"/>
              </w:rPr>
            </w:pPr>
            <w:r>
              <w:rPr>
                <w:rFonts w:ascii="Arial" w:cs="Arial" w:eastAsia="Arial" w:hAnsi="Arial"/>
                <w:sz w:val="15"/>
                <w:szCs w:val="15"/>
                <w:color w:val="auto"/>
              </w:rPr>
              <w:t>51,000</w:t>
            </w:r>
          </w:p>
        </w:tc>
        <w:tc>
          <w:tcPr>
            <w:tcW w:w="1620" w:type="dxa"/>
            <w:vAlign w:val="bottom"/>
            <w:gridSpan w:val="2"/>
          </w:tcPr>
          <w:p>
            <w:pPr>
              <w:jc w:val="right"/>
              <w:ind w:right="20"/>
              <w:spacing w:after="0"/>
              <w:rPr>
                <w:sz w:val="20"/>
                <w:szCs w:val="20"/>
                <w:color w:val="auto"/>
              </w:rPr>
            </w:pPr>
            <w:r>
              <w:rPr>
                <w:rFonts w:ascii="Arial" w:cs="Arial" w:eastAsia="Arial" w:hAnsi="Arial"/>
                <w:sz w:val="15"/>
                <w:szCs w:val="15"/>
                <w:color w:val="auto"/>
              </w:rPr>
              <w:t>2.12</w:t>
            </w: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5"/>
                <w:szCs w:val="15"/>
                <w:color w:val="auto"/>
              </w:rPr>
              <w:t>37.67</w:t>
            </w:r>
          </w:p>
        </w:tc>
        <w:tc>
          <w:tcPr>
            <w:tcW w:w="1760" w:type="dxa"/>
            <w:vAlign w:val="bottom"/>
            <w:gridSpan w:val="2"/>
          </w:tcPr>
          <w:p>
            <w:pPr>
              <w:jc w:val="right"/>
              <w:ind w:right="140"/>
              <w:spacing w:after="0"/>
              <w:rPr>
                <w:sz w:val="20"/>
                <w:szCs w:val="20"/>
                <w:color w:val="auto"/>
              </w:rPr>
            </w:pPr>
            <w:r>
              <w:rPr>
                <w:rFonts w:ascii="Arial" w:cs="Arial" w:eastAsia="Arial" w:hAnsi="Arial"/>
                <w:sz w:val="15"/>
                <w:szCs w:val="15"/>
                <w:color w:val="auto"/>
              </w:rPr>
              <w:t>25,375</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37.67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bottom w:val="single" w:sz="8" w:color="CCEEFF"/>
            </w:tcBorders>
            <w:gridSpan w:val="2"/>
            <w:shd w:val="clear" w:color="auto" w:fill="CCEEFF"/>
          </w:tcPr>
          <w:p>
            <w:pPr>
              <w:jc w:val="right"/>
              <w:ind w:right="607"/>
              <w:spacing w:after="0"/>
              <w:rPr>
                <w:sz w:val="20"/>
                <w:szCs w:val="20"/>
                <w:color w:val="auto"/>
              </w:rPr>
            </w:pPr>
            <w:r>
              <w:rPr>
                <w:rFonts w:ascii="Arial" w:cs="Arial" w:eastAsia="Arial" w:hAnsi="Arial"/>
                <w:sz w:val="15"/>
                <w:szCs w:val="15"/>
                <w:color w:val="auto"/>
              </w:rPr>
              <w:t>$75.41 - $84.63</w:t>
            </w:r>
          </w:p>
        </w:tc>
        <w:tc>
          <w:tcPr>
            <w:tcW w:w="3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36,624</w:t>
            </w:r>
          </w:p>
        </w:tc>
        <w:tc>
          <w:tcPr>
            <w:tcW w:w="3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7.52</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77.31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3,250</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76.12</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60" w:type="dxa"/>
            <w:vAlign w:val="bottom"/>
            <w:gridSpan w:val="2"/>
          </w:tcPr>
          <w:p>
            <w:pPr>
              <w:jc w:val="right"/>
              <w:ind w:right="607"/>
              <w:spacing w:after="0" w:line="166" w:lineRule="exact"/>
              <w:rPr>
                <w:sz w:val="20"/>
                <w:szCs w:val="20"/>
                <w:color w:val="auto"/>
              </w:rPr>
            </w:pPr>
            <w:r>
              <w:rPr>
                <w:rFonts w:ascii="Arial" w:cs="Arial" w:eastAsia="Arial" w:hAnsi="Arial"/>
                <w:sz w:val="15"/>
                <w:szCs w:val="15"/>
                <w:color w:val="auto"/>
              </w:rPr>
              <w:t>$16.65 - $84.63</w:t>
            </w:r>
          </w:p>
        </w:tc>
        <w:tc>
          <w:tcPr>
            <w:tcW w:w="2200" w:type="dxa"/>
            <w:vAlign w:val="bottom"/>
            <w:gridSpan w:val="3"/>
          </w:tcPr>
          <w:p>
            <w:pPr>
              <w:jc w:val="right"/>
              <w:ind w:right="300"/>
              <w:spacing w:after="0" w:line="166" w:lineRule="exact"/>
              <w:rPr>
                <w:sz w:val="20"/>
                <w:szCs w:val="20"/>
                <w:color w:val="auto"/>
              </w:rPr>
            </w:pPr>
            <w:r>
              <w:rPr>
                <w:rFonts w:ascii="Arial" w:cs="Arial" w:eastAsia="Arial" w:hAnsi="Arial"/>
                <w:sz w:val="15"/>
                <w:szCs w:val="15"/>
                <w:color w:val="auto"/>
              </w:rPr>
              <w:t>117,624</w:t>
            </w:r>
          </w:p>
        </w:tc>
        <w:tc>
          <w:tcPr>
            <w:tcW w:w="162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3.55</w:t>
            </w:r>
          </w:p>
        </w:tc>
        <w:tc>
          <w:tcPr>
            <w:tcW w:w="4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300"/>
              <w:spacing w:after="0" w:line="166" w:lineRule="exact"/>
              <w:rPr>
                <w:sz w:val="20"/>
                <w:szCs w:val="20"/>
                <w:color w:val="auto"/>
              </w:rPr>
            </w:pPr>
            <w:r>
              <w:rPr>
                <w:rFonts w:ascii="Arial" w:cs="Arial" w:eastAsia="Arial" w:hAnsi="Arial"/>
                <w:sz w:val="15"/>
                <w:szCs w:val="15"/>
                <w:color w:val="auto"/>
              </w:rPr>
              <w:t>44.56</w:t>
            </w:r>
          </w:p>
        </w:tc>
        <w:tc>
          <w:tcPr>
            <w:tcW w:w="17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58,625</w:t>
            </w:r>
          </w:p>
        </w:tc>
        <w:tc>
          <w:tcPr>
            <w:tcW w:w="34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66" w:lineRule="exact"/>
              <w:rPr>
                <w:sz w:val="20"/>
                <w:szCs w:val="20"/>
                <w:color w:val="auto"/>
              </w:rPr>
            </w:pPr>
            <w:r>
              <w:rPr>
                <w:rFonts w:ascii="Arial" w:cs="Arial" w:eastAsia="Arial" w:hAnsi="Arial"/>
                <w:sz w:val="15"/>
                <w:szCs w:val="15"/>
                <w:color w:val="auto"/>
              </w:rPr>
              <w:t>29.05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0"/>
              </w:rPr>
              <w:t>F-25</w:t>
            </w: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-33020</wp:posOffset>
            </wp:positionV>
            <wp:extent cx="12700" cy="33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12700" cy="336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ectPr>
          <w:pgSz w:w="11900" w:h="16838" w:orient="portrait"/>
          <w:cols w:equalWidth="0" w:num="1">
            <w:col w:w="11480"/>
          </w:cols>
          <w:pgMar w:left="220" w:top="497" w:right="199"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Stock Awards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changes of restricted stock awards and related information for Accommodations’ employees for 2013:</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5"/>
                <w:szCs w:val="15"/>
                <w:b w:val="1"/>
                <w:bCs w:val="1"/>
                <w:color w:val="auto"/>
                <w:w w:val="91"/>
              </w:rPr>
              <w:t>Weighted Average Grant</w:t>
            </w:r>
          </w:p>
        </w:tc>
        <w:tc>
          <w:tcPr>
            <w:tcW w:w="10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87"/>
              <w:spacing w:after="0"/>
              <w:rPr>
                <w:sz w:val="20"/>
                <w:szCs w:val="20"/>
                <w:color w:val="auto"/>
              </w:rPr>
            </w:pPr>
            <w:r>
              <w:rPr>
                <w:rFonts w:ascii="Arial" w:cs="Arial" w:eastAsia="Arial" w:hAnsi="Arial"/>
                <w:sz w:val="15"/>
                <w:szCs w:val="15"/>
                <w:b w:val="1"/>
                <w:bCs w:val="1"/>
                <w:color w:val="auto"/>
                <w:w w:val="92"/>
              </w:rPr>
              <w:t>Date Fair Value Per</w:t>
            </w:r>
          </w:p>
        </w:tc>
        <w:tc>
          <w:tcPr>
            <w:tcW w:w="100" w:type="dxa"/>
            <w:vAlign w:val="bottom"/>
          </w:tcPr>
          <w:p>
            <w:pPr>
              <w:spacing w:after="0"/>
              <w:rPr>
                <w:sz w:val="15"/>
                <w:szCs w:val="15"/>
                <w:color w:val="auto"/>
              </w:rPr>
            </w:pPr>
          </w:p>
        </w:tc>
      </w:tr>
      <w:tr>
        <w:trPr>
          <w:trHeight w:val="189"/>
        </w:trPr>
        <w:tc>
          <w:tcPr>
            <w:tcW w:w="5780" w:type="dxa"/>
            <w:vAlign w:val="bottom"/>
          </w:tcPr>
          <w:p>
            <w:pPr>
              <w:spacing w:after="0"/>
              <w:rPr>
                <w:sz w:val="16"/>
                <w:szCs w:val="16"/>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Number of Awards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27"/>
              <w:spacing w:after="0"/>
              <w:rPr>
                <w:sz w:val="20"/>
                <w:szCs w:val="20"/>
                <w:color w:val="auto"/>
              </w:rPr>
            </w:pPr>
            <w:r>
              <w:rPr>
                <w:rFonts w:ascii="Arial" w:cs="Arial" w:eastAsia="Arial" w:hAnsi="Arial"/>
                <w:sz w:val="15"/>
                <w:szCs w:val="15"/>
                <w:b w:val="1"/>
                <w:bCs w:val="1"/>
                <w:color w:val="auto"/>
              </w:rPr>
              <w:t>Share</w:t>
            </w:r>
          </w:p>
        </w:tc>
        <w:tc>
          <w:tcPr>
            <w:tcW w:w="100" w:type="dxa"/>
            <w:vAlign w:val="bottom"/>
          </w:tcPr>
          <w:p>
            <w:pPr>
              <w:spacing w:after="0"/>
              <w:rPr>
                <w:sz w:val="16"/>
                <w:szCs w:val="16"/>
                <w:color w:val="auto"/>
              </w:rPr>
            </w:pPr>
          </w:p>
        </w:tc>
      </w:tr>
      <w:tr>
        <w:trPr>
          <w:trHeight w:val="167"/>
        </w:trPr>
        <w:tc>
          <w:tcPr>
            <w:tcW w:w="57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Nonvested shares at January 1, 2013</w:t>
            </w:r>
          </w:p>
        </w:tc>
        <w:tc>
          <w:tcPr>
            <w:tcW w:w="1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40,645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75.09</w:t>
            </w:r>
          </w:p>
        </w:tc>
        <w:tc>
          <w:tcPr>
            <w:tcW w:w="100" w:type="dxa"/>
            <w:vAlign w:val="bottom"/>
            <w:shd w:val="clear" w:color="auto" w:fill="CCEEFF"/>
          </w:tcPr>
          <w:p>
            <w:pPr>
              <w:spacing w:after="0"/>
              <w:rPr>
                <w:sz w:val="14"/>
                <w:szCs w:val="14"/>
                <w:color w:val="auto"/>
              </w:rPr>
            </w:pPr>
          </w:p>
        </w:tc>
      </w:tr>
      <w:tr>
        <w:trPr>
          <w:trHeight w:val="175"/>
        </w:trPr>
        <w:tc>
          <w:tcPr>
            <w:tcW w:w="5780" w:type="dxa"/>
            <w:vAlign w:val="bottom"/>
          </w:tcPr>
          <w:p>
            <w:pPr>
              <w:ind w:left="12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26,200</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80.25</w:t>
            </w:r>
          </w:p>
        </w:tc>
        <w:tc>
          <w:tcPr>
            <w:tcW w:w="100" w:type="dxa"/>
            <w:vAlign w:val="bottom"/>
          </w:tcPr>
          <w:p>
            <w:pPr>
              <w:spacing w:after="0"/>
              <w:rPr>
                <w:sz w:val="15"/>
                <w:szCs w:val="15"/>
                <w:color w:val="auto"/>
              </w:rPr>
            </w:pPr>
          </w:p>
        </w:tc>
      </w:tr>
      <w:tr>
        <w:trPr>
          <w:trHeight w:val="175"/>
        </w:trPr>
        <w:tc>
          <w:tcPr>
            <w:tcW w:w="5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Vested</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(12,674)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71.68</w:t>
            </w:r>
          </w:p>
        </w:tc>
        <w:tc>
          <w:tcPr>
            <w:tcW w:w="100" w:type="dxa"/>
            <w:vAlign w:val="bottom"/>
            <w:shd w:val="clear" w:color="auto" w:fill="CCEEFF"/>
          </w:tcPr>
          <w:p>
            <w:pPr>
              <w:spacing w:after="0"/>
              <w:rPr>
                <w:sz w:val="15"/>
                <w:szCs w:val="15"/>
                <w:color w:val="auto"/>
              </w:rPr>
            </w:pPr>
          </w:p>
        </w:tc>
      </w:tr>
      <w:tr>
        <w:trPr>
          <w:trHeight w:val="175"/>
        </w:trPr>
        <w:tc>
          <w:tcPr>
            <w:tcW w:w="5780" w:type="dxa"/>
            <w:vAlign w:val="bottom"/>
          </w:tcPr>
          <w:p>
            <w:pPr>
              <w:ind w:left="120"/>
              <w:spacing w:after="0"/>
              <w:rPr>
                <w:sz w:val="20"/>
                <w:szCs w:val="20"/>
                <w:color w:val="auto"/>
              </w:rPr>
            </w:pPr>
            <w:r>
              <w:rPr>
                <w:rFonts w:ascii="Arial" w:cs="Arial" w:eastAsia="Arial" w:hAnsi="Arial"/>
                <w:sz w:val="15"/>
                <w:szCs w:val="15"/>
                <w:color w:val="auto"/>
              </w:rPr>
              <w:t>Forfeited</w:t>
            </w:r>
          </w:p>
        </w:tc>
        <w:tc>
          <w:tcPr>
            <w:tcW w:w="1660" w:type="dxa"/>
            <w:vAlign w:val="bottom"/>
            <w:gridSpan w:val="2"/>
          </w:tcPr>
          <w:p>
            <w:pPr>
              <w:jc w:val="right"/>
              <w:ind w:right="60"/>
              <w:spacing w:after="0"/>
              <w:rPr>
                <w:sz w:val="20"/>
                <w:szCs w:val="20"/>
                <w:color w:val="auto"/>
              </w:rPr>
            </w:pPr>
            <w:r>
              <w:rPr>
                <w:rFonts w:ascii="Arial" w:cs="Arial" w:eastAsia="Arial" w:hAnsi="Arial"/>
                <w:sz w:val="15"/>
                <w:szCs w:val="15"/>
                <w:color w:val="auto"/>
              </w:rPr>
              <w:t>(750)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84.63</w:t>
            </w:r>
          </w:p>
        </w:tc>
        <w:tc>
          <w:tcPr>
            <w:tcW w:w="100" w:type="dxa"/>
            <w:vAlign w:val="bottom"/>
          </w:tcPr>
          <w:p>
            <w:pPr>
              <w:spacing w:after="0"/>
              <w:rPr>
                <w:sz w:val="15"/>
                <w:szCs w:val="15"/>
                <w:color w:val="auto"/>
              </w:rPr>
            </w:pPr>
          </w:p>
        </w:tc>
      </w:tr>
      <w:tr>
        <w:trPr>
          <w:trHeight w:val="206"/>
        </w:trPr>
        <w:tc>
          <w:tcPr>
            <w:tcW w:w="57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Nonvested shares at December 31, 2013</w:t>
            </w:r>
          </w:p>
        </w:tc>
        <w:tc>
          <w:tcPr>
            <w:tcW w:w="15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53,421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78.30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color w:val="auto"/>
        </w:rPr>
        <w:t>During 2013, Oil States granted restricted stock awards to Accommodations’ employees totaling 26,200 shares valued at a total of $2.1 million. All of the restricted stock awards granted to Accommodations’ employees vest in four equal annual installments beginning in February 2014. During 2013, Oil States also granted 70,500 units of phantom shares under the newly created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December 31, 2013, the balance of the liability for the phantom shares was $3.4 million. A total of 19,800 and 26,104 shares of restricted stock were awarded to Accommodations’ employees in 2012 and 2011, respectively, with aggregate values of $1.6 million and $2.0 million, respectively.</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weighted average grant date fair value per share for restricted stock awards granted in 2013, 2012 and 2011 was $80.25, $81.35 and $74.81, respectively. The total fair value of restricted stock awards vested in 2013, 2012 and 2011 was $1.0, $0.8 million and $0.4 million, respectively. As of December 31, 2013, there was $4.2 million of total compensation cost related to nonvested stock awards not yet recognized, which is expected to be recognized over a weighted average period of 2.4 years.</w:t>
      </w:r>
    </w:p>
    <w:p>
      <w:pPr>
        <w:spacing w:after="0" w:line="154" w:lineRule="exact"/>
        <w:rPr>
          <w:sz w:val="20"/>
          <w:szCs w:val="20"/>
          <w:color w:val="auto"/>
        </w:rPr>
      </w:pPr>
    </w:p>
    <w:p>
      <w:pPr>
        <w:ind w:left="380" w:hanging="373"/>
        <w:spacing w:after="0"/>
        <w:tabs>
          <w:tab w:leader="none" w:pos="380" w:val="left"/>
        </w:tabs>
        <w:numPr>
          <w:ilvl w:val="0"/>
          <w:numId w:val="341"/>
        </w:numPr>
        <w:rPr>
          <w:rFonts w:ascii="Arial" w:cs="Arial" w:eastAsia="Arial" w:hAnsi="Arial"/>
          <w:sz w:val="15"/>
          <w:szCs w:val="15"/>
          <w:b w:val="1"/>
          <w:bCs w:val="1"/>
          <w:color w:val="auto"/>
        </w:rPr>
      </w:pPr>
      <w:r>
        <w:rPr>
          <w:rFonts w:ascii="Arial" w:cs="Arial" w:eastAsia="Arial" w:hAnsi="Arial"/>
          <w:sz w:val="15"/>
          <w:szCs w:val="15"/>
          <w:b w:val="1"/>
          <w:bCs w:val="1"/>
          <w:color w:val="auto"/>
        </w:rPr>
        <w:t>Segment and 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current accounting standards regarding disclosures about segments of an enterprise and related information, Accommodations has identified the following reportable segments: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Canadian, Australian and U.S., which represent our strategic focus on work force accommodations.</w:t>
      </w:r>
    </w:p>
    <w:p>
      <w:pPr>
        <w:spacing w:after="0" w:line="168"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Financial information for our segment for each of the three years ended December 31, 2013, 2012 and 2011, is summarized in the following table in thousands. The accounting policies of the segment are the same as those described in the summary of significant accounting policies.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20"/>
          </w:cols>
          <w:pgMar w:left="220" w:top="496" w:right="259" w:bottom="1440" w:gutter="0" w:footer="0" w:header="0"/>
        </w:sectPr>
      </w:pPr>
    </w:p>
    <w:bookmarkStart w:id="386" w:name="page387"/>
    <w:bookmarkEnd w:id="386"/>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7"/>
              <w:spacing w:after="0"/>
              <w:rPr>
                <w:sz w:val="20"/>
                <w:szCs w:val="20"/>
                <w:color w:val="auto"/>
              </w:rPr>
            </w:pPr>
            <w:r>
              <w:rPr>
                <w:rFonts w:ascii="Arial" w:cs="Arial" w:eastAsia="Arial" w:hAnsi="Arial"/>
                <w:sz w:val="15"/>
                <w:szCs w:val="15"/>
                <w:b w:val="1"/>
                <w:bCs w:val="1"/>
                <w:color w:val="auto"/>
                <w:w w:val="84"/>
              </w:rPr>
              <w:t>Revenues from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Depreciation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7"/>
              <w:spacing w:after="0"/>
              <w:rPr>
                <w:sz w:val="20"/>
                <w:szCs w:val="20"/>
                <w:color w:val="auto"/>
              </w:rPr>
            </w:pPr>
            <w:r>
              <w:rPr>
                <w:rFonts w:ascii="Arial" w:cs="Arial" w:eastAsia="Arial" w:hAnsi="Arial"/>
                <w:sz w:val="15"/>
                <w:szCs w:val="15"/>
                <w:b w:val="1"/>
                <w:bCs w:val="1"/>
                <w:color w:val="auto"/>
                <w:w w:val="89"/>
              </w:rPr>
              <w:t>unaffiliated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Operating</w:t>
            </w:r>
          </w:p>
        </w:tc>
        <w:tc>
          <w:tcPr>
            <w:tcW w:w="1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Capital</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27"/>
              <w:spacing w:after="0"/>
              <w:rPr>
                <w:sz w:val="20"/>
                <w:szCs w:val="20"/>
                <w:color w:val="auto"/>
              </w:rPr>
            </w:pPr>
            <w:r>
              <w:rPr>
                <w:rFonts w:ascii="Arial" w:cs="Arial" w:eastAsia="Arial" w:hAnsi="Arial"/>
                <w:sz w:val="15"/>
                <w:szCs w:val="15"/>
                <w:b w:val="1"/>
                <w:bCs w:val="1"/>
                <w:color w:val="auto"/>
                <w:w w:val="84"/>
              </w:rPr>
              <w:t>customers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amortization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6"/>
              </w:rPr>
              <w:t>income (loss)</w:t>
            </w:r>
          </w:p>
        </w:tc>
        <w:tc>
          <w:tcPr>
            <w:tcW w:w="12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7"/>
              </w:rPr>
              <w:t>expenditures</w:t>
            </w: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Total assets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2013</w:t>
            </w: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color w:val="auto"/>
              </w:rPr>
              <w:t>Canadian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710,538</w:t>
            </w:r>
          </w:p>
        </w:tc>
        <w:tc>
          <w:tcPr>
            <w:tcW w:w="360" w:type="dxa"/>
            <w:vAlign w:val="bottom"/>
            <w:gridSpan w:val="2"/>
          </w:tcPr>
          <w:p>
            <w:pPr>
              <w:jc w:val="right"/>
              <w:ind w:right="8"/>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85,180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190,801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155,556</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997,542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Australian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255,457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64,691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75,197</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75,935</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894,227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U.S. and other.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75,109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17,488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(1,865)</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61,989</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234,049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Stand-alone adjustments and eliminations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(4,677)</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(1,786)</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tcPr>
          <w:p>
            <w:pPr>
              <w:ind w:left="120"/>
              <w:spacing w:after="0" w:line="166" w:lineRule="exact"/>
              <w:rPr>
                <w:sz w:val="20"/>
                <w:szCs w:val="20"/>
                <w:color w:val="auto"/>
              </w:rPr>
            </w:pPr>
            <w:r>
              <w:rPr>
                <w:rFonts w:ascii="Arial" w:cs="Arial" w:eastAsia="Arial" w:hAnsi="Arial"/>
                <w:sz w:val="15"/>
                <w:szCs w:val="15"/>
                <w:color w:val="auto"/>
              </w:rPr>
              <w:t>Accommodations Business of Oil States International, Inc.</w:t>
            </w:r>
          </w:p>
        </w:tc>
        <w:tc>
          <w:tcPr>
            <w:tcW w:w="10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6" w:lineRule="exact"/>
              <w:rPr>
                <w:sz w:val="20"/>
                <w:szCs w:val="20"/>
                <w:color w:val="auto"/>
              </w:rPr>
            </w:pPr>
            <w:r>
              <w:rPr>
                <w:rFonts w:ascii="Arial" w:cs="Arial" w:eastAsia="Arial" w:hAnsi="Arial"/>
                <w:sz w:val="15"/>
                <w:szCs w:val="15"/>
                <w:color w:val="auto"/>
              </w:rPr>
              <w:t>1,041,104</w:t>
            </w:r>
          </w:p>
        </w:tc>
        <w:tc>
          <w:tcPr>
            <w:tcW w:w="360" w:type="dxa"/>
            <w:vAlign w:val="bottom"/>
            <w:gridSpan w:val="2"/>
          </w:tcPr>
          <w:p>
            <w:pPr>
              <w:jc w:val="right"/>
              <w:ind w:right="8"/>
              <w:spacing w:after="0" w:line="166"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167,213</w:t>
            </w:r>
          </w:p>
        </w:tc>
        <w:tc>
          <w:tcPr>
            <w:tcW w:w="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259,456</w:t>
            </w:r>
          </w:p>
        </w:tc>
        <w:tc>
          <w:tcPr>
            <w:tcW w:w="12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291,694</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6" w:lineRule="exact"/>
              <w:rPr>
                <w:sz w:val="20"/>
                <w:szCs w:val="20"/>
                <w:color w:val="auto"/>
              </w:rPr>
            </w:pPr>
            <w:r>
              <w:rPr>
                <w:rFonts w:ascii="Arial" w:cs="Arial" w:eastAsia="Arial" w:hAnsi="Arial"/>
                <w:sz w:val="15"/>
                <w:szCs w:val="15"/>
                <w:color w:val="auto"/>
              </w:rPr>
              <w:t>2,127,050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Canadian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717,160</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226,403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106,835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954,295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color w:val="auto"/>
              </w:rPr>
              <w:t>Australian</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276,214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55,443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99,213</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145,766</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992,665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U.S. and other.</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115,501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12,402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31,358</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63,184</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178,229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color w:val="auto"/>
              </w:rPr>
              <w:t>Stand-alone adjustments and eliminations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(4,045)</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(1,738)</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3,706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380"/>
              <w:spacing w:after="0" w:line="166" w:lineRule="exact"/>
              <w:rPr>
                <w:sz w:val="20"/>
                <w:szCs w:val="20"/>
                <w:color w:val="auto"/>
              </w:rPr>
            </w:pPr>
            <w:r>
              <w:rPr>
                <w:rFonts w:ascii="Arial" w:cs="Arial" w:eastAsia="Arial" w:hAnsi="Arial"/>
                <w:sz w:val="15"/>
                <w:szCs w:val="15"/>
                <w:color w:val="auto"/>
              </w:rPr>
              <w:t>Accommodations Business of Oil States International, Inc.</w:t>
            </w:r>
          </w:p>
        </w:tc>
        <w:tc>
          <w:tcPr>
            <w:tcW w:w="1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1,108,875</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139,047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352,929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314,047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2,128,895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rPr>
              <w:t>2011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color w:val="auto"/>
              </w:rPr>
              <w:t>Canadian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579,857</w:t>
            </w:r>
          </w:p>
        </w:tc>
        <w:tc>
          <w:tcPr>
            <w:tcW w:w="360" w:type="dxa"/>
            <w:vAlign w:val="bottom"/>
            <w:gridSpan w:val="2"/>
          </w:tcPr>
          <w:p>
            <w:pPr>
              <w:jc w:val="right"/>
              <w:ind w:right="8"/>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54,281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162,323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173,194</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765,842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Australian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197,095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43,913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63,211</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154,080</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881,155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tcPr>
          <w:p>
            <w:pPr>
              <w:ind w:left="240"/>
              <w:spacing w:after="0"/>
              <w:rPr>
                <w:sz w:val="20"/>
                <w:szCs w:val="20"/>
                <w:color w:val="auto"/>
              </w:rPr>
            </w:pPr>
            <w:r>
              <w:rPr>
                <w:rFonts w:ascii="Arial" w:cs="Arial" w:eastAsia="Arial" w:hAnsi="Arial"/>
                <w:sz w:val="15"/>
                <w:szCs w:val="15"/>
                <w:color w:val="auto"/>
              </w:rPr>
              <w:t>U.S. and other</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87,749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12,511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19,554</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21,230</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143,101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Stand-alone adjustments and eliminations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(2,929)</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tcPr>
          <w:p>
            <w:pPr>
              <w:ind w:left="380"/>
              <w:spacing w:after="0" w:line="166" w:lineRule="exact"/>
              <w:rPr>
                <w:sz w:val="20"/>
                <w:szCs w:val="20"/>
                <w:color w:val="auto"/>
              </w:rPr>
            </w:pPr>
            <w:r>
              <w:rPr>
                <w:rFonts w:ascii="Arial" w:cs="Arial" w:eastAsia="Arial" w:hAnsi="Arial"/>
                <w:sz w:val="15"/>
                <w:szCs w:val="15"/>
                <w:color w:val="auto"/>
              </w:rPr>
              <w:t>Accommodations Business of Oil States International, Inc.</w:t>
            </w:r>
          </w:p>
        </w:tc>
        <w:tc>
          <w:tcPr>
            <w:tcW w:w="10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6" w:lineRule="exact"/>
              <w:rPr>
                <w:sz w:val="20"/>
                <w:szCs w:val="20"/>
                <w:color w:val="auto"/>
              </w:rPr>
            </w:pPr>
            <w:r>
              <w:rPr>
                <w:rFonts w:ascii="Arial" w:cs="Arial" w:eastAsia="Arial" w:hAnsi="Arial"/>
                <w:sz w:val="15"/>
                <w:szCs w:val="15"/>
                <w:color w:val="auto"/>
              </w:rPr>
              <w:t>864,701</w:t>
            </w:r>
          </w:p>
        </w:tc>
        <w:tc>
          <w:tcPr>
            <w:tcW w:w="360" w:type="dxa"/>
            <w:vAlign w:val="bottom"/>
            <w:gridSpan w:val="2"/>
          </w:tcPr>
          <w:p>
            <w:pPr>
              <w:jc w:val="right"/>
              <w:ind w:right="8"/>
              <w:spacing w:after="0" w:line="166"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110,708</w:t>
            </w:r>
          </w:p>
        </w:tc>
        <w:tc>
          <w:tcPr>
            <w:tcW w:w="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242,159</w:t>
            </w:r>
          </w:p>
        </w:tc>
        <w:tc>
          <w:tcPr>
            <w:tcW w:w="12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348,504</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6" w:lineRule="exact"/>
              <w:rPr>
                <w:sz w:val="20"/>
                <w:szCs w:val="20"/>
                <w:color w:val="auto"/>
              </w:rPr>
            </w:pPr>
            <w:r>
              <w:rPr>
                <w:rFonts w:ascii="Arial" w:cs="Arial" w:eastAsia="Arial" w:hAnsi="Arial"/>
                <w:sz w:val="15"/>
                <w:szCs w:val="15"/>
                <w:color w:val="auto"/>
              </w:rPr>
              <w:t>1,799,894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right="240"/>
        <w:spacing w:after="0" w:line="251" w:lineRule="auto"/>
        <w:rPr>
          <w:sz w:val="20"/>
          <w:szCs w:val="20"/>
          <w:color w:val="auto"/>
        </w:rPr>
      </w:pPr>
      <w:r>
        <w:rPr>
          <w:rFonts w:ascii="Arial" w:cs="Arial" w:eastAsia="Arial" w:hAnsi="Arial"/>
          <w:sz w:val="15"/>
          <w:szCs w:val="15"/>
          <w:color w:val="auto"/>
        </w:rPr>
        <w:t>Financial information by geographic segment for each of the three years ended December 31, 2013, 2012 and 2011,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9"/>
              </w:rPr>
              <w:t>United States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Canada</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Australia</w:t>
            </w:r>
          </w:p>
        </w:tc>
        <w:tc>
          <w:tcPr>
            <w:tcW w:w="140" w:type="dxa"/>
            <w:vAlign w:val="bottom"/>
          </w:tcPr>
          <w:p>
            <w:pPr>
              <w:spacing w:after="0"/>
              <w:rPr>
                <w:sz w:val="16"/>
                <w:szCs w:val="16"/>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and Other</w:t>
            </w:r>
          </w:p>
        </w:tc>
        <w:tc>
          <w:tcPr>
            <w:tcW w:w="260" w:type="dxa"/>
            <w:vAlign w:val="bottom"/>
          </w:tcPr>
          <w:p>
            <w:pPr>
              <w:spacing w:after="0"/>
              <w:rPr>
                <w:sz w:val="16"/>
                <w:szCs w:val="16"/>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167"/>
        </w:trPr>
        <w:tc>
          <w:tcPr>
            <w:tcW w:w="46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2013</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ind w:left="160"/>
              <w:spacing w:after="0"/>
              <w:rPr>
                <w:sz w:val="20"/>
                <w:szCs w:val="20"/>
                <w:color w:val="auto"/>
              </w:rPr>
            </w:pPr>
            <w:r>
              <w:rPr>
                <w:rFonts w:ascii="Arial" w:cs="Arial" w:eastAsia="Arial" w:hAnsi="Arial"/>
                <w:sz w:val="15"/>
                <w:szCs w:val="15"/>
                <w:color w:val="auto"/>
              </w:rPr>
              <w:t>Revenues from unaffiliated customers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710,538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255,457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75,109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1,041,104</w:t>
            </w:r>
          </w:p>
        </w:tc>
      </w:tr>
      <w:tr>
        <w:trPr>
          <w:trHeight w:val="175"/>
        </w:trPr>
        <w:tc>
          <w:tcPr>
            <w:tcW w:w="4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Long-lived assets</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664,466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810,645</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198,594</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1,673,705</w:t>
            </w:r>
          </w:p>
        </w:tc>
      </w:tr>
      <w:tr>
        <w:trPr>
          <w:trHeight w:val="175"/>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2012</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ind w:left="160"/>
              <w:spacing w:after="0"/>
              <w:rPr>
                <w:sz w:val="20"/>
                <w:szCs w:val="20"/>
                <w:color w:val="auto"/>
              </w:rPr>
            </w:pPr>
            <w:r>
              <w:rPr>
                <w:rFonts w:ascii="Arial" w:cs="Arial" w:eastAsia="Arial" w:hAnsi="Arial"/>
                <w:sz w:val="15"/>
                <w:szCs w:val="15"/>
                <w:color w:val="auto"/>
              </w:rPr>
              <w:t>Revenues from unaffiliated customers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717,160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276,214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115,501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1,108,875</w:t>
            </w:r>
          </w:p>
        </w:tc>
      </w:tr>
      <w:tr>
        <w:trPr>
          <w:trHeight w:val="175"/>
        </w:trPr>
        <w:tc>
          <w:tcPr>
            <w:tcW w:w="4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Long-lived assets</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634,616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932,155</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158,729</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1,725,500</w:t>
            </w:r>
          </w:p>
        </w:tc>
      </w:tr>
      <w:tr>
        <w:trPr>
          <w:trHeight w:val="175"/>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2011</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640" w:type="dxa"/>
            <w:vAlign w:val="bottom"/>
          </w:tcPr>
          <w:p>
            <w:pPr>
              <w:ind w:left="160"/>
              <w:spacing w:after="0"/>
              <w:rPr>
                <w:sz w:val="20"/>
                <w:szCs w:val="20"/>
                <w:color w:val="auto"/>
              </w:rPr>
            </w:pPr>
            <w:r>
              <w:rPr>
                <w:rFonts w:ascii="Arial" w:cs="Arial" w:eastAsia="Arial" w:hAnsi="Arial"/>
                <w:sz w:val="15"/>
                <w:szCs w:val="15"/>
                <w:color w:val="auto"/>
              </w:rPr>
              <w:t>Revenues from unaffiliated customers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579,550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197,095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88,056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864,701</w:t>
            </w:r>
          </w:p>
        </w:tc>
      </w:tr>
      <w:tr>
        <w:trPr>
          <w:trHeight w:val="175"/>
        </w:trPr>
        <w:tc>
          <w:tcPr>
            <w:tcW w:w="4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Long-lived assets</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592,003</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827,271</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109,677</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1,528,951</w:t>
            </w:r>
          </w:p>
        </w:tc>
      </w:tr>
    </w:tbl>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Imperial Oil accounted for more than 10% of Accommodations’ revenues in the years ended December 31, 2013, 2012 and 2011. BHP Billiton Mitsubishi Alliance accounted for more than 10% of Accommodations’ revenues in the years ended December 31, 2013 and 2011. Suncor Energy Oil Sands LP accounted for more than 10% of Accommodations’ revenues in the year ended December 31, 2011.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7" w:name="page388"/>
    <w:bookmarkEnd w:id="387"/>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gridSpan w:val="2"/>
          </w:tcPr>
          <w:p>
            <w:pPr>
              <w:spacing w:after="0"/>
              <w:rPr>
                <w:sz w:val="20"/>
                <w:szCs w:val="20"/>
                <w:color w:val="auto"/>
              </w:rPr>
            </w:pPr>
            <w:r>
              <w:rPr>
                <w:rFonts w:ascii="Arial" w:cs="Arial" w:eastAsia="Arial" w:hAnsi="Arial"/>
                <w:sz w:val="15"/>
                <w:szCs w:val="15"/>
                <w:b w:val="1"/>
                <w:bCs w:val="1"/>
                <w:color w:val="auto"/>
              </w:rPr>
              <w:t>15.  Asset Retirement Obligations</w:t>
            </w:r>
          </w:p>
        </w:tc>
        <w:tc>
          <w:tcPr>
            <w:tcW w:w="2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6000" w:type="dxa"/>
            <w:vAlign w:val="bottom"/>
            <w:gridSpan w:val="2"/>
          </w:tcPr>
          <w:p>
            <w:pPr>
              <w:spacing w:after="0"/>
              <w:rPr>
                <w:sz w:val="20"/>
                <w:szCs w:val="20"/>
                <w:color w:val="auto"/>
              </w:rPr>
            </w:pPr>
            <w:r>
              <w:rPr>
                <w:rFonts w:ascii="Arial" w:cs="Arial" w:eastAsia="Arial" w:hAnsi="Arial"/>
                <w:sz w:val="15"/>
                <w:szCs w:val="15"/>
                <w:color w:val="auto"/>
              </w:rPr>
              <w:t>Asset retirement obligations at December 31 were (in thousands):</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2013</w:t>
            </w: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980" w:type="dxa"/>
            <w:vAlign w:val="bottom"/>
          </w:tcPr>
          <w:p>
            <w:pPr>
              <w:spacing w:after="0"/>
              <w:rPr>
                <w:sz w:val="14"/>
                <w:szCs w:val="14"/>
                <w:color w:val="auto"/>
              </w:rPr>
            </w:pPr>
          </w:p>
        </w:tc>
        <w:tc>
          <w:tcPr>
            <w:tcW w:w="31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Asset retirement obligations</w:t>
            </w:r>
          </w:p>
        </w:tc>
        <w:tc>
          <w:tcPr>
            <w:tcW w:w="3180" w:type="dxa"/>
            <w:vAlign w:val="bottom"/>
            <w:gridSpan w:val="2"/>
            <w:shd w:val="clear" w:color="auto" w:fill="CCEEFF"/>
          </w:tcPr>
          <w:p>
            <w:pPr>
              <w:jc w:val="right"/>
              <w:ind w:right="887"/>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6,095</w:t>
            </w:r>
          </w:p>
        </w:tc>
        <w:tc>
          <w:tcPr>
            <w:tcW w:w="560" w:type="dxa"/>
            <w:vAlign w:val="bottom"/>
            <w:gridSpan w:val="2"/>
            <w:shd w:val="clear" w:color="auto" w:fill="CCEEFF"/>
          </w:tcPr>
          <w:p>
            <w:pPr>
              <w:jc w:val="right"/>
              <w:ind w:right="208"/>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5,518</w:t>
            </w:r>
          </w:p>
        </w:tc>
        <w:tc>
          <w:tcPr>
            <w:tcW w:w="0" w:type="dxa"/>
            <w:vAlign w:val="bottom"/>
          </w:tcPr>
          <w:p>
            <w:pPr>
              <w:spacing w:after="0"/>
              <w:rPr>
                <w:sz w:val="1"/>
                <w:szCs w:val="1"/>
                <w:color w:val="auto"/>
              </w:rPr>
            </w:pPr>
          </w:p>
        </w:tc>
      </w:tr>
      <w:tr>
        <w:trPr>
          <w:trHeight w:val="175"/>
        </w:trPr>
        <w:tc>
          <w:tcPr>
            <w:tcW w:w="6000" w:type="dxa"/>
            <w:vAlign w:val="bottom"/>
            <w:gridSpan w:val="2"/>
          </w:tcPr>
          <w:p>
            <w:pPr>
              <w:spacing w:after="0"/>
              <w:rPr>
                <w:sz w:val="20"/>
                <w:szCs w:val="20"/>
                <w:color w:val="auto"/>
              </w:rPr>
            </w:pPr>
            <w:r>
              <w:rPr>
                <w:rFonts w:ascii="Arial" w:cs="Arial" w:eastAsia="Arial" w:hAnsi="Arial"/>
                <w:sz w:val="15"/>
                <w:szCs w:val="15"/>
                <w:color w:val="auto"/>
              </w:rPr>
              <w:t>Asset retirement obligations due within one year*</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Long-term asset retirement obligations</w:t>
            </w:r>
          </w:p>
        </w:tc>
        <w:tc>
          <w:tcPr>
            <w:tcW w:w="2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7"/>
              <w:spacing w:after="0" w:line="16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6,095</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5,518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color w:val="auto"/>
        </w:rPr>
        <w:t>*</w:t>
        <w:tab/>
        <w:t>Classified as a current liability on the combined balance sheets, under the caption “Other accruals.”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Retirement Obligations</w:t>
      </w:r>
    </w:p>
    <w:p>
      <w:pPr>
        <w:spacing w:after="0" w:line="17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5"/>
          <w:szCs w:val="15"/>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During 2013 and 2012, our overall asset retirement obligation changed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2013</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44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Balance at January 1</w:t>
            </w:r>
          </w:p>
        </w:tc>
        <w:tc>
          <w:tcPr>
            <w:tcW w:w="4480" w:type="dxa"/>
            <w:vAlign w:val="bottom"/>
            <w:gridSpan w:val="2"/>
            <w:shd w:val="clear" w:color="auto" w:fill="CCEEFF"/>
          </w:tcPr>
          <w:p>
            <w:pPr>
              <w:jc w:val="right"/>
              <w:ind w:right="887"/>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5,518</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4,615</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Accretion of discount</w:t>
            </w:r>
          </w:p>
        </w:tc>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350</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1">
            <w:col w:w="11460"/>
          </w:cols>
          <w:pgMar w:left="220" w:top="496" w:right="219" w:bottom="1440" w:gutter="0" w:footer="0" w:header="0"/>
        </w:sectPr>
      </w:pPr>
    </w:p>
    <w:p>
      <w:pPr>
        <w:spacing w:after="0"/>
        <w:rPr>
          <w:sz w:val="20"/>
          <w:szCs w:val="20"/>
          <w:color w:val="auto"/>
        </w:rPr>
      </w:pPr>
      <w:r>
        <w:rPr>
          <w:rFonts w:ascii="Arial" w:cs="Arial" w:eastAsia="Arial" w:hAnsi="Arial"/>
          <w:sz w:val="15"/>
          <w:szCs w:val="15"/>
          <w:color w:val="auto"/>
        </w:rPr>
        <w:t>New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Changes in estimates of existing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translation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Balance at December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566</w:t>
            </w:r>
          </w:p>
        </w:tc>
        <w:tc>
          <w:tcPr>
            <w:tcW w:w="6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34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491</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(373)</w:t>
            </w:r>
          </w:p>
        </w:tc>
        <w:tc>
          <w:tcPr>
            <w:tcW w:w="6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107</w:t>
            </w:r>
          </w:p>
        </w:tc>
      </w:tr>
      <w:tr>
        <w:trPr>
          <w:trHeight w:val="167"/>
        </w:trPr>
        <w:tc>
          <w:tcPr>
            <w:tcW w:w="20" w:type="dxa"/>
            <w:vAlign w:val="bottom"/>
            <w:tcBorders>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6,095</w:t>
            </w: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5,518</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-582295</wp:posOffset>
            </wp:positionV>
            <wp:extent cx="7272655" cy="1111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-360045</wp:posOffset>
            </wp:positionV>
            <wp:extent cx="7272655" cy="1111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2655" cy="11112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-131445</wp:posOffset>
            </wp:positionV>
            <wp:extent cx="7272655" cy="1320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2655" cy="132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320"/>
          </w:cols>
          <w:pgMar w:left="220" w:top="496" w:right="219" w:bottom="1440" w:gutter="0" w:footer="0" w:header="0"/>
          <w:type w:val="continuous"/>
        </w:sectPr>
      </w:pPr>
    </w:p>
    <w:p>
      <w:pPr>
        <w:spacing w:after="0" w:line="135" w:lineRule="exact"/>
        <w:rPr>
          <w:sz w:val="20"/>
          <w:szCs w:val="20"/>
          <w:color w:val="auto"/>
        </w:rPr>
      </w:pPr>
    </w:p>
    <w:p>
      <w:pPr>
        <w:ind w:left="380" w:hanging="373"/>
        <w:spacing w:after="0"/>
        <w:tabs>
          <w:tab w:leader="none" w:pos="380" w:val="left"/>
        </w:tabs>
        <w:numPr>
          <w:ilvl w:val="0"/>
          <w:numId w:val="342"/>
        </w:numPr>
        <w:rPr>
          <w:rFonts w:ascii="Arial" w:cs="Arial" w:eastAsia="Arial" w:hAnsi="Arial"/>
          <w:sz w:val="15"/>
          <w:szCs w:val="15"/>
          <w:b w:val="1"/>
          <w:bCs w:val="1"/>
          <w:color w:val="auto"/>
        </w:rPr>
      </w:pPr>
      <w:r>
        <w:rPr>
          <w:rFonts w:ascii="Arial" w:cs="Arial" w:eastAsia="Arial" w:hAnsi="Arial"/>
          <w:sz w:val="15"/>
          <w:szCs w:val="15"/>
          <w:b w:val="1"/>
          <w:bCs w:val="1"/>
          <w:color w:val="auto"/>
        </w:rPr>
        <w:t>Parent Company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combined financial statements have been prepared on a stand-alone basis and are derived from the consolidated financial statements and accounting records of Oil States</w:t>
      </w:r>
    </w:p>
    <w:p>
      <w:pPr>
        <w:spacing w:after="0" w:line="189" w:lineRule="exact"/>
        <w:rPr>
          <w:sz w:val="20"/>
          <w:szCs w:val="20"/>
          <w:color w:val="auto"/>
        </w:rPr>
      </w:pPr>
    </w:p>
    <w:p>
      <w:pPr>
        <w:ind w:right="260"/>
        <w:spacing w:after="0" w:line="383" w:lineRule="auto"/>
        <w:rPr>
          <w:sz w:val="20"/>
          <w:szCs w:val="20"/>
          <w:color w:val="auto"/>
        </w:rPr>
      </w:pPr>
      <w:r>
        <w:rPr>
          <w:rFonts w:ascii="Arial" w:cs="Arial" w:eastAsia="Arial" w:hAnsi="Arial"/>
          <w:sz w:val="12"/>
          <w:szCs w:val="12"/>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Parent Company Services Provided and Corporate Allocations</w:t>
      </w:r>
    </w:p>
    <w:p>
      <w:pPr>
        <w:spacing w:after="0" w:line="177" w:lineRule="exact"/>
        <w:rPr>
          <w:sz w:val="20"/>
          <w:szCs w:val="20"/>
          <w:color w:val="auto"/>
        </w:rPr>
      </w:pPr>
    </w:p>
    <w:p>
      <w:pPr>
        <w:ind w:right="280"/>
        <w:spacing w:after="0" w:line="330" w:lineRule="auto"/>
        <w:rPr>
          <w:sz w:val="20"/>
          <w:szCs w:val="20"/>
          <w:color w:val="auto"/>
        </w:rPr>
      </w:pPr>
      <w:r>
        <w:rPr>
          <w:rFonts w:ascii="Arial" w:cs="Arial" w:eastAsia="Arial" w:hAnsi="Arial"/>
          <w:sz w:val="12"/>
          <w:szCs w:val="12"/>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2013, 2012 and 2011, $130.2 million, $88.9 million and $41.0 million, respectively, of expenditures for services received from Oil States or funding for expenditures provided by Oil States were included in the combined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type w:val="continuous"/>
        </w:sectPr>
      </w:pPr>
    </w:p>
    <w:bookmarkStart w:id="388" w:name="page389"/>
    <w:bookmarkEnd w:id="388"/>
    <w:p>
      <w:pPr>
        <w:jc w:val="center"/>
        <w:ind w:right="4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2013, 2012 and 2011, we were allocated $6.1 million, $5.0 million and $3.9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operating income, headcount or other relevant measures of Accommodations and Oil States and its other subsidiaries.</w:t>
      </w:r>
    </w:p>
    <w:p>
      <w:pPr>
        <w:spacing w:after="0" w:line="147"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Oil States Net Investment</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Net transfers to Oil States are included within Oil States net investment on the combined statements of net investment. The components of the change in Oil States net investment for the years ended December 31, 2013, 2012 and 2011 are as follows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2012</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r>
      <w:tr>
        <w:trPr>
          <w:trHeight w:val="167"/>
        </w:trPr>
        <w:tc>
          <w:tcPr>
            <w:tcW w:w="5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r>
      <w:tr>
        <w:trPr>
          <w:trHeight w:val="175"/>
        </w:trPr>
        <w:tc>
          <w:tcPr>
            <w:tcW w:w="5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transfers and general financing activities</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29,098</w:t>
            </w:r>
          </w:p>
        </w:tc>
        <w:tc>
          <w:tcPr>
            <w:tcW w:w="980" w:type="dxa"/>
            <w:vAlign w:val="bottom"/>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(75,457)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(58,768)</w:t>
            </w:r>
          </w:p>
        </w:tc>
      </w:tr>
      <w:tr>
        <w:trPr>
          <w:trHeight w:val="175"/>
        </w:trPr>
        <w:tc>
          <w:tcPr>
            <w:tcW w:w="5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175"/>
        </w:trPr>
        <w:tc>
          <w:tcPr>
            <w:tcW w:w="5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Services received or funding for expenditures</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9"/>
              </w:rPr>
              <w:t>130,159</w:t>
            </w:r>
          </w:p>
        </w:tc>
        <w:tc>
          <w:tcPr>
            <w:tcW w:w="9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88,877</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40,993</w:t>
            </w:r>
          </w:p>
        </w:tc>
      </w:tr>
      <w:tr>
        <w:trPr>
          <w:trHeight w:val="175"/>
        </w:trPr>
        <w:tc>
          <w:tcPr>
            <w:tcW w:w="5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175"/>
        </w:trPr>
        <w:tc>
          <w:tcPr>
            <w:tcW w:w="5760" w:type="dxa"/>
            <w:vAlign w:val="bottom"/>
            <w:shd w:val="clear" w:color="auto" w:fill="CCEEFF"/>
          </w:tcPr>
          <w:p>
            <w:pPr>
              <w:ind w:left="380"/>
              <w:spacing w:after="0" w:line="175" w:lineRule="exact"/>
              <w:rPr>
                <w:sz w:val="20"/>
                <w:szCs w:val="20"/>
                <w:color w:val="auto"/>
              </w:rPr>
            </w:pPr>
            <w:r>
              <w:rPr>
                <w:rFonts w:ascii="Arial" w:cs="Arial" w:eastAsia="Arial" w:hAnsi="Arial"/>
                <w:sz w:val="13"/>
                <w:szCs w:val="13"/>
                <w:color w:val="auto"/>
              </w:rPr>
              <w:t>Corporate allocations, including income tax provision</w:t>
            </w:r>
            <w:r>
              <w:rPr>
                <w:rFonts w:ascii="Arial" w:cs="Arial" w:eastAsia="Arial" w:hAnsi="Arial"/>
                <w:sz w:val="20"/>
                <w:szCs w:val="20"/>
                <w:color w:val="auto"/>
                <w:vertAlign w:val="superscript"/>
              </w:rPr>
              <w:t>(1)</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7,216</w:t>
            </w:r>
          </w:p>
        </w:tc>
        <w:tc>
          <w:tcPr>
            <w:tcW w:w="9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13,148</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8,420</w:t>
            </w:r>
          </w:p>
        </w:tc>
      </w:tr>
      <w:tr>
        <w:trPr>
          <w:trHeight w:val="175"/>
        </w:trPr>
        <w:tc>
          <w:tcPr>
            <w:tcW w:w="5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175"/>
        </w:trPr>
        <w:tc>
          <w:tcPr>
            <w:tcW w:w="5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transfers for acquisitions</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5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206"/>
        </w:trPr>
        <w:tc>
          <w:tcPr>
            <w:tcW w:w="5760" w:type="dxa"/>
            <w:vAlign w:val="bottom"/>
            <w:tcBorders>
              <w:bottom w:val="single" w:sz="8" w:color="CCEEFF"/>
            </w:tcBorders>
            <w:shd w:val="clear" w:color="auto" w:fill="CCEEFF"/>
          </w:tcPr>
          <w:p>
            <w:pPr>
              <w:ind w:left="380"/>
              <w:spacing w:after="0" w:line="166" w:lineRule="exact"/>
              <w:rPr>
                <w:sz w:val="20"/>
                <w:szCs w:val="20"/>
                <w:color w:val="auto"/>
              </w:rPr>
            </w:pPr>
            <w:r>
              <w:rPr>
                <w:rFonts w:ascii="Arial" w:cs="Arial" w:eastAsia="Arial" w:hAnsi="Arial"/>
                <w:sz w:val="15"/>
                <w:szCs w:val="15"/>
                <w:color w:val="auto"/>
              </w:rPr>
              <w:t>Net Increase (decrease) in Oil States net investment</w:t>
            </w:r>
          </w:p>
        </w:tc>
        <w:tc>
          <w:tcPr>
            <w:tcW w:w="980" w:type="dxa"/>
            <w:vAlign w:val="bottom"/>
            <w:tcBorders>
              <w:top w:val="single" w:sz="8" w:color="auto"/>
              <w:bottom w:val="single" w:sz="8" w:color="auto"/>
            </w:tcBorders>
            <w:shd w:val="clear" w:color="auto" w:fill="CCEEFF"/>
          </w:tcPr>
          <w:p>
            <w:pPr>
              <w:jc w:val="right"/>
              <w:ind w:right="827"/>
              <w:spacing w:after="0" w:line="16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166,473</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26,568</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line="166"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(9,355)</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2834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30" w:lineRule="exact"/>
        <w:rPr>
          <w:sz w:val="20"/>
          <w:szCs w:val="20"/>
          <w:color w:val="auto"/>
        </w:rPr>
      </w:pPr>
    </w:p>
    <w:p>
      <w:pPr>
        <w:ind w:left="260" w:right="20" w:hanging="253"/>
        <w:spacing w:after="0" w:line="343" w:lineRule="auto"/>
        <w:tabs>
          <w:tab w:leader="none" w:pos="26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Corporate allocations includes the general corporate expense allocations of $6.1 million, $5.0 million and $3.9 million for the years ended December 31, 2013, 2012 and 2011,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89" w:name="page390"/>
    <w:bookmarkEnd w:id="389"/>
    <w:p>
      <w:pPr>
        <w:jc w:val="center"/>
        <w:ind w:right="20"/>
        <w:spacing w:after="0"/>
        <w:rPr>
          <w:sz w:val="20"/>
          <w:szCs w:val="20"/>
          <w:color w:val="auto"/>
        </w:rPr>
      </w:pPr>
      <w:r>
        <w:rPr>
          <w:rFonts w:ascii="Arial" w:cs="Arial" w:eastAsia="Arial" w:hAnsi="Arial"/>
          <w:sz w:val="15"/>
          <w:szCs w:val="15"/>
          <w:b w:val="1"/>
          <w:bCs w:val="1"/>
          <w:color w:val="auto"/>
        </w:rPr>
        <w:t>ACCOMMODATIONS BUSINESS OF OIL STATES INTERNATIONAL,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COMBINED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20"/>
                <w:szCs w:val="20"/>
                <w:color w:val="auto"/>
              </w:rPr>
            </w:pPr>
            <w:r>
              <w:rPr>
                <w:rFonts w:ascii="Arial" w:cs="Arial" w:eastAsia="Arial" w:hAnsi="Arial"/>
                <w:sz w:val="15"/>
                <w:szCs w:val="15"/>
                <w:b w:val="1"/>
                <w:bCs w:val="1"/>
                <w:color w:val="auto"/>
              </w:rPr>
              <w:t>17.   Valuation Allowances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0"/>
        </w:trPr>
        <w:tc>
          <w:tcPr>
            <w:tcW w:w="4240" w:type="dxa"/>
            <w:vAlign w:val="bottom"/>
          </w:tcPr>
          <w:p>
            <w:pPr>
              <w:spacing w:after="0"/>
              <w:rPr>
                <w:sz w:val="20"/>
                <w:szCs w:val="20"/>
                <w:color w:val="auto"/>
              </w:rPr>
            </w:pPr>
            <w:r>
              <w:rPr>
                <w:rFonts w:ascii="Arial" w:cs="Arial" w:eastAsia="Arial" w:hAnsi="Arial"/>
                <w:sz w:val="15"/>
                <w:szCs w:val="15"/>
                <w:color w:val="auto"/>
              </w:rPr>
              <w:t>Activity in the valuation accounts was as follows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4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Balance at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Charged to</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5"/>
              </w:rPr>
              <w:t>Deductions</w:t>
            </w: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Translation</w:t>
            </w: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Balance at</w:t>
            </w:r>
          </w:p>
        </w:tc>
      </w:tr>
      <w:tr>
        <w:trPr>
          <w:trHeight w:val="175"/>
        </w:trPr>
        <w:tc>
          <w:tcPr>
            <w:tcW w:w="4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Beginning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2"/>
              </w:rPr>
              <w:t>Costs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(net of</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and Other,</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End of</w:t>
            </w:r>
          </w:p>
        </w:tc>
      </w:tr>
      <w:tr>
        <w:trPr>
          <w:trHeight w:val="189"/>
        </w:trPr>
        <w:tc>
          <w:tcPr>
            <w:tcW w:w="4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of Period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2"/>
              </w:rPr>
              <w:t>Expenses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4"/>
              </w:rPr>
              <w:t>recoveries)</w:t>
            </w: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Net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Period</w:t>
            </w:r>
          </w:p>
        </w:tc>
      </w:tr>
      <w:tr>
        <w:trPr>
          <w:trHeight w:val="167"/>
        </w:trPr>
        <w:tc>
          <w:tcPr>
            <w:tcW w:w="42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Year Ended December 31, 2013:</w:t>
            </w: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4240" w:type="dxa"/>
            <w:vAlign w:val="bottom"/>
          </w:tcPr>
          <w:p>
            <w:pPr>
              <w:spacing w:after="0"/>
              <w:rPr>
                <w:sz w:val="20"/>
                <w:szCs w:val="20"/>
                <w:color w:val="auto"/>
              </w:rPr>
            </w:pPr>
            <w:r>
              <w:rPr>
                <w:rFonts w:ascii="Arial" w:cs="Arial" w:eastAsia="Arial" w:hAnsi="Arial"/>
                <w:sz w:val="15"/>
                <w:szCs w:val="15"/>
                <w:color w:val="auto"/>
              </w:rPr>
              <w:t>Allowance for doubtful accounts receivable</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1,118</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2,628</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(83)</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3,656</w:t>
            </w:r>
          </w:p>
        </w:tc>
      </w:tr>
      <w:tr>
        <w:trPr>
          <w:trHeight w:val="175"/>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 2012:</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240" w:type="dxa"/>
            <w:vAlign w:val="bottom"/>
          </w:tcPr>
          <w:p>
            <w:pPr>
              <w:spacing w:after="0"/>
              <w:rPr>
                <w:sz w:val="20"/>
                <w:szCs w:val="20"/>
                <w:color w:val="auto"/>
              </w:rPr>
            </w:pPr>
            <w:r>
              <w:rPr>
                <w:rFonts w:ascii="Arial" w:cs="Arial" w:eastAsia="Arial" w:hAnsi="Arial"/>
                <w:sz w:val="15"/>
                <w:szCs w:val="15"/>
                <w:color w:val="auto"/>
              </w:rPr>
              <w:t>Allowance for doubtful accounts receivable</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1,604</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174</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(665)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5</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1,118</w:t>
            </w:r>
          </w:p>
        </w:tc>
      </w:tr>
      <w:tr>
        <w:trPr>
          <w:trHeight w:val="175"/>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 2011:</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4240" w:type="dxa"/>
            <w:vAlign w:val="bottom"/>
          </w:tcPr>
          <w:p>
            <w:pPr>
              <w:spacing w:after="0"/>
              <w:rPr>
                <w:sz w:val="20"/>
                <w:szCs w:val="20"/>
                <w:color w:val="auto"/>
              </w:rPr>
            </w:pPr>
            <w:r>
              <w:rPr>
                <w:rFonts w:ascii="Arial" w:cs="Arial" w:eastAsia="Arial" w:hAnsi="Arial"/>
                <w:sz w:val="15"/>
                <w:szCs w:val="15"/>
                <w:color w:val="auto"/>
              </w:rPr>
              <w:t>Allowance for doubtful accounts receivable</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1,793</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1,492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(1,630)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(51)</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1,604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60"/>
          </w:cols>
          <w:pgMar w:left="220" w:top="496" w:right="219" w:bottom="1440" w:gutter="0" w:footer="0" w:header="0"/>
        </w:sectPr>
      </w:pPr>
    </w:p>
    <w:bookmarkStart w:id="390" w:name="page391"/>
    <w:bookmarkEnd w:id="390"/>
    <w:p>
      <w:pPr>
        <w:ind w:left="32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the Board of Directors and Stockholders of Oil States International, Inc.:</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We have audited the accompanying balance sheet of OIS Accommodations SpinCo Inc. (SpinCo) as of December 31, 2013 and the statements of changes in stockholder’s equity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These financial statements are the responsibility of SpinCo’s management. Our responsibility is to express an opinion on these financial statements based on our audit.</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49" w:lineRule="exact"/>
        <w:rPr>
          <w:sz w:val="20"/>
          <w:szCs w:val="20"/>
          <w:color w:val="auto"/>
        </w:rPr>
      </w:pPr>
    </w:p>
    <w:p>
      <w:pPr>
        <w:ind w:right="280"/>
        <w:spacing w:after="0" w:line="294" w:lineRule="auto"/>
        <w:rPr>
          <w:sz w:val="20"/>
          <w:szCs w:val="20"/>
          <w:color w:val="auto"/>
        </w:rPr>
      </w:pPr>
      <w:r>
        <w:rPr>
          <w:rFonts w:ascii="Arial" w:cs="Arial" w:eastAsia="Arial" w:hAnsi="Arial"/>
          <w:sz w:val="14"/>
          <w:szCs w:val="14"/>
          <w:color w:val="auto"/>
        </w:rPr>
        <w:t>In our opinion, the financial statements referred to above presents fairly, in all material respects, the financial position of OIS Accommodations SpinCo Inc. at December 31, 2013 and its cash flows for the period from October 8, 2013 (date of inception) to December 31, 2013, in conformity with U.S. generally accepted accounting principles</w:t>
      </w:r>
      <w:r>
        <w:rPr>
          <w:rFonts w:ascii="Arial" w:cs="Arial" w:eastAsia="Arial" w:hAnsi="Arial"/>
          <w:sz w:val="14"/>
          <w:szCs w:val="14"/>
          <w:b w:val="1"/>
          <w:bCs w:val="1"/>
          <w:color w:val="auto"/>
        </w:rPr>
        <w: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 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March 18, 2014</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00"/>
          </w:cols>
          <w:pgMar w:left="220" w:top="671" w:right="27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175"/>
        </w:trPr>
        <w:tc>
          <w:tcPr>
            <w:tcW w:w="7520" w:type="dxa"/>
            <w:vAlign w:val="bottom"/>
          </w:tcPr>
          <w:p>
            <w:pPr>
              <w:jc w:val="center"/>
              <w:ind w:left="1567"/>
              <w:spacing w:after="0"/>
              <w:rPr>
                <w:sz w:val="20"/>
                <w:szCs w:val="20"/>
                <w:color w:val="auto"/>
              </w:rPr>
            </w:pPr>
            <w:r>
              <w:rPr>
                <w:rFonts w:ascii="Arial" w:cs="Arial" w:eastAsia="Arial" w:hAnsi="Arial"/>
                <w:sz w:val="15"/>
                <w:szCs w:val="15"/>
                <w:b w:val="1"/>
                <w:bCs w:val="1"/>
                <w:color w:val="auto"/>
                <w:w w:val="97"/>
              </w:rPr>
              <w:t>OIS ACCOMMODATIONS SPINCO INC.</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520" w:type="dxa"/>
            <w:vAlign w:val="bottom"/>
          </w:tcPr>
          <w:p>
            <w:pPr>
              <w:jc w:val="center"/>
              <w:ind w:left="1567"/>
              <w:spacing w:after="0"/>
              <w:rPr>
                <w:sz w:val="20"/>
                <w:szCs w:val="20"/>
                <w:color w:val="auto"/>
              </w:rPr>
            </w:pPr>
            <w:r>
              <w:rPr>
                <w:rFonts w:ascii="Arial" w:cs="Arial" w:eastAsia="Arial" w:hAnsi="Arial"/>
                <w:sz w:val="15"/>
                <w:szCs w:val="15"/>
                <w:b w:val="1"/>
                <w:bCs w:val="1"/>
                <w:color w:val="auto"/>
                <w:w w:val="97"/>
              </w:rPr>
              <w:t>BALANCE SHEET</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7520" w:type="dxa"/>
            <w:vAlign w:val="bottom"/>
          </w:tcPr>
          <w:p>
            <w:pPr>
              <w:jc w:val="center"/>
              <w:ind w:left="1547"/>
              <w:spacing w:after="0"/>
              <w:rPr>
                <w:sz w:val="20"/>
                <w:szCs w:val="20"/>
                <w:color w:val="auto"/>
              </w:rPr>
            </w:pPr>
            <w:r>
              <w:rPr>
                <w:rFonts w:ascii="Arial" w:cs="Arial" w:eastAsia="Arial" w:hAnsi="Arial"/>
                <w:sz w:val="15"/>
                <w:szCs w:val="15"/>
                <w:b w:val="1"/>
                <w:bCs w:val="1"/>
                <w:color w:val="auto"/>
                <w:w w:val="92"/>
              </w:rPr>
              <w:t>DECEMBER 31, 2013</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25"/>
        </w:trPr>
        <w:tc>
          <w:tcPr>
            <w:tcW w:w="7520" w:type="dxa"/>
            <w:vAlign w:val="bottom"/>
          </w:tcPr>
          <w:p>
            <w:pPr>
              <w:ind w:left="4260"/>
              <w:spacing w:after="0"/>
              <w:rPr>
                <w:sz w:val="20"/>
                <w:szCs w:val="20"/>
                <w:color w:val="auto"/>
              </w:rPr>
            </w:pPr>
            <w:r>
              <w:rPr>
                <w:rFonts w:ascii="Arial" w:cs="Arial" w:eastAsia="Arial" w:hAnsi="Arial"/>
                <w:sz w:val="15"/>
                <w:szCs w:val="15"/>
                <w:b w:val="1"/>
                <w:bCs w:val="1"/>
                <w:color w:val="auto"/>
              </w:rPr>
              <w:t>ASSETS</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7520" w:type="dxa"/>
            <w:vAlign w:val="bottom"/>
          </w:tcPr>
          <w:p>
            <w:pPr>
              <w:ind w:left="120"/>
              <w:spacing w:after="0"/>
              <w:rPr>
                <w:sz w:val="20"/>
                <w:szCs w:val="20"/>
                <w:color w:val="auto"/>
              </w:rPr>
            </w:pPr>
            <w:r>
              <w:rPr>
                <w:rFonts w:ascii="Arial" w:cs="Arial" w:eastAsia="Arial" w:hAnsi="Arial"/>
                <w:sz w:val="15"/>
                <w:szCs w:val="15"/>
                <w:color w:val="auto"/>
              </w:rPr>
              <w:t>Cash</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r>
      <w:tr>
        <w:trPr>
          <w:trHeight w:val="206"/>
        </w:trPr>
        <w:tc>
          <w:tcPr>
            <w:tcW w:w="7520" w:type="dxa"/>
            <w:vAlign w:val="bottom"/>
            <w:tcBorders>
              <w:bottom w:val="single" w:sz="8" w:color="CCEEFF"/>
            </w:tcBorders>
            <w:shd w:val="clear" w:color="auto" w:fill="CCEEFF"/>
          </w:tcPr>
          <w:p>
            <w:pPr>
              <w:ind w:left="260"/>
              <w:spacing w:after="0" w:line="166" w:lineRule="exact"/>
              <w:rPr>
                <w:sz w:val="20"/>
                <w:szCs w:val="20"/>
                <w:color w:val="auto"/>
              </w:rPr>
            </w:pPr>
            <w:r>
              <w:rPr>
                <w:rFonts w:ascii="Arial" w:cs="Arial" w:eastAsia="Arial" w:hAnsi="Arial"/>
                <w:sz w:val="15"/>
                <w:szCs w:val="15"/>
                <w:color w:val="auto"/>
              </w:rPr>
              <w:t>Total assets</w:t>
            </w:r>
          </w:p>
        </w:tc>
        <w:tc>
          <w:tcPr>
            <w:tcW w:w="74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365"/>
        </w:trPr>
        <w:tc>
          <w:tcPr>
            <w:tcW w:w="7520" w:type="dxa"/>
            <w:vAlign w:val="bottom"/>
          </w:tcPr>
          <w:p>
            <w:pPr>
              <w:ind w:left="3600"/>
              <w:spacing w:after="0"/>
              <w:rPr>
                <w:sz w:val="20"/>
                <w:szCs w:val="20"/>
                <w:color w:val="auto"/>
              </w:rPr>
            </w:pPr>
            <w:r>
              <w:rPr>
                <w:rFonts w:ascii="Arial" w:cs="Arial" w:eastAsia="Arial" w:hAnsi="Arial"/>
                <w:sz w:val="15"/>
                <w:szCs w:val="15"/>
                <w:b w:val="1"/>
                <w:bCs w:val="1"/>
                <w:color w:val="auto"/>
              </w:rPr>
              <w:t>STOCKHOLDER'S EQUITY</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Common stock, par value $.01, 1,000 shares authorized, issued and outstanding</w:t>
            </w:r>
          </w:p>
        </w:tc>
        <w:tc>
          <w:tcPr>
            <w:tcW w:w="74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6"/>
        </w:trPr>
        <w:tc>
          <w:tcPr>
            <w:tcW w:w="7520" w:type="dxa"/>
            <w:vAlign w:val="bottom"/>
          </w:tcPr>
          <w:p>
            <w:pPr>
              <w:ind w:left="260"/>
              <w:spacing w:after="0" w:line="166" w:lineRule="exact"/>
              <w:rPr>
                <w:sz w:val="20"/>
                <w:szCs w:val="20"/>
                <w:color w:val="auto"/>
              </w:rPr>
            </w:pPr>
            <w:r>
              <w:rPr>
                <w:rFonts w:ascii="Arial" w:cs="Arial" w:eastAsia="Arial" w:hAnsi="Arial"/>
                <w:sz w:val="15"/>
                <w:szCs w:val="15"/>
                <w:color w:val="auto"/>
              </w:rPr>
              <w:t>Total stockholder's equity</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r>
      <w:tr>
        <w:trPr>
          <w:trHeight w:val="20"/>
        </w:trPr>
        <w:tc>
          <w:tcPr>
            <w:tcW w:w="7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60960</wp:posOffset>
            </wp:positionV>
            <wp:extent cx="729234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160"/>
          </w:cols>
          <w:pgMar w:left="1380" w:top="497" w:right="1359" w:bottom="1440" w:gutter="0" w:footer="0" w:header="0"/>
        </w:sectPr>
      </w:pPr>
    </w:p>
    <w:bookmarkStart w:id="392" w:name="page393"/>
    <w:bookmarkEnd w:id="392"/>
    <w:p>
      <w:pPr>
        <w:jc w:val="center"/>
        <w:ind w:right="40"/>
        <w:spacing w:after="0" w:line="253" w:lineRule="auto"/>
        <w:rPr>
          <w:sz w:val="20"/>
          <w:szCs w:val="20"/>
          <w:color w:val="auto"/>
        </w:rPr>
      </w:pPr>
      <w:r>
        <w:rPr>
          <w:rFonts w:ascii="Arial" w:cs="Arial" w:eastAsia="Arial" w:hAnsi="Arial"/>
          <w:sz w:val="15"/>
          <w:szCs w:val="15"/>
          <w:b w:val="1"/>
          <w:bCs w:val="1"/>
          <w:color w:val="auto"/>
        </w:rPr>
        <w:t>OIS ACCOMMODATIONS SPINCO INC. STATEMENT OF CHANGES IN STOCKHOLDER’S EQUITY For the Period from October 8, 2013 (date of inception) to December 31,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3"/>
          </w:tcPr>
          <w:p>
            <w:pPr>
              <w:jc w:val="right"/>
              <w:ind w:right="67"/>
              <w:spacing w:after="0"/>
              <w:rPr>
                <w:sz w:val="20"/>
                <w:szCs w:val="20"/>
                <w:color w:val="auto"/>
              </w:rPr>
            </w:pPr>
            <w:r>
              <w:rPr>
                <w:rFonts w:ascii="Arial" w:cs="Arial" w:eastAsia="Arial" w:hAnsi="Arial"/>
                <w:sz w:val="15"/>
                <w:szCs w:val="15"/>
                <w:b w:val="1"/>
                <w:bCs w:val="1"/>
                <w:color w:val="auto"/>
                <w:w w:val="86"/>
              </w:rPr>
              <w:t>Common stock</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1"/>
        </w:trPr>
        <w:tc>
          <w:tcPr>
            <w:tcW w:w="4040" w:type="dxa"/>
            <w:vAlign w:val="bottom"/>
          </w:tcPr>
          <w:p>
            <w:pPr>
              <w:spacing w:after="0"/>
              <w:rPr>
                <w:sz w:val="24"/>
                <w:szCs w:val="24"/>
                <w:color w:val="auto"/>
              </w:rPr>
            </w:pP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w w:val="87"/>
              </w:rPr>
              <w:t>Shares</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Amount</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24"/>
                <w:szCs w:val="24"/>
                <w:color w:val="auto"/>
              </w:rPr>
            </w:pPr>
          </w:p>
        </w:tc>
      </w:tr>
      <w:tr>
        <w:trPr>
          <w:trHeight w:val="167"/>
        </w:trPr>
        <w:tc>
          <w:tcPr>
            <w:tcW w:w="4040" w:type="dxa"/>
            <w:vAlign w:val="bottom"/>
            <w:shd w:val="clear" w:color="auto" w:fill="CCEEFF"/>
          </w:tcPr>
          <w:p>
            <w:pPr>
              <w:ind w:left="120"/>
              <w:spacing w:after="0" w:line="167" w:lineRule="exact"/>
              <w:rPr>
                <w:sz w:val="20"/>
                <w:szCs w:val="20"/>
                <w:color w:val="auto"/>
              </w:rPr>
            </w:pPr>
            <w:r>
              <w:rPr>
                <w:rFonts w:ascii="Arial" w:cs="Arial" w:eastAsia="Arial" w:hAnsi="Arial"/>
                <w:sz w:val="15"/>
                <w:szCs w:val="15"/>
                <w:color w:val="auto"/>
              </w:rPr>
              <w:t>Balance, October 8, 2013</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7"/>
              <w:spacing w:after="0" w:line="167"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75"/>
        </w:trPr>
        <w:tc>
          <w:tcPr>
            <w:tcW w:w="52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Issuance of common stock</w:t>
            </w:r>
          </w:p>
        </w:tc>
        <w:tc>
          <w:tcPr>
            <w:tcW w:w="1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6"/>
        </w:trPr>
        <w:tc>
          <w:tcPr>
            <w:tcW w:w="52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4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Balance, December 31, 2013</w:t>
            </w:r>
          </w:p>
        </w:tc>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60960</wp:posOffset>
            </wp:positionV>
            <wp:extent cx="7292340" cy="33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160"/>
          </w:cols>
          <w:pgMar w:left="1380" w:top="496" w:right="1359" w:bottom="144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5"/>
          <w:szCs w:val="15"/>
          <w:b w:val="1"/>
          <w:bCs w:val="1"/>
          <w:color w:val="auto"/>
        </w:rPr>
        <w:t>OIS ACCOMMODATIONS SPINCO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STATEMENT OF CASH FLOWS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 the Period from October 8, 2013 (date of inception) to December 31,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Proceeds from collection of related party note receivable</w:t>
            </w:r>
          </w:p>
        </w:tc>
        <w:tc>
          <w:tcPr>
            <w:tcW w:w="74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00" w:type="dxa"/>
            <w:vAlign w:val="bottom"/>
          </w:tcPr>
          <w:p>
            <w:pPr>
              <w:ind w:left="100"/>
              <w:spacing w:after="0" w:line="166" w:lineRule="exact"/>
              <w:rPr>
                <w:sz w:val="20"/>
                <w:szCs w:val="20"/>
                <w:color w:val="auto"/>
              </w:rPr>
            </w:pPr>
            <w:r>
              <w:rPr>
                <w:rFonts w:ascii="Arial" w:cs="Arial" w:eastAsia="Arial" w:hAnsi="Arial"/>
                <w:sz w:val="15"/>
                <w:szCs w:val="15"/>
                <w:color w:val="auto"/>
              </w:rPr>
              <w:t>Net cash provided by financing activities</w:t>
            </w: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Net change in cash</w:t>
            </w:r>
          </w:p>
        </w:tc>
        <w:tc>
          <w:tcPr>
            <w:tcW w:w="7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Cash at the beginning of the period</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0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Cash at the end of the period</w:t>
            </w:r>
          </w:p>
        </w:tc>
        <w:tc>
          <w:tcPr>
            <w:tcW w:w="74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Non-cash activity:</w:t>
            </w: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ind w:left="140"/>
              <w:spacing w:after="0"/>
              <w:rPr>
                <w:sz w:val="20"/>
                <w:szCs w:val="20"/>
                <w:color w:val="auto"/>
              </w:rPr>
            </w:pPr>
            <w:r>
              <w:rPr>
                <w:rFonts w:ascii="Arial" w:cs="Arial" w:eastAsia="Arial" w:hAnsi="Arial"/>
                <w:sz w:val="15"/>
                <w:szCs w:val="15"/>
                <w:color w:val="auto"/>
              </w:rPr>
              <w:t>Issuance of stock for note receivable</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60960</wp:posOffset>
            </wp:positionV>
            <wp:extent cx="7292340" cy="33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9160"/>
          </w:cols>
          <w:pgMar w:left="1380" w:top="496" w:right="1359" w:bottom="1440" w:gutter="0" w:footer="0" w:header="0"/>
        </w:sectPr>
      </w:pPr>
    </w:p>
    <w:bookmarkStart w:id="394" w:name="page395"/>
    <w:bookmarkEnd w:id="394"/>
    <w:p>
      <w:pPr>
        <w:jc w:val="center"/>
        <w:ind w:right="-12"/>
        <w:spacing w:after="0"/>
        <w:rPr>
          <w:sz w:val="20"/>
          <w:szCs w:val="20"/>
          <w:color w:val="auto"/>
        </w:rPr>
      </w:pPr>
      <w:r>
        <w:rPr>
          <w:rFonts w:ascii="Arial" w:cs="Arial" w:eastAsia="Arial" w:hAnsi="Arial"/>
          <w:sz w:val="15"/>
          <w:szCs w:val="15"/>
          <w:b w:val="1"/>
          <w:bCs w:val="1"/>
          <w:color w:val="auto"/>
        </w:rPr>
        <w:t>OIS ACCOMMODATIONS SPINCO INC.</w:t>
      </w:r>
    </w:p>
    <w:p>
      <w:pPr>
        <w:spacing w:after="0" w:line="15"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NOTES TO FINANCIAL STATEMENTS</w:t>
      </w:r>
    </w:p>
    <w:p>
      <w:pPr>
        <w:spacing w:after="0" w:line="2"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DECEMBER 31, 2013</w:t>
      </w:r>
    </w:p>
    <w:p>
      <w:pPr>
        <w:spacing w:after="0" w:line="339" w:lineRule="exact"/>
        <w:rPr>
          <w:sz w:val="20"/>
          <w:szCs w:val="20"/>
          <w:color w:val="auto"/>
        </w:rPr>
      </w:pPr>
    </w:p>
    <w:p>
      <w:pPr>
        <w:ind w:left="293" w:hanging="293"/>
        <w:spacing w:after="0"/>
        <w:tabs>
          <w:tab w:leader="none" w:pos="293" w:val="left"/>
        </w:tabs>
        <w:numPr>
          <w:ilvl w:val="0"/>
          <w:numId w:val="344"/>
        </w:numPr>
        <w:rPr>
          <w:rFonts w:ascii="Arial" w:cs="Arial" w:eastAsia="Arial" w:hAnsi="Arial"/>
          <w:sz w:val="15"/>
          <w:szCs w:val="15"/>
          <w:color w:val="auto"/>
        </w:rPr>
      </w:pPr>
      <w:r>
        <w:rPr>
          <w:rFonts w:ascii="Arial" w:cs="Arial" w:eastAsia="Arial" w:hAnsi="Arial"/>
          <w:sz w:val="15"/>
          <w:szCs w:val="15"/>
          <w:b w:val="1"/>
          <w:bCs w:val="1"/>
          <w:color w:val="auto"/>
        </w:rPr>
        <w:t>Organization, Operations and Basis of Presentation</w:t>
      </w:r>
    </w:p>
    <w:p>
      <w:pPr>
        <w:spacing w:after="0" w:line="181" w:lineRule="exact"/>
        <w:rPr>
          <w:sz w:val="20"/>
          <w:szCs w:val="20"/>
          <w:color w:val="auto"/>
        </w:rPr>
      </w:pPr>
    </w:p>
    <w:p>
      <w:pPr>
        <w:ind w:left="253" w:right="80" w:firstLine="262"/>
        <w:spacing w:after="0" w:line="248" w:lineRule="auto"/>
        <w:rPr>
          <w:sz w:val="20"/>
          <w:szCs w:val="20"/>
          <w:color w:val="auto"/>
        </w:rPr>
      </w:pPr>
      <w:r>
        <w:rPr>
          <w:rFonts w:ascii="Arial" w:cs="Arial" w:eastAsia="Arial" w:hAnsi="Arial"/>
          <w:sz w:val="15"/>
          <w:szCs w:val="15"/>
          <w:color w:val="auto"/>
        </w:rPr>
        <w:t>OIS Accommodations SpinCo Inc. (“SpinCo”) is a Delaware corporation formed on October 8, 2013 to operate the accommodations business of Oil States International, Inc. (Oil States), which provides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for total consideration of $10 in the form of a promissory note. See Note 3.</w:t>
      </w:r>
    </w:p>
    <w:p>
      <w:pPr>
        <w:spacing w:after="0" w:line="161" w:lineRule="exact"/>
        <w:rPr>
          <w:sz w:val="20"/>
          <w:szCs w:val="20"/>
          <w:color w:val="auto"/>
        </w:rPr>
      </w:pPr>
    </w:p>
    <w:p>
      <w:pPr>
        <w:ind w:left="253" w:firstLine="262"/>
        <w:spacing w:after="0" w:line="330" w:lineRule="auto"/>
        <w:rPr>
          <w:sz w:val="20"/>
          <w:szCs w:val="20"/>
          <w:color w:val="auto"/>
        </w:rPr>
      </w:pPr>
      <w:r>
        <w:rPr>
          <w:rFonts w:ascii="Arial" w:cs="Arial" w:eastAsia="Arial" w:hAnsi="Arial"/>
          <w:sz w:val="12"/>
          <w:szCs w:val="12"/>
          <w:color w:val="auto"/>
        </w:rPr>
        <w:t>Oil States intends to distribute, on a pro rata, basis, shares of SpinCo common stock to the Oil States stockholders to be completed in accordance with a separation and distribution agreement between Oil States and SpinCo. (the “Spin-off.”). The separation and distribution agreement will govern the terms of the separation of the accommodations business from Oil States’ other businesses. The separation and distribution agreement will provide for Oil States and SpinCo to transfer specified assets and liabilities between the companies that will operate the accommodations business after the distribution. As a result of this transfer, SpinCo will own all assets and liabilities primary related to the accommodations business.</w:t>
      </w:r>
    </w:p>
    <w:p>
      <w:pPr>
        <w:spacing w:after="0" w:line="115" w:lineRule="exact"/>
        <w:rPr>
          <w:sz w:val="20"/>
          <w:szCs w:val="20"/>
          <w:color w:val="auto"/>
        </w:rPr>
      </w:pPr>
    </w:p>
    <w:p>
      <w:pPr>
        <w:ind w:left="253" w:right="160" w:firstLine="262"/>
        <w:spacing w:after="0" w:line="248" w:lineRule="auto"/>
        <w:rPr>
          <w:sz w:val="20"/>
          <w:szCs w:val="20"/>
          <w:color w:val="auto"/>
        </w:rPr>
      </w:pPr>
      <w:r>
        <w:rPr>
          <w:rFonts w:ascii="Arial" w:cs="Arial" w:eastAsia="Arial" w:hAnsi="Arial"/>
          <w:sz w:val="15"/>
          <w:szCs w:val="15"/>
          <w:color w:val="auto"/>
        </w:rPr>
        <w:t>Subsequent to the spin-off, SpinCo will immediately begin to operate the accommodations business and begin to incur costs as a result of becoming an independent, publicly traded company. Accordingly, these financial statements are not indicative of our future performance and do not reflect what SpinCo’s results of operations, financial position and cash flows would have been had SpinCo operated the accommodations business and operated as an independent, publicly traded company during the period from October 8, 2013 (date of inception) to December 31, 2013.</w:t>
      </w:r>
    </w:p>
    <w:p>
      <w:pPr>
        <w:spacing w:after="0" w:line="161" w:lineRule="exact"/>
        <w:rPr>
          <w:sz w:val="20"/>
          <w:szCs w:val="20"/>
          <w:color w:val="auto"/>
        </w:rPr>
      </w:pPr>
    </w:p>
    <w:p>
      <w:pPr>
        <w:ind w:left="533"/>
        <w:spacing w:after="0"/>
        <w:rPr>
          <w:sz w:val="20"/>
          <w:szCs w:val="20"/>
          <w:color w:val="auto"/>
        </w:rPr>
      </w:pPr>
      <w:r>
        <w:rPr>
          <w:rFonts w:ascii="Arial" w:cs="Arial" w:eastAsia="Arial" w:hAnsi="Arial"/>
          <w:sz w:val="15"/>
          <w:szCs w:val="15"/>
          <w:color w:val="auto"/>
        </w:rPr>
        <w:t>Other than the settlement of the note receivable from Oil States described below, there have been no other transactions involving SpinCo as of December 31, 2013.</w:t>
      </w:r>
    </w:p>
    <w:p>
      <w:pPr>
        <w:spacing w:after="0" w:line="173" w:lineRule="exact"/>
        <w:rPr>
          <w:sz w:val="20"/>
          <w:szCs w:val="20"/>
          <w:color w:val="auto"/>
        </w:rPr>
      </w:pPr>
    </w:p>
    <w:p>
      <w:pPr>
        <w:ind w:left="293" w:hanging="293"/>
        <w:spacing w:after="0"/>
        <w:tabs>
          <w:tab w:leader="none" w:pos="293" w:val="left"/>
        </w:tabs>
        <w:numPr>
          <w:ilvl w:val="0"/>
          <w:numId w:val="345"/>
        </w:numPr>
        <w:rPr>
          <w:rFonts w:ascii="Arial" w:cs="Arial" w:eastAsia="Arial" w:hAnsi="Arial"/>
          <w:sz w:val="15"/>
          <w:szCs w:val="15"/>
          <w:color w:val="auto"/>
        </w:rPr>
      </w:pPr>
      <w:r>
        <w:rPr>
          <w:rFonts w:ascii="Arial" w:cs="Arial" w:eastAsia="Arial" w:hAnsi="Arial"/>
          <w:sz w:val="15"/>
          <w:szCs w:val="15"/>
          <w:b w:val="1"/>
          <w:bCs w:val="1"/>
          <w:color w:val="auto"/>
        </w:rPr>
        <w:t>Summary of Significant Accounting Principles</w:t>
      </w:r>
    </w:p>
    <w:p>
      <w:pPr>
        <w:spacing w:after="0" w:line="181" w:lineRule="exact"/>
        <w:rPr>
          <w:sz w:val="20"/>
          <w:szCs w:val="20"/>
          <w:color w:val="auto"/>
        </w:rPr>
      </w:pPr>
    </w:p>
    <w:p>
      <w:pPr>
        <w:ind w:left="253"/>
        <w:spacing w:after="0"/>
        <w:rPr>
          <w:sz w:val="20"/>
          <w:szCs w:val="20"/>
          <w:color w:val="auto"/>
        </w:rPr>
      </w:pPr>
      <w:r>
        <w:rPr>
          <w:rFonts w:ascii="Arial" w:cs="Arial" w:eastAsia="Arial" w:hAnsi="Arial"/>
          <w:sz w:val="15"/>
          <w:szCs w:val="15"/>
          <w:color w:val="auto"/>
        </w:rPr>
        <w:t>Our significant accounting policies are summarized below.</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5"/>
          <w:szCs w:val="15"/>
          <w:i w:val="1"/>
          <w:iCs w:val="1"/>
          <w:color w:val="auto"/>
        </w:rPr>
        <w:t>Basis of accounting</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5"/>
          <w:szCs w:val="15"/>
          <w:color w:val="auto"/>
        </w:rPr>
        <w:t>The financial statements are prepared in accordance with U.S. generally accepted accounting principles (“GAAP”).</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5"/>
          <w:szCs w:val="15"/>
          <w:i w:val="1"/>
          <w:iCs w:val="1"/>
          <w:color w:val="auto"/>
        </w:rPr>
        <w:t>Use of estimates</w:t>
      </w:r>
    </w:p>
    <w:p>
      <w:pPr>
        <w:spacing w:after="0" w:line="177" w:lineRule="exact"/>
        <w:rPr>
          <w:sz w:val="20"/>
          <w:szCs w:val="20"/>
          <w:color w:val="auto"/>
        </w:rPr>
      </w:pPr>
    </w:p>
    <w:p>
      <w:pPr>
        <w:ind w:left="253" w:right="140"/>
        <w:spacing w:after="0" w:line="383"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revenues and expenses, and related disclosures of contingent liabilities in the financial statements and accompanying notes. Actual results could differ from those estimates.</w:t>
      </w:r>
    </w:p>
    <w:p>
      <w:pPr>
        <w:spacing w:after="0" w:line="84" w:lineRule="exact"/>
        <w:rPr>
          <w:sz w:val="20"/>
          <w:szCs w:val="20"/>
          <w:color w:val="auto"/>
        </w:rPr>
      </w:pPr>
    </w:p>
    <w:p>
      <w:pPr>
        <w:ind w:left="253"/>
        <w:spacing w:after="0"/>
        <w:rPr>
          <w:sz w:val="20"/>
          <w:szCs w:val="20"/>
          <w:color w:val="auto"/>
        </w:rPr>
      </w:pPr>
      <w:r>
        <w:rPr>
          <w:rFonts w:ascii="Arial" w:cs="Arial" w:eastAsia="Arial" w:hAnsi="Arial"/>
          <w:sz w:val="15"/>
          <w:szCs w:val="15"/>
          <w:i w:val="1"/>
          <w:iCs w:val="1"/>
          <w:color w:val="auto"/>
        </w:rPr>
        <w:t>Cash</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5"/>
          <w:szCs w:val="15"/>
          <w:color w:val="auto"/>
        </w:rPr>
        <w:t>Cash includes demand deposits with financial institutions.</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5"/>
          <w:szCs w:val="15"/>
          <w:i w:val="1"/>
          <w:iCs w:val="1"/>
          <w:color w:val="auto"/>
        </w:rPr>
        <w:t>Fair value of financial instruments</w:t>
      </w:r>
    </w:p>
    <w:p>
      <w:pPr>
        <w:spacing w:after="0" w:line="177" w:lineRule="exact"/>
        <w:rPr>
          <w:sz w:val="20"/>
          <w:szCs w:val="20"/>
          <w:color w:val="auto"/>
        </w:rPr>
      </w:pPr>
    </w:p>
    <w:p>
      <w:pPr>
        <w:ind w:left="253"/>
        <w:spacing w:after="0"/>
        <w:rPr>
          <w:sz w:val="20"/>
          <w:szCs w:val="20"/>
          <w:color w:val="auto"/>
        </w:rPr>
      </w:pPr>
      <w:r>
        <w:rPr>
          <w:rFonts w:ascii="Arial" w:cs="Arial" w:eastAsia="Arial" w:hAnsi="Arial"/>
          <w:sz w:val="14"/>
          <w:szCs w:val="14"/>
          <w:color w:val="auto"/>
        </w:rPr>
        <w:t>The fair value of financial instruments, which primarily include cash are carried at amounts that approximate their fair value due to the short-term nature of these amounts.</w:t>
      </w:r>
    </w:p>
    <w:p>
      <w:pPr>
        <w:spacing w:after="0" w:line="189" w:lineRule="exact"/>
        <w:rPr>
          <w:sz w:val="20"/>
          <w:szCs w:val="20"/>
          <w:color w:val="auto"/>
        </w:rPr>
      </w:pPr>
    </w:p>
    <w:p>
      <w:pPr>
        <w:ind w:left="253"/>
        <w:spacing w:after="0"/>
        <w:rPr>
          <w:sz w:val="20"/>
          <w:szCs w:val="20"/>
          <w:color w:val="auto"/>
        </w:rPr>
      </w:pPr>
      <w:r>
        <w:rPr>
          <w:rFonts w:ascii="Arial" w:cs="Arial" w:eastAsia="Arial" w:hAnsi="Arial"/>
          <w:sz w:val="15"/>
          <w:szCs w:val="15"/>
          <w:i w:val="1"/>
          <w:iCs w:val="1"/>
          <w:color w:val="auto"/>
        </w:rPr>
        <w:t>Commitments and contingencies</w:t>
      </w:r>
    </w:p>
    <w:p>
      <w:pPr>
        <w:spacing w:after="0" w:line="177" w:lineRule="exact"/>
        <w:rPr>
          <w:sz w:val="20"/>
          <w:szCs w:val="20"/>
          <w:color w:val="auto"/>
        </w:rPr>
      </w:pPr>
    </w:p>
    <w:p>
      <w:pPr>
        <w:ind w:left="253" w:right="200"/>
        <w:spacing w:after="0" w:line="294" w:lineRule="auto"/>
        <w:rPr>
          <w:sz w:val="20"/>
          <w:szCs w:val="20"/>
          <w:color w:val="auto"/>
        </w:rPr>
      </w:pPr>
      <w:r>
        <w:rPr>
          <w:rFonts w:ascii="Arial" w:cs="Arial" w:eastAsia="Arial" w:hAnsi="Arial"/>
          <w:sz w:val="14"/>
          <w:szCs w:val="14"/>
          <w:color w:val="auto"/>
        </w:rPr>
        <w:t>Loss contingencies, including claims and legal actions arising in the ordinary course of business, are recorded as liabilities when the likelihood of loss is probable and an amount or range of loss can be reasonably estimated. We are not aware of any litigation or other contingencies that would have an adverse impact on our financial statements.</w:t>
      </w:r>
    </w:p>
    <w:p>
      <w:pPr>
        <w:spacing w:after="0" w:line="327"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336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453"/>
          </w:cols>
          <w:pgMar w:left="227" w:top="496" w:right="219" w:bottom="1440" w:gutter="0" w:footer="0" w:header="0"/>
        </w:sectPr>
      </w:pPr>
    </w:p>
    <w:bookmarkStart w:id="395" w:name="page396"/>
    <w:bookmarkEnd w:id="395"/>
    <w:p>
      <w:pPr>
        <w:ind w:left="293" w:hanging="293"/>
        <w:spacing w:after="0"/>
        <w:tabs>
          <w:tab w:leader="none" w:pos="293" w:val="left"/>
        </w:tabs>
        <w:numPr>
          <w:ilvl w:val="0"/>
          <w:numId w:val="346"/>
        </w:numPr>
        <w:rPr>
          <w:rFonts w:ascii="Arial" w:cs="Arial" w:eastAsia="Arial" w:hAnsi="Arial"/>
          <w:sz w:val="15"/>
          <w:szCs w:val="15"/>
          <w:color w:val="auto"/>
        </w:rPr>
      </w:pPr>
      <w:r>
        <w:rPr>
          <w:rFonts w:ascii="Arial" w:cs="Arial" w:eastAsia="Arial" w:hAnsi="Arial"/>
          <w:sz w:val="15"/>
          <w:szCs w:val="15"/>
          <w:b w:val="1"/>
          <w:bCs w:val="1"/>
          <w:color w:val="auto"/>
        </w:rPr>
        <w:t>Note Receivable from Parent</w:t>
      </w:r>
    </w:p>
    <w:p>
      <w:pPr>
        <w:spacing w:after="0" w:line="181" w:lineRule="exact"/>
        <w:rPr>
          <w:sz w:val="20"/>
          <w:szCs w:val="20"/>
          <w:color w:val="auto"/>
        </w:rPr>
      </w:pPr>
    </w:p>
    <w:p>
      <w:pPr>
        <w:ind w:left="253" w:firstLine="262"/>
        <w:spacing w:after="0" w:line="251" w:lineRule="auto"/>
        <w:rPr>
          <w:sz w:val="20"/>
          <w:szCs w:val="20"/>
          <w:color w:val="auto"/>
        </w:rPr>
      </w:pPr>
      <w:r>
        <w:rPr>
          <w:rFonts w:ascii="Arial" w:cs="Arial" w:eastAsia="Arial" w:hAnsi="Arial"/>
          <w:sz w:val="15"/>
          <w:szCs w:val="15"/>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154" w:lineRule="exact"/>
        <w:rPr>
          <w:sz w:val="20"/>
          <w:szCs w:val="20"/>
          <w:color w:val="auto"/>
        </w:rPr>
      </w:pPr>
    </w:p>
    <w:p>
      <w:pPr>
        <w:ind w:left="293" w:hanging="293"/>
        <w:spacing w:after="0"/>
        <w:tabs>
          <w:tab w:leader="none" w:pos="293" w:val="left"/>
        </w:tabs>
        <w:numPr>
          <w:ilvl w:val="0"/>
          <w:numId w:val="347"/>
        </w:numPr>
        <w:rPr>
          <w:rFonts w:ascii="Arial" w:cs="Arial" w:eastAsia="Arial" w:hAnsi="Arial"/>
          <w:sz w:val="15"/>
          <w:szCs w:val="15"/>
          <w:color w:val="auto"/>
        </w:rPr>
      </w:pPr>
      <w:r>
        <w:rPr>
          <w:rFonts w:ascii="Arial" w:cs="Arial" w:eastAsia="Arial" w:hAnsi="Arial"/>
          <w:sz w:val="15"/>
          <w:szCs w:val="15"/>
          <w:b w:val="1"/>
          <w:bCs w:val="1"/>
          <w:color w:val="auto"/>
        </w:rPr>
        <w:t>Subsequent Events</w:t>
      </w:r>
    </w:p>
    <w:p>
      <w:pPr>
        <w:spacing w:after="0" w:line="181" w:lineRule="exact"/>
        <w:rPr>
          <w:sz w:val="20"/>
          <w:szCs w:val="20"/>
          <w:color w:val="auto"/>
        </w:rPr>
      </w:pPr>
    </w:p>
    <w:p>
      <w:pPr>
        <w:ind w:left="533"/>
        <w:spacing w:after="0"/>
        <w:rPr>
          <w:sz w:val="20"/>
          <w:szCs w:val="20"/>
          <w:color w:val="auto"/>
        </w:rPr>
      </w:pPr>
      <w:r>
        <w:rPr>
          <w:rFonts w:ascii="Arial" w:cs="Arial" w:eastAsia="Arial" w:hAnsi="Arial"/>
          <w:sz w:val="15"/>
          <w:szCs w:val="15"/>
          <w:color w:val="auto"/>
        </w:rPr>
        <w:t>We evaluated subsequent events through March 18, 2014; the date the financial statements were available to be issued.</w:t>
      </w:r>
    </w:p>
    <w:p>
      <w:pPr>
        <w:spacing w:after="0" w:line="171" w:lineRule="exact"/>
        <w:rPr>
          <w:sz w:val="20"/>
          <w:szCs w:val="20"/>
          <w:color w:val="auto"/>
        </w:rPr>
      </w:pPr>
    </w:p>
    <w:p>
      <w:pPr>
        <w:jc w:val="center"/>
        <w:ind w:right="-92"/>
        <w:spacing w:after="0"/>
        <w:rPr>
          <w:sz w:val="20"/>
          <w:szCs w:val="20"/>
          <w:color w:val="auto"/>
        </w:rPr>
      </w:pPr>
      <w:r>
        <w:rPr>
          <w:rFonts w:ascii="Arial" w:cs="Arial" w:eastAsia="Arial" w:hAnsi="Arial"/>
          <w:sz w:val="17"/>
          <w:szCs w:val="17"/>
          <w:color w:val="auto"/>
        </w:rPr>
        <w:t>F-36</w:t>
      </w:r>
    </w:p>
    <w:sectPr>
      <w:pgSz w:w="11900" w:h="16838" w:orient="portrait"/>
      <w:cols w:equalWidth="0" w:num="1">
        <w:col w:w="11413"/>
      </w:cols>
      <w:pgMar w:left="227" w:top="67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AAC1B4"/>
    <w:multiLevelType w:val="hybridMultilevel"/>
    <w:lvl w:ilvl="0">
      <w:lvlJc w:val="left"/>
      <w:lvlText w:val="(%1)"/>
      <w:numFmt w:val="lowerLetter"/>
      <w:start w:val="1"/>
    </w:lvl>
  </w:abstractNum>
  <w:abstractNum w:abstractNumId="1">
    <w:nsid w:val="36B2ACBC"/>
    <w:multiLevelType w:val="hybridMultilevel"/>
    <w:lvl w:ilvl="0">
      <w:lvlJc w:val="left"/>
      <w:lvlText w:val="(%1)"/>
      <w:numFmt w:val="lowerLetter"/>
      <w:start w:val="2"/>
    </w:lvl>
  </w:abstractNum>
  <w:abstractNum w:abstractNumId="2">
    <w:nsid w:val="779D8544"/>
    <w:multiLevelType w:val="hybridMultilevel"/>
    <w:lvl w:ilvl="0">
      <w:lvlJc w:val="left"/>
      <w:lvlText w:val="*"/>
      <w:numFmt w:val="bullet"/>
      <w:start w:val="1"/>
    </w:lvl>
  </w:abstractNum>
  <w:abstractNum w:abstractNumId="3">
    <w:nsid w:val="4AB26E78"/>
    <w:multiLevelType w:val="hybridMultilevel"/>
    <w:lvl w:ilvl="0">
      <w:lvlJc w:val="left"/>
      <w:lvlText w:val="(%1)"/>
      <w:numFmt w:val="lowerLetter"/>
      <w:start w:val="1"/>
    </w:lvl>
  </w:abstractNum>
  <w:abstractNum w:abstractNumId="4">
    <w:nsid w:val="21FAA2FA"/>
    <w:multiLevelType w:val="hybridMultilevel"/>
    <w:lvl w:ilvl="0">
      <w:lvlJc w:val="left"/>
      <w:lvlText w:val="(%1)"/>
      <w:numFmt w:val="lowerLetter"/>
      <w:start w:val="1"/>
    </w:lvl>
  </w:abstractNum>
  <w:abstractNum w:abstractNumId="5">
    <w:nsid w:val="5451CF49"/>
    <w:multiLevelType w:val="hybridMultilevel"/>
    <w:lvl w:ilvl="0">
      <w:lvlJc w:val="left"/>
      <w:lvlText w:val="(%1)"/>
      <w:numFmt w:val="lowerLetter"/>
      <w:start w:val="1"/>
    </w:lvl>
  </w:abstractNum>
  <w:abstractNum w:abstractNumId="6">
    <w:nsid w:val="6181EF69"/>
    <w:multiLevelType w:val="hybridMultilevel"/>
    <w:lvl w:ilvl="0">
      <w:lvlJc w:val="left"/>
      <w:lvlText w:val="(%1)"/>
      <w:numFmt w:val="lowerLetter"/>
      <w:start w:val="1"/>
    </w:lvl>
    <w:lvl w:ilvl="1">
      <w:lvlJc w:val="left"/>
      <w:lvlText w:val="(%2)"/>
      <w:numFmt w:val="lowerLetter"/>
      <w:start w:val="9"/>
    </w:lvl>
  </w:abstractNum>
  <w:abstractNum w:abstractNumId="7">
    <w:nsid w:val="3E6400E6"/>
    <w:multiLevelType w:val="hybridMultilevel"/>
    <w:lvl w:ilvl="0">
      <w:lvlJc w:val="left"/>
      <w:lvlText w:val="(%1)"/>
      <w:numFmt w:val="lowerRoman"/>
      <w:start w:val="3"/>
    </w:lvl>
    <w:lvl w:ilvl="1">
      <w:lvlJc w:val="left"/>
      <w:lvlText w:val="(%2)"/>
      <w:numFmt w:val="upperLetter"/>
      <w:start w:val="1"/>
    </w:lvl>
  </w:abstractNum>
  <w:abstractNum w:abstractNumId="8">
    <w:nsid w:val="14217E23"/>
    <w:multiLevelType w:val="hybridMultilevel"/>
    <w:lvl w:ilvl="0">
      <w:lvlJc w:val="left"/>
      <w:lvlText w:val="(%1)"/>
      <w:numFmt w:val="upperLetter"/>
      <w:start w:val="3"/>
    </w:lvl>
  </w:abstractNum>
  <w:abstractNum w:abstractNumId="9">
    <w:nsid w:val="710757D0"/>
    <w:multiLevelType w:val="hybridMultilevel"/>
    <w:lvl w:ilvl="0">
      <w:lvlJc w:val="left"/>
      <w:lvlText w:val="(%1)"/>
      <w:numFmt w:val="lowerRoman"/>
      <w:start w:val="4"/>
    </w:lvl>
  </w:abstractNum>
  <w:abstractNum w:abstractNumId="10">
    <w:nsid w:val="5015CD1A"/>
    <w:multiLevelType w:val="hybridMultilevel"/>
    <w:lvl w:ilvl="0">
      <w:lvlJc w:val="left"/>
      <w:lvlText w:val="(%1)"/>
      <w:numFmt w:val="lowerLetter"/>
      <w:start w:val="2"/>
    </w:lvl>
    <w:lvl w:ilvl="1">
      <w:lvlJc w:val="left"/>
      <w:lvlText w:val="(%2)"/>
      <w:numFmt w:val="lowerRoman"/>
      <w:start w:val="1"/>
    </w:lvl>
  </w:abstractNum>
  <w:abstractNum w:abstractNumId="11">
    <w:nsid w:val="424479DA"/>
    <w:multiLevelType w:val="hybridMultilevel"/>
    <w:lvl w:ilvl="0">
      <w:lvlJc w:val="left"/>
      <w:lvlText w:val="(%1)"/>
      <w:numFmt w:val="lowerRoman"/>
      <w:start w:val="3"/>
    </w:lvl>
  </w:abstractNum>
  <w:abstractNum w:abstractNumId="12">
    <w:nsid w:val="1A9A9E69"/>
    <w:multiLevelType w:val="hybridMultilevel"/>
    <w:lvl w:ilvl="0">
      <w:lvlJc w:val="left"/>
      <w:lvlText w:val="(%1)"/>
      <w:numFmt w:val="lowerLetter"/>
      <w:start w:val="1"/>
    </w:lvl>
  </w:abstractNum>
  <w:abstractNum w:abstractNumId="13">
    <w:nsid w:val="475E256A"/>
    <w:multiLevelType w:val="hybridMultilevel"/>
    <w:lvl w:ilvl="0">
      <w:lvlJc w:val="left"/>
      <w:lvlText w:val="(%1)"/>
      <w:numFmt w:val="lowerLetter"/>
      <w:start w:val="2"/>
    </w:lvl>
  </w:abstractNum>
  <w:abstractNum w:abstractNumId="14">
    <w:nsid w:val="368DB37E"/>
    <w:multiLevelType w:val="hybridMultilevel"/>
    <w:lvl w:ilvl="0">
      <w:lvlJc w:val="left"/>
      <w:lvlText w:val="(%1)"/>
      <w:numFmt w:val="lowerLetter"/>
      <w:start w:val="1"/>
    </w:lvl>
  </w:abstractNum>
  <w:abstractNum w:abstractNumId="15">
    <w:nsid w:val="6A3B714C"/>
    <w:multiLevelType w:val="hybridMultilevel"/>
    <w:lvl w:ilvl="0">
      <w:lvlJc w:val="left"/>
      <w:lvlText w:val="(%1)"/>
      <w:numFmt w:val="lowerLetter"/>
      <w:start w:val="1"/>
    </w:lvl>
  </w:abstractNum>
  <w:abstractNum w:abstractNumId="16">
    <w:nsid w:val="327B517E"/>
    <w:multiLevelType w:val="hybridMultilevel"/>
    <w:lvl w:ilvl="0">
      <w:lvlJc w:val="left"/>
      <w:lvlText w:val="(%1)"/>
      <w:numFmt w:val="lowerLetter"/>
      <w:start w:val="1"/>
    </w:lvl>
    <w:lvl w:ilvl="1">
      <w:lvlJc w:val="left"/>
      <w:lvlText w:val="(%2)"/>
      <w:numFmt w:val="lowerRoman"/>
      <w:start w:val="1"/>
    </w:lvl>
  </w:abstractNum>
  <w:abstractNum w:abstractNumId="17">
    <w:nsid w:val="1F461B51"/>
    <w:multiLevelType w:val="hybridMultilevel"/>
    <w:lvl w:ilvl="0">
      <w:lvlJc w:val="left"/>
      <w:lvlText w:val="(%1)"/>
      <w:numFmt w:val="lowerLetter"/>
      <w:start w:val="1"/>
    </w:lvl>
  </w:abstractNum>
  <w:abstractNum w:abstractNumId="18">
    <w:nsid w:val="29BACF25"/>
    <w:multiLevelType w:val="hybridMultilevel"/>
    <w:lvl w:ilvl="0">
      <w:lvlJc w:val="left"/>
      <w:lvlText w:val="(%1)"/>
      <w:numFmt w:val="lowerLetter"/>
      <w:start w:val="1"/>
    </w:lvl>
  </w:abstractNum>
  <w:abstractNum w:abstractNumId="19">
    <w:nsid w:val="5D5BABB3"/>
    <w:multiLevelType w:val="hybridMultilevel"/>
    <w:lvl w:ilvl="0">
      <w:lvlJc w:val="left"/>
      <w:lvlText w:val="(%1)"/>
      <w:numFmt w:val="lowerLetter"/>
      <w:start w:val="1"/>
    </w:lvl>
  </w:abstractNum>
  <w:abstractNum w:abstractNumId="20">
    <w:nsid w:val="51BF6B48"/>
    <w:multiLevelType w:val="hybridMultilevel"/>
    <w:lvl w:ilvl="0">
      <w:lvlJc w:val="left"/>
      <w:lvlText w:val="(%1)"/>
      <w:numFmt w:val="lowerLetter"/>
      <w:start w:val="2"/>
    </w:lvl>
  </w:abstractNum>
  <w:abstractNum w:abstractNumId="21">
    <w:nsid w:val="7E0F6384"/>
    <w:multiLevelType w:val="hybridMultilevel"/>
    <w:lvl w:ilvl="0">
      <w:lvlJc w:val="left"/>
      <w:lvlText w:val="(%1)"/>
      <w:numFmt w:val="lowerLetter"/>
      <w:start w:val="1"/>
    </w:lvl>
  </w:abstractNum>
  <w:abstractNum w:abstractNumId="22">
    <w:nsid w:val="2B4B8B53"/>
    <w:multiLevelType w:val="hybridMultilevel"/>
    <w:lvl w:ilvl="0">
      <w:lvlJc w:val="left"/>
      <w:lvlText w:val="(%1)"/>
      <w:numFmt w:val="lowerLetter"/>
      <w:start w:val="1"/>
    </w:lvl>
  </w:abstractNum>
  <w:abstractNum w:abstractNumId="23">
    <w:nsid w:val="72E3413A"/>
    <w:multiLevelType w:val="hybridMultilevel"/>
    <w:lvl w:ilvl="0">
      <w:lvlJc w:val="left"/>
      <w:lvlText w:val="(%1)"/>
      <w:numFmt w:val="lowerLetter"/>
      <w:start w:val="2"/>
    </w:lvl>
  </w:abstractNum>
  <w:abstractNum w:abstractNumId="24">
    <w:nsid w:val="116AE494"/>
    <w:multiLevelType w:val="hybridMultilevel"/>
    <w:lvl w:ilvl="0">
      <w:lvlJc w:val="left"/>
      <w:lvlText w:val="(%1)"/>
      <w:numFmt w:val="lowerLetter"/>
      <w:start w:val="1"/>
    </w:lvl>
  </w:abstractNum>
  <w:abstractNum w:abstractNumId="25">
    <w:nsid w:val="3494B2FB"/>
    <w:multiLevelType w:val="hybridMultilevel"/>
    <w:lvl w:ilvl="0">
      <w:lvlJc w:val="left"/>
      <w:lvlText w:val="(%1)"/>
      <w:numFmt w:val="lowerLetter"/>
      <w:start w:val="3"/>
    </w:lvl>
  </w:abstractNum>
  <w:abstractNum w:abstractNumId="26">
    <w:nsid w:val="B13A31"/>
    <w:multiLevelType w:val="hybridMultilevel"/>
    <w:lvl w:ilvl="0">
      <w:lvlJc w:val="left"/>
      <w:lvlText w:val="(%1)"/>
      <w:numFmt w:val="lowerLetter"/>
      <w:start w:val="1"/>
    </w:lvl>
  </w:abstractNum>
  <w:abstractNum w:abstractNumId="27">
    <w:nsid w:val="64429599"/>
    <w:multiLevelType w:val="hybridMultilevel"/>
    <w:lvl w:ilvl="0">
      <w:lvlJc w:val="left"/>
      <w:lvlText w:val="(%1)"/>
      <w:numFmt w:val="lowerLetter"/>
      <w:start w:val="1"/>
    </w:lvl>
  </w:abstractNum>
  <w:abstractNum w:abstractNumId="28">
    <w:nsid w:val="631F1690"/>
    <w:multiLevelType w:val="hybridMultilevel"/>
    <w:lvl w:ilvl="0">
      <w:lvlJc w:val="left"/>
      <w:lvlText w:val="(%1)"/>
      <w:numFmt w:val="lowerLetter"/>
      <w:start w:val="3"/>
    </w:lvl>
  </w:abstractNum>
  <w:abstractNum w:abstractNumId="29">
    <w:nsid w:val="25973E32"/>
    <w:multiLevelType w:val="hybridMultilevel"/>
    <w:lvl w:ilvl="0">
      <w:lvlJc w:val="left"/>
      <w:lvlText w:val="(%1)"/>
      <w:numFmt w:val="lowerLetter"/>
      <w:start w:val="6"/>
    </w:lvl>
  </w:abstractNum>
  <w:abstractNum w:abstractNumId="30">
    <w:nsid w:val="EAD6F57"/>
    <w:multiLevelType w:val="hybridMultilevel"/>
    <w:lvl w:ilvl="0">
      <w:lvlJc w:val="left"/>
      <w:lvlText w:val="(%1)"/>
      <w:numFmt w:val="lowerLetter"/>
      <w:start w:val="2"/>
    </w:lvl>
  </w:abstractNum>
  <w:abstractNum w:abstractNumId="31">
    <w:nsid w:val="6EC9D844"/>
    <w:multiLevelType w:val="hybridMultilevel"/>
    <w:lvl w:ilvl="0">
      <w:lvlJc w:val="left"/>
      <w:lvlText w:val="(%1)"/>
      <w:numFmt w:val="lowerLetter"/>
      <w:start w:val="2"/>
    </w:lvl>
  </w:abstractNum>
  <w:abstractNum w:abstractNumId="32">
    <w:nsid w:val="5C49EAEE"/>
    <w:multiLevelType w:val="hybridMultilevel"/>
    <w:lvl w:ilvl="0">
      <w:lvlJc w:val="left"/>
      <w:lvlText w:val="(%1)"/>
      <w:numFmt w:val="lowerLetter"/>
      <w:start w:val="1"/>
    </w:lvl>
  </w:abstractNum>
  <w:abstractNum w:abstractNumId="33">
    <w:nsid w:val="64AF49B"/>
    <w:multiLevelType w:val="hybridMultilevel"/>
    <w:lvl w:ilvl="0">
      <w:lvlJc w:val="left"/>
      <w:lvlText w:val="(%1)"/>
      <w:numFmt w:val="lowerLetter"/>
      <w:start w:val="7"/>
    </w:lvl>
  </w:abstractNum>
  <w:abstractNum w:abstractNumId="34">
    <w:nsid w:val="397C46BC"/>
    <w:multiLevelType w:val="hybridMultilevel"/>
    <w:lvl w:ilvl="0">
      <w:lvlJc w:val="left"/>
      <w:lvlText w:val="(%1)"/>
      <w:numFmt w:val="lowerLetter"/>
      <w:start w:val="2"/>
    </w:lvl>
  </w:abstractNum>
  <w:abstractNum w:abstractNumId="35">
    <w:nsid w:val="7E448DE9"/>
    <w:multiLevelType w:val="hybridMultilevel"/>
    <w:lvl w:ilvl="0">
      <w:lvlJc w:val="left"/>
      <w:lvlText w:val="(%1)"/>
      <w:numFmt w:val="lowerLetter"/>
      <w:start w:val="4"/>
    </w:lvl>
  </w:abstractNum>
  <w:abstractNum w:abstractNumId="36">
    <w:nsid w:val="5A9CC3E5"/>
    <w:multiLevelType w:val="hybridMultilevel"/>
    <w:lvl w:ilvl="0">
      <w:lvlJc w:val="left"/>
      <w:lvlText w:val="(%1)"/>
      <w:numFmt w:val="lowerLetter"/>
      <w:start w:val="6"/>
    </w:lvl>
  </w:abstractNum>
  <w:abstractNum w:abstractNumId="37">
    <w:nsid w:val="1AFE3625"/>
    <w:multiLevelType w:val="hybridMultilevel"/>
    <w:lvl w:ilvl="0">
      <w:lvlJc w:val="left"/>
      <w:lvlText w:val="%1"/>
      <w:numFmt w:val="lowerLetter"/>
      <w:start w:val="1"/>
    </w:lvl>
    <w:lvl w:ilvl="1">
      <w:lvlJc w:val="left"/>
      <w:lvlText w:val="(%2)"/>
      <w:numFmt w:val="lowerLetter"/>
      <w:start w:val="2"/>
    </w:lvl>
  </w:abstractNum>
  <w:abstractNum w:abstractNumId="38">
    <w:nsid w:val="3CA88ECF"/>
    <w:multiLevelType w:val="hybridMultilevel"/>
    <w:lvl w:ilvl="0">
      <w:lvlJc w:val="left"/>
      <w:lvlText w:val="(%1)"/>
      <w:numFmt w:val="lowerLetter"/>
      <w:start w:val="35"/>
    </w:lvl>
    <w:lvl w:ilvl="1">
      <w:lvlJc w:val="left"/>
      <w:lvlText w:val="(%2)"/>
      <w:numFmt w:val="lowerLetter"/>
      <w:start w:val="3"/>
    </w:lvl>
  </w:abstractNum>
  <w:abstractNum w:abstractNumId="39">
    <w:nsid w:val="6EBE4208"/>
    <w:multiLevelType w:val="hybridMultilevel"/>
    <w:lvl w:ilvl="0">
      <w:lvlJc w:val="left"/>
      <w:lvlText w:val="(%1)"/>
      <w:numFmt w:val="lowerLetter"/>
      <w:start w:val="9"/>
    </w:lvl>
    <w:lvl w:ilvl="1">
      <w:lvlJc w:val="left"/>
      <w:lvlText w:val="%2"/>
      <w:numFmt w:val="lowerLetter"/>
      <w:start w:val="1"/>
    </w:lvl>
  </w:abstractNum>
  <w:abstractNum w:abstractNumId="40">
    <w:nsid w:val="C058DF5"/>
    <w:multiLevelType w:val="hybridMultilevel"/>
    <w:lvl w:ilvl="0">
      <w:lvlJc w:val="left"/>
      <w:lvlText w:val="(%1)"/>
      <w:numFmt w:val="lowerLetter"/>
      <w:start w:val="1"/>
    </w:lvl>
  </w:abstractNum>
  <w:abstractNum w:abstractNumId="41">
    <w:nsid w:val="CBE5BE9"/>
    <w:multiLevelType w:val="hybridMultilevel"/>
    <w:lvl w:ilvl="0">
      <w:lvlJc w:val="left"/>
      <w:lvlText w:val="(%1)"/>
      <w:numFmt w:val="lowerLetter"/>
      <w:start w:val="8"/>
    </w:lvl>
  </w:abstractNum>
  <w:abstractNum w:abstractNumId="42">
    <w:nsid w:val="3102BBE2"/>
    <w:multiLevelType w:val="hybridMultilevel"/>
    <w:lvl w:ilvl="0">
      <w:lvlJc w:val="left"/>
      <w:lvlText w:val="(%1)"/>
      <w:numFmt w:val="lowerRoman"/>
      <w:start w:val="2"/>
    </w:lvl>
  </w:abstractNum>
  <w:abstractNum w:abstractNumId="43">
    <w:nsid w:val="26A02C5E"/>
    <w:multiLevelType w:val="hybridMultilevel"/>
    <w:lvl w:ilvl="0">
      <w:lvlJc w:val="left"/>
      <w:lvlText w:val="(%1)"/>
      <w:numFmt w:val="lowerLetter"/>
      <w:start w:val="2"/>
    </w:lvl>
  </w:abstractNum>
  <w:abstractNum w:abstractNumId="44">
    <w:nsid w:val="541C8153"/>
    <w:multiLevelType w:val="hybridMultilevel"/>
    <w:lvl w:ilvl="0">
      <w:lvlJc w:val="left"/>
      <w:lvlText w:val="(%1)"/>
      <w:numFmt w:val="lowerLetter"/>
      <w:start w:val="4"/>
    </w:lvl>
  </w:abstractNum>
  <w:abstractNum w:abstractNumId="45">
    <w:nsid w:val="67906F60"/>
    <w:multiLevelType w:val="hybridMultilevel"/>
    <w:lvl w:ilvl="0">
      <w:lvlJc w:val="left"/>
      <w:lvlText w:val="(%1)"/>
      <w:numFmt w:val="lowerLetter"/>
      <w:start w:val="2"/>
    </w:lvl>
  </w:abstractNum>
  <w:abstractNum w:abstractNumId="46">
    <w:nsid w:val="10DB9DAA"/>
    <w:multiLevelType w:val="hybridMultilevel"/>
    <w:lvl w:ilvl="0">
      <w:lvlJc w:val="left"/>
      <w:lvlText w:val="(%1)"/>
      <w:numFmt w:val="lowerLetter"/>
      <w:start w:val="6"/>
    </w:lvl>
  </w:abstractNum>
  <w:abstractNum w:abstractNumId="47">
    <w:nsid w:val="697D2D2"/>
    <w:multiLevelType w:val="hybridMultilevel"/>
    <w:lvl w:ilvl="0">
      <w:lvlJc w:val="left"/>
      <w:lvlText w:val="(%1)"/>
      <w:numFmt w:val="lowerLetter"/>
      <w:start w:val="2"/>
    </w:lvl>
  </w:abstractNum>
  <w:abstractNum w:abstractNumId="48">
    <w:nsid w:val="6D68AB2"/>
    <w:multiLevelType w:val="hybridMultilevel"/>
    <w:lvl w:ilvl="0">
      <w:lvlJc w:val="left"/>
      <w:lvlText w:val="(%1)"/>
      <w:numFmt w:val="lowerLetter"/>
      <w:start w:val="4"/>
    </w:lvl>
  </w:abstractNum>
  <w:abstractNum w:abstractNumId="49">
    <w:nsid w:val="3A966CD0"/>
    <w:multiLevelType w:val="hybridMultilevel"/>
    <w:lvl w:ilvl="0">
      <w:lvlJc w:val="left"/>
      <w:lvlText w:val="(%1)"/>
      <w:numFmt w:val="lowerLetter"/>
      <w:start w:val="1"/>
    </w:lvl>
    <w:lvl w:ilvl="1">
      <w:lvlJc w:val="left"/>
      <w:lvlText w:val="(%2)"/>
      <w:numFmt w:val="lowerRoman"/>
      <w:start w:val="1"/>
    </w:lvl>
  </w:abstractNum>
  <w:abstractNum w:abstractNumId="50">
    <w:nsid w:val="63F37E85"/>
    <w:multiLevelType w:val="hybridMultilevel"/>
    <w:lvl w:ilvl="0">
      <w:lvlJc w:val="left"/>
      <w:lvlText w:val="(%1)"/>
      <w:numFmt w:val="lowerRoman"/>
      <w:start w:val="5"/>
    </w:lvl>
  </w:abstractNum>
  <w:abstractNum w:abstractNumId="51">
    <w:nsid w:val="5895F5FA"/>
    <w:multiLevelType w:val="hybridMultilevel"/>
    <w:lvl w:ilvl="0">
      <w:lvlJc w:val="left"/>
      <w:lvlText w:val="(%1)"/>
      <w:numFmt w:val="lowerLetter"/>
      <w:start w:val="2"/>
    </w:lvl>
  </w:abstractNum>
  <w:abstractNum w:abstractNumId="52">
    <w:nsid w:val="38A5D054"/>
    <w:multiLevelType w:val="hybridMultilevel"/>
    <w:lvl w:ilvl="0">
      <w:lvlJc w:val="left"/>
      <w:lvlText w:val="(%1)"/>
      <w:numFmt w:val="lowerLetter"/>
      <w:start w:val="2"/>
    </w:lvl>
  </w:abstractNum>
  <w:abstractNum w:abstractNumId="53">
    <w:nsid w:val="F3F09D8"/>
    <w:multiLevelType w:val="hybridMultilevel"/>
    <w:lvl w:ilvl="0">
      <w:lvlJc w:val="left"/>
      <w:lvlText w:val="(%1)"/>
      <w:numFmt w:val="lowerLetter"/>
      <w:start w:val="2"/>
    </w:lvl>
  </w:abstractNum>
  <w:abstractNum w:abstractNumId="54">
    <w:nsid w:val="4B793735"/>
    <w:multiLevelType w:val="hybridMultilevel"/>
    <w:lvl w:ilvl="0">
      <w:lvlJc w:val="left"/>
      <w:lvlText w:val="(%1)"/>
      <w:numFmt w:val="lowerLetter"/>
      <w:start w:val="4"/>
    </w:lvl>
  </w:abstractNum>
  <w:abstractNum w:abstractNumId="55">
    <w:nsid w:val="4A10B4E8"/>
    <w:multiLevelType w:val="hybridMultilevel"/>
    <w:lvl w:ilvl="0">
      <w:lvlJc w:val="left"/>
      <w:lvlText w:val="(%1)"/>
      <w:numFmt w:val="lowerRoman"/>
      <w:start w:val="1"/>
    </w:lvl>
  </w:abstractNum>
  <w:abstractNum w:abstractNumId="56">
    <w:nsid w:val="43D3BCD4"/>
    <w:multiLevelType w:val="hybridMultilevel"/>
    <w:lvl w:ilvl="0">
      <w:lvlJc w:val="left"/>
      <w:lvlText w:val="(%1)"/>
      <w:numFmt w:val="lowerLetter"/>
      <w:start w:val="2"/>
    </w:lvl>
  </w:abstractNum>
  <w:abstractNum w:abstractNumId="57">
    <w:nsid w:val="4C2A7166"/>
    <w:multiLevelType w:val="hybridMultilevel"/>
    <w:lvl w:ilvl="0">
      <w:lvlJc w:val="left"/>
      <w:lvlText w:val="(%1)"/>
      <w:numFmt w:val="lowerLetter"/>
      <w:start w:val="2"/>
    </w:lvl>
  </w:abstractNum>
  <w:abstractNum w:abstractNumId="58">
    <w:nsid w:val="2E534A82"/>
    <w:multiLevelType w:val="hybridMultilevel"/>
    <w:lvl w:ilvl="0">
      <w:lvlJc w:val="left"/>
      <w:lvlText w:val="(%1)"/>
      <w:numFmt w:val="lowerLetter"/>
      <w:start w:val="2"/>
    </w:lvl>
  </w:abstractNum>
  <w:abstractNum w:abstractNumId="59">
    <w:nsid w:val="26F2D364"/>
    <w:multiLevelType w:val="hybridMultilevel"/>
    <w:lvl w:ilvl="0">
      <w:lvlJc w:val="left"/>
      <w:lvlText w:val="(%1)"/>
      <w:numFmt w:val="lowerLetter"/>
      <w:start w:val="3"/>
    </w:lvl>
  </w:abstractNum>
  <w:abstractNum w:abstractNumId="60">
    <w:nsid w:val="71C1AF98"/>
    <w:multiLevelType w:val="hybridMultilevel"/>
    <w:lvl w:ilvl="0">
      <w:lvlJc w:val="left"/>
      <w:lvlText w:val="(%1)"/>
      <w:numFmt w:val="lowerLetter"/>
      <w:start w:val="4"/>
    </w:lvl>
  </w:abstractNum>
  <w:abstractNum w:abstractNumId="61">
    <w:nsid w:val="3D00B9D9"/>
    <w:multiLevelType w:val="hybridMultilevel"/>
    <w:lvl w:ilvl="0">
      <w:lvlJc w:val="left"/>
      <w:lvlText w:val="(%1)"/>
      <w:numFmt w:val="lowerLetter"/>
      <w:start w:val="2"/>
    </w:lvl>
  </w:abstractNum>
  <w:abstractNum w:abstractNumId="62">
    <w:nsid w:val="15BCABA8"/>
    <w:multiLevelType w:val="hybridMultilevel"/>
    <w:lvl w:ilvl="0">
      <w:lvlJc w:val="left"/>
      <w:lvlText w:val="(%1)"/>
      <w:numFmt w:val="lowerLetter"/>
      <w:start w:val="1"/>
    </w:lvl>
  </w:abstractNum>
  <w:abstractNum w:abstractNumId="63">
    <w:nsid w:val="4E0B9A87"/>
    <w:multiLevelType w:val="hybridMultilevel"/>
    <w:lvl w:ilvl="0">
      <w:lvlJc w:val="left"/>
      <w:lvlText w:val="(%1)"/>
      <w:numFmt w:val="lowerLetter"/>
      <w:start w:val="2"/>
    </w:lvl>
  </w:abstractNum>
  <w:abstractNum w:abstractNumId="64">
    <w:nsid w:val="434BAE75"/>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65">
    <w:nsid w:val="4F38F265"/>
    <w:multiLevelType w:val="hybridMultilevel"/>
    <w:lvl w:ilvl="0">
      <w:lvlJc w:val="left"/>
      <w:lvlText w:val="(%1)"/>
      <w:numFmt w:val="decimal"/>
      <w:start w:val="2"/>
    </w:lvl>
  </w:abstractNum>
  <w:abstractNum w:abstractNumId="66">
    <w:nsid w:val="4C502870"/>
    <w:multiLevelType w:val="hybridMultilevel"/>
    <w:lvl w:ilvl="0">
      <w:lvlJc w:val="left"/>
      <w:lvlText w:val="(%1)"/>
      <w:numFmt w:val="lowerRoman"/>
      <w:start w:val="4"/>
    </w:lvl>
  </w:abstractNum>
  <w:abstractNum w:abstractNumId="67">
    <w:nsid w:val="1DE8725A"/>
    <w:multiLevelType w:val="hybridMultilevel"/>
    <w:lvl w:ilvl="0">
      <w:lvlJc w:val="left"/>
      <w:lvlText w:val="%1"/>
      <w:numFmt w:val="lowerLetter"/>
      <w:start w:val="1"/>
    </w:lvl>
    <w:lvl w:ilvl="1">
      <w:lvlJc w:val="left"/>
      <w:lvlText w:val="(%2)"/>
      <w:numFmt w:val="lowerLetter"/>
      <w:start w:val="61"/>
    </w:lvl>
  </w:abstractNum>
  <w:abstractNum w:abstractNumId="68">
    <w:nsid w:val="6A37288A"/>
    <w:multiLevelType w:val="hybridMultilevel"/>
    <w:lvl w:ilvl="0">
      <w:lvlJc w:val="left"/>
      <w:lvlText w:val="(%1)"/>
      <w:numFmt w:val="lowerLetter"/>
      <w:start w:val="8"/>
    </w:lvl>
    <w:lvl w:ilvl="1">
      <w:lvlJc w:val="left"/>
      <w:lvlText w:val="(%2)"/>
      <w:numFmt w:val="lowerLetter"/>
      <w:start w:val="9"/>
    </w:lvl>
  </w:abstractNum>
  <w:abstractNum w:abstractNumId="69">
    <w:nsid w:val="8F8B73F"/>
    <w:multiLevelType w:val="hybridMultilevel"/>
    <w:lvl w:ilvl="0">
      <w:lvlJc w:val="left"/>
      <w:lvlText w:val="(%1)"/>
      <w:numFmt w:val="lowerRoman"/>
      <w:start w:val="2"/>
    </w:lvl>
  </w:abstractNum>
  <w:abstractNum w:abstractNumId="70">
    <w:nsid w:val="CA6B462"/>
    <w:multiLevelType w:val="hybridMultilevel"/>
    <w:lvl w:ilvl="0">
      <w:lvlJc w:val="left"/>
      <w:lvlText w:val="(%1)"/>
      <w:numFmt w:val="upperLetter"/>
      <w:start w:val="1"/>
    </w:lvl>
  </w:abstractNum>
  <w:abstractNum w:abstractNumId="71">
    <w:nsid w:val="763CB680"/>
    <w:multiLevelType w:val="hybridMultilevel"/>
    <w:lvl w:ilvl="0">
      <w:lvlJc w:val="left"/>
      <w:lvlText w:val="(%1)"/>
      <w:numFmt w:val="upperLetter"/>
      <w:start w:val="1"/>
    </w:lvl>
  </w:abstractNum>
  <w:abstractNum w:abstractNumId="72">
    <w:nsid w:val="15B71329"/>
    <w:multiLevelType w:val="hybridMultilevel"/>
    <w:lvl w:ilvl="0">
      <w:lvlJc w:val="left"/>
      <w:lvlText w:val="(%1)"/>
      <w:numFmt w:val="decimal"/>
      <w:start w:val="3"/>
    </w:lvl>
  </w:abstractNum>
  <w:abstractNum w:abstractNumId="73">
    <w:nsid w:val="3DA97044"/>
    <w:multiLevelType w:val="hybridMultilevel"/>
    <w:lvl w:ilvl="0">
      <w:lvlJc w:val="left"/>
      <w:lvlText w:val="(%1)"/>
      <w:numFmt w:val="lowerRoman"/>
      <w:start w:val="3"/>
    </w:lvl>
  </w:abstractNum>
  <w:abstractNum w:abstractNumId="74">
    <w:nsid w:val="1CDCE2DE"/>
    <w:multiLevelType w:val="hybridMultilevel"/>
    <w:lvl w:ilvl="0">
      <w:lvlJc w:val="left"/>
      <w:lvlText w:val="(%1)"/>
      <w:numFmt w:val="lowerRoman"/>
      <w:start w:val="5"/>
    </w:lvl>
  </w:abstractNum>
  <w:abstractNum w:abstractNumId="75">
    <w:nsid w:val="69D3947C"/>
    <w:multiLevelType w:val="hybridMultilevel"/>
    <w:lvl w:ilvl="0">
      <w:lvlJc w:val="left"/>
      <w:lvlText w:val="(%1)"/>
      <w:numFmt w:val="lowerLetter"/>
      <w:start w:val="2"/>
    </w:lvl>
  </w:abstractNum>
  <w:abstractNum w:abstractNumId="76">
    <w:nsid w:val="2539DFA5"/>
    <w:multiLevelType w:val="hybridMultilevel"/>
    <w:lvl w:ilvl="0">
      <w:lvlJc w:val="left"/>
      <w:lvlText w:val="(%1)"/>
      <w:numFmt w:val="lowerLetter"/>
      <w:start w:val="1"/>
    </w:lvl>
  </w:abstractNum>
  <w:abstractNum w:abstractNumId="77">
    <w:nsid w:val="2DB88089"/>
    <w:multiLevelType w:val="hybridMultilevel"/>
    <w:lvl w:ilvl="0">
      <w:lvlJc w:val="left"/>
      <w:lvlText w:val="%1"/>
      <w:numFmt w:val="lowerLetter"/>
      <w:start w:val="1"/>
    </w:lvl>
    <w:lvl w:ilvl="1">
      <w:lvlJc w:val="left"/>
      <w:lvlText w:val="(%2)"/>
      <w:numFmt w:val="lowerLetter"/>
      <w:start w:val="2"/>
    </w:lvl>
  </w:abstractNum>
  <w:abstractNum w:abstractNumId="78">
    <w:nsid w:val="706B674E"/>
    <w:multiLevelType w:val="hybridMultilevel"/>
    <w:lvl w:ilvl="0">
      <w:lvlJc w:val="left"/>
      <w:lvlText w:val="(%1)"/>
      <w:numFmt w:val="lowerLetter"/>
      <w:start w:val="35"/>
    </w:lvl>
    <w:lvl w:ilvl="1">
      <w:lvlJc w:val="left"/>
      <w:lvlText w:val="(%2)"/>
      <w:numFmt w:val="lowerLetter"/>
      <w:start w:val="3"/>
    </w:lvl>
  </w:abstractNum>
  <w:abstractNum w:abstractNumId="79">
    <w:nsid w:val="2C106A57"/>
    <w:multiLevelType w:val="hybridMultilevel"/>
    <w:lvl w:ilvl="0">
      <w:lvlJc w:val="left"/>
      <w:lvlText w:val="(%1)"/>
      <w:numFmt w:val="lowerLetter"/>
      <w:start w:val="4"/>
    </w:lvl>
  </w:abstractNum>
  <w:abstractNum w:abstractNumId="80">
    <w:nsid w:val="684EED59"/>
    <w:multiLevelType w:val="hybridMultilevel"/>
    <w:lvl w:ilvl="0">
      <w:lvlJc w:val="left"/>
      <w:lvlText w:val="(%1)"/>
      <w:numFmt w:val="lowerLetter"/>
      <w:start w:val="6"/>
    </w:lvl>
    <w:lvl w:ilvl="1">
      <w:lvlJc w:val="left"/>
      <w:lvlText w:val="(%2)"/>
      <w:numFmt w:val="lowerRoman"/>
      <w:start w:val="1"/>
    </w:lvl>
  </w:abstractNum>
  <w:abstractNum w:abstractNumId="81">
    <w:nsid w:val="545EE5D3"/>
    <w:multiLevelType w:val="hybridMultilevel"/>
    <w:lvl w:ilvl="0">
      <w:lvlJc w:val="left"/>
      <w:lvlText w:val="(%1)"/>
      <w:numFmt w:val="lowerLetter"/>
      <w:start w:val="7"/>
    </w:lvl>
    <w:lvl w:ilvl="1">
      <w:lvlJc w:val="left"/>
      <w:lvlText w:val="(%2)"/>
      <w:numFmt w:val="lowerRoman"/>
      <w:start w:val="1"/>
    </w:lvl>
  </w:abstractNum>
  <w:abstractNum w:abstractNumId="82">
    <w:nsid w:val="4A66051"/>
    <w:multiLevelType w:val="hybridMultilevel"/>
    <w:lvl w:ilvl="0">
      <w:lvlJc w:val="left"/>
      <w:lvlText w:val="(%1)"/>
      <w:numFmt w:val="lowerLetter"/>
      <w:start w:val="8"/>
    </w:lvl>
  </w:abstractNum>
  <w:abstractNum w:abstractNumId="83">
    <w:nsid w:val="20F4BDAD"/>
    <w:multiLevelType w:val="hybridMultilevel"/>
    <w:lvl w:ilvl="0">
      <w:lvlJc w:val="left"/>
      <w:lvlText w:val="(%1)"/>
      <w:numFmt w:val="lowerLetter"/>
      <w:start w:val="11"/>
    </w:lvl>
  </w:abstractNum>
  <w:abstractNum w:abstractNumId="84">
    <w:nsid w:val="639DEFAC"/>
    <w:multiLevelType w:val="hybridMultilevel"/>
    <w:lvl w:ilvl="0">
      <w:lvlJc w:val="left"/>
      <w:lvlText w:val="(%1)"/>
      <w:numFmt w:val="lowerLetter"/>
      <w:start w:val="12"/>
    </w:lvl>
  </w:abstractNum>
  <w:abstractNum w:abstractNumId="85">
    <w:nsid w:val="501F9786"/>
    <w:multiLevelType w:val="hybridMultilevel"/>
    <w:lvl w:ilvl="0">
      <w:lvlJc w:val="left"/>
      <w:lvlText w:val="(%1)"/>
      <w:numFmt w:val="lowerLetter"/>
      <w:start w:val="2"/>
    </w:lvl>
  </w:abstractNum>
  <w:abstractNum w:abstractNumId="86">
    <w:nsid w:val="6B057295"/>
    <w:multiLevelType w:val="hybridMultilevel"/>
    <w:lvl w:ilvl="0">
      <w:lvlJc w:val="left"/>
      <w:lvlText w:val="(%1)"/>
      <w:numFmt w:val="lowerLetter"/>
      <w:start w:val="6"/>
    </w:lvl>
  </w:abstractNum>
  <w:abstractNum w:abstractNumId="87">
    <w:nsid w:val="2771AC80"/>
    <w:multiLevelType w:val="hybridMultilevel"/>
    <w:lvl w:ilvl="0">
      <w:lvlJc w:val="left"/>
      <w:lvlText w:val="(%1)"/>
      <w:numFmt w:val="lowerLetter"/>
      <w:start w:val="10"/>
    </w:lvl>
  </w:abstractNum>
  <w:abstractNum w:abstractNumId="88">
    <w:nsid w:val="1C4A08EC"/>
    <w:multiLevelType w:val="hybridMultilevel"/>
    <w:lvl w:ilvl="0">
      <w:lvlJc w:val="left"/>
      <w:lvlText w:val="(%1)"/>
      <w:numFmt w:val="lowerLetter"/>
      <w:start w:val="1"/>
    </w:lvl>
    <w:lvl w:ilvl="1">
      <w:lvlJc w:val="left"/>
      <w:lvlText w:val="(%2)"/>
      <w:numFmt w:val="lowerLetter"/>
      <w:start w:val="9"/>
    </w:lvl>
  </w:abstractNum>
  <w:abstractNum w:abstractNumId="89">
    <w:nsid w:val="1958BD17"/>
    <w:multiLevelType w:val="hybridMultilevel"/>
    <w:lvl w:ilvl="0">
      <w:lvlJc w:val="left"/>
      <w:lvlText w:val="%1"/>
      <w:numFmt w:val="lowerRoman"/>
      <w:start w:val="1"/>
    </w:lvl>
    <w:lvl w:ilvl="1">
      <w:lvlJc w:val="left"/>
      <w:lvlText w:val="(%2)"/>
      <w:numFmt w:val="lowerRoman"/>
      <w:start w:val="2"/>
    </w:lvl>
  </w:abstractNum>
  <w:abstractNum w:abstractNumId="90">
    <w:nsid w:val="4E647FE4"/>
    <w:multiLevelType w:val="hybridMultilevel"/>
    <w:lvl w:ilvl="0">
      <w:lvlJc w:val="left"/>
      <w:lvlText w:val="(%1)"/>
      <w:numFmt w:val="lowerRoman"/>
      <w:start w:val="1"/>
    </w:lvl>
    <w:lvl w:ilvl="1">
      <w:lvlJc w:val="left"/>
      <w:lvlText w:val="%2"/>
      <w:numFmt w:val="lowerRoman"/>
      <w:start w:val="1"/>
    </w:lvl>
  </w:abstractNum>
  <w:abstractNum w:abstractNumId="91">
    <w:nsid w:val="E0BB885"/>
    <w:multiLevelType w:val="hybridMultilevel"/>
    <w:lvl w:ilvl="0">
      <w:lvlJc w:val="left"/>
      <w:lvlText w:val="(%1)"/>
      <w:numFmt w:val="lowerLetter"/>
      <w:start w:val="2"/>
    </w:lvl>
  </w:abstractNum>
  <w:abstractNum w:abstractNumId="92">
    <w:nsid w:val="565976F1"/>
    <w:multiLevelType w:val="hybridMultilevel"/>
    <w:lvl w:ilvl="0">
      <w:lvlJc w:val="left"/>
      <w:lvlText w:val="(%1)"/>
      <w:numFmt w:val="lowerRoman"/>
      <w:start w:val="2"/>
    </w:lvl>
  </w:abstractNum>
  <w:abstractNum w:abstractNumId="93">
    <w:nsid w:val="64212B8C"/>
    <w:multiLevelType w:val="hybridMultilevel"/>
    <w:lvl w:ilvl="0">
      <w:lvlJc w:val="left"/>
      <w:lvlText w:val="(%1)"/>
      <w:numFmt w:val="lowerLetter"/>
      <w:start w:val="4"/>
    </w:lvl>
    <w:lvl w:ilvl="1">
      <w:lvlJc w:val="left"/>
      <w:lvlText w:val="(%2)"/>
      <w:numFmt w:val="lowerLetter"/>
      <w:start w:val="35"/>
    </w:lvl>
  </w:abstractNum>
  <w:abstractNum w:abstractNumId="94">
    <w:nsid w:val="5C17530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95">
    <w:nsid w:val="19A52566"/>
    <w:multiLevelType w:val="hybridMultilevel"/>
    <w:lvl w:ilvl="0">
      <w:lvlJc w:val="left"/>
      <w:lvlText w:val="(%1)"/>
      <w:numFmt w:val="lowerRoman"/>
      <w:start w:val="8"/>
    </w:lvl>
  </w:abstractNum>
  <w:abstractNum w:abstractNumId="96">
    <w:nsid w:val="335A1DF1"/>
    <w:multiLevelType w:val="hybridMultilevel"/>
    <w:lvl w:ilvl="0">
      <w:lvlJc w:val="left"/>
      <w:lvlText w:val="(%1)"/>
      <w:numFmt w:val="lowerLetter"/>
      <w:start w:val="2"/>
    </w:lvl>
    <w:lvl w:ilvl="1">
      <w:lvlJc w:val="left"/>
      <w:lvlText w:val="(%2)"/>
      <w:numFmt w:val="lowerRoman"/>
      <w:start w:val="1"/>
    </w:lvl>
  </w:abstractNum>
  <w:abstractNum w:abstractNumId="97">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98">
    <w:nsid w:val="378D97C0"/>
    <w:multiLevelType w:val="hybridMultilevel"/>
    <w:lvl w:ilvl="0">
      <w:lvlJc w:val="left"/>
      <w:lvlText w:val="%1"/>
      <w:numFmt w:val="lowerLetter"/>
      <w:start w:val="1"/>
    </w:lvl>
    <w:lvl w:ilvl="1">
      <w:lvlJc w:val="left"/>
      <w:lvlText w:val="(%2)"/>
      <w:numFmt w:val="lowerLetter"/>
      <w:start w:val="26"/>
    </w:lvl>
    <w:lvl w:ilvl="2">
      <w:lvlJc w:val="left"/>
      <w:lvlText w:val="%3"/>
      <w:numFmt w:val="lowerLetter"/>
      <w:start w:val="1"/>
    </w:lvl>
  </w:abstractNum>
  <w:abstractNum w:abstractNumId="99">
    <w:nsid w:val="1D91467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00">
    <w:nsid w:val="316032BB"/>
    <w:multiLevelType w:val="hybridMultilevel"/>
    <w:lvl w:ilvl="0">
      <w:lvlJc w:val="left"/>
      <w:lvlText w:val="(%1)"/>
      <w:numFmt w:val="lowerLetter"/>
      <w:start w:val="6"/>
    </w:lvl>
  </w:abstractNum>
  <w:abstractNum w:abstractNumId="101">
    <w:nsid w:val="44344C22"/>
    <w:multiLevelType w:val="hybridMultilevel"/>
    <w:lvl w:ilvl="0">
      <w:lvlJc w:val="left"/>
      <w:lvlText w:val="(%1)"/>
      <w:numFmt w:val="lowerLetter"/>
      <w:start w:val="1"/>
    </w:lvl>
  </w:abstractNum>
  <w:abstractNum w:abstractNumId="102">
    <w:nsid w:val="13CDFCFC"/>
    <w:multiLevelType w:val="hybridMultilevel"/>
    <w:lvl w:ilvl="0">
      <w:lvlJc w:val="left"/>
      <w:lvlText w:val="(%1)"/>
      <w:numFmt w:val="upperLetter"/>
      <w:start w:val="1"/>
    </w:lvl>
    <w:lvl w:ilvl="1">
      <w:lvlJc w:val="left"/>
      <w:lvlText w:val="(%2)"/>
      <w:numFmt w:val="decimal"/>
      <w:start w:val="1"/>
    </w:lvl>
  </w:abstractNum>
  <w:abstractNum w:abstractNumId="103">
    <w:nsid w:val="471745E4"/>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104">
    <w:nsid w:val="1DDBC66"/>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105">
    <w:nsid w:val="30AADFDA"/>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106">
    <w:nsid w:val="30EADA61"/>
    <w:multiLevelType w:val="hybridMultilevel"/>
    <w:lvl w:ilvl="0">
      <w:lvlJc w:val="left"/>
      <w:lvlText w:val="(%1)"/>
      <w:numFmt w:val="lowerLetter"/>
      <w:start w:val="2"/>
    </w:lvl>
  </w:abstractNum>
  <w:abstractNum w:abstractNumId="107">
    <w:nsid w:val="27179C0B"/>
    <w:multiLevelType w:val="hybridMultilevel"/>
    <w:lvl w:ilvl="0">
      <w:lvlJc w:val="left"/>
      <w:lvlText w:val="(%1)"/>
      <w:numFmt w:val="lowerLetter"/>
      <w:start w:val="2"/>
    </w:lvl>
  </w:abstractNum>
  <w:abstractNum w:abstractNumId="108">
    <w:nsid w:val="5E636063"/>
    <w:multiLevelType w:val="hybridMultilevel"/>
    <w:lvl w:ilvl="0">
      <w:lvlJc w:val="left"/>
      <w:lvlText w:val="(%1)"/>
      <w:numFmt w:val="lowerLetter"/>
      <w:start w:val="2"/>
    </w:lvl>
  </w:abstractNum>
  <w:abstractNum w:abstractNumId="109">
    <w:nsid w:val="215641AF"/>
    <w:multiLevelType w:val="hybridMultilevel"/>
    <w:lvl w:ilvl="0">
      <w:lvlJc w:val="left"/>
      <w:lvlText w:val="(%1)"/>
      <w:numFmt w:val="lowerLetter"/>
      <w:start w:val="2"/>
    </w:lvl>
  </w:abstractNum>
  <w:abstractNum w:abstractNumId="110">
    <w:nsid w:val="53280662"/>
    <w:multiLevelType w:val="hybridMultilevel"/>
    <w:lvl w:ilvl="0">
      <w:lvlJc w:val="left"/>
      <w:lvlText w:val="(%1)"/>
      <w:numFmt w:val="lowerLetter"/>
      <w:start w:val="2"/>
    </w:lvl>
  </w:abstractNum>
  <w:abstractNum w:abstractNumId="111">
    <w:nsid w:val="46B24DBC"/>
    <w:multiLevelType w:val="hybridMultilevel"/>
    <w:lvl w:ilvl="0">
      <w:lvlJc w:val="left"/>
      <w:lvlText w:val="(%1)"/>
      <w:numFmt w:val="lowerLetter"/>
      <w:start w:val="3"/>
    </w:lvl>
    <w:lvl w:ilvl="1">
      <w:lvlJc w:val="left"/>
      <w:lvlText w:val="(%2)"/>
      <w:numFmt w:val="lowerRoman"/>
      <w:start w:val="1"/>
    </w:lvl>
  </w:abstractNum>
  <w:abstractNum w:abstractNumId="112">
    <w:nsid w:val="75B52783"/>
    <w:multiLevelType w:val="hybridMultilevel"/>
    <w:lvl w:ilvl="0">
      <w:lvlJc w:val="left"/>
      <w:lvlText w:val="(%1)"/>
      <w:numFmt w:val="lowerLetter"/>
      <w:start w:val="2"/>
    </w:lvl>
  </w:abstractNum>
  <w:abstractNum w:abstractNumId="113">
    <w:nsid w:val="57CE66B4"/>
    <w:multiLevelType w:val="hybridMultilevel"/>
    <w:lvl w:ilvl="0">
      <w:lvlJc w:val="left"/>
      <w:lvlText w:val="(%1)"/>
      <w:numFmt w:val="lowerLetter"/>
      <w:start w:val="2"/>
    </w:lvl>
  </w:abstractNum>
  <w:abstractNum w:abstractNumId="114">
    <w:nsid w:val="67A70B69"/>
    <w:multiLevelType w:val="hybridMultilevel"/>
    <w:lvl w:ilvl="0">
      <w:lvlJc w:val="left"/>
      <w:lvlText w:val="(%1)"/>
      <w:numFmt w:val="lowerLetter"/>
      <w:start w:val="1"/>
    </w:lvl>
    <w:lvl w:ilvl="1">
      <w:lvlJc w:val="left"/>
      <w:lvlText w:val="(%2)"/>
      <w:numFmt w:val="lowerLetter"/>
      <w:start w:val="9"/>
    </w:lvl>
  </w:abstractNum>
  <w:abstractNum w:abstractNumId="115">
    <w:nsid w:val="5953172F"/>
    <w:multiLevelType w:val="hybridMultilevel"/>
    <w:lvl w:ilvl="0">
      <w:lvlJc w:val="left"/>
      <w:lvlText w:val="(%1)"/>
      <w:numFmt w:val="lowerRoman"/>
      <w:start w:val="2"/>
    </w:lvl>
  </w:abstractNum>
  <w:abstractNum w:abstractNumId="116">
    <w:nsid w:val="27EDFE3A"/>
    <w:multiLevelType w:val="hybridMultilevel"/>
    <w:lvl w:ilvl="0">
      <w:lvlJc w:val="left"/>
      <w:lvlText w:val="%1"/>
      <w:numFmt w:val="decimal"/>
      <w:start w:val="1"/>
    </w:lvl>
    <w:lvl w:ilvl="1">
      <w:lvlJc w:val="left"/>
      <w:lvlText w:val="(%2)"/>
      <w:numFmt w:val="lowerLetter"/>
      <w:start w:val="1"/>
    </w:lvl>
  </w:abstractNum>
  <w:abstractNum w:abstractNumId="117">
    <w:nsid w:val="52AC7DFF"/>
    <w:multiLevelType w:val="hybridMultilevel"/>
    <w:lvl w:ilvl="0">
      <w:lvlJc w:val="left"/>
      <w:lvlText w:val="(%1)"/>
      <w:numFmt w:val="decimal"/>
      <w:start w:val="3"/>
    </w:lvl>
    <w:lvl w:ilvl="1">
      <w:lvlJc w:val="left"/>
      <w:lvlText w:val="%2"/>
      <w:numFmt w:val="lowerLetter"/>
      <w:start w:val="1"/>
    </w:lvl>
  </w:abstractNum>
  <w:abstractNum w:abstractNumId="118">
    <w:nsid w:val="C4C3AF"/>
    <w:multiLevelType w:val="hybridMultilevel"/>
    <w:lvl w:ilvl="0">
      <w:lvlJc w:val="left"/>
      <w:lvlText w:val="(%1)"/>
      <w:numFmt w:val="lowerLetter"/>
      <w:start w:val="6"/>
    </w:lvl>
  </w:abstractNum>
  <w:abstractNum w:abstractNumId="119">
    <w:nsid w:val="44380727"/>
    <w:multiLevelType w:val="hybridMultilevel"/>
    <w:lvl w:ilvl="0">
      <w:lvlJc w:val="left"/>
      <w:lvlText w:val="%1"/>
      <w:numFmt w:val="lowerLetter"/>
      <w:start w:val="1"/>
    </w:lvl>
    <w:lvl w:ilvl="1">
      <w:lvlJc w:val="left"/>
      <w:lvlText w:val="(%2)"/>
      <w:numFmt w:val="lowerLetter"/>
      <w:start w:val="9"/>
    </w:lvl>
  </w:abstractNum>
  <w:abstractNum w:abstractNumId="120">
    <w:nsid w:val="6C053B16"/>
    <w:multiLevelType w:val="hybridMultilevel"/>
    <w:lvl w:ilvl="0">
      <w:lvlJc w:val="left"/>
      <w:lvlText w:val="(%1)"/>
      <w:numFmt w:val="lowerLetter"/>
      <w:start w:val="61"/>
    </w:lvl>
    <w:lvl w:ilvl="1">
      <w:lvlJc w:val="left"/>
      <w:lvlText w:val="(%2)"/>
      <w:numFmt w:val="lowerLetter"/>
      <w:start w:val="11"/>
    </w:lvl>
  </w:abstractNum>
  <w:abstractNum w:abstractNumId="121">
    <w:nsid w:val="4F294393"/>
    <w:multiLevelType w:val="hybridMultilevel"/>
    <w:lvl w:ilvl="0">
      <w:lvlJc w:val="left"/>
      <w:lvlText w:val="(%1)"/>
      <w:numFmt w:val="lowerLetter"/>
      <w:start w:val="1"/>
    </w:lvl>
  </w:abstractNum>
  <w:abstractNum w:abstractNumId="122">
    <w:nsid w:val="5243BFAC"/>
    <w:multiLevelType w:val="hybridMultilevel"/>
    <w:lvl w:ilvl="0">
      <w:lvlJc w:val="left"/>
      <w:lvlText w:val="%1"/>
      <w:numFmt w:val="lowerLetter"/>
      <w:start w:val="1"/>
    </w:lvl>
    <w:lvl w:ilvl="1">
      <w:lvlJc w:val="left"/>
      <w:lvlText w:val="(%2)"/>
      <w:numFmt w:val="lowerRoman"/>
      <w:start w:val="1"/>
    </w:lvl>
  </w:abstractNum>
  <w:abstractNum w:abstractNumId="123">
    <w:nsid w:val="425EB207"/>
    <w:multiLevelType w:val="hybridMultilevel"/>
    <w:lvl w:ilvl="0">
      <w:lvlJc w:val="left"/>
      <w:lvlText w:val="(%1)"/>
      <w:numFmt w:val="lowerLetter"/>
      <w:start w:val="2"/>
    </w:lvl>
    <w:lvl w:ilvl="1">
      <w:lvlJc w:val="left"/>
      <w:lvlText w:val="%2"/>
      <w:numFmt w:val="lowerRoman"/>
      <w:start w:val="1"/>
    </w:lvl>
  </w:abstractNum>
  <w:abstractNum w:abstractNumId="124">
    <w:nsid w:val="334A6F1F"/>
    <w:multiLevelType w:val="hybridMultilevel"/>
    <w:lvl w:ilvl="0">
      <w:lvlJc w:val="left"/>
      <w:lvlText w:val="(%1)"/>
      <w:numFmt w:val="lowerLetter"/>
      <w:start w:val="5"/>
    </w:lvl>
  </w:abstractNum>
  <w:abstractNum w:abstractNumId="125">
    <w:nsid w:val="2E5B12B8"/>
    <w:multiLevelType w:val="hybridMultilevel"/>
    <w:lvl w:ilvl="0">
      <w:lvlJc w:val="left"/>
      <w:lvlText w:val="(%1)"/>
      <w:numFmt w:val="lowerLetter"/>
      <w:start w:val="2"/>
    </w:lvl>
  </w:abstractNum>
  <w:abstractNum w:abstractNumId="126">
    <w:nsid w:val="5C03D76D"/>
    <w:multiLevelType w:val="hybridMultilevel"/>
    <w:lvl w:ilvl="0">
      <w:lvlJc w:val="left"/>
      <w:lvlText w:val="(%1)"/>
      <w:numFmt w:val="lowerLetter"/>
      <w:start w:val="2"/>
    </w:lvl>
  </w:abstractNum>
  <w:abstractNum w:abstractNumId="127">
    <w:nsid w:val="66A48D11"/>
    <w:multiLevelType w:val="hybridMultilevel"/>
    <w:lvl w:ilvl="0">
      <w:lvlJc w:val="left"/>
      <w:lvlText w:val="(%1)"/>
      <w:numFmt w:val="lowerLetter"/>
      <w:start w:val="1"/>
    </w:lvl>
  </w:abstractNum>
  <w:abstractNum w:abstractNumId="128">
    <w:nsid w:val="56C28E34"/>
    <w:multiLevelType w:val="hybridMultilevel"/>
    <w:lvl w:ilvl="0">
      <w:lvlJc w:val="left"/>
      <w:lvlText w:val="(%1)"/>
      <w:numFmt w:val="lowerLetter"/>
      <w:start w:val="2"/>
    </w:lvl>
  </w:abstractNum>
  <w:abstractNum w:abstractNumId="129">
    <w:nsid w:val="13916F2D"/>
    <w:multiLevelType w:val="hybridMultilevel"/>
    <w:lvl w:ilvl="0">
      <w:lvlJc w:val="left"/>
      <w:lvlText w:val="(%1)"/>
      <w:numFmt w:val="lowerLetter"/>
      <w:start w:val="7"/>
    </w:lvl>
  </w:abstractNum>
  <w:abstractNum w:abstractNumId="130">
    <w:nsid w:val="435D38D"/>
    <w:multiLevelType w:val="hybridMultilevel"/>
    <w:lvl w:ilvl="0">
      <w:lvlJc w:val="left"/>
      <w:lvlText w:val="(%1)"/>
      <w:numFmt w:val="lowerLetter"/>
      <w:start w:val="1"/>
    </w:lvl>
  </w:abstractNum>
  <w:abstractNum w:abstractNumId="131">
    <w:nsid w:val="822C0EF"/>
    <w:multiLevelType w:val="hybridMultilevel"/>
    <w:lvl w:ilvl="0">
      <w:lvlJc w:val="left"/>
      <w:lvlText w:val="%1"/>
      <w:numFmt w:val="lowerLetter"/>
      <w:start w:val="1"/>
    </w:lvl>
    <w:lvl w:ilvl="1">
      <w:lvlJc w:val="left"/>
      <w:lvlText w:val="(%2)"/>
      <w:numFmt w:val="lowerLetter"/>
      <w:start w:val="2"/>
    </w:lvl>
  </w:abstractNum>
  <w:abstractNum w:abstractNumId="132">
    <w:nsid w:val="57C5BB4F"/>
    <w:multiLevelType w:val="hybridMultilevel"/>
    <w:lvl w:ilvl="0">
      <w:lvlJc w:val="left"/>
      <w:lvlText w:val="(%1)"/>
      <w:numFmt w:val="lowerLetter"/>
      <w:start w:val="9"/>
    </w:lvl>
    <w:lvl w:ilvl="1">
      <w:lvlJc w:val="left"/>
      <w:lvlText w:val="%2"/>
      <w:numFmt w:val="lowerLetter"/>
      <w:start w:val="1"/>
    </w:lvl>
  </w:abstractNum>
  <w:abstractNum w:abstractNumId="133">
    <w:nsid w:val="1803D089"/>
    <w:multiLevelType w:val="hybridMultilevel"/>
    <w:lvl w:ilvl="0">
      <w:lvlJc w:val="left"/>
      <w:lvlText w:val="(%1)"/>
      <w:numFmt w:val="lowerLetter"/>
      <w:start w:val="6"/>
    </w:lvl>
  </w:abstractNum>
  <w:abstractNum w:abstractNumId="134">
    <w:nsid w:val="4F3A06D4"/>
    <w:multiLevelType w:val="hybridMultilevel"/>
    <w:lvl w:ilvl="0">
      <w:lvlJc w:val="left"/>
      <w:lvlText w:val="(%1)"/>
      <w:numFmt w:val="lowerLetter"/>
      <w:start w:val="1"/>
    </w:lvl>
  </w:abstractNum>
  <w:abstractNum w:abstractNumId="135">
    <w:nsid w:val="59A377B6"/>
    <w:multiLevelType w:val="hybridMultilevel"/>
    <w:lvl w:ilvl="0">
      <w:lvlJc w:val="left"/>
      <w:lvlText w:val="(%1)"/>
      <w:numFmt w:val="lowerLetter"/>
      <w:start w:val="7"/>
    </w:lvl>
  </w:abstractNum>
  <w:abstractNum w:abstractNumId="136">
    <w:nsid w:val="48AEB063"/>
    <w:multiLevelType w:val="hybridMultilevel"/>
    <w:lvl w:ilvl="0">
      <w:lvlJc w:val="left"/>
      <w:lvlText w:val="(%1)"/>
      <w:numFmt w:val="lowerLetter"/>
      <w:start w:val="1"/>
    </w:lvl>
  </w:abstractNum>
  <w:abstractNum w:abstractNumId="137">
    <w:nsid w:val="24E135"/>
    <w:multiLevelType w:val="hybridMultilevel"/>
    <w:lvl w:ilvl="0">
      <w:lvlJc w:val="left"/>
      <w:lvlText w:val="(%1)"/>
      <w:numFmt w:val="lowerLetter"/>
      <w:start w:val="9"/>
    </w:lvl>
  </w:abstractNum>
  <w:abstractNum w:abstractNumId="138">
    <w:nsid w:val="BB13C1"/>
    <w:multiLevelType w:val="hybridMultilevel"/>
    <w:lvl w:ilvl="0">
      <w:lvlJc w:val="left"/>
      <w:lvlText w:val="(%1)"/>
      <w:numFmt w:val="lowerLetter"/>
      <w:start w:val="1"/>
    </w:lvl>
    <w:lvl w:ilvl="1">
      <w:lvlJc w:val="left"/>
      <w:lvlText w:val="(%2)"/>
      <w:numFmt w:val="lowerLetter"/>
      <w:start w:val="9"/>
    </w:lvl>
  </w:abstractNum>
  <w:abstractNum w:abstractNumId="139">
    <w:nsid w:val="271210C7"/>
    <w:multiLevelType w:val="hybridMultilevel"/>
    <w:lvl w:ilvl="0">
      <w:lvlJc w:val="left"/>
      <w:lvlText w:val="(%1)"/>
      <w:numFmt w:val="lowerRoman"/>
      <w:start w:val="2"/>
    </w:lvl>
  </w:abstractNum>
  <w:abstractNum w:abstractNumId="140">
    <w:nsid w:val="217B22E4"/>
    <w:multiLevelType w:val="hybridMultilevel"/>
    <w:lvl w:ilvl="0">
      <w:lvlJc w:val="left"/>
      <w:lvlText w:val="(%1)"/>
      <w:numFmt w:val="lowerLetter"/>
      <w:start w:val="10"/>
    </w:lvl>
  </w:abstractNum>
  <w:abstractNum w:abstractNumId="141">
    <w:nsid w:val="53E31A24"/>
    <w:multiLevelType w:val="hybridMultilevel"/>
    <w:lvl w:ilvl="0">
      <w:lvlJc w:val="left"/>
      <w:lvlText w:val="(%1)"/>
      <w:numFmt w:val="lowerRoman"/>
      <w:start w:val="1"/>
    </w:lvl>
  </w:abstractNum>
  <w:abstractNum w:abstractNumId="142">
    <w:nsid w:val="6DC45E83"/>
    <w:multiLevelType w:val="hybridMultilevel"/>
    <w:lvl w:ilvl="0">
      <w:lvlJc w:val="left"/>
      <w:lvlText w:val="(%1)"/>
      <w:numFmt w:val="lowerLetter"/>
      <w:start w:val="2"/>
    </w:lvl>
  </w:abstractNum>
  <w:abstractNum w:abstractNumId="143">
    <w:nsid w:val="17304A67"/>
    <w:multiLevelType w:val="hybridMultilevel"/>
    <w:lvl w:ilvl="0">
      <w:lvlJc w:val="left"/>
      <w:lvlText w:val="(%1)"/>
      <w:numFmt w:val="lowerLetter"/>
      <w:start w:val="2"/>
    </w:lvl>
  </w:abstractNum>
  <w:abstractNum w:abstractNumId="144">
    <w:nsid w:val="2BB180D8"/>
    <w:multiLevelType w:val="hybridMultilevel"/>
    <w:lvl w:ilvl="0">
      <w:lvlJc w:val="left"/>
      <w:lvlText w:val="(%1)"/>
      <w:numFmt w:val="lowerLetter"/>
      <w:start w:val="2"/>
    </w:lvl>
  </w:abstractNum>
  <w:abstractNum w:abstractNumId="145">
    <w:nsid w:val="556B69ED"/>
    <w:multiLevelType w:val="hybridMultilevel"/>
    <w:lvl w:ilvl="0">
      <w:lvlJc w:val="left"/>
      <w:lvlText w:val="(%1)"/>
      <w:numFmt w:val="lowerLetter"/>
      <w:start w:val="1"/>
    </w:lvl>
  </w:abstractNum>
  <w:abstractNum w:abstractNumId="146">
    <w:nsid w:val="70836196"/>
    <w:multiLevelType w:val="hybridMultilevel"/>
    <w:lvl w:ilvl="0">
      <w:lvlJc w:val="left"/>
      <w:lvlText w:val="%1"/>
      <w:numFmt w:val="lowerLetter"/>
      <w:start w:val="1"/>
    </w:lvl>
    <w:lvl w:ilvl="1">
      <w:lvlJc w:val="left"/>
      <w:lvlText w:val="(%2)"/>
      <w:numFmt w:val="lowerLetter"/>
      <w:start w:val="1"/>
    </w:lvl>
  </w:abstractNum>
  <w:abstractNum w:abstractNumId="147">
    <w:nsid w:val="539F7F12"/>
    <w:multiLevelType w:val="hybridMultilevel"/>
    <w:lvl w:ilvl="0">
      <w:lvlJc w:val="left"/>
      <w:lvlText w:val="(%1)"/>
      <w:numFmt w:val="lowerLetter"/>
      <w:start w:val="2"/>
    </w:lvl>
    <w:lvl w:ilvl="1">
      <w:lvlJc w:val="left"/>
      <w:lvlText w:val="(%2)"/>
      <w:numFmt w:val="lowerLetter"/>
      <w:start w:val="4"/>
    </w:lvl>
  </w:abstractNum>
  <w:abstractNum w:abstractNumId="148">
    <w:nsid w:val="2817E7EC"/>
    <w:multiLevelType w:val="hybridMultilevel"/>
    <w:lvl w:ilvl="0">
      <w:lvlJc w:val="left"/>
      <w:lvlText w:val="(%1)"/>
      <w:numFmt w:val="lowerLetter"/>
      <w:start w:val="6"/>
    </w:lvl>
  </w:abstractNum>
  <w:abstractNum w:abstractNumId="149">
    <w:nsid w:val="71482545"/>
    <w:multiLevelType w:val="hybridMultilevel"/>
    <w:lvl w:ilvl="0">
      <w:lvlJc w:val="left"/>
      <w:lvlText w:val="(%1)"/>
      <w:numFmt w:val="lowerLetter"/>
      <w:start w:val="11"/>
    </w:lvl>
  </w:abstractNum>
  <w:abstractNum w:abstractNumId="150">
    <w:nsid w:val="17D78639"/>
    <w:multiLevelType w:val="hybridMultilevel"/>
    <w:lvl w:ilvl="0">
      <w:lvlJc w:val="left"/>
      <w:lvlText w:val="(%1)"/>
      <w:numFmt w:val="lowerLetter"/>
      <w:start w:val="1"/>
    </w:lvl>
  </w:abstractNum>
  <w:abstractNum w:abstractNumId="151">
    <w:nsid w:val="141D2302"/>
    <w:multiLevelType w:val="hybridMultilevel"/>
    <w:lvl w:ilvl="0">
      <w:lvlJc w:val="left"/>
      <w:lvlText w:val="(%1)"/>
      <w:numFmt w:val="lowerLetter"/>
      <w:start w:val="1"/>
    </w:lvl>
  </w:abstractNum>
  <w:abstractNum w:abstractNumId="152">
    <w:nsid w:val="407168D8"/>
    <w:multiLevelType w:val="hybridMultilevel"/>
    <w:lvl w:ilvl="0">
      <w:lvlJc w:val="left"/>
      <w:lvlText w:val="(%1)"/>
      <w:numFmt w:val="lowerLetter"/>
      <w:start w:val="2"/>
    </w:lvl>
  </w:abstractNum>
  <w:abstractNum w:abstractNumId="153">
    <w:nsid w:val="6A1B45E5"/>
    <w:multiLevelType w:val="hybridMultilevel"/>
    <w:lvl w:ilvl="0">
      <w:lvlJc w:val="left"/>
      <w:lvlText w:val="."/>
      <w:numFmt w:val="bullet"/>
      <w:start w:val="1"/>
    </w:lvl>
  </w:abstractNum>
  <w:abstractNum w:abstractNumId="154">
    <w:nsid w:val="567BD50A"/>
    <w:multiLevelType w:val="hybridMultilevel"/>
    <w:lvl w:ilvl="0">
      <w:lvlJc w:val="left"/>
      <w:lvlText w:val="."/>
      <w:numFmt w:val="bullet"/>
      <w:start w:val="1"/>
    </w:lvl>
    <w:lvl w:ilvl="1">
      <w:lvlJc w:val="left"/>
      <w:lvlText w:val="(%2)"/>
      <w:numFmt w:val="lowerLetter"/>
      <w:start w:val="1"/>
    </w:lvl>
  </w:abstractNum>
  <w:abstractNum w:abstractNumId="155">
    <w:nsid w:val="73BBD7F8"/>
    <w:multiLevelType w:val="hybridMultilevel"/>
    <w:lvl w:ilvl="0">
      <w:lvlJc w:val="left"/>
      <w:lvlText w:val="(%1)"/>
      <w:numFmt w:val="lowerLetter"/>
      <w:start w:val="6"/>
    </w:lvl>
  </w:abstractNum>
  <w:abstractNum w:abstractNumId="156">
    <w:nsid w:val="1876589D"/>
    <w:multiLevelType w:val="hybridMultilevel"/>
    <w:lvl w:ilvl="0">
      <w:lvlJc w:val="left"/>
      <w:lvlText w:val="(%1)"/>
      <w:numFmt w:val="lowerLetter"/>
      <w:start w:val="1"/>
    </w:lvl>
  </w:abstractNum>
  <w:abstractNum w:abstractNumId="157">
    <w:nsid w:val="327FAC77"/>
    <w:multiLevelType w:val="hybridMultilevel"/>
    <w:lvl w:ilvl="0">
      <w:lvlJc w:val="left"/>
      <w:lvlText w:val="(%1)"/>
      <w:numFmt w:val="lowerRoman"/>
      <w:start w:val="3"/>
    </w:lvl>
  </w:abstractNum>
  <w:abstractNum w:abstractNumId="158">
    <w:nsid w:val="5A606509"/>
    <w:multiLevelType w:val="hybridMultilevel"/>
    <w:lvl w:ilvl="0">
      <w:lvlJc w:val="left"/>
      <w:lvlText w:val="(%1)"/>
      <w:numFmt w:val="lowerLetter"/>
      <w:start w:val="1"/>
    </w:lvl>
  </w:abstractNum>
  <w:abstractNum w:abstractNumId="159">
    <w:nsid w:val="6F38E6D1"/>
    <w:multiLevelType w:val="hybridMultilevel"/>
    <w:lvl w:ilvl="0">
      <w:lvlJc w:val="left"/>
      <w:lvlText w:val="(%1)"/>
      <w:numFmt w:val="lowerLetter"/>
      <w:start w:val="2"/>
    </w:lvl>
  </w:abstractNum>
  <w:abstractNum w:abstractNumId="160">
    <w:nsid w:val="46111BA5"/>
    <w:multiLevelType w:val="hybridMultilevel"/>
    <w:lvl w:ilvl="0">
      <w:lvlJc w:val="left"/>
      <w:lvlText w:val="(%1)"/>
      <w:numFmt w:val="lowerLetter"/>
      <w:start w:val="1"/>
    </w:lvl>
  </w:abstractNum>
  <w:abstractNum w:abstractNumId="161">
    <w:nsid w:val="5E963896"/>
    <w:multiLevelType w:val="hybridMultilevel"/>
    <w:lvl w:ilvl="0">
      <w:lvlJc w:val="left"/>
      <w:lvlText w:val="(%1)"/>
      <w:numFmt w:val="lowerLetter"/>
      <w:start w:val="2"/>
    </w:lvl>
  </w:abstractNum>
  <w:abstractNum w:abstractNumId="162">
    <w:nsid w:val="775BA7C1"/>
    <w:multiLevelType w:val="hybridMultilevel"/>
    <w:lvl w:ilvl="0">
      <w:lvlJc w:val="left"/>
      <w:lvlText w:val="(%1)"/>
      <w:numFmt w:val="lowerLetter"/>
      <w:start w:val="1"/>
    </w:lvl>
  </w:abstractNum>
  <w:abstractNum w:abstractNumId="163">
    <w:nsid w:val="1DD6D6F4"/>
    <w:multiLevelType w:val="hybridMultilevel"/>
    <w:lvl w:ilvl="0">
      <w:lvlJc w:val="left"/>
      <w:lvlText w:val="(%1)"/>
      <w:numFmt w:val="lowerLetter"/>
      <w:start w:val="2"/>
    </w:lvl>
    <w:lvl w:ilvl="1">
      <w:lvlJc w:val="left"/>
      <w:lvlText w:val="(%2)"/>
      <w:numFmt w:val="lowerRoman"/>
      <w:start w:val="1"/>
    </w:lvl>
  </w:abstractNum>
  <w:abstractNum w:abstractNumId="164">
    <w:nsid w:val="769A091F"/>
    <w:multiLevelType w:val="hybridMultilevel"/>
    <w:lvl w:ilvl="0">
      <w:lvlJc w:val="left"/>
      <w:lvlText w:val="(%1)"/>
      <w:numFmt w:val="lowerLetter"/>
      <w:start w:val="5"/>
    </w:lvl>
  </w:abstractNum>
  <w:abstractNum w:abstractNumId="165">
    <w:nsid w:val="4695AE95"/>
    <w:multiLevelType w:val="hybridMultilevel"/>
    <w:lvl w:ilvl="0">
      <w:lvlJc w:val="left"/>
      <w:lvlText w:val="(%1)"/>
      <w:numFmt w:val="lowerLetter"/>
      <w:start w:val="1"/>
    </w:lvl>
  </w:abstractNum>
  <w:abstractNum w:abstractNumId="166">
    <w:nsid w:val="777A4EAA"/>
    <w:multiLevelType w:val="hybridMultilevel"/>
    <w:lvl w:ilvl="0">
      <w:lvlJc w:val="left"/>
      <w:lvlText w:val="(%1)"/>
      <w:numFmt w:val="lowerLetter"/>
      <w:start w:val="2"/>
    </w:lvl>
  </w:abstractNum>
  <w:abstractNum w:abstractNumId="167">
    <w:nsid w:val="3F48B982"/>
    <w:multiLevelType w:val="hybridMultilevel"/>
    <w:lvl w:ilvl="0">
      <w:lvlJc w:val="left"/>
      <w:lvlText w:val="(%1)"/>
      <w:numFmt w:val="lowerLetter"/>
      <w:start w:val="1"/>
    </w:lvl>
    <w:lvl w:ilvl="1">
      <w:lvlJc w:val="left"/>
      <w:lvlText w:val="(%2)"/>
      <w:numFmt w:val="lowerRoman"/>
      <w:start w:val="1"/>
    </w:lvl>
  </w:abstractNum>
  <w:abstractNum w:abstractNumId="168">
    <w:nsid w:val="46BA8FCA"/>
    <w:multiLevelType w:val="hybridMultilevel"/>
    <w:lvl w:ilvl="0">
      <w:lvlJc w:val="left"/>
      <w:lvlText w:val="(%1)"/>
      <w:numFmt w:val="lowerRoman"/>
      <w:start w:val="6"/>
    </w:lvl>
  </w:abstractNum>
  <w:abstractNum w:abstractNumId="169">
    <w:nsid w:val="7835626C"/>
    <w:multiLevelType w:val="hybridMultilevel"/>
    <w:lvl w:ilvl="0">
      <w:lvlJc w:val="left"/>
      <w:lvlText w:val="(%1)"/>
      <w:numFmt w:val="lowerLetter"/>
      <w:start w:val="2"/>
    </w:lvl>
  </w:abstractNum>
  <w:abstractNum w:abstractNumId="170">
    <w:nsid w:val="665ACA49"/>
    <w:multiLevelType w:val="hybridMultilevel"/>
    <w:lvl w:ilvl="0">
      <w:lvlJc w:val="left"/>
      <w:lvlText w:val="(%1)"/>
      <w:numFmt w:val="lowerLetter"/>
      <w:start w:val="3"/>
    </w:lvl>
  </w:abstractNum>
  <w:abstractNum w:abstractNumId="171">
    <w:nsid w:val="6835B2AE"/>
    <w:multiLevelType w:val="hybridMultilevel"/>
    <w:lvl w:ilvl="0">
      <w:lvlJc w:val="left"/>
      <w:lvlText w:val="(%1)"/>
      <w:numFmt w:val="lowerLetter"/>
      <w:start w:val="4"/>
    </w:lvl>
  </w:abstractNum>
  <w:abstractNum w:abstractNumId="172">
    <w:nsid w:val="4C187C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3">
    <w:nsid w:val="541F28CD"/>
    <w:multiLevelType w:val="hybridMultilevel"/>
    <w:lvl w:ilvl="0">
      <w:lvlJc w:val="left"/>
      <w:lvlText w:val="(%1)"/>
      <w:numFmt w:val="lowerRoman"/>
      <w:start w:val="2"/>
    </w:lvl>
    <w:lvl w:ilvl="1">
      <w:lvlJc w:val="left"/>
      <w:lvlText w:val="(%2)"/>
      <w:numFmt w:val="lowerRoman"/>
      <w:start w:val="2"/>
    </w:lvl>
  </w:abstractNum>
  <w:abstractNum w:abstractNumId="174">
    <w:nsid w:val="7F65FD16"/>
    <w:multiLevelType w:val="hybridMultilevel"/>
    <w:lvl w:ilvl="0">
      <w:lvlJc w:val="left"/>
      <w:lvlText w:val="%1"/>
      <w:numFmt w:val="lowerRoman"/>
      <w:start w:val="1"/>
    </w:lvl>
    <w:lvl w:ilvl="1">
      <w:lvlJc w:val="left"/>
      <w:lvlText w:val="(%2)"/>
      <w:numFmt w:val="lowerRoman"/>
      <w:start w:val="4"/>
    </w:lvl>
  </w:abstractNum>
  <w:abstractNum w:abstractNumId="175">
    <w:nsid w:val="77C9FD68"/>
    <w:multiLevelType w:val="hybridMultilevel"/>
    <w:lvl w:ilvl="0">
      <w:lvlJc w:val="left"/>
      <w:lvlText w:val="(%1)"/>
      <w:numFmt w:val="lowerRoman"/>
      <w:start w:val="4"/>
    </w:lvl>
    <w:lvl w:ilvl="1">
      <w:lvlJc w:val="left"/>
      <w:lvlText w:val="%2"/>
      <w:numFmt w:val="lowerRoman"/>
      <w:start w:val="1"/>
    </w:lvl>
  </w:abstractNum>
  <w:abstractNum w:abstractNumId="176">
    <w:nsid w:val="298A92BA"/>
    <w:multiLevelType w:val="hybridMultilevel"/>
    <w:lvl w:ilvl="0">
      <w:lvlJc w:val="left"/>
      <w:lvlText w:val="(%1)"/>
      <w:numFmt w:val="lowerLetter"/>
      <w:start w:val="3"/>
    </w:lvl>
  </w:abstractNum>
  <w:abstractNum w:abstractNumId="177">
    <w:nsid w:val="6FE95EAC"/>
    <w:multiLevelType w:val="hybridMultilevel"/>
    <w:lvl w:ilvl="0">
      <w:lvlJc w:val="left"/>
      <w:lvlText w:val="%1"/>
      <w:numFmt w:val="lowerLetter"/>
      <w:start w:val="1"/>
    </w:lvl>
    <w:lvl w:ilvl="1">
      <w:lvlJc w:val="left"/>
      <w:lvlText w:val="(%2)"/>
      <w:numFmt w:val="lowerLetter"/>
      <w:start w:val="5"/>
    </w:lvl>
  </w:abstractNum>
  <w:abstractNum w:abstractNumId="178">
    <w:nsid w:val="4B697C7A"/>
    <w:multiLevelType w:val="hybridMultilevel"/>
    <w:lvl w:ilvl="0">
      <w:lvlJc w:val="left"/>
      <w:lvlText w:val="(%1)"/>
      <w:numFmt w:val="lowerLetter"/>
      <w:start w:val="35"/>
    </w:lvl>
    <w:lvl w:ilvl="1">
      <w:lvlJc w:val="left"/>
      <w:lvlText w:val="%2"/>
      <w:numFmt w:val="lowerLetter"/>
      <w:start w:val="1"/>
    </w:lvl>
  </w:abstractNum>
  <w:abstractNum w:abstractNumId="179">
    <w:nsid w:val="51A27AA6"/>
    <w:multiLevelType w:val="hybridMultilevel"/>
    <w:lvl w:ilvl="0">
      <w:lvlJc w:val="left"/>
      <w:lvlText w:val="(%1)"/>
      <w:numFmt w:val="lowerLetter"/>
      <w:start w:val="8"/>
    </w:lvl>
  </w:abstractNum>
  <w:abstractNum w:abstractNumId="180">
    <w:nsid w:val="613183F2"/>
    <w:multiLevelType w:val="hybridMultilevel"/>
    <w:lvl w:ilvl="0">
      <w:lvlJc w:val="left"/>
      <w:lvlText w:val="%1"/>
      <w:numFmt w:val="upperLetter"/>
      <w:start w:val="1"/>
    </w:lvl>
    <w:lvl w:ilvl="1">
      <w:lvlJc w:val="left"/>
      <w:lvlText w:val="(%2)"/>
      <w:numFmt w:val="lowerLetter"/>
      <w:start w:val="1"/>
    </w:lvl>
  </w:abstractNum>
  <w:abstractNum w:abstractNumId="181">
    <w:nsid w:val="634102B4"/>
    <w:multiLevelType w:val="hybridMultilevel"/>
    <w:lvl w:ilvl="0">
      <w:lvlJc w:val="left"/>
      <w:lvlText w:val="(%1)"/>
      <w:numFmt w:val="upperLetter"/>
      <w:start w:val="1"/>
    </w:lvl>
    <w:lvl w:ilvl="1">
      <w:lvlJc w:val="left"/>
      <w:lvlText w:val="%2"/>
      <w:numFmt w:val="lowerLetter"/>
      <w:start w:val="1"/>
    </w:lvl>
  </w:abstractNum>
  <w:abstractNum w:abstractNumId="182">
    <w:nsid w:val="65BF9DA8"/>
    <w:multiLevelType w:val="hybridMultilevel"/>
    <w:lvl w:ilvl="0">
      <w:lvlJc w:val="left"/>
      <w:lvlText w:val="(%1)"/>
      <w:numFmt w:val="lowerLetter"/>
      <w:start w:val="2"/>
    </w:lvl>
  </w:abstractNum>
  <w:abstractNum w:abstractNumId="183">
    <w:nsid w:val="21A2ECCA"/>
    <w:multiLevelType w:val="hybridMultilevel"/>
    <w:lvl w:ilvl="0">
      <w:lvlJc w:val="left"/>
      <w:lvlText w:val="(%1)"/>
      <w:numFmt w:val="lowerLetter"/>
      <w:start w:val="3"/>
    </w:lvl>
  </w:abstractNum>
  <w:abstractNum w:abstractNumId="184">
    <w:nsid w:val="4D5C4899"/>
    <w:multiLevelType w:val="hybridMultilevel"/>
    <w:lvl w:ilvl="0">
      <w:lvlJc w:val="left"/>
      <w:lvlText w:val="(%1)"/>
      <w:numFmt w:val="lowerLetter"/>
      <w:start w:val="2"/>
    </w:lvl>
    <w:lvl w:ilvl="1">
      <w:lvlJc w:val="left"/>
      <w:lvlText w:val="(%2)"/>
      <w:numFmt w:val="lowerRoman"/>
      <w:start w:val="1"/>
    </w:lvl>
  </w:abstractNum>
  <w:abstractNum w:abstractNumId="185">
    <w:nsid w:val="3C3B72B2"/>
    <w:multiLevelType w:val="hybridMultilevel"/>
    <w:lvl w:ilvl="0">
      <w:lvlJc w:val="left"/>
      <w:lvlText w:val="(%1)"/>
      <w:numFmt w:val="lowerRoman"/>
      <w:start w:val="4"/>
    </w:lvl>
  </w:abstractNum>
  <w:abstractNum w:abstractNumId="186">
    <w:nsid w:val="155EC4C2"/>
    <w:multiLevelType w:val="hybridMultilevel"/>
    <w:lvl w:ilvl="0">
      <w:lvlJc w:val="left"/>
      <w:lvlText w:val="(%1)"/>
      <w:numFmt w:val="lowerLetter"/>
      <w:start w:val="2"/>
    </w:lvl>
  </w:abstractNum>
  <w:abstractNum w:abstractNumId="187">
    <w:nsid w:val="65D2A137"/>
    <w:multiLevelType w:val="hybridMultilevel"/>
    <w:lvl w:ilvl="0">
      <w:lvlJc w:val="left"/>
      <w:lvlText w:val="(%1)"/>
      <w:numFmt w:val="lowerLetter"/>
      <w:start w:val="2"/>
    </w:lvl>
  </w:abstractNum>
  <w:abstractNum w:abstractNumId="188">
    <w:nsid w:val="6EBB1F2A"/>
    <w:multiLevelType w:val="hybridMultilevel"/>
    <w:lvl w:ilvl="0">
      <w:lvlJc w:val="left"/>
      <w:lvlText w:val="(%1)"/>
      <w:numFmt w:val="lowerLetter"/>
      <w:start w:val="3"/>
    </w:lvl>
  </w:abstractNum>
  <w:abstractNum w:abstractNumId="189">
    <w:nsid w:val="6FBF29CB"/>
    <w:multiLevelType w:val="hybridMultilevel"/>
    <w:lvl w:ilvl="0">
      <w:lvlJc w:val="left"/>
      <w:lvlText w:val="(%1)"/>
      <w:numFmt w:val="lowerLetter"/>
      <w:start w:val="1"/>
    </w:lvl>
    <w:lvl w:ilvl="1">
      <w:lvlJc w:val="left"/>
      <w:lvlText w:val="(%2)"/>
      <w:numFmt w:val="lowerRoman"/>
      <w:start w:val="1"/>
    </w:lvl>
  </w:abstractNum>
  <w:abstractNum w:abstractNumId="190">
    <w:nsid w:val="550B8808"/>
    <w:multiLevelType w:val="hybridMultilevel"/>
    <w:lvl w:ilvl="0">
      <w:lvlJc w:val="left"/>
      <w:lvlText w:val="(%1)"/>
      <w:numFmt w:val="lowerLetter"/>
      <w:start w:val="3"/>
    </w:lvl>
  </w:abstractNum>
  <w:abstractNum w:abstractNumId="191">
    <w:nsid w:val="34CC3ACF"/>
    <w:multiLevelType w:val="hybridMultilevel"/>
    <w:lvl w:ilvl="0">
      <w:lvlJc w:val="left"/>
      <w:lvlText w:val="%1:"/>
      <w:numFmt w:val="upperLetter"/>
      <w:start w:val="17"/>
    </w:lvl>
  </w:abstractNum>
  <w:abstractNum w:abstractNumId="192">
    <w:nsid w:val="4E556261"/>
    <w:multiLevelType w:val="hybridMultilevel"/>
    <w:lvl w:ilvl="0">
      <w:lvlJc w:val="left"/>
      <w:lvlText w:val="%1:"/>
      <w:numFmt w:val="upperLetter"/>
      <w:start w:val="1"/>
    </w:lvl>
  </w:abstractNum>
  <w:abstractNum w:abstractNumId="193">
    <w:nsid w:val="4C672FC9"/>
    <w:multiLevelType w:val="hybridMultilevel"/>
    <w:lvl w:ilvl="0">
      <w:lvlJc w:val="left"/>
      <w:lvlText w:val="%1:"/>
      <w:numFmt w:val="upperLetter"/>
      <w:start w:val="17"/>
    </w:lvl>
  </w:abstractNum>
  <w:abstractNum w:abstractNumId="194">
    <w:nsid w:val="52A311C3"/>
    <w:multiLevelType w:val="hybridMultilevel"/>
    <w:lvl w:ilvl="0">
      <w:lvlJc w:val="left"/>
      <w:lvlText w:val="%1:"/>
      <w:numFmt w:val="upperLetter"/>
      <w:start w:val="1"/>
    </w:lvl>
  </w:abstractNum>
  <w:abstractNum w:abstractNumId="195">
    <w:nsid w:val="44EF6B80"/>
    <w:multiLevelType w:val="hybridMultilevel"/>
    <w:lvl w:ilvl="0">
      <w:lvlJc w:val="left"/>
      <w:lvlText w:val="%1:"/>
      <w:numFmt w:val="upperLetter"/>
      <w:start w:val="17"/>
    </w:lvl>
  </w:abstractNum>
  <w:abstractNum w:abstractNumId="196">
    <w:nsid w:val="12FCDE5E"/>
    <w:multiLevelType w:val="hybridMultilevel"/>
    <w:lvl w:ilvl="0">
      <w:lvlJc w:val="left"/>
      <w:lvlText w:val="%1:"/>
      <w:numFmt w:val="upperLetter"/>
      <w:start w:val="1"/>
    </w:lvl>
  </w:abstractNum>
  <w:abstractNum w:abstractNumId="197">
    <w:nsid w:val="4A1D606E"/>
    <w:multiLevelType w:val="hybridMultilevel"/>
    <w:lvl w:ilvl="0">
      <w:lvlJc w:val="left"/>
      <w:lvlText w:val="%1:"/>
      <w:numFmt w:val="upperLetter"/>
      <w:start w:val="17"/>
    </w:lvl>
  </w:abstractNum>
  <w:abstractNum w:abstractNumId="198">
    <w:nsid w:val="4382503"/>
    <w:multiLevelType w:val="hybridMultilevel"/>
    <w:lvl w:ilvl="0">
      <w:lvlJc w:val="left"/>
      <w:lvlText w:val="%1:"/>
      <w:numFmt w:val="upperLetter"/>
      <w:start w:val="1"/>
    </w:lvl>
  </w:abstractNum>
  <w:abstractNum w:abstractNumId="199">
    <w:nsid w:val="59B76E28"/>
    <w:multiLevelType w:val="hybridMultilevel"/>
    <w:lvl w:ilvl="0">
      <w:lvlJc w:val="left"/>
      <w:lvlText w:val="%1:"/>
      <w:numFmt w:val="upperLetter"/>
      <w:start w:val="17"/>
    </w:lvl>
  </w:abstractNum>
  <w:abstractNum w:abstractNumId="200">
    <w:nsid w:val="4252C2DA"/>
    <w:multiLevelType w:val="hybridMultilevel"/>
    <w:lvl w:ilvl="0">
      <w:lvlJc w:val="left"/>
      <w:lvlText w:val="%1:"/>
      <w:numFmt w:val="upperLetter"/>
      <w:start w:val="1"/>
    </w:lvl>
  </w:abstractNum>
  <w:abstractNum w:abstractNumId="201">
    <w:nsid w:val="6A92EF4C"/>
    <w:multiLevelType w:val="hybridMultilevel"/>
    <w:lvl w:ilvl="0">
      <w:lvlJc w:val="left"/>
      <w:lvlText w:val="%1:"/>
      <w:numFmt w:val="upperLetter"/>
      <w:start w:val="17"/>
    </w:lvl>
  </w:abstractNum>
  <w:abstractNum w:abstractNumId="202">
    <w:nsid w:val="41ED20D7"/>
    <w:multiLevelType w:val="hybridMultilevel"/>
    <w:lvl w:ilvl="0">
      <w:lvlJc w:val="left"/>
      <w:lvlText w:val="%1:"/>
      <w:numFmt w:val="upperLetter"/>
      <w:start w:val="1"/>
    </w:lvl>
  </w:abstractNum>
  <w:abstractNum w:abstractNumId="203">
    <w:nsid w:val="E6B3F6A"/>
    <w:multiLevelType w:val="hybridMultilevel"/>
    <w:lvl w:ilvl="0">
      <w:lvlJc w:val="left"/>
      <w:lvlText w:val="%1:"/>
      <w:numFmt w:val="upperLetter"/>
      <w:start w:val="17"/>
    </w:lvl>
  </w:abstractNum>
  <w:abstractNum w:abstractNumId="204">
    <w:nsid w:val="3EB21819"/>
    <w:multiLevelType w:val="hybridMultilevel"/>
    <w:lvl w:ilvl="0">
      <w:lvlJc w:val="left"/>
      <w:lvlText w:val="%1:"/>
      <w:numFmt w:val="upperLetter"/>
      <w:start w:val="1"/>
    </w:lvl>
  </w:abstractNum>
  <w:abstractNum w:abstractNumId="205">
    <w:nsid w:val="41531DED"/>
    <w:multiLevelType w:val="hybridMultilevel"/>
    <w:lvl w:ilvl="0">
      <w:lvlJc w:val="left"/>
      <w:lvlText w:val="%1:"/>
      <w:numFmt w:val="upperLetter"/>
      <w:start w:val="17"/>
    </w:lvl>
  </w:abstractNum>
  <w:abstractNum w:abstractNumId="206">
    <w:nsid w:val="6353CD2"/>
    <w:multiLevelType w:val="hybridMultilevel"/>
    <w:lvl w:ilvl="0">
      <w:lvlJc w:val="left"/>
      <w:lvlText w:val="%1:"/>
      <w:numFmt w:val="upperLetter"/>
      <w:start w:val="1"/>
    </w:lvl>
  </w:abstractNum>
  <w:abstractNum w:abstractNumId="207">
    <w:nsid w:val="683CAAD3"/>
    <w:multiLevelType w:val="hybridMultilevel"/>
    <w:lvl w:ilvl="0">
      <w:lvlJc w:val="left"/>
      <w:lvlText w:val="%1:"/>
      <w:numFmt w:val="upperLetter"/>
      <w:start w:val="17"/>
    </w:lvl>
  </w:abstractNum>
  <w:abstractNum w:abstractNumId="208">
    <w:nsid w:val="313C7C99"/>
    <w:multiLevelType w:val="hybridMultilevel"/>
    <w:lvl w:ilvl="0">
      <w:lvlJc w:val="left"/>
      <w:lvlText w:val="%1:"/>
      <w:numFmt w:val="upperLetter"/>
      <w:start w:val="1"/>
    </w:lvl>
  </w:abstractNum>
  <w:abstractNum w:abstractNumId="209">
    <w:nsid w:val="519EB94C"/>
    <w:multiLevelType w:val="hybridMultilevel"/>
    <w:lvl w:ilvl="0">
      <w:lvlJc w:val="left"/>
      <w:lvlText w:val="%1:"/>
      <w:numFmt w:val="upperLetter"/>
      <w:start w:val="17"/>
    </w:lvl>
  </w:abstractNum>
  <w:abstractNum w:abstractNumId="210">
    <w:nsid w:val="39DF2579"/>
    <w:multiLevelType w:val="hybridMultilevel"/>
    <w:lvl w:ilvl="0">
      <w:lvlJc w:val="left"/>
      <w:lvlText w:val="%1:"/>
      <w:numFmt w:val="upperLetter"/>
      <w:start w:val="1"/>
    </w:lvl>
  </w:abstractNum>
  <w:abstractNum w:abstractNumId="211">
    <w:nsid w:val="126E008B"/>
    <w:multiLevelType w:val="hybridMultilevel"/>
    <w:lvl w:ilvl="0">
      <w:lvlJc w:val="left"/>
      <w:lvlText w:val="%1:"/>
      <w:numFmt w:val="upperLetter"/>
      <w:start w:val="17"/>
    </w:lvl>
  </w:abstractNum>
  <w:abstractNum w:abstractNumId="212">
    <w:nsid w:val="34DFBC00"/>
    <w:multiLevelType w:val="hybridMultilevel"/>
    <w:lvl w:ilvl="0">
      <w:lvlJc w:val="left"/>
      <w:lvlText w:val="%1:"/>
      <w:numFmt w:val="upperLetter"/>
      <w:start w:val="1"/>
    </w:lvl>
  </w:abstractNum>
  <w:abstractNum w:abstractNumId="213">
    <w:nsid w:val="1F9EC322"/>
    <w:multiLevelType w:val="hybridMultilevel"/>
    <w:lvl w:ilvl="0">
      <w:lvlJc w:val="left"/>
      <w:lvlText w:val="%1:"/>
      <w:numFmt w:val="upperLetter"/>
      <w:start w:val="17"/>
    </w:lvl>
  </w:abstractNum>
  <w:abstractNum w:abstractNumId="214">
    <w:nsid w:val="3410ED56"/>
    <w:multiLevelType w:val="hybridMultilevel"/>
    <w:lvl w:ilvl="0">
      <w:lvlJc w:val="left"/>
      <w:lvlText w:val="%1:"/>
      <w:numFmt w:val="upperLetter"/>
      <w:start w:val="1"/>
    </w:lvl>
  </w:abstractNum>
  <w:abstractNum w:abstractNumId="215">
    <w:nsid w:val="23C049A"/>
    <w:multiLevelType w:val="hybridMultilevel"/>
    <w:lvl w:ilvl="0">
      <w:lvlJc w:val="left"/>
      <w:lvlText w:val="%1:"/>
      <w:numFmt w:val="upperLetter"/>
      <w:start w:val="17"/>
    </w:lvl>
  </w:abstractNum>
  <w:abstractNum w:abstractNumId="216">
    <w:nsid w:val="5BDA35D4"/>
    <w:multiLevelType w:val="hybridMultilevel"/>
    <w:lvl w:ilvl="0">
      <w:lvlJc w:val="left"/>
      <w:lvlText w:val="%1:"/>
      <w:numFmt w:val="upperLetter"/>
      <w:start w:val="1"/>
    </w:lvl>
  </w:abstractNum>
  <w:abstractNum w:abstractNumId="217">
    <w:nsid w:val="496FB218"/>
    <w:multiLevelType w:val="hybridMultilevel"/>
    <w:lvl w:ilvl="0">
      <w:lvlJc w:val="left"/>
      <w:lvlText w:val="%1:"/>
      <w:numFmt w:val="upperLetter"/>
      <w:start w:val="17"/>
    </w:lvl>
  </w:abstractNum>
  <w:abstractNum w:abstractNumId="218">
    <w:nsid w:val="680EA5D1"/>
    <w:multiLevelType w:val="hybridMultilevel"/>
    <w:lvl w:ilvl="0">
      <w:lvlJc w:val="left"/>
      <w:lvlText w:val="%1:"/>
      <w:numFmt w:val="upperLetter"/>
      <w:start w:val="1"/>
    </w:lvl>
  </w:abstractNum>
  <w:abstractNum w:abstractNumId="219">
    <w:nsid w:val="4A9554FE"/>
    <w:multiLevelType w:val="hybridMultilevel"/>
    <w:lvl w:ilvl="0">
      <w:lvlJc w:val="left"/>
      <w:lvlText w:val="%1:"/>
      <w:numFmt w:val="upperLetter"/>
      <w:start w:val="17"/>
    </w:lvl>
  </w:abstractNum>
  <w:abstractNum w:abstractNumId="220">
    <w:nsid w:val="392EDBE4"/>
    <w:multiLevelType w:val="hybridMultilevel"/>
    <w:lvl w:ilvl="0">
      <w:lvlJc w:val="left"/>
      <w:lvlText w:val="%1:"/>
      <w:numFmt w:val="upperLetter"/>
      <w:start w:val="1"/>
    </w:lvl>
  </w:abstractNum>
  <w:abstractNum w:abstractNumId="221">
    <w:nsid w:val="3D1A2DD9"/>
    <w:multiLevelType w:val="hybridMultilevel"/>
    <w:lvl w:ilvl="0">
      <w:lvlJc w:val="left"/>
      <w:lvlText w:val="%1:"/>
      <w:numFmt w:val="upperLetter"/>
      <w:start w:val="17"/>
    </w:lvl>
  </w:abstractNum>
  <w:abstractNum w:abstractNumId="222">
    <w:nsid w:val="7F618FCD"/>
    <w:multiLevelType w:val="hybridMultilevel"/>
    <w:lvl w:ilvl="0">
      <w:lvlJc w:val="left"/>
      <w:lvlText w:val="%1:"/>
      <w:numFmt w:val="upperLetter"/>
      <w:start w:val="1"/>
    </w:lvl>
  </w:abstractNum>
  <w:abstractNum w:abstractNumId="223">
    <w:nsid w:val="7843E45"/>
    <w:multiLevelType w:val="hybridMultilevel"/>
    <w:lvl w:ilvl="0">
      <w:lvlJc w:val="left"/>
      <w:lvlText w:val="%1:"/>
      <w:numFmt w:val="upperLetter"/>
      <w:start w:val="17"/>
    </w:lvl>
  </w:abstractNum>
  <w:abstractNum w:abstractNumId="224">
    <w:nsid w:val="9815DA3"/>
    <w:multiLevelType w:val="hybridMultilevel"/>
    <w:lvl w:ilvl="0">
      <w:lvlJc w:val="left"/>
      <w:lvlText w:val="%1:"/>
      <w:numFmt w:val="upperLetter"/>
      <w:start w:val="1"/>
    </w:lvl>
  </w:abstractNum>
  <w:abstractNum w:abstractNumId="225">
    <w:nsid w:val="5204A191"/>
    <w:multiLevelType w:val="hybridMultilevel"/>
    <w:lvl w:ilvl="0">
      <w:lvlJc w:val="left"/>
      <w:lvlText w:val="%1:"/>
      <w:numFmt w:val="upperLetter"/>
      <w:start w:val="17"/>
    </w:lvl>
  </w:abstractNum>
  <w:abstractNum w:abstractNumId="226">
    <w:nsid w:val="4C73A9C6"/>
    <w:multiLevelType w:val="hybridMultilevel"/>
    <w:lvl w:ilvl="0">
      <w:lvlJc w:val="left"/>
      <w:lvlText w:val="%1:"/>
      <w:numFmt w:val="upperLetter"/>
      <w:start w:val="1"/>
    </w:lvl>
  </w:abstractNum>
  <w:abstractNum w:abstractNumId="227">
    <w:nsid w:val="1C7E3C01"/>
    <w:multiLevelType w:val="hybridMultilevel"/>
    <w:lvl w:ilvl="0">
      <w:lvlJc w:val="left"/>
      <w:lvlText w:val="%1:"/>
      <w:numFmt w:val="upperLetter"/>
      <w:start w:val="17"/>
    </w:lvl>
  </w:abstractNum>
  <w:abstractNum w:abstractNumId="228">
    <w:nsid w:val="1C2201FF"/>
    <w:multiLevelType w:val="hybridMultilevel"/>
    <w:lvl w:ilvl="0">
      <w:lvlJc w:val="left"/>
      <w:lvlText w:val="%1:"/>
      <w:numFmt w:val="upperLetter"/>
      <w:start w:val="1"/>
    </w:lvl>
  </w:abstractNum>
  <w:abstractNum w:abstractNumId="229">
    <w:nsid w:val="50ABCEC9"/>
    <w:multiLevelType w:val="hybridMultilevel"/>
    <w:lvl w:ilvl="0">
      <w:lvlJc w:val="left"/>
      <w:lvlText w:val="%1:"/>
      <w:numFmt w:val="upperLetter"/>
      <w:start w:val="17"/>
    </w:lvl>
  </w:abstractNum>
  <w:abstractNum w:abstractNumId="230">
    <w:nsid w:val="7635AA2A"/>
    <w:multiLevelType w:val="hybridMultilevel"/>
    <w:lvl w:ilvl="0">
      <w:lvlJc w:val="left"/>
      <w:lvlText w:val="%1:"/>
      <w:numFmt w:val="upperLetter"/>
      <w:start w:val="1"/>
    </w:lvl>
  </w:abstractNum>
  <w:abstractNum w:abstractNumId="231">
    <w:nsid w:val="5E74C4D9"/>
    <w:multiLevelType w:val="hybridMultilevel"/>
    <w:lvl w:ilvl="0">
      <w:lvlJc w:val="left"/>
      <w:lvlText w:val="●"/>
      <w:numFmt w:val="bullet"/>
      <w:start w:val="1"/>
    </w:lvl>
  </w:abstractNum>
  <w:abstractNum w:abstractNumId="232">
    <w:nsid w:val="3B3EBE15"/>
    <w:multiLevelType w:val="hybridMultilevel"/>
    <w:lvl w:ilvl="0">
      <w:lvlJc w:val="left"/>
      <w:lvlText w:val="•"/>
      <w:numFmt w:val="bullet"/>
      <w:start w:val="1"/>
    </w:lvl>
  </w:abstractNum>
  <w:abstractNum w:abstractNumId="233">
    <w:nsid w:val="3822CB01"/>
    <w:multiLevelType w:val="hybridMultilevel"/>
    <w:lvl w:ilvl="0">
      <w:lvlJc w:val="left"/>
      <w:lvlText w:val="•"/>
      <w:numFmt w:val="bullet"/>
      <w:start w:val="1"/>
    </w:lvl>
  </w:abstractNum>
  <w:abstractNum w:abstractNumId="234">
    <w:nsid w:val="6CE00443"/>
    <w:multiLevelType w:val="hybridMultilevel"/>
    <w:lvl w:ilvl="0">
      <w:lvlJc w:val="left"/>
      <w:lvlText w:val="•"/>
      <w:numFmt w:val="bullet"/>
      <w:start w:val="1"/>
    </w:lvl>
  </w:abstractNum>
  <w:abstractNum w:abstractNumId="235">
    <w:nsid w:val="79F0D62F"/>
    <w:multiLevelType w:val="hybridMultilevel"/>
    <w:lvl w:ilvl="0">
      <w:lvlJc w:val="left"/>
      <w:lvlText w:val="•"/>
      <w:numFmt w:val="bullet"/>
      <w:start w:val="1"/>
    </w:lvl>
  </w:abstractNum>
  <w:abstractNum w:abstractNumId="236">
    <w:nsid w:val="7975E8EE"/>
    <w:multiLevelType w:val="hybridMultilevel"/>
    <w:lvl w:ilvl="0">
      <w:lvlJc w:val="left"/>
      <w:lvlText w:val="(%1)"/>
      <w:numFmt w:val="decimal"/>
      <w:start w:val="1"/>
    </w:lvl>
  </w:abstractNum>
  <w:abstractNum w:abstractNumId="237">
    <w:nsid w:val="73154115"/>
    <w:multiLevelType w:val="hybridMultilevel"/>
    <w:lvl w:ilvl="0">
      <w:lvlJc w:val="left"/>
      <w:lvlText w:val="(%1)"/>
      <w:numFmt w:val="decimal"/>
      <w:start w:val="2"/>
    </w:lvl>
  </w:abstractNum>
  <w:abstractNum w:abstractNumId="238">
    <w:nsid w:val="622D8102"/>
    <w:multiLevelType w:val="hybridMultilevel"/>
    <w:lvl w:ilvl="0">
      <w:lvlJc w:val="left"/>
      <w:lvlText w:val="●"/>
      <w:numFmt w:val="bullet"/>
      <w:start w:val="1"/>
    </w:lvl>
  </w:abstractNum>
  <w:abstractNum w:abstractNumId="239">
    <w:nsid w:val="2AB26587"/>
    <w:multiLevelType w:val="hybridMultilevel"/>
    <w:lvl w:ilvl="0">
      <w:lvlJc w:val="left"/>
      <w:lvlText w:val="●"/>
      <w:numFmt w:val="bullet"/>
      <w:start w:val="1"/>
    </w:lvl>
  </w:abstractNum>
  <w:abstractNum w:abstractNumId="240">
    <w:nsid w:val="44B3FA61"/>
    <w:multiLevelType w:val="hybridMultilevel"/>
    <w:lvl w:ilvl="0">
      <w:lvlJc w:val="left"/>
      <w:lvlText w:val="●"/>
      <w:numFmt w:val="bullet"/>
      <w:start w:val="1"/>
    </w:lvl>
  </w:abstractNum>
  <w:abstractNum w:abstractNumId="241">
    <w:nsid w:val="1C0CA67C"/>
    <w:multiLevelType w:val="hybridMultilevel"/>
    <w:lvl w:ilvl="0">
      <w:lvlJc w:val="left"/>
      <w:lvlText w:val="●"/>
      <w:numFmt w:val="bullet"/>
      <w:start w:val="1"/>
    </w:lvl>
  </w:abstractNum>
  <w:abstractNum w:abstractNumId="242">
    <w:nsid w:val="3D206613"/>
    <w:multiLevelType w:val="hybridMultilevel"/>
    <w:lvl w:ilvl="0">
      <w:lvlJc w:val="left"/>
      <w:lvlText w:val="●"/>
      <w:numFmt w:val="bullet"/>
      <w:start w:val="1"/>
    </w:lvl>
  </w:abstractNum>
  <w:abstractNum w:abstractNumId="243">
    <w:nsid w:val="7993B662"/>
    <w:multiLevelType w:val="hybridMultilevel"/>
    <w:lvl w:ilvl="0">
      <w:lvlJc w:val="left"/>
      <w:lvlText w:val="●"/>
      <w:numFmt w:val="bullet"/>
      <w:start w:val="1"/>
    </w:lvl>
  </w:abstractNum>
  <w:abstractNum w:abstractNumId="244">
    <w:nsid w:val="3BAB699E"/>
    <w:multiLevelType w:val="hybridMultilevel"/>
    <w:lvl w:ilvl="0">
      <w:lvlJc w:val="left"/>
      <w:lvlText w:val="●"/>
      <w:numFmt w:val="bullet"/>
      <w:start w:val="1"/>
    </w:lvl>
  </w:abstractNum>
  <w:abstractNum w:abstractNumId="245">
    <w:nsid w:val="71315369"/>
    <w:multiLevelType w:val="hybridMultilevel"/>
    <w:lvl w:ilvl="0">
      <w:lvlJc w:val="left"/>
      <w:lvlText w:val="●"/>
      <w:numFmt w:val="bullet"/>
      <w:start w:val="1"/>
    </w:lvl>
  </w:abstractNum>
  <w:abstractNum w:abstractNumId="246">
    <w:nsid w:val="7BCFBAFC"/>
    <w:multiLevelType w:val="hybridMultilevel"/>
    <w:lvl w:ilvl="0">
      <w:lvlJc w:val="left"/>
      <w:lvlText w:val="●"/>
      <w:numFmt w:val="bullet"/>
      <w:start w:val="1"/>
    </w:lvl>
  </w:abstractNum>
  <w:abstractNum w:abstractNumId="247">
    <w:nsid w:val="17859F72"/>
    <w:multiLevelType w:val="hybridMultilevel"/>
    <w:lvl w:ilvl="0">
      <w:lvlJc w:val="left"/>
      <w:lvlText w:val="●"/>
      <w:numFmt w:val="bullet"/>
      <w:start w:val="1"/>
    </w:lvl>
  </w:abstractNum>
  <w:abstractNum w:abstractNumId="248">
    <w:nsid w:val="3AA10581"/>
    <w:multiLevelType w:val="hybridMultilevel"/>
    <w:lvl w:ilvl="0">
      <w:lvlJc w:val="left"/>
      <w:lvlText w:val="●"/>
      <w:numFmt w:val="bullet"/>
      <w:start w:val="1"/>
    </w:lvl>
  </w:abstractNum>
  <w:abstractNum w:abstractNumId="249">
    <w:nsid w:val="63DE60CD"/>
    <w:multiLevelType w:val="hybridMultilevel"/>
    <w:lvl w:ilvl="0">
      <w:lvlJc w:val="left"/>
      <w:lvlText w:val="●"/>
      <w:numFmt w:val="bullet"/>
      <w:start w:val="1"/>
    </w:lvl>
  </w:abstractNum>
  <w:abstractNum w:abstractNumId="250">
    <w:nsid w:val="621AF471"/>
    <w:multiLevelType w:val="hybridMultilevel"/>
    <w:lvl w:ilvl="0">
      <w:lvlJc w:val="left"/>
      <w:lvlText w:val="●"/>
      <w:numFmt w:val="bullet"/>
      <w:start w:val="1"/>
    </w:lvl>
  </w:abstractNum>
  <w:abstractNum w:abstractNumId="251">
    <w:nsid w:val="73CFE165"/>
    <w:multiLevelType w:val="hybridMultilevel"/>
    <w:lvl w:ilvl="0">
      <w:lvlJc w:val="left"/>
      <w:lvlText w:val="●"/>
      <w:numFmt w:val="bullet"/>
      <w:start w:val="1"/>
    </w:lvl>
  </w:abstractNum>
  <w:abstractNum w:abstractNumId="252">
    <w:nsid w:val="20F88EA6"/>
    <w:multiLevelType w:val="hybridMultilevel"/>
    <w:lvl w:ilvl="0">
      <w:lvlJc w:val="left"/>
      <w:lvlText w:val="%1."/>
      <w:numFmt w:val="decimal"/>
      <w:start w:val="144"/>
    </w:lvl>
  </w:abstractNum>
  <w:abstractNum w:abstractNumId="253">
    <w:nsid w:val="617C843E"/>
    <w:multiLevelType w:val="hybridMultilevel"/>
    <w:lvl w:ilvl="0">
      <w:lvlJc w:val="left"/>
      <w:lvlText w:val="●"/>
      <w:numFmt w:val="bullet"/>
      <w:start w:val="1"/>
    </w:lvl>
  </w:abstractNum>
  <w:abstractNum w:abstractNumId="254">
    <w:nsid w:val="7B541FAB"/>
    <w:multiLevelType w:val="hybridMultilevel"/>
    <w:lvl w:ilvl="0">
      <w:lvlJc w:val="left"/>
      <w:lvlText w:val="●"/>
      <w:numFmt w:val="bullet"/>
      <w:start w:val="1"/>
    </w:lvl>
  </w:abstractNum>
  <w:abstractNum w:abstractNumId="255">
    <w:nsid w:val="2A79EC49"/>
    <w:multiLevelType w:val="hybridMultilevel"/>
    <w:lvl w:ilvl="0">
      <w:lvlJc w:val="left"/>
      <w:lvlText w:val="●"/>
      <w:numFmt w:val="bullet"/>
      <w:start w:val="1"/>
    </w:lvl>
  </w:abstractNum>
  <w:abstractNum w:abstractNumId="256">
    <w:nsid w:val="338125CF"/>
    <w:multiLevelType w:val="hybridMultilevel"/>
    <w:lvl w:ilvl="0">
      <w:lvlJc w:val="left"/>
      <w:lvlText w:val="●"/>
      <w:numFmt w:val="bullet"/>
      <w:start w:val="1"/>
    </w:lvl>
  </w:abstractNum>
  <w:abstractNum w:abstractNumId="257">
    <w:nsid w:val="47C7C971"/>
    <w:multiLevelType w:val="hybridMultilevel"/>
    <w:lvl w:ilvl="0">
      <w:lvlJc w:val="left"/>
      <w:lvlText w:val="●"/>
      <w:numFmt w:val="bullet"/>
      <w:start w:val="1"/>
    </w:lvl>
  </w:abstractNum>
  <w:abstractNum w:abstractNumId="258">
    <w:nsid w:val="46F8284B"/>
    <w:multiLevelType w:val="hybridMultilevel"/>
    <w:lvl w:ilvl="0">
      <w:lvlJc w:val="left"/>
      <w:lvlText w:val="●"/>
      <w:numFmt w:val="bullet"/>
      <w:start w:val="1"/>
    </w:lvl>
  </w:abstractNum>
  <w:abstractNum w:abstractNumId="259">
    <w:nsid w:val="4FA327CE"/>
    <w:multiLevelType w:val="hybridMultilevel"/>
    <w:lvl w:ilvl="0">
      <w:lvlJc w:val="left"/>
      <w:lvlText w:val="●"/>
      <w:numFmt w:val="bullet"/>
      <w:start w:val="1"/>
    </w:lvl>
  </w:abstractNum>
  <w:abstractNum w:abstractNumId="260">
    <w:nsid w:val="1873983A"/>
    <w:multiLevelType w:val="hybridMultilevel"/>
    <w:lvl w:ilvl="0">
      <w:lvlJc w:val="left"/>
      <w:lvlText w:val="●"/>
      <w:numFmt w:val="bullet"/>
      <w:start w:val="1"/>
    </w:lvl>
  </w:abstractNum>
  <w:abstractNum w:abstractNumId="261">
    <w:nsid w:val="3D2DD275"/>
    <w:multiLevelType w:val="hybridMultilevel"/>
    <w:lvl w:ilvl="0">
      <w:lvlJc w:val="left"/>
      <w:lvlText w:val="●"/>
      <w:numFmt w:val="bullet"/>
      <w:start w:val="1"/>
    </w:lvl>
  </w:abstractNum>
  <w:abstractNum w:abstractNumId="262">
    <w:nsid w:val="2E17ECA7"/>
    <w:multiLevelType w:val="hybridMultilevel"/>
    <w:lvl w:ilvl="0">
      <w:lvlJc w:val="left"/>
      <w:lvlText w:val="●"/>
      <w:numFmt w:val="bullet"/>
      <w:start w:val="1"/>
    </w:lvl>
  </w:abstractNum>
  <w:abstractNum w:abstractNumId="263">
    <w:nsid w:val="53B2564F"/>
    <w:multiLevelType w:val="hybridMultilevel"/>
    <w:lvl w:ilvl="0">
      <w:lvlJc w:val="left"/>
      <w:lvlText w:val="●"/>
      <w:numFmt w:val="bullet"/>
      <w:start w:val="1"/>
    </w:lvl>
  </w:abstractNum>
  <w:abstractNum w:abstractNumId="264">
    <w:nsid w:val="75509D76"/>
    <w:multiLevelType w:val="hybridMultilevel"/>
    <w:lvl w:ilvl="0">
      <w:lvlJc w:val="left"/>
      <w:lvlText w:val="(%1)"/>
      <w:numFmt w:val="decimal"/>
      <w:start w:val="1"/>
    </w:lvl>
  </w:abstractNum>
  <w:abstractNum w:abstractNumId="265">
    <w:nsid w:val="1AF7F0EA"/>
    <w:multiLevelType w:val="hybridMultilevel"/>
    <w:lvl w:ilvl="0">
      <w:lvlJc w:val="left"/>
      <w:lvlText w:val="(%1)"/>
      <w:numFmt w:val="decimal"/>
      <w:start w:val="2"/>
    </w:lvl>
  </w:abstractNum>
  <w:abstractNum w:abstractNumId="266">
    <w:nsid w:val="4DA32C7E"/>
    <w:multiLevelType w:val="hybridMultilevel"/>
    <w:lvl w:ilvl="0">
      <w:lvlJc w:val="left"/>
      <w:lvlText w:val="●"/>
      <w:numFmt w:val="bullet"/>
      <w:start w:val="1"/>
    </w:lvl>
  </w:abstractNum>
  <w:abstractNum w:abstractNumId="267">
    <w:nsid w:val="6EC68664"/>
    <w:multiLevelType w:val="hybridMultilevel"/>
    <w:lvl w:ilvl="0">
      <w:lvlJc w:val="left"/>
      <w:lvlText w:val="●"/>
      <w:numFmt w:val="bullet"/>
      <w:start w:val="1"/>
    </w:lvl>
  </w:abstractNum>
  <w:abstractNum w:abstractNumId="268">
    <w:nsid w:val="E0D31FF"/>
    <w:multiLevelType w:val="hybridMultilevel"/>
    <w:lvl w:ilvl="0">
      <w:lvlJc w:val="left"/>
      <w:lvlText w:val="●"/>
      <w:numFmt w:val="bullet"/>
      <w:start w:val="1"/>
    </w:lvl>
  </w:abstractNum>
  <w:abstractNum w:abstractNumId="269">
    <w:nsid w:val="2FD0AD81"/>
    <w:multiLevelType w:val="hybridMultilevel"/>
    <w:lvl w:ilvl="0">
      <w:lvlJc w:val="left"/>
      <w:lvlText w:val="●"/>
      <w:numFmt w:val="bullet"/>
      <w:start w:val="1"/>
    </w:lvl>
  </w:abstractNum>
  <w:abstractNum w:abstractNumId="270">
    <w:nsid w:val="1978EBEB"/>
    <w:multiLevelType w:val="hybridMultilevel"/>
    <w:lvl w:ilvl="0">
      <w:lvlJc w:val="left"/>
      <w:lvlText w:val="●"/>
      <w:numFmt w:val="bullet"/>
      <w:start w:val="1"/>
    </w:lvl>
  </w:abstractNum>
  <w:abstractNum w:abstractNumId="271">
    <w:nsid w:val="52C12C61"/>
    <w:multiLevelType w:val="hybridMultilevel"/>
    <w:lvl w:ilvl="0">
      <w:lvlJc w:val="left"/>
      <w:lvlText w:val="●"/>
      <w:numFmt w:val="bullet"/>
      <w:start w:val="1"/>
    </w:lvl>
  </w:abstractNum>
  <w:abstractNum w:abstractNumId="272">
    <w:nsid w:val="4BDD53FD"/>
    <w:multiLevelType w:val="hybridMultilevel"/>
    <w:lvl w:ilvl="0">
      <w:lvlJc w:val="left"/>
      <w:lvlText w:val="●"/>
      <w:numFmt w:val="bullet"/>
      <w:start w:val="1"/>
    </w:lvl>
  </w:abstractNum>
  <w:abstractNum w:abstractNumId="273">
    <w:nsid w:val="569951FE"/>
    <w:multiLevelType w:val="hybridMultilevel"/>
    <w:lvl w:ilvl="0">
      <w:lvlJc w:val="left"/>
      <w:lvlText w:val="●"/>
      <w:numFmt w:val="bullet"/>
      <w:start w:val="1"/>
    </w:lvl>
  </w:abstractNum>
  <w:abstractNum w:abstractNumId="274">
    <w:nsid w:val="4C54E2C3"/>
    <w:multiLevelType w:val="hybridMultilevel"/>
    <w:lvl w:ilvl="0">
      <w:lvlJc w:val="left"/>
      <w:lvlText w:val="(%1)"/>
      <w:numFmt w:val="lowerLetter"/>
      <w:start w:val="1"/>
    </w:lvl>
  </w:abstractNum>
  <w:abstractNum w:abstractNumId="275">
    <w:nsid w:val="788BD9B"/>
    <w:multiLevelType w:val="hybridMultilevel"/>
    <w:lvl w:ilvl="0">
      <w:lvlJc w:val="left"/>
      <w:lvlText w:val="(%1)"/>
      <w:numFmt w:val="lowerLetter"/>
      <w:start w:val="3"/>
    </w:lvl>
  </w:abstractNum>
  <w:abstractNum w:abstractNumId="276">
    <w:nsid w:val="47CAA567"/>
    <w:multiLevelType w:val="hybridMultilevel"/>
    <w:lvl w:ilvl="0">
      <w:lvlJc w:val="left"/>
      <w:lvlText w:val="$"/>
      <w:numFmt w:val="bullet"/>
      <w:start w:val="1"/>
    </w:lvl>
  </w:abstractNum>
  <w:abstractNum w:abstractNumId="277">
    <w:nsid w:val="48249DBF"/>
    <w:multiLevelType w:val="hybridMultilevel"/>
    <w:lvl w:ilvl="0">
      <w:lvlJc w:val="left"/>
      <w:lvlText w:val="$"/>
      <w:numFmt w:val="bullet"/>
      <w:start w:val="1"/>
    </w:lvl>
  </w:abstractNum>
  <w:abstractNum w:abstractNumId="278">
    <w:nsid w:val="1F0E5D0D"/>
    <w:multiLevelType w:val="hybridMultilevel"/>
    <w:lvl w:ilvl="0">
      <w:lvlJc w:val="left"/>
      <w:lvlText w:val="(%1)"/>
      <w:numFmt w:val="lowerLetter"/>
      <w:start w:val="6"/>
    </w:lvl>
  </w:abstractNum>
  <w:abstractNum w:abstractNumId="279">
    <w:nsid w:val="26BAAE9"/>
    <w:multiLevelType w:val="hybridMultilevel"/>
    <w:lvl w:ilvl="0">
      <w:lvlJc w:val="left"/>
      <w:lvlText w:val="$"/>
      <w:numFmt w:val="bullet"/>
      <w:start w:val="1"/>
    </w:lvl>
  </w:abstractNum>
  <w:abstractNum w:abstractNumId="280">
    <w:nsid w:val="2C02FE8C"/>
    <w:multiLevelType w:val="hybridMultilevel"/>
    <w:lvl w:ilvl="0">
      <w:lvlJc w:val="left"/>
      <w:lvlText w:val="$"/>
      <w:numFmt w:val="bullet"/>
      <w:start w:val="1"/>
    </w:lvl>
  </w:abstractNum>
  <w:abstractNum w:abstractNumId="281">
    <w:nsid w:val="129517E"/>
    <w:multiLevelType w:val="hybridMultilevel"/>
    <w:lvl w:ilvl="0">
      <w:lvlJc w:val="left"/>
      <w:lvlText w:val="(%1)"/>
      <w:numFmt w:val="lowerLetter"/>
      <w:start w:val="8"/>
    </w:lvl>
  </w:abstractNum>
  <w:abstractNum w:abstractNumId="282">
    <w:nsid w:val="763B8C4E"/>
    <w:multiLevelType w:val="hybridMultilevel"/>
    <w:lvl w:ilvl="0">
      <w:lvlJc w:val="left"/>
      <w:lvlText w:val="(%1)"/>
      <w:numFmt w:val="decimal"/>
      <w:start w:val="1"/>
    </w:lvl>
  </w:abstractNum>
  <w:abstractNum w:abstractNumId="283">
    <w:nsid w:val="4CFB8D32"/>
    <w:multiLevelType w:val="hybridMultilevel"/>
    <w:lvl w:ilvl="0">
      <w:lvlJc w:val="left"/>
      <w:lvlText w:val="(%1)"/>
      <w:numFmt w:val="decimal"/>
      <w:start w:val="1"/>
    </w:lvl>
  </w:abstractNum>
  <w:abstractNum w:abstractNumId="284">
    <w:nsid w:val="62A5D5BD"/>
    <w:multiLevelType w:val="hybridMultilevel"/>
    <w:lvl w:ilvl="0">
      <w:lvlJc w:val="left"/>
      <w:lvlText w:val="(%1)"/>
      <w:numFmt w:val="decimal"/>
      <w:start w:val="1"/>
    </w:lvl>
  </w:abstractNum>
  <w:abstractNum w:abstractNumId="285">
    <w:nsid w:val="718FABF9"/>
    <w:multiLevelType w:val="hybridMultilevel"/>
    <w:lvl w:ilvl="0">
      <w:lvlJc w:val="left"/>
      <w:lvlText w:val="●"/>
      <w:numFmt w:val="bullet"/>
      <w:start w:val="1"/>
    </w:lvl>
  </w:abstractNum>
  <w:abstractNum w:abstractNumId="286">
    <w:nsid w:val="7775797C"/>
    <w:multiLevelType w:val="hybridMultilevel"/>
    <w:lvl w:ilvl="0">
      <w:lvlJc w:val="left"/>
      <w:lvlText w:val="●"/>
      <w:numFmt w:val="bullet"/>
      <w:start w:val="1"/>
    </w:lvl>
  </w:abstractNum>
  <w:abstractNum w:abstractNumId="287">
    <w:nsid w:val="1626FB8C"/>
    <w:multiLevelType w:val="hybridMultilevel"/>
    <w:lvl w:ilvl="0">
      <w:lvlJc w:val="left"/>
      <w:lvlText w:val="●"/>
      <w:numFmt w:val="bullet"/>
      <w:start w:val="1"/>
    </w:lvl>
  </w:abstractNum>
  <w:abstractNum w:abstractNumId="288">
    <w:nsid w:val="3957756A"/>
    <w:multiLevelType w:val="hybridMultilevel"/>
    <w:lvl w:ilvl="0">
      <w:lvlJc w:val="left"/>
      <w:lvlText w:val="1"/>
      <w:numFmt w:val="bullet"/>
      <w:start w:val="1"/>
    </w:lvl>
  </w:abstractNum>
  <w:abstractNum w:abstractNumId="289">
    <w:nsid w:val="3E6DA1C7"/>
    <w:multiLevelType w:val="hybridMultilevel"/>
    <w:lvl w:ilvl="0">
      <w:lvlJc w:val="left"/>
      <w:lvlText w:val="●"/>
      <w:numFmt w:val="bullet"/>
      <w:start w:val="1"/>
    </w:lvl>
  </w:abstractNum>
  <w:abstractNum w:abstractNumId="290">
    <w:nsid w:val="65CA235B"/>
    <w:multiLevelType w:val="hybridMultilevel"/>
    <w:lvl w:ilvl="0">
      <w:lvlJc w:val="left"/>
      <w:lvlText w:val="●"/>
      <w:numFmt w:val="bullet"/>
      <w:start w:val="1"/>
    </w:lvl>
  </w:abstractNum>
  <w:abstractNum w:abstractNumId="291">
    <w:nsid w:val="51CB0DA4"/>
    <w:multiLevelType w:val="hybridMultilevel"/>
    <w:lvl w:ilvl="0">
      <w:lvlJc w:val="left"/>
      <w:lvlText w:val="●"/>
      <w:numFmt w:val="bullet"/>
      <w:start w:val="1"/>
    </w:lvl>
  </w:abstractNum>
  <w:abstractNum w:abstractNumId="292">
    <w:nsid w:val="7B9B743C"/>
    <w:multiLevelType w:val="hybridMultilevel"/>
    <w:lvl w:ilvl="0">
      <w:lvlJc w:val="left"/>
      <w:lvlText w:val="●"/>
      <w:numFmt w:val="bullet"/>
      <w:start w:val="1"/>
    </w:lvl>
  </w:abstractNum>
  <w:abstractNum w:abstractNumId="293">
    <w:nsid w:val="13E21002"/>
    <w:multiLevelType w:val="hybridMultilevel"/>
    <w:lvl w:ilvl="0">
      <w:lvlJc w:val="left"/>
      <w:lvlText w:val="●"/>
      <w:numFmt w:val="bullet"/>
      <w:start w:val="1"/>
    </w:lvl>
  </w:abstractNum>
  <w:abstractNum w:abstractNumId="294">
    <w:nsid w:val="257D63F4"/>
    <w:multiLevelType w:val="hybridMultilevel"/>
    <w:lvl w:ilvl="0">
      <w:lvlJc w:val="left"/>
      <w:lvlText w:val="4"/>
      <w:numFmt w:val="bullet"/>
      <w:start w:val="1"/>
    </w:lvl>
  </w:abstractNum>
  <w:abstractNum w:abstractNumId="295">
    <w:nsid w:val="70EC11B2"/>
    <w:multiLevelType w:val="hybridMultilevel"/>
    <w:lvl w:ilvl="0">
      <w:lvlJc w:val="left"/>
      <w:lvlText w:val="●"/>
      <w:numFmt w:val="bullet"/>
      <w:start w:val="1"/>
    </w:lvl>
  </w:abstractNum>
  <w:abstractNum w:abstractNumId="296">
    <w:nsid w:val="2EDA00ED"/>
    <w:multiLevelType w:val="hybridMultilevel"/>
    <w:lvl w:ilvl="0">
      <w:lvlJc w:val="left"/>
      <w:lvlText w:val="●"/>
      <w:numFmt w:val="bullet"/>
      <w:start w:val="1"/>
    </w:lvl>
  </w:abstractNum>
  <w:abstractNum w:abstractNumId="297">
    <w:nsid w:val="73209072"/>
    <w:multiLevelType w:val="hybridMultilevel"/>
    <w:lvl w:ilvl="0">
      <w:lvlJc w:val="left"/>
      <w:lvlText w:val="●"/>
      <w:numFmt w:val="bullet"/>
      <w:start w:val="1"/>
    </w:lvl>
  </w:abstractNum>
  <w:abstractNum w:abstractNumId="298">
    <w:nsid w:val="5FB29816"/>
    <w:multiLevelType w:val="hybridMultilevel"/>
    <w:lvl w:ilvl="0">
      <w:lvlJc w:val="left"/>
      <w:lvlText w:val="●"/>
      <w:numFmt w:val="bullet"/>
      <w:start w:val="1"/>
    </w:lvl>
  </w:abstractNum>
  <w:abstractNum w:abstractNumId="299">
    <w:nsid w:val="3CE732EC"/>
    <w:multiLevelType w:val="hybridMultilevel"/>
    <w:lvl w:ilvl="0">
      <w:lvlJc w:val="left"/>
      <w:lvlText w:val="●"/>
      <w:numFmt w:val="bullet"/>
      <w:start w:val="1"/>
    </w:lvl>
  </w:abstractNum>
  <w:abstractNum w:abstractNumId="300">
    <w:nsid w:val="22F13DF3"/>
    <w:multiLevelType w:val="hybridMultilevel"/>
    <w:lvl w:ilvl="0">
      <w:lvlJc w:val="left"/>
      <w:lvlText w:val="(%1)"/>
      <w:numFmt w:val="upperLetter"/>
      <w:start w:val="3"/>
    </w:lvl>
  </w:abstractNum>
  <w:abstractNum w:abstractNumId="301">
    <w:nsid w:val="792B8401"/>
    <w:multiLevelType w:val="hybridMultilevel"/>
    <w:lvl w:ilvl="0">
      <w:lvlJc w:val="left"/>
      <w:lvlText w:val="●"/>
      <w:numFmt w:val="bullet"/>
      <w:start w:val="1"/>
    </w:lvl>
  </w:abstractNum>
  <w:abstractNum w:abstractNumId="302">
    <w:nsid w:val="FA85F4D"/>
    <w:multiLevelType w:val="hybridMultilevel"/>
    <w:lvl w:ilvl="0">
      <w:lvlJc w:val="left"/>
      <w:lvlText w:val="●"/>
      <w:numFmt w:val="bullet"/>
      <w:start w:val="1"/>
    </w:lvl>
  </w:abstractNum>
  <w:abstractNum w:abstractNumId="303">
    <w:nsid w:val="6ECE91F0"/>
    <w:multiLevelType w:val="hybridMultilevel"/>
    <w:lvl w:ilvl="0">
      <w:lvlJc w:val="left"/>
      <w:lvlText w:val="(%1)"/>
      <w:numFmt w:val="decimal"/>
      <w:start w:val="1"/>
    </w:lvl>
  </w:abstractNum>
  <w:abstractNum w:abstractNumId="304">
    <w:nsid w:val="4FC4D600"/>
    <w:multiLevelType w:val="hybridMultilevel"/>
    <w:lvl w:ilvl="0">
      <w:lvlJc w:val="left"/>
      <w:lvlText w:val="(%1)"/>
      <w:numFmt w:val="lowerLetter"/>
      <w:start w:val="1"/>
    </w:lvl>
  </w:abstractNum>
  <w:abstractNum w:abstractNumId="305">
    <w:nsid w:val="5BFD4210"/>
    <w:multiLevelType w:val="hybridMultilevel"/>
    <w:lvl w:ilvl="0">
      <w:lvlJc w:val="left"/>
      <w:lvlText w:val="(%1)"/>
      <w:numFmt w:val="decimal"/>
      <w:start w:val="3"/>
    </w:lvl>
  </w:abstractNum>
  <w:abstractNum w:abstractNumId="306">
    <w:nsid w:val="76574F8B"/>
    <w:multiLevelType w:val="hybridMultilevel"/>
    <w:lvl w:ilvl="0">
      <w:lvlJc w:val="left"/>
      <w:lvlText w:val="(%1)"/>
      <w:numFmt w:val="decimal"/>
      <w:start w:val="6"/>
    </w:lvl>
  </w:abstractNum>
  <w:abstractNum w:abstractNumId="307">
    <w:nsid w:val="178F7B67"/>
    <w:multiLevelType w:val="hybridMultilevel"/>
    <w:lvl w:ilvl="0">
      <w:lvlJc w:val="left"/>
      <w:lvlText w:val="(%1)"/>
      <w:numFmt w:val="decimal"/>
      <w:start w:val="1"/>
    </w:lvl>
  </w:abstractNum>
  <w:abstractNum w:abstractNumId="308">
    <w:nsid w:val="2421DFCF"/>
    <w:multiLevelType w:val="hybridMultilevel"/>
    <w:lvl w:ilvl="0">
      <w:lvlJc w:val="left"/>
      <w:lvlText w:val="(%1)"/>
      <w:numFmt w:val="decimal"/>
      <w:start w:val="1"/>
    </w:lvl>
  </w:abstractNum>
  <w:abstractNum w:abstractNumId="309">
    <w:nsid w:val="1565AC99"/>
    <w:multiLevelType w:val="hybridMultilevel"/>
    <w:lvl w:ilvl="0">
      <w:lvlJc w:val="left"/>
      <w:lvlText w:val="(%1)"/>
      <w:numFmt w:val="decimal"/>
      <w:start w:val="6"/>
    </w:lvl>
  </w:abstractNum>
  <w:abstractNum w:abstractNumId="310">
    <w:nsid w:val="19FB2650"/>
    <w:multiLevelType w:val="hybridMultilevel"/>
    <w:lvl w:ilvl="0">
      <w:lvlJc w:val="left"/>
      <w:lvlText w:val="(%1)"/>
      <w:numFmt w:val="decimal"/>
      <w:start w:val="1"/>
    </w:lvl>
  </w:abstractNum>
  <w:abstractNum w:abstractNumId="311">
    <w:nsid w:val="5024DE5B"/>
    <w:multiLevelType w:val="hybridMultilevel"/>
    <w:lvl w:ilvl="0">
      <w:lvlJc w:val="left"/>
      <w:lvlText w:val="(%1)"/>
      <w:numFmt w:val="decimal"/>
      <w:start w:val="1"/>
    </w:lvl>
  </w:abstractNum>
  <w:abstractNum w:abstractNumId="312">
    <w:nsid w:val="168EFE17"/>
    <w:multiLevelType w:val="hybridMultilevel"/>
    <w:lvl w:ilvl="0">
      <w:lvlJc w:val="left"/>
      <w:lvlText w:val="(%1)"/>
      <w:numFmt w:val="lowerRoman"/>
      <w:start w:val="1"/>
    </w:lvl>
  </w:abstractNum>
  <w:abstractNum w:abstractNumId="313">
    <w:nsid w:val="1036B29F"/>
    <w:multiLevelType w:val="hybridMultilevel"/>
    <w:lvl w:ilvl="0">
      <w:lvlJc w:val="left"/>
      <w:lvlText w:val="(%1)"/>
      <w:numFmt w:val="decimal"/>
      <w:start w:val="1"/>
    </w:lvl>
  </w:abstractNum>
  <w:abstractNum w:abstractNumId="314">
    <w:nsid w:val="1D206B8E"/>
    <w:multiLevelType w:val="hybridMultilevel"/>
    <w:lvl w:ilvl="0">
      <w:lvlJc w:val="left"/>
      <w:lvlText w:val="●"/>
      <w:numFmt w:val="bullet"/>
      <w:start w:val="1"/>
    </w:lvl>
  </w:abstractNum>
  <w:abstractNum w:abstractNumId="315">
    <w:nsid w:val="7934D3D4"/>
    <w:multiLevelType w:val="hybridMultilevel"/>
    <w:lvl w:ilvl="0">
      <w:lvlJc w:val="left"/>
      <w:lvlText w:val="*"/>
      <w:numFmt w:val="bullet"/>
      <w:start w:val="1"/>
    </w:lvl>
  </w:abstractNum>
  <w:abstractNum w:abstractNumId="316">
    <w:nsid w:val="1C65E98"/>
    <w:multiLevelType w:val="hybridMultilevel"/>
    <w:lvl w:ilvl="0">
      <w:lvlJc w:val="left"/>
      <w:lvlText w:val="(%1)"/>
      <w:numFmt w:val="decimal"/>
      <w:start w:val="1"/>
    </w:lvl>
  </w:abstractNum>
  <w:abstractNum w:abstractNumId="317">
    <w:nsid w:val="1495E50A"/>
    <w:multiLevelType w:val="hybridMultilevel"/>
    <w:lvl w:ilvl="0">
      <w:lvlJc w:val="left"/>
      <w:lvlText w:val="●"/>
      <w:numFmt w:val="bullet"/>
      <w:start w:val="1"/>
    </w:lvl>
    <w:lvl w:ilvl="1">
      <w:lvlJc w:val="left"/>
      <w:lvlText w:val="●"/>
      <w:numFmt w:val="bullet"/>
      <w:start w:val="1"/>
    </w:lvl>
  </w:abstractNum>
  <w:abstractNum w:abstractNumId="318">
    <w:nsid w:val="F5BCF61"/>
    <w:multiLevelType w:val="hybridMultilevel"/>
    <w:lvl w:ilvl="0">
      <w:lvlJc w:val="left"/>
      <w:lvlText w:val="●"/>
      <w:numFmt w:val="bullet"/>
      <w:start w:val="1"/>
    </w:lvl>
  </w:abstractNum>
  <w:abstractNum w:abstractNumId="319">
    <w:nsid w:val="3B1DD403"/>
    <w:multiLevelType w:val="hybridMultilevel"/>
    <w:lvl w:ilvl="0">
      <w:lvlJc w:val="left"/>
      <w:lvlText w:val="●"/>
      <w:numFmt w:val="bullet"/>
      <w:start w:val="1"/>
    </w:lvl>
  </w:abstractNum>
  <w:abstractNum w:abstractNumId="320">
    <w:nsid w:val="530386D1"/>
    <w:multiLevelType w:val="hybridMultilevel"/>
    <w:lvl w:ilvl="0">
      <w:lvlJc w:val="left"/>
      <w:lvlText w:val="●"/>
      <w:numFmt w:val="bullet"/>
      <w:start w:val="1"/>
    </w:lvl>
  </w:abstractNum>
  <w:abstractNum w:abstractNumId="321">
    <w:nsid w:val="7525F2BC"/>
    <w:multiLevelType w:val="hybridMultilevel"/>
    <w:lvl w:ilvl="0">
      <w:lvlJc w:val="left"/>
      <w:lvlText w:val="●"/>
      <w:numFmt w:val="bullet"/>
      <w:start w:val="1"/>
    </w:lvl>
  </w:abstractNum>
  <w:abstractNum w:abstractNumId="322">
    <w:nsid w:val="CE8E1A7"/>
    <w:multiLevelType w:val="hybridMultilevel"/>
    <w:lvl w:ilvl="0">
      <w:lvlJc w:val="left"/>
      <w:lvlText w:val="●"/>
      <w:numFmt w:val="bullet"/>
      <w:start w:val="1"/>
    </w:lvl>
  </w:abstractNum>
  <w:abstractNum w:abstractNumId="323">
    <w:nsid w:val="4E9EFB0D"/>
    <w:multiLevelType w:val="hybridMultilevel"/>
    <w:lvl w:ilvl="0">
      <w:lvlJc w:val="left"/>
      <w:lvlText w:val="●"/>
      <w:numFmt w:val="bullet"/>
      <w:start w:val="1"/>
    </w:lvl>
  </w:abstractNum>
  <w:abstractNum w:abstractNumId="324">
    <w:nsid w:val="90802BE"/>
    <w:multiLevelType w:val="hybridMultilevel"/>
    <w:lvl w:ilvl="0">
      <w:lvlJc w:val="left"/>
      <w:lvlText w:val="●"/>
      <w:numFmt w:val="bullet"/>
      <w:start w:val="1"/>
    </w:lvl>
  </w:abstractNum>
  <w:abstractNum w:abstractNumId="325">
    <w:nsid w:val="3266459B"/>
    <w:multiLevelType w:val="hybridMultilevel"/>
    <w:lvl w:ilvl="0">
      <w:lvlJc w:val="left"/>
      <w:lvlText w:val="●"/>
      <w:numFmt w:val="bullet"/>
      <w:start w:val="1"/>
    </w:lvl>
  </w:abstractNum>
  <w:abstractNum w:abstractNumId="326">
    <w:nsid w:val="3F8B0CBF"/>
    <w:multiLevelType w:val="hybridMultilevel"/>
    <w:lvl w:ilvl="0">
      <w:lvlJc w:val="left"/>
      <w:lvlText w:val="●"/>
      <w:numFmt w:val="bullet"/>
      <w:start w:val="1"/>
    </w:lvl>
  </w:abstractNum>
  <w:abstractNum w:abstractNumId="327">
    <w:nsid w:val="37E203AB"/>
    <w:multiLevelType w:val="hybridMultilevel"/>
    <w:lvl w:ilvl="0">
      <w:lvlJc w:val="left"/>
      <w:lvlText w:val="●"/>
      <w:numFmt w:val="bullet"/>
      <w:start w:val="1"/>
    </w:lvl>
  </w:abstractNum>
  <w:abstractNum w:abstractNumId="328">
    <w:nsid w:val="2586D60E"/>
    <w:multiLevelType w:val="hybridMultilevel"/>
    <w:lvl w:ilvl="0">
      <w:lvlJc w:val="left"/>
      <w:lvlText w:val="%1."/>
      <w:numFmt w:val="decimal"/>
      <w:start w:val="1"/>
    </w:lvl>
  </w:abstractNum>
  <w:abstractNum w:abstractNumId="329">
    <w:nsid w:val="1F3DA4D5"/>
    <w:multiLevelType w:val="hybridMultilevel"/>
    <w:lvl w:ilvl="0">
      <w:lvlJc w:val="left"/>
      <w:lvlText w:val="%1."/>
      <w:numFmt w:val="decimal"/>
      <w:start w:val="2"/>
    </w:lvl>
  </w:abstractNum>
  <w:abstractNum w:abstractNumId="330">
    <w:nsid w:val="74C93698"/>
    <w:multiLevelType w:val="hybridMultilevel"/>
    <w:lvl w:ilvl="0">
      <w:lvlJc w:val="left"/>
      <w:lvlText w:val="%1."/>
      <w:numFmt w:val="decimal"/>
      <w:start w:val="3"/>
    </w:lvl>
  </w:abstractNum>
  <w:abstractNum w:abstractNumId="331">
    <w:nsid w:val="48781401"/>
    <w:multiLevelType w:val="hybridMultilevel"/>
    <w:lvl w:ilvl="0">
      <w:lvlJc w:val="left"/>
      <w:lvlText w:val="%1."/>
      <w:numFmt w:val="decimal"/>
      <w:start w:val="4"/>
    </w:lvl>
  </w:abstractNum>
  <w:abstractNum w:abstractNumId="332">
    <w:nsid w:val="186928D6"/>
    <w:multiLevelType w:val="hybridMultilevel"/>
    <w:lvl w:ilvl="0">
      <w:lvlJc w:val="left"/>
      <w:lvlText w:val="%1."/>
      <w:numFmt w:val="decimal"/>
      <w:start w:val="5"/>
    </w:lvl>
  </w:abstractNum>
  <w:abstractNum w:abstractNumId="333">
    <w:nsid w:val="47195E5"/>
    <w:multiLevelType w:val="hybridMultilevel"/>
    <w:lvl w:ilvl="0">
      <w:lvlJc w:val="left"/>
      <w:lvlText w:val="%1."/>
      <w:numFmt w:val="decimal"/>
      <w:start w:val="6"/>
    </w:lvl>
  </w:abstractNum>
  <w:abstractNum w:abstractNumId="334">
    <w:nsid w:val="3746A5F2"/>
    <w:multiLevelType w:val="hybridMultilevel"/>
    <w:lvl w:ilvl="0">
      <w:lvlJc w:val="left"/>
      <w:lvlText w:val="%1."/>
      <w:numFmt w:val="decimal"/>
      <w:start w:val="7"/>
    </w:lvl>
  </w:abstractNum>
  <w:abstractNum w:abstractNumId="335">
    <w:nsid w:val="682DFED6"/>
    <w:multiLevelType w:val="hybridMultilevel"/>
    <w:lvl w:ilvl="0">
      <w:lvlJc w:val="left"/>
      <w:lvlText w:val="●"/>
      <w:numFmt w:val="bullet"/>
      <w:start w:val="1"/>
    </w:lvl>
  </w:abstractNum>
  <w:abstractNum w:abstractNumId="336">
    <w:nsid w:val="606ED7F6"/>
    <w:multiLevelType w:val="hybridMultilevel"/>
    <w:lvl w:ilvl="0">
      <w:lvlJc w:val="left"/>
      <w:lvlText w:val="%1."/>
      <w:numFmt w:val="decimal"/>
      <w:start w:val="9"/>
    </w:lvl>
  </w:abstractNum>
  <w:abstractNum w:abstractNumId="337">
    <w:nsid w:val="2D9DF57D"/>
    <w:multiLevelType w:val="hybridMultilevel"/>
    <w:lvl w:ilvl="0">
      <w:lvlJc w:val="left"/>
      <w:lvlText w:val="%1."/>
      <w:numFmt w:val="decimal"/>
      <w:start w:val="10"/>
    </w:lvl>
  </w:abstractNum>
  <w:abstractNum w:abstractNumId="338">
    <w:nsid w:val="7FBD7A3E"/>
    <w:multiLevelType w:val="hybridMultilevel"/>
    <w:lvl w:ilvl="0">
      <w:lvlJc w:val="left"/>
      <w:lvlText w:val="%1."/>
      <w:numFmt w:val="decimal"/>
      <w:start w:val="12"/>
    </w:lvl>
  </w:abstractNum>
  <w:abstractNum w:abstractNumId="339">
    <w:nsid w:val="490B7C5"/>
    <w:multiLevelType w:val="hybridMultilevel"/>
    <w:lvl w:ilvl="0">
      <w:lvlJc w:val="left"/>
      <w:lvlText w:val="%1."/>
      <w:numFmt w:val="decimal"/>
      <w:start w:val="13"/>
    </w:lvl>
  </w:abstractNum>
  <w:abstractNum w:abstractNumId="340">
    <w:nsid w:val="4303A216"/>
    <w:multiLevelType w:val="hybridMultilevel"/>
    <w:lvl w:ilvl="0">
      <w:lvlJc w:val="left"/>
      <w:lvlText w:val="%1."/>
      <w:numFmt w:val="decimal"/>
      <w:start w:val="14"/>
    </w:lvl>
  </w:abstractNum>
  <w:abstractNum w:abstractNumId="341">
    <w:nsid w:val="19B8A08E"/>
    <w:multiLevelType w:val="hybridMultilevel"/>
    <w:lvl w:ilvl="0">
      <w:lvlJc w:val="left"/>
      <w:lvlText w:val="%1."/>
      <w:numFmt w:val="decimal"/>
      <w:start w:val="16"/>
    </w:lvl>
  </w:abstractNum>
  <w:abstractNum w:abstractNumId="342">
    <w:nsid w:val="54B59621"/>
    <w:multiLevelType w:val="hybridMultilevel"/>
    <w:lvl w:ilvl="0">
      <w:lvlJc w:val="left"/>
      <w:lvlText w:val="(%1)"/>
      <w:numFmt w:val="decimal"/>
      <w:start w:val="1"/>
    </w:lvl>
  </w:abstractNum>
  <w:abstractNum w:abstractNumId="343">
    <w:nsid w:val="5992A02E"/>
    <w:multiLevelType w:val="hybridMultilevel"/>
    <w:lvl w:ilvl="0">
      <w:lvlJc w:val="left"/>
      <w:lvlText w:val="%1."/>
      <w:numFmt w:val="decimal"/>
      <w:start w:val="1"/>
    </w:lvl>
  </w:abstractNum>
  <w:abstractNum w:abstractNumId="344">
    <w:nsid w:val="29EF532D"/>
    <w:multiLevelType w:val="hybridMultilevel"/>
    <w:lvl w:ilvl="0">
      <w:lvlJc w:val="left"/>
      <w:lvlText w:val="%1."/>
      <w:numFmt w:val="decimal"/>
      <w:start w:val="2"/>
    </w:lvl>
  </w:abstractNum>
  <w:abstractNum w:abstractNumId="345">
    <w:nsid w:val="71D601AF"/>
    <w:multiLevelType w:val="hybridMultilevel"/>
    <w:lvl w:ilvl="0">
      <w:lvlJc w:val="left"/>
      <w:lvlText w:val="%1."/>
      <w:numFmt w:val="decimal"/>
      <w:start w:val="3"/>
    </w:lvl>
  </w:abstractNum>
  <w:abstractNum w:abstractNumId="346">
    <w:nsid w:val="52C7740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2019-12-08T09:38:00Z</dcterms:created>
  <dcterms:modified xsi:type="dcterms:W3CDTF">2019-12-08T09:38:00Z</dcterms:modified>
</cp:coreProperties>
</file>