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8-K/A</w:t>
      </w:r>
    </w:p>
    <w:p>
      <w:pPr>
        <w:spacing w:after="0" w:line="2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 PURSUANT TO SECTION 13 OR 15(d)</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March 2, 2024</w:t>
      </w:r>
    </w:p>
    <w:p>
      <w:pPr>
        <w:spacing w:after="0" w:line="4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____________________</w:t>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Civeo Corporation</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20"/>
          </w:cols>
          <w:pgMar w:left="320" w:top="1384" w:right="359" w:bottom="1440" w:gutter="0" w:footer="0" w:header="0"/>
        </w:sectPr>
      </w:pPr>
    </w:p>
    <w:p>
      <w:pPr>
        <w:spacing w:after="0" w:line="26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1-36246</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98-1253716</w:t>
      </w:r>
    </w:p>
    <w:p>
      <w:pPr>
        <w:spacing w:after="0" w:line="30" w:lineRule="exact"/>
        <w:rPr>
          <w:sz w:val="24"/>
          <w:szCs w:val="24"/>
          <w:color w:val="auto"/>
        </w:rPr>
      </w:pPr>
    </w:p>
    <w:p>
      <w:pPr>
        <w:sectPr>
          <w:pgSz w:w="11900" w:h="16838" w:orient="portrait"/>
          <w:cols w:equalWidth="0" w:num="3">
            <w:col w:w="4440" w:space="720"/>
            <w:col w:w="2620" w:space="720"/>
            <w:col w:w="2720"/>
          </w:cols>
          <w:pgMar w:left="320" w:top="1384" w:right="35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8"/>
          <w:szCs w:val="18"/>
          <w:color w:val="auto"/>
        </w:rPr>
        <w:t>(Commission File</w:t>
      </w:r>
    </w:p>
    <w:p>
      <w:pPr>
        <w:jc w:val="center"/>
        <w:ind w:right="126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62" w:lineRule="exact"/>
        <w:rPr>
          <w:sz w:val="24"/>
          <w:szCs w:val="24"/>
          <w:color w:val="auto"/>
        </w:rPr>
      </w:pPr>
    </w:p>
    <w:p>
      <w:pPr>
        <w:sectPr>
          <w:pgSz w:w="11900" w:h="16838" w:orient="portrait"/>
          <w:cols w:equalWidth="0" w:num="3">
            <w:col w:w="4160" w:space="720"/>
            <w:col w:w="2560" w:space="720"/>
            <w:col w:w="3060"/>
          </w:cols>
          <w:pgMar w:left="320" w:top="1384" w:right="359" w:bottom="1440" w:gutter="0" w:footer="0" w:header="0"/>
          <w:type w:val="continuous"/>
        </w:sectPr>
      </w:pPr>
    </w:p>
    <w:p>
      <w:pPr>
        <w:ind w:left="4640"/>
        <w:spacing w:after="0"/>
        <w:rPr>
          <w:sz w:val="20"/>
          <w:szCs w:val="20"/>
          <w:color w:val="auto"/>
        </w:rPr>
      </w:pPr>
      <w:r>
        <w:rPr>
          <w:rFonts w:ascii="Times New Roman" w:cs="Times New Roman" w:eastAsia="Times New Roman" w:hAnsi="Times New Roman"/>
          <w:sz w:val="22"/>
          <w:szCs w:val="22"/>
          <w:b w:val="1"/>
          <w:bCs w:val="1"/>
          <w:color w:val="auto"/>
        </w:rPr>
        <w:t>Three Allen Center</w:t>
      </w:r>
    </w:p>
    <w:p>
      <w:pPr>
        <w:spacing w:after="0" w:line="12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333 Clay Street, Suite 4980</w:t>
      </w:r>
    </w:p>
    <w:p>
      <w:pPr>
        <w:sectPr>
          <w:pgSz w:w="11900" w:h="16838" w:orient="portrait"/>
          <w:cols w:equalWidth="0" w:num="1">
            <w:col w:w="11220"/>
          </w:cols>
          <w:pgMar w:left="320" w:top="1384" w:right="359" w:bottom="1440" w:gutter="0" w:footer="0" w:header="0"/>
          <w:type w:val="continuous"/>
        </w:sectPr>
      </w:pPr>
    </w:p>
    <w:p>
      <w:pPr>
        <w:spacing w:after="0" w:line="15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9"/>
          <w:szCs w:val="19"/>
          <w:b w:val="1"/>
          <w:bCs w:val="1"/>
          <w:color w:val="auto"/>
        </w:rPr>
        <w:t>Houston, Texas</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77002</w:t>
      </w:r>
    </w:p>
    <w:p>
      <w:pPr>
        <w:spacing w:after="0" w:line="45" w:lineRule="exact"/>
        <w:rPr>
          <w:sz w:val="24"/>
          <w:szCs w:val="24"/>
          <w:color w:val="auto"/>
        </w:rPr>
      </w:pPr>
    </w:p>
    <w:p>
      <w:pPr>
        <w:sectPr>
          <w:pgSz w:w="11900" w:h="16838" w:orient="portrait"/>
          <w:cols w:equalWidth="0" w:num="2">
            <w:col w:w="6080" w:space="360"/>
            <w:col w:w="4780"/>
          </w:cols>
          <w:pgMar w:left="320" w:top="1384"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(Address and zip code of principal executive offices)</w:t>
      </w:r>
    </w:p>
    <w:p>
      <w:pPr>
        <w:sectPr>
          <w:pgSz w:w="11900" w:h="16838" w:orient="portrait"/>
          <w:cols w:equalWidth="0" w:num="1">
            <w:col w:w="11220"/>
          </w:cols>
          <w:pgMar w:left="320" w:top="1384" w:right="359" w:bottom="1440" w:gutter="0" w:footer="0" w:header="0"/>
          <w:type w:val="continuous"/>
        </w:sect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17"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9"/>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r>
        <w:trPr>
          <w:trHeight w:val="228"/>
        </w:trPr>
        <w:tc>
          <w:tcPr>
            <w:tcW w:w="376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26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CVEO</w:t>
            </w:r>
          </w:p>
        </w:tc>
        <w:tc>
          <w:tcPr>
            <w:tcW w:w="48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bl>
    <w:p>
      <w:pPr>
        <w:spacing w:after="0" w:line="198"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778510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4" w:right="359" w:bottom="1440" w:gutter="0" w:footer="0" w:header="0"/>
          <w:type w:val="continuous"/>
        </w:sectPr>
      </w:pPr>
    </w:p>
    <w:bookmarkStart w:id="1" w:name="page2"/>
    <w:bookmarkEnd w:id="1"/>
    <w:p>
      <w:pPr>
        <w:spacing w:after="0" w:line="3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1075690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line="365"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ind w:right="420" w:firstLine="324"/>
        <w:spacing w:after="0" w:line="250" w:lineRule="auto"/>
        <w:rPr>
          <w:sz w:val="20"/>
          <w:szCs w:val="20"/>
          <w:color w:val="auto"/>
        </w:rPr>
      </w:pPr>
      <w:r>
        <w:rPr>
          <w:rFonts w:ascii="Times New Roman" w:cs="Times New Roman" w:eastAsia="Times New Roman" w:hAnsi="Times New Roman"/>
          <w:sz w:val="18"/>
          <w:szCs w:val="18"/>
          <w:color w:val="auto"/>
        </w:rPr>
        <w:t>On March 7, 2024, Civeo Corporation (the “Company”) filed a Current Report on Form 8-K announcing, among other things, that effective as of March 4, 2024 (the “Separation Date”), Carolyn J. Stone had departed the Company and was no longer serving as the Senior Vice President, Chief Financial Officer and Treasurer of the Company.</w:t>
      </w:r>
    </w:p>
    <w:p>
      <w:pPr>
        <w:spacing w:after="0" w:line="204"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In connection with her termination of employment, on March 11, 2024, Ms. Stone and the Company entered into a Separation, Waiver and Release Agreement (the “Separation Agreement”), pursuant to which Ms. Stone will receive: (i) a lump sum cash severance payment of $690,467.32; (ii) reimbursement of the difference between (a) the amount paid by Ms. Stone for continued medical and dental coverage for herself and her dependents under the Consolidated Omnibus Budget Reconciliation Act of 1985, as amended, for up to 12 months following the Separation Date; and (b) the contribution amounts paid by active employees for such medical and dental coverage, with such reimbursements to be provided to Ms. Stone by the Company in two lump sum payments within 30 days following September 4, 2024 and March 4, 2025; (iii) outplacement services at an aggregate cost not to exceed $20,000; and (iv) a supplemental lump sum cash payment of $423,650, in recognition of the value of certain outstanding phantom share units and</w:t>
      </w:r>
    </w:p>
    <w:p>
      <w:pPr>
        <w:spacing w:after="0" w:line="1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performance share awards that were forfeited upon her termination. The Separation Agreement also includes a general release of claims in favor of the Company and confidentiality, non-solicitation and non-disparagement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1096645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4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13, 2024</w:t>
      </w:r>
    </w:p>
    <w:p>
      <w:pPr>
        <w:spacing w:after="0" w:line="22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00" w:lineRule="exact"/>
        <w:rPr>
          <w:sz w:val="20"/>
          <w:szCs w:val="20"/>
          <w:color w:val="auto"/>
        </w:rPr>
      </w:pPr>
    </w:p>
    <w:p>
      <w:pPr>
        <w:spacing w:after="0" w:line="29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 xml:space="preserve">By: /s/ Bradley Dodson </w:t>
      </w:r>
      <w:r>
        <w:rPr>
          <w:rFonts w:ascii="Times New Roman" w:cs="Times New Roman" w:eastAsia="Times New Roman" w:hAnsi="Times New Roman"/>
          <w:sz w:val="18"/>
          <w:szCs w:val="18"/>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1153160</wp:posOffset>
            </wp:positionH>
            <wp:positionV relativeFrom="paragraph">
              <wp:posOffset>-7620</wp:posOffset>
            </wp:positionV>
            <wp:extent cx="939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39165" cy="8890"/>
                    </a:xfrm>
                    <a:prstGeom prst="rect">
                      <a:avLst/>
                    </a:prstGeom>
                    <a:noFill/>
                  </pic:spPr>
                </pic:pic>
              </a:graphicData>
            </a:graphic>
          </wp:anchor>
        </w:drawing>
      </w:r>
    </w:p>
    <w:p>
      <w:pPr>
        <w:spacing w:after="0" w:line="7" w:lineRule="exact"/>
        <w:rPr>
          <w:sz w:val="20"/>
          <w:szCs w:val="20"/>
          <w:color w:val="auto"/>
        </w:rPr>
      </w:pPr>
    </w:p>
    <w:p>
      <w:pPr>
        <w:ind w:left="1560"/>
        <w:spacing w:after="0"/>
        <w:tabs>
          <w:tab w:leader="none" w:pos="22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Bradley Dodson</w:t>
      </w:r>
    </w:p>
    <w:p>
      <w:pPr>
        <w:spacing w:after="0" w:line="9" w:lineRule="exact"/>
        <w:rPr>
          <w:sz w:val="20"/>
          <w:szCs w:val="20"/>
          <w:color w:val="auto"/>
        </w:rPr>
      </w:pPr>
    </w:p>
    <w:p>
      <w:pPr>
        <w:jc w:val="center"/>
        <w:ind w:right="140"/>
        <w:spacing w:after="0"/>
        <w:tabs>
          <w:tab w:leader="none" w:pos="1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sectPr>
      <w:pgSz w:w="11900" w:h="16838" w:orient="portrait"/>
      <w:cols w:equalWidth="0" w:num="1">
        <w:col w:w="11240"/>
      </w:cols>
      <w:pgMar w:left="320" w:top="12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2024-03-13T15:17:54Z</dcterms:created>
  <dcterms:modified xsi:type="dcterms:W3CDTF">2024-03-13T15:17:54Z</dcterms:modified>
</cp:coreProperties>
</file>