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(Name(s)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34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495550" cy="1260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NOTICE IS HEREBY GIVEN THAT the 2017 annual general meeting of shareholders (the “annual general meeting”) of Civeo Corporation, a British Columbia, Canada limited company (“Civeo”), will be held on May 11, 2017, at 9:00 a.m., local time, at the Doubletree Houston at 400 Dallas Street, Houston, Texas 77002, for the following purposes:</w:t>
      </w:r>
    </w:p>
    <w:p>
      <w:pPr>
        <w:spacing w:after="0" w:line="87" w:lineRule="exact"/>
        <w:rPr>
          <w:sz w:val="20"/>
          <w:szCs w:val="20"/>
          <w:color w:val="auto"/>
        </w:rPr>
      </w:pPr>
    </w:p>
    <w:p>
      <w:pPr>
        <w:ind w:left="900" w:right="16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the following two persons as Class III members of Civeo’s board of directors: Bradley J. Dodson and Timothy O. Wall, each for a term of three years ending at the 2020 annual general meeting of shareholders or until their successors are duly elected and qualified;</w:t>
      </w:r>
    </w:p>
    <w:p>
      <w:pPr>
        <w:spacing w:after="0" w:line="51"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Civeo’s auditor and independent registered public accounting firm for the year ending December 31, 2017 and until the next annual general meeting of shareholders and the authorization for the directors of Civeo to determine the remuneration to be paid to Ernst &amp; Young LLP for 2017;</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Civeo’s named executive officers;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2016, and the auditors’ report thereon;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annual general meeting or any adjournment or postponement thereof.</w:t>
      </w:r>
    </w:p>
    <w:p>
      <w:pPr>
        <w:spacing w:after="0" w:line="23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Only shareholders of record at the close of business on March 22, 2017 are entitled to notice of and to vote at the annual general meeting or at any adjournment or postponement thereof that may take place.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note that space limitations make it necessary to limit attendance at the annual general meeting to shareholders, though each shareholder may be accompanied by one guest. Shareholders of record attending the annual general meeting should be prepared to present government-issued photo identification for admission. Shareholders owning Civeo common shares through a broker, bank or other record holder should be prepared to present government-issued photo identification and evidence of share ownership as of March 22, 2017, such as an account statement, voting instruction card issued by the broker, bank or other record holder, or other acceptable document,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owners of Civeo, your vote is important. Whether or not you are able to attend the annual general meeting in person, it is important that your shares be represented. Please vote as soon as possible. Voting promptly, regardless of the number of shares you hold, will aid us in reducing the expense of an extended proxy solicitation. Voting your shares by returning your proxy card or voting instruction card or voting through the Internet or by telephone does not affect your right to vote in person if you attend the annual general meeting. For specific information regarding the voting of your shares, please refer to the section entitled “General Information About the Annual General Meeting,” beginning on page 2 of the accompanying proxy statement.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169545</wp:posOffset>
            </wp:positionV>
            <wp:extent cx="1226185"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10, 2017</w:t>
      </w:r>
    </w:p>
    <w:p>
      <w:pPr>
        <w:spacing w:after="0" w:line="207"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TO BE HELD ON MAY 11, 2017: A COPY OF THIS PROXY STATEMENT, PROXY VOTING CARD AND THE CIVEO 2016 ANNUAL REPORT ARE AVAILABLE AT WWW.INVESTORVOTE.COM.</w:t>
      </w:r>
    </w:p>
    <w:p>
      <w:pPr>
        <w:sectPr>
          <w:pgSz w:w="11900" w:h="16838" w:orient="portrait"/>
          <w:cols w:equalWidth="0" w:num="1">
            <w:col w:w="11380"/>
          </w:cols>
          <w:pgMar w:left="240" w:top="459"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40" w:type="dxa"/>
            <w:vAlign w:val="bottom"/>
            <w:gridSpan w:val="3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62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9"/>
          </w:tcPr>
          <w:p>
            <w:pPr>
              <w:ind w:left="900"/>
              <w:spacing w:after="0"/>
              <w:rPr>
                <w:sz w:val="20"/>
                <w:szCs w:val="20"/>
                <w:color w:val="auto"/>
              </w:rPr>
            </w:pPr>
            <w:r>
              <w:rPr>
                <w:rFonts w:ascii="Arial" w:cs="Arial" w:eastAsia="Arial" w:hAnsi="Arial"/>
                <w:sz w:val="18"/>
                <w:szCs w:val="18"/>
                <w:b w:val="1"/>
                <w:bCs w:val="1"/>
                <w:color w:val="auto"/>
              </w:rPr>
              <w:t>TABLE OF CONTENTS</w:t>
            </w:r>
          </w:p>
        </w:tc>
        <w:tc>
          <w:tcPr>
            <w:tcW w:w="4620" w:type="dxa"/>
            <w:vAlign w:val="bottom"/>
          </w:tcPr>
          <w:p>
            <w:pPr>
              <w:spacing w:after="0"/>
              <w:rPr>
                <w:sz w:val="24"/>
                <w:szCs w:val="24"/>
                <w:color w:val="auto"/>
              </w:rPr>
            </w:pPr>
          </w:p>
        </w:tc>
      </w:tr>
      <w:tr>
        <w:trPr>
          <w:trHeight w:val="419"/>
        </w:trPr>
        <w:tc>
          <w:tcPr>
            <w:tcW w:w="5740" w:type="dxa"/>
            <w:vAlign w:val="bottom"/>
            <w:tcBorders>
              <w:bottom w:val="single" w:sz="8" w:color="0000EE"/>
            </w:tcBorders>
            <w:gridSpan w:val="32"/>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GENERAL INFORMATION ABOUT THE ANNUAL GENERAL MEETING</w:t>
              </w:r>
            </w:hyperlink>
          </w:p>
        </w:tc>
        <w:tc>
          <w:tcPr>
            <w:tcW w:w="1000" w:type="dxa"/>
            <w:vAlign w:val="bottom"/>
            <w:gridSpan w:val="3"/>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ELECTION OF DIRECTORS (Proposal 1)</w:t>
              </w:r>
            </w:hyperlink>
          </w:p>
        </w:tc>
        <w:tc>
          <w:tcPr>
            <w:tcW w:w="3600" w:type="dxa"/>
            <w:vAlign w:val="bottom"/>
            <w:gridSpan w:val="18"/>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Executive Officers and Directors</w:t>
              </w:r>
            </w:hyperlink>
          </w:p>
        </w:tc>
        <w:tc>
          <w:tcPr>
            <w:tcW w:w="4000" w:type="dxa"/>
            <w:vAlign w:val="bottom"/>
            <w:gridSpan w:val="22"/>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Qualifications of Directors</w:t>
              </w:r>
            </w:hyperlink>
          </w:p>
        </w:tc>
        <w:tc>
          <w:tcPr>
            <w:tcW w:w="4440" w:type="dxa"/>
            <w:vAlign w:val="bottom"/>
            <w:gridSpan w:val="28"/>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Structure</w:t>
              </w:r>
            </w:hyperlink>
          </w:p>
        </w:tc>
        <w:tc>
          <w:tcPr>
            <w:tcW w:w="5220" w:type="dxa"/>
            <w:vAlign w:val="bottom"/>
            <w:gridSpan w:val="31"/>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Committees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of Directors and Committee Meetings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of Directors Oversight of Enterprise Risk</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Director Independence</w:t>
              </w:r>
            </w:hyperlink>
          </w:p>
        </w:tc>
        <w:tc>
          <w:tcPr>
            <w:tcW w:w="1800" w:type="dxa"/>
            <w:vAlign w:val="bottom"/>
            <w:tcBorders>
              <w:top w:val="single" w:sz="8" w:color="0000EE"/>
            </w:tcBorders>
            <w:gridSpan w:val="19"/>
          </w:tcPr>
          <w:p>
            <w:pPr>
              <w:spacing w:after="0"/>
              <w:rPr>
                <w:sz w:val="17"/>
                <w:szCs w:val="17"/>
                <w:color w:val="auto"/>
              </w:rPr>
            </w:pPr>
          </w:p>
        </w:tc>
        <w:tc>
          <w:tcPr>
            <w:tcW w:w="2920" w:type="dxa"/>
            <w:vAlign w:val="bottom"/>
            <w:gridSpan w:val="10"/>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Governance Guidelines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of Directors Leadership</w:t>
              </w:r>
            </w:hyperlink>
          </w:p>
        </w:tc>
        <w:tc>
          <w:tcPr>
            <w:tcW w:w="3920" w:type="dxa"/>
            <w:vAlign w:val="bottom"/>
            <w:gridSpan w:val="21"/>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Code of Business Conduct &amp; Ethics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Financial Code of Ethics for Senior Officers</w:t>
              </w:r>
            </w:hyperlink>
          </w:p>
        </w:tc>
        <w:tc>
          <w:tcPr>
            <w:tcW w:w="140" w:type="dxa"/>
            <w:vAlign w:val="bottom"/>
            <w:tcBorders>
              <w:top w:val="single" w:sz="8" w:color="0000EE"/>
            </w:tcBorders>
            <w:gridSpan w:val="2"/>
          </w:tcPr>
          <w:p>
            <w:pPr>
              <w:spacing w:after="0"/>
              <w:rPr>
                <w:sz w:val="17"/>
                <w:szCs w:val="17"/>
                <w:color w:val="auto"/>
              </w:rPr>
            </w:pPr>
          </w:p>
        </w:tc>
        <w:tc>
          <w:tcPr>
            <w:tcW w:w="3020" w:type="dxa"/>
            <w:vAlign w:val="bottom"/>
            <w:gridSpan w:val="13"/>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Director Resignation Policy</w:t>
              </w:r>
            </w:hyperlink>
          </w:p>
        </w:tc>
        <w:tc>
          <w:tcPr>
            <w:tcW w:w="4360" w:type="dxa"/>
            <w:vAlign w:val="bottom"/>
            <w:gridSpan w:val="26"/>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Compensation Committee Interlocks and Insider Participation</w:t>
              </w:r>
            </w:hyperlink>
          </w:p>
        </w:tc>
        <w:tc>
          <w:tcPr>
            <w:tcW w:w="1900" w:type="dxa"/>
            <w:vAlign w:val="bottom"/>
            <w:gridSpan w:val="8"/>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Communications with Directors</w:t>
              </w:r>
            </w:hyperlink>
          </w:p>
        </w:tc>
        <w:tc>
          <w:tcPr>
            <w:tcW w:w="4060" w:type="dxa"/>
            <w:vAlign w:val="bottom"/>
            <w:gridSpan w:val="23"/>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638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Accounting and Auditing Concerns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EXECUTIVE COMPENSATION</w:t>
              </w:r>
            </w:hyperlink>
          </w:p>
        </w:tc>
        <w:tc>
          <w:tcPr>
            <w:tcW w:w="4280" w:type="dxa"/>
            <w:vAlign w:val="bottom"/>
            <w:gridSpan w:val="25"/>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86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COMPENSATION DISCUSSION AND ANALYSIS</w:t>
              </w:r>
            </w:hyperlink>
          </w:p>
        </w:tc>
        <w:tc>
          <w:tcPr>
            <w:tcW w:w="2880" w:type="dxa"/>
            <w:vAlign w:val="bottom"/>
            <w:gridSpan w:val="9"/>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2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COMPENSATION COMMITTEE REPORT</w:t>
              </w:r>
            </w:hyperlink>
          </w:p>
        </w:tc>
        <w:tc>
          <w:tcPr>
            <w:tcW w:w="3500" w:type="dxa"/>
            <w:vAlign w:val="bottom"/>
            <w:gridSpan w:val="17"/>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SUMMARY COMPENSATION TABLE</w:t>
              </w:r>
            </w:hyperlink>
          </w:p>
        </w:tc>
        <w:tc>
          <w:tcPr>
            <w:tcW w:w="3760" w:type="dxa"/>
            <w:vAlign w:val="bottom"/>
            <w:gridSpan w:val="19"/>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GRANTS OF PLAN BASED AWARDS FOR 2016</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OUTSTANDING EQUITY AWARDS AT 2016 FISCAL YEAR END</w:t>
              </w:r>
            </w:hyperlink>
          </w:p>
        </w:tc>
        <w:tc>
          <w:tcPr>
            <w:tcW w:w="1660" w:type="dxa"/>
            <w:vAlign w:val="bottom"/>
            <w:gridSpan w:val="7"/>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OPTIONS EXERCISED AND SHARES VESTED</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NONQUALIFIED DEFERRED COMPENSATION</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3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Deferred Compensation Plan and Canadian Non-Registered Savings Plan</w:t>
              </w:r>
            </w:hyperlink>
          </w:p>
        </w:tc>
        <w:tc>
          <w:tcPr>
            <w:tcW w:w="1080" w:type="dxa"/>
            <w:vAlign w:val="bottom"/>
            <w:gridSpan w:val="5"/>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POTENTIAL PAYMENTS UPON TERMINATION OR CHANGE OF CONTROL</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DIRECTOR COMPENSATION</w:t>
              </w:r>
            </w:hyperlink>
          </w:p>
        </w:tc>
        <w:tc>
          <w:tcPr>
            <w:tcW w:w="3700" w:type="dxa"/>
            <w:vAlign w:val="bottom"/>
            <w:tcBorders>
              <w:top w:val="single" w:sz="8" w:color="0000EE"/>
            </w:tcBorders>
            <w:gridSpan w:val="26"/>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CERTAIN RELATIONSHIPS AND RELATED-PARTY TRANSACTIONS</w:t>
              </w:r>
            </w:hyperlink>
          </w:p>
        </w:tc>
        <w:tc>
          <w:tcPr>
            <w:tcW w:w="1240" w:type="dxa"/>
            <w:vAlign w:val="bottom"/>
            <w:gridSpan w:val="6"/>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570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SECTION 16(A) BENEFICIAL OWNERSHIP REPORTING COMPLIANCE</w:t>
              </w:r>
            </w:hyperlink>
          </w:p>
        </w:tc>
        <w:tc>
          <w:tcPr>
            <w:tcW w:w="1040" w:type="dxa"/>
            <w:vAlign w:val="bottom"/>
            <w:gridSpan w:val="4"/>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74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SECURITY OWNERSHIP OF MANAGEMENT AND CERTAIN BENEFICIAL OWNERS</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RATIFICATION OF AUDITORS (Proposal 2)</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1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40" w:type="dxa"/>
            <w:vAlign w:val="bottom"/>
            <w:gridSpan w:val="1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6"/>
        </w:trPr>
        <w:tc>
          <w:tcPr>
            <w:tcW w:w="602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ADVISORY VOTE TO APPROVE EXECUTIVE COMPENSATION (Proposal 3)</w:t>
              </w:r>
            </w:hyperlink>
          </w:p>
        </w:tc>
        <w:tc>
          <w:tcPr>
            <w:tcW w:w="720" w:type="dxa"/>
            <w:vAlign w:val="bottom"/>
            <w:gridSpan w:val="2"/>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FUTURE SHAREHOLDER PROPOSALS</w:t>
              </w:r>
            </w:hyperlink>
          </w:p>
        </w:tc>
        <w:tc>
          <w:tcPr>
            <w:tcW w:w="3600" w:type="dxa"/>
            <w:vAlign w:val="bottom"/>
            <w:gridSpan w:val="18"/>
          </w:tcPr>
          <w:p>
            <w:pPr>
              <w:spacing w:after="0"/>
              <w:rPr>
                <w:sz w:val="17"/>
                <w:szCs w:val="17"/>
                <w:color w:val="auto"/>
              </w:rPr>
            </w:pPr>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740" w:type="dxa"/>
            <w:vAlign w:val="bottom"/>
            <w:gridSpan w:val="3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HOUSEHOLDING</w:t>
              </w:r>
            </w:hyperlink>
          </w:p>
        </w:tc>
        <w:tc>
          <w:tcPr>
            <w:tcW w:w="46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495550" cy="1260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proxy statement is being furnished to shareholders of Civeo Corporation, a British Columbia, Canada limited company (“Civeo”), in connection with the solicitation of proxies by its board of directors for use at the 2017 annual general meeting of shareholders (the “annual general meeting”) to be held on May 11, 2017 at 9:00 a.m., local time, at the Doubletree Houston at 400 Dallas Street, Houston, Texas 77002, at which shareholders will have the opportunity to vote on the proposals to elect the following two persons as Class III members of Civeo’s board of directors: Bradley J. Dodson and Timothy O. Wall, each for a term of three years ending at the 2020 annual general meeting of shareholders or until their successors are duly elected and qualified (the “Director Proposal”), to ratify the appointment of Ernst &amp; Young LLP as Civeo’s auditor and independent registered public accounting firm for the year ending December 31, 2017 and until the next annual general meeting of shareholders and the authorization for the directors to determine the remuneration to be paid to Ernst &amp; Young LLP for 2017 (the “Auditor Proposal”), to approve, on an advisory basis, the compensation of Civeo’s named executive officers (the “Say-on-Pay Proposal”), and to conduct any other business as may properly come before the annual general meeting or any adjournment or postponement thereof. The approximate date of first mailing of this proxy statement, the accompanying proxy and Civeo’s 2016 annual report is April 10, 2017.</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this proxy statement, we sometimes refer to Civeo and its subsidiaries as “we,” “us,” “our,” or “Civeo.” Unless otherwise indicated, all references in this proxy statement to “dollars” or “$” are to U.S. dollars.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for more information.</w:t>
      </w:r>
    </w:p>
    <w:p>
      <w:pPr>
        <w:spacing w:after="0" w:line="3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general meeting, you will be asked to vote on several proposals, including: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election of two persons as Class III members of Civeo’s board of directors: Bradley J. Dodson and Timothy O. Wall;</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auditor and independent registered public accounting firm for the year ending December 31, 2017 and until the next annual general meeting of shareholders and the authorization for the directors to determine the remuneration to be paid to Ernst &amp; Young LLP for 2017;</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of Civeo’s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4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Your vote is important. You do not need to attend the annual general meeting in person to vote. We encourage you to vote as soon as possible.</w:t>
      </w:r>
    </w:p>
    <w:p>
      <w:pPr>
        <w:spacing w:after="0" w:line="38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proposals at the annual general meeting?</w:t>
      </w:r>
    </w:p>
    <w:p>
      <w:pPr>
        <w:spacing w:after="0" w:line="13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the Say-on-Pay Proposal, the votes cast in favor of the proposal must exceed the votes cast against the proposal.</w:t>
      </w:r>
    </w:p>
    <w:p>
      <w:pPr>
        <w:spacing w:after="0" w:line="117" w:lineRule="exact"/>
        <w:rPr>
          <w:rFonts w:ascii="Arial" w:cs="Arial" w:eastAsia="Arial" w:hAnsi="Arial"/>
          <w:sz w:val="18"/>
          <w:szCs w:val="18"/>
          <w:color w:val="auto"/>
        </w:rPr>
      </w:pPr>
    </w:p>
    <w:p>
      <w:pPr>
        <w:ind w:left="460"/>
        <w:spacing w:after="0" w:line="270" w:lineRule="auto"/>
        <w:rPr>
          <w:rFonts w:ascii="Arial" w:cs="Arial" w:eastAsia="Arial" w:hAnsi="Arial"/>
          <w:sz w:val="18"/>
          <w:szCs w:val="18"/>
          <w:color w:val="auto"/>
        </w:rPr>
      </w:pPr>
      <w:r>
        <w:rPr>
          <w:rFonts w:ascii="Arial" w:cs="Arial" w:eastAsia="Arial" w:hAnsi="Arial"/>
          <w:sz w:val="17"/>
          <w:szCs w:val="17"/>
          <w:color w:val="auto"/>
        </w:rPr>
        <w:t>For the Director Proposal and the Auditor Proposal, you may vote either “FOR” or “WITHHOLD.” A majority of the votes cast by shareholders at the meeting is required to approve the Director Proposal. Votes cast with respect to the Director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&amp; Corporate Governance Committee following certification of the shareholder vote. For more information, please read “Management— Director Resignation Policy.” In addition, a majority of the votes cast by shareholders at the meeting is required to approve the Auditor Proposal. Votes cast with respect to the Auditor Proposal include only those votes cast “FOR” the proposal, and a vote marked “WITHHOLD” with respect to the proposal will not be voted and will not count for or against the proposal.</w:t>
      </w:r>
    </w:p>
    <w:p>
      <w:pPr>
        <w:spacing w:after="0" w:line="3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does the board of directors recommend?</w:t>
      </w:r>
    </w:p>
    <w:p>
      <w:pPr>
        <w:spacing w:after="0" w:line="135" w:lineRule="exact"/>
        <w:rPr>
          <w:sz w:val="20"/>
          <w:szCs w:val="20"/>
          <w:color w:val="auto"/>
        </w:rPr>
      </w:pPr>
    </w:p>
    <w:p>
      <w:pPr>
        <w:ind w:left="460" w:right="1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recommends shareholders of Civeo vote “FOR” the Director Proposal, “FOR” the Auditor Proposal and “FOR” the Say-on-Pay Proposal.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general meeting be held?</w:t>
      </w:r>
    </w:p>
    <w:p>
      <w:pPr>
        <w:spacing w:after="0" w:line="135" w:lineRule="exact"/>
        <w:rPr>
          <w:sz w:val="20"/>
          <w:szCs w:val="20"/>
          <w:color w:val="auto"/>
        </w:rPr>
      </w:pPr>
    </w:p>
    <w:p>
      <w:pPr>
        <w:ind w:left="460" w:right="3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general meeting will be held at the Doubletree Houston at 400 Dallas Street, Houston, Texas 77002 on May 11, 2017 at 9:00 a.m., local time.</w:t>
      </w:r>
    </w:p>
    <w:p>
      <w:pPr>
        <w:spacing w:after="0" w:line="3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general meeting?</w:t>
      </w:r>
    </w:p>
    <w:p>
      <w:pPr>
        <w:spacing w:after="0" w:line="135" w:lineRule="exact"/>
        <w:rPr>
          <w:sz w:val="20"/>
          <w:szCs w:val="20"/>
          <w:color w:val="auto"/>
        </w:rPr>
      </w:pPr>
    </w:p>
    <w:p>
      <w:pPr>
        <w:ind w:left="460" w:right="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fixed March 22, 2017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3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on the record date. As of the close of business on the record date, there were approximately 132,005,624 Civeo common shares outstanding.</w:t>
      </w:r>
    </w:p>
    <w:p>
      <w:pPr>
        <w:spacing w:after="0" w:line="3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jc w:val="both"/>
        <w:ind w:left="460" w:right="30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on the record date for the annual general meeting, you may vote in person by attending the annual general meeting or, to ensure your shares are represented at the annual general meeting, you may authorize a proxy to vote by: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117"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29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nominee, will my nominee vote my shares for me?</w:t>
      </w:r>
    </w:p>
    <w:p>
      <w:pPr>
        <w:spacing w:after="0" w:line="135" w:lineRule="exact"/>
        <w:rPr>
          <w:sz w:val="20"/>
          <w:szCs w:val="20"/>
          <w:color w:val="auto"/>
        </w:rPr>
      </w:pPr>
    </w:p>
    <w:p>
      <w:pPr>
        <w:ind w:left="460" w:hanging="452"/>
        <w:spacing w:after="0" w:line="287"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except that your nominee will be able to vote your shares in your nominee’s discretion on the Auditor Proposal. If you do not provide voting instructions, your shares will not be voted on any proposal on which the broker does not have discretionary authority to vote. This is called a “broker non-vote.” In these cases, the bank, broker or other nominee can include your shares as being present at the annual general meeting for purposes of determining the presence of a quorum but will not be able to vote on those matters for which specific authorization is required under the rules of the NYSE. For the annual general meeting, if you are a beneficial owner whose shares are held by a bank, broker or other nominee of record, your bank, broker or other nominee of record has discretionary voting authority under NYSE rules to vote your shares on the Auditor Proposal, even if it has not received voting instructions from you. However, such nominee does not have discretionary authority to vote on the Director Proposal or the Say-on-Pay Proposal without instructions from you, in which case a broker non-vote will result and your shares will not be voted on those matters. We recommend that you contact your nominee. Your nominee can give you directions on how to instruct the voting of your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shareholders able to exercise appraisal rights?</w:t>
      </w:r>
    </w:p>
    <w:p>
      <w:pPr>
        <w:spacing w:after="0" w:line="13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Appraisal rights are not available to shareholders in connection with any of the proposals.</w:t>
      </w:r>
    </w:p>
    <w:p>
      <w:pPr>
        <w:spacing w:after="0" w:line="3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grant my proxy?</w:t>
      </w:r>
    </w:p>
    <w:p>
      <w:pPr>
        <w:spacing w:after="0" w:line="135" w:lineRule="exact"/>
        <w:rPr>
          <w:sz w:val="20"/>
          <w:szCs w:val="20"/>
          <w:color w:val="auto"/>
        </w:rPr>
      </w:pPr>
    </w:p>
    <w:p>
      <w:pPr>
        <w:ind w:left="460" w:right="34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attending the annual general meeting and voting in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annual general meeting will not itself revoke your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37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hanging="452"/>
        <w:spacing w:after="0" w:line="28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Articles generally require that, for a resolution to be adopted by our shareholders, the resolution must be approved by a majority of the votes cast by our shareholders. Absentions, withold votes and broker non-votes do not count as votes cast for these purposes. Accordingly, 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no effect on the Say-on-Pay Proposal. If you are a shareholder of Civeo and are present in person at the annual general meeting and abstain from voting or mark your proxy or voting instructions to withhold, this will have the effect of a vote withheld from the Director Proposal, and will be taken into account for purposes of our director resignation policy set forth in our Corporate Governance Guidelines, but will have no effect on the outcome of the vote on the election of directors. If you are a shareholder of Civeo and are present in person at the annual general meeting and abstain from voting or mark your proxy or voting instructions to withhold, this will have no effect on the Auditor Proposal. In addition, if you are a shareholder of Civeo and are not present in person at the annual general meeting and do not respond by proxy, or if you fail to instruct your broker, bank or other nominee to vote, this will have no effect on the Director Proposal or the Auditor Proposal.</w:t>
      </w:r>
    </w:p>
    <w:p>
      <w:pPr>
        <w:spacing w:after="0" w:line="31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380" w:hanging="452"/>
        <w:spacing w:after="0" w:line="34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26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annual general meeting?</w:t>
      </w:r>
    </w:p>
    <w:p>
      <w:pPr>
        <w:spacing w:after="0" w:line="135" w:lineRule="exact"/>
        <w:rPr>
          <w:sz w:val="20"/>
          <w:szCs w:val="20"/>
          <w:color w:val="auto"/>
        </w:rPr>
      </w:pPr>
    </w:p>
    <w:p>
      <w:pPr>
        <w:ind w:left="4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and broker non-votes will be counted as present for purposes of determining whether there is a quorum.</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13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Proxies are being solicited by our board of directors for use at the annual general meeting and any adjournment or postponement thereof.</w:t>
      </w:r>
    </w:p>
    <w:p>
      <w:pPr>
        <w:spacing w:after="0" w:line="38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the cost of this proxy solicitation?</w:t>
      </w:r>
    </w:p>
    <w:p>
      <w:pPr>
        <w:spacing w:after="0" w:line="135" w:lineRule="exact"/>
        <w:rPr>
          <w:sz w:val="20"/>
          <w:szCs w:val="20"/>
          <w:color w:val="auto"/>
        </w:rPr>
      </w:pPr>
    </w:p>
    <w:p>
      <w:pPr>
        <w:ind w:left="460" w:right="4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Okapi Partners LLC, our proxy solicitor, to be approximately $9,000. Computershare, our transfer agent, will serve as the inspector of election for the annual general meeting.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Two directors are to be elected to serve as Class III members of Civeo’s board of directors at the annual general meeting. Based on the recommendation of our Nominating &amp; Corporate Governance Committee, Civeo’s board of directors has nominated Bradley J. Dodson and Timothy O. Wall for election to the two expiring Class III positions on the board of directors currently held by them, to hold office for three-year terms expiring at the annual general meeting of shareholders in 2020, and until their respective successors have been duly elected and qualified, or until their earlier death, resignation or removal. As previously announced, Mr. Douglas E. Swanson, currently a Class III director and the Chairman of Civeo’s board of directors, is retiring from the Civeo board of directors as of the date of the annual general meeting. The board of directors has taken action, effective upon Mr. Swanson’s retirement, to: (i) reduce the size of the whole board of directors to seven members and the number of directors that are Class III directors to two, and (ii) appoint Richard A. Navarre, who has been a director of Civeo since May 2014, as Chairman of the board of directors. Shareholder nominations will not be accepted for filling board of directors seats at the annual general meeting because our articles require advance notice for such a nomination, the time for which has passed. Our board of directors has determined that Timothy O. Wall is “independent,” as that term is defined by the applicable NYSE listing standards. See “Management— Director Independence” for a discussion of director independence determinations. See “Management” for a brief biography of all directors, including the director nominees.</w:t>
      </w:r>
    </w:p>
    <w:p>
      <w:pPr>
        <w:spacing w:after="0" w:line="1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sets forth information as of March 31, 2017 regarding the individuals who serve as our executive officers and directors, including the two nominees for election to the Class III positions on the board of directors at the annual general meeting.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6"/>
                <w:szCs w:val="16"/>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195"/>
        </w:trPr>
        <w:tc>
          <w:tcPr>
            <w:tcW w:w="3180" w:type="dxa"/>
            <w:vAlign w:val="bottom"/>
            <w:gridSpan w:val="2"/>
          </w:tcPr>
          <w:p>
            <w:pPr>
              <w:spacing w:after="0" w:line="195" w:lineRule="exact"/>
              <w:rPr>
                <w:sz w:val="20"/>
                <w:szCs w:val="20"/>
                <w:color w:val="auto"/>
              </w:rPr>
            </w:pPr>
            <w:r>
              <w:rPr>
                <w:rFonts w:ascii="Arial" w:cs="Arial" w:eastAsia="Arial" w:hAnsi="Arial"/>
                <w:sz w:val="18"/>
                <w:szCs w:val="18"/>
                <w:color w:val="auto"/>
              </w:rPr>
              <w:t>Douglas E. Swanson</w:t>
            </w:r>
          </w:p>
        </w:tc>
        <w:tc>
          <w:tcPr>
            <w:tcW w:w="6720" w:type="dxa"/>
            <w:vAlign w:val="bottom"/>
          </w:tcPr>
          <w:p>
            <w:pPr>
              <w:jc w:val="center"/>
              <w:spacing w:after="0" w:line="195" w:lineRule="exact"/>
              <w:rPr>
                <w:sz w:val="20"/>
                <w:szCs w:val="20"/>
                <w:color w:val="auto"/>
              </w:rPr>
            </w:pPr>
            <w:r>
              <w:rPr>
                <w:rFonts w:ascii="Arial" w:cs="Arial" w:eastAsia="Arial" w:hAnsi="Arial"/>
                <w:sz w:val="18"/>
                <w:szCs w:val="18"/>
                <w:color w:val="auto"/>
                <w:w w:val="94"/>
              </w:rPr>
              <w:t>Chairman of the Board**</w:t>
            </w:r>
          </w:p>
        </w:tc>
        <w:tc>
          <w:tcPr>
            <w:tcW w:w="2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c>
          <w:tcPr>
            <w:tcW w:w="26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2"/>
              </w:rPr>
              <w:t>Class III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Bradley J. Dodson*</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Australia</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Human Resources/HS&amp;E</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Class 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Class I</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Timothy O. Wall*</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bl>
    <w:p>
      <w:pPr>
        <w:spacing w:after="0" w:line="22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Nominee for election as Class III director at the annual general meeting.</w:t>
      </w:r>
    </w:p>
    <w:p>
      <w:pPr>
        <w:spacing w:after="0" w:line="23" w:lineRule="exact"/>
        <w:rPr>
          <w:sz w:val="20"/>
          <w:szCs w:val="20"/>
          <w:color w:val="auto"/>
        </w:rPr>
      </w:pPr>
    </w:p>
    <w:p>
      <w:pPr>
        <w:ind w:left="460" w:right="1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Mr. Swanson’s retirement from the Civeo board of directors as of the date of the annual general meeting, Mr. Navarre will serve as Chairman of the board of directors of Civeo.</w:t>
      </w:r>
    </w:p>
    <w:p>
      <w:pPr>
        <w:spacing w:after="0" w:line="18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Douglas E. Swanson </w:t>
      </w:r>
      <w:r>
        <w:rPr>
          <w:rFonts w:ascii="Arial" w:cs="Arial" w:eastAsia="Arial" w:hAnsi="Arial"/>
          <w:sz w:val="16"/>
          <w:szCs w:val="16"/>
          <w:color w:val="auto"/>
        </w:rPr>
        <w:t>has been Chairman of the Board of Civeo since May 2014. As previously announced, Mr. Swanson is retiring from the Civeo</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of the date of the annual general meeting. Mr. Swanson served as a director of Oil States International, Inc. (“Oil States”) from February 2001 to June 2014 and served as Oil States’ Chief Executive Officer from February 2001 until he retired in April 2007. From January 1992 to August 1999, 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 The board of directors selected Mr. Swanson due to his extensive knowledge of Civeo and its operations gained in nearly 16 years of combined service as a director of Civeo and Oil States.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May 2014. Mr. Dodson held several executive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 Oil States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 The board of directors is nominating Mr. Dodson for election as a director due to his extensive knowledge of the industry and Civeo, its operations and people, gained in his years of service with Civeo and Oil States in positions of increasing responsibility.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Frank C. Steininger </w:t>
      </w:r>
      <w:r>
        <w:rPr>
          <w:rFonts w:ascii="Arial" w:cs="Arial" w:eastAsia="Arial" w:hAnsi="Arial"/>
          <w:sz w:val="18"/>
          <w:szCs w:val="18"/>
          <w:color w:val="auto"/>
        </w:rPr>
        <w:t>has served as Senior Vice President, Chief Financial Officer and Treasurer of Civeo since May 2014. From March 2014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2014, Mr. Steininger was a consultant to Oil States. From August 1980 to March 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Human Resources &amp; Health, Safety and Environment since May 2014. From June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Mr. Schoening served as Senior Director and then Vice President, Human Resources and Health, Safety and Environment for PTI Group Inc., a subsidiary of Oil States. From June 2009 to May 2012, Mr. Schoening was self-employed as an independent business consultant. Prior to 2009,</w:t>
      </w:r>
    </w:p>
    <w:p>
      <w:pPr>
        <w:spacing w:after="0" w:line="254" w:lineRule="auto"/>
        <w:rPr>
          <w:sz w:val="20"/>
          <w:szCs w:val="20"/>
          <w:color w:val="auto"/>
        </w:rPr>
      </w:pPr>
      <w:r>
        <w:rPr>
          <w:rFonts w:ascii="Arial" w:cs="Arial" w:eastAsia="Arial" w:hAnsi="Arial"/>
          <w:sz w:val="18"/>
          <w:szCs w:val="18"/>
          <w:color w:val="auto"/>
        </w:rPr>
        <w:t>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 Ronald Blankenship </w:t>
      </w:r>
      <w:r>
        <w:rPr>
          <w:rFonts w:ascii="Arial" w:cs="Arial" w:eastAsia="Arial" w:hAnsi="Arial"/>
          <w:sz w:val="16"/>
          <w:szCs w:val="16"/>
          <w:color w:val="auto"/>
        </w:rPr>
        <w:t>has been a director of Civeo since July 2014. Mr. Blankenship served as President and Chief Executive Officer of Verde Realty</w:t>
      </w:r>
      <w:r>
        <w:rPr>
          <w:rFonts w:ascii="Arial" w:cs="Arial" w:eastAsia="Arial" w:hAnsi="Arial"/>
          <w:sz w:val="16"/>
          <w:szCs w:val="16"/>
          <w:i w:val="1"/>
          <w:iCs w:val="1"/>
          <w:color w:val="auto"/>
        </w:rPr>
        <w:t xml:space="preserve"> </w:t>
      </w:r>
      <w:r>
        <w:rPr>
          <w:rFonts w:ascii="Arial" w:cs="Arial" w:eastAsia="Arial" w:hAnsi="Arial"/>
          <w:sz w:val="16"/>
          <w:szCs w:val="16"/>
          <w:color w:val="auto"/>
        </w:rPr>
        <w:t>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where he served as a certified public accountant. Mr. Blankenship currently serves on the boards of Regency Centers Corp. (NYSE:REG), Pacolet Milliken Enterprises, Inc., a private investment company, and Berkshire Group. Mr. Blankenship is a graduate of the University of Texas at Austin. The board of directors selected Mr. Blankenship due to his extensive experience in the real estate industry.</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Martin A. Lambert </w:t>
      </w:r>
      <w:r>
        <w:rPr>
          <w:rFonts w:ascii="Arial" w:cs="Arial" w:eastAsia="Arial" w:hAnsi="Arial"/>
          <w:sz w:val="17"/>
          <w:szCs w:val="17"/>
          <w:color w:val="auto"/>
        </w:rPr>
        <w:t>has been a director of Civeo since May 2014 and is currently the Chairman of the Compensation Committee. Mr. Lambert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 director of Oil States from February 2001 to May 2014. 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Oil States from February 2001 to May 2014 and Calfrac Well Services Ltd., from March 2004 to May 2010. Mr. Lambert is currently on the board of Zedi, Inc., a private company involved in Canadian, U.S. and other international oilfield services, where he serves as lead director for compensation matters and on the audit committee. Mr. Lambert received his LLB degree from the University of Alberta in 1979. The board of directors selected Mr. Lambert due to his extensive experience in Canada and in the energy industry.</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Constance B. Moore </w:t>
      </w:r>
      <w:r>
        <w:rPr>
          <w:rFonts w:ascii="Arial" w:cs="Arial" w:eastAsia="Arial" w:hAnsi="Arial"/>
          <w:sz w:val="18"/>
          <w:szCs w:val="18"/>
          <w:color w:val="auto"/>
        </w:rPr>
        <w:t>has been a director of Civeo since June 2014. Ms. Moore has served as a director of TriPointe Group (NYSE: TPH) since July 2014.</w:t>
      </w:r>
      <w:r>
        <w:rPr>
          <w:rFonts w:ascii="Arial" w:cs="Arial" w:eastAsia="Arial" w:hAnsi="Arial"/>
          <w:sz w:val="18"/>
          <w:szCs w:val="18"/>
          <w:i w:val="1"/>
          <w:iCs w:val="1"/>
          <w:color w:val="auto"/>
        </w:rPr>
        <w:t xml:space="preserve"> </w:t>
      </w:r>
      <w:r>
        <w:rPr>
          <w:rFonts w:ascii="Arial" w:cs="Arial" w:eastAsia="Arial" w:hAnsi="Arial"/>
          <w:sz w:val="18"/>
          <w:szCs w:val="18"/>
          <w:color w:val="auto"/>
        </w:rPr>
        <w:t>Ms. Moore was a director of BRE Properties, Inc. (BRE)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(NYSE:ASN).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serves on the board of Haas School of Business, UC Berkeley; serves as the chair of the compensation committee of TriPointe Group; serves on the board of Bridge Housing Corporation; is a Governor of the Urban Land Institute (ULI); serves on the board of the ULI-Foundation; serves on the board of the Tower Foundation at San Jose State University; and is a Trustee for the City of Hope. The board of directors selected Ms. Moore due to her extensive experience in the real estate industry.</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 xml:space="preserve">Richard A. Navarre </w:t>
      </w:r>
      <w:r>
        <w:rPr>
          <w:rFonts w:ascii="Arial" w:cs="Arial" w:eastAsia="Arial" w:hAnsi="Arial"/>
          <w:sz w:val="17"/>
          <w:szCs w:val="17"/>
          <w:color w:val="auto"/>
        </w:rPr>
        <w:t>has been a director of Civeo since June 2014. As previously announced, upon Mr. Swanson’s retirement from the Civeo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as of the date of the annual general meeting, Mr. Navarre will serve as Chairman of the board of directors of Civeo. Mr. Navarre 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currently provides advisory services to the energy industry and investment firms. Mr. Navarre is currently an independent director, member of the audit committee and Chairman of Conflicts Committee for Natural Resource Partners LP (NYSE: NRP), independent director and member of audit committee for Arch Coal (NYSE:ARCH) and was past Chairman of the Board for United Coal Company, LLC. He is a member of the board of directors of the Foreign Policy Association, a member of the Hall of Fame of the College of Business at Southern Illinois University-Carbondale, and a member of the Board of Advisors of the College of Business and Administration. Mr. Navarre is a Certified Public Accountant and received his B.S. in Accounting from Southern Illinois University-Carbondale. The board of directors selected Mr. Navarre due to his extensive experience in the energy industry.</w:t>
      </w:r>
    </w:p>
    <w:p>
      <w:pPr>
        <w:spacing w:after="0" w:line="1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 xml:space="preserve">Charles Szalkowski </w:t>
      </w:r>
      <w:r>
        <w:rPr>
          <w:rFonts w:ascii="Arial" w:cs="Arial" w:eastAsia="Arial" w:hAnsi="Arial"/>
          <w:sz w:val="16"/>
          <w:szCs w:val="16"/>
          <w:color w:val="auto"/>
        </w:rPr>
        <w:t>has been a director of Civeo since June 2014. Mr. Szalkowski worked with the law firm of Baker Botts L.L.P. from 1975 until 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as a partner and general counsel of the firm in December 2012. Since his retirement, Mr. Szalkowski has pursued his personal interests.</w:t>
      </w:r>
    </w:p>
    <w:p>
      <w:pPr>
        <w:ind w:right="20"/>
        <w:spacing w:after="0" w:line="252" w:lineRule="auto"/>
        <w:rPr>
          <w:sz w:val="20"/>
          <w:szCs w:val="20"/>
          <w:color w:val="auto"/>
        </w:rPr>
      </w:pPr>
      <w:r>
        <w:rPr>
          <w:rFonts w:ascii="Arial" w:cs="Arial" w:eastAsia="Arial" w:hAnsi="Arial"/>
          <w:sz w:val="18"/>
          <w:szCs w:val="18"/>
          <w:color w:val="auto"/>
        </w:rPr>
        <w:t>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 He also serves on the boards of several non-profit organizations, including an aviation museum, two children’s charities, an economic development agency and a corporate law public policy body. The board of directors selected Mr. Szalkowski due to his extensive experience in the legal profession and in advising numerous public companies over the course of his career.</w:t>
      </w:r>
    </w:p>
    <w:p>
      <w:pPr>
        <w:spacing w:after="0" w:line="193"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Timothy O. Wall </w:t>
      </w:r>
      <w:r>
        <w:rPr>
          <w:rFonts w:ascii="Arial" w:cs="Arial" w:eastAsia="Arial" w:hAnsi="Arial"/>
          <w:sz w:val="17"/>
          <w:szCs w:val="17"/>
          <w:color w:val="auto"/>
        </w:rPr>
        <w:t>has been a director of Civeo since March 2017. Mr. Wall served as the President of Kitimat LNG Upstream Operations, a division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Apache Canada Ltd., from March 2013 until June 2015. He previously served as the President of Apache Canada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Petroleum Engineering from Texas A&amp;M University. The board of directors is nominating Mr. Wall for election as a director due to his extensive experience in the energy industry.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130" w:lineRule="exact"/>
        <w:rPr>
          <w:rFonts w:ascii="Arial" w:cs="Arial" w:eastAsia="Arial" w:hAnsi="Arial"/>
          <w:sz w:val="18"/>
          <w:szCs w:val="18"/>
          <w:color w:val="auto"/>
        </w:rPr>
      </w:pPr>
    </w:p>
    <w:p>
      <w:pPr>
        <w:ind w:left="900" w:right="520" w:hanging="325"/>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51" w:lineRule="exact"/>
        <w:rPr>
          <w:rFonts w:ascii="Arial" w:cs="Arial" w:eastAsia="Arial" w:hAnsi="Arial"/>
          <w:sz w:val="17"/>
          <w:szCs w:val="17"/>
          <w:color w:val="auto"/>
        </w:rPr>
      </w:pPr>
    </w:p>
    <w:p>
      <w:pPr>
        <w:ind w:left="900" w:right="5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believe that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Executive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Accommodations,</w:t>
            </w:r>
          </w:p>
        </w:tc>
        <w:tc>
          <w:tcPr>
            <w:tcW w:w="14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International</w:t>
            </w: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Past or</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Financial</w:t>
            </w: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Real Estate and</w:t>
            </w:r>
          </w:p>
        </w:tc>
        <w:tc>
          <w:tcPr>
            <w:tcW w:w="1440" w:type="dxa"/>
            <w:vAlign w:val="bottom"/>
            <w:gridSpan w:val="2"/>
            <w:vMerge w:val="continue"/>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Present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vMerge w:val="restart"/>
          </w:tcPr>
          <w:p>
            <w:pPr>
              <w:spacing w:after="0"/>
              <w:rPr>
                <w:sz w:val="20"/>
                <w:szCs w:val="20"/>
                <w:color w:val="auto"/>
              </w:rPr>
            </w:pPr>
            <w:r>
              <w:rPr>
                <w:rFonts w:ascii="Arial" w:cs="Arial" w:eastAsia="Arial" w:hAnsi="Arial"/>
                <w:sz w:val="18"/>
                <w:szCs w:val="18"/>
                <w:color w:val="auto"/>
              </w:rPr>
              <w:t>Douglas E. Swanson</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Leadership</w:t>
            </w:r>
          </w:p>
        </w:tc>
        <w:tc>
          <w:tcPr>
            <w:tcW w:w="1200" w:type="dxa"/>
            <w:vAlign w:val="bottom"/>
            <w:gridSpan w:val="2"/>
            <w:vMerge w:val="continue"/>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Hospitality</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Operations</w:t>
            </w: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CEO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163"/>
        </w:trPr>
        <w:tc>
          <w:tcPr>
            <w:tcW w:w="3940" w:type="dxa"/>
            <w:vAlign w:val="bottom"/>
            <w:vMerge w:val="continue"/>
          </w:tcPr>
          <w:p>
            <w:pPr>
              <w:spacing w:after="0"/>
              <w:rPr>
                <w:sz w:val="14"/>
                <w:szCs w:val="14"/>
                <w:color w:val="auto"/>
              </w:rPr>
            </w:pPr>
          </w:p>
        </w:tc>
        <w:tc>
          <w:tcPr>
            <w:tcW w:w="70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spacing w:after="0"/>
              <w:rPr>
                <w:sz w:val="14"/>
                <w:szCs w:val="14"/>
                <w:color w:val="auto"/>
              </w:rPr>
            </w:pPr>
          </w:p>
        </w:tc>
        <w:tc>
          <w:tcPr>
            <w:tcW w:w="58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spacing w:after="0"/>
              <w:rPr>
                <w:sz w:val="14"/>
                <w:szCs w:val="14"/>
                <w:color w:val="auto"/>
              </w:rPr>
            </w:pPr>
          </w:p>
        </w:tc>
        <w:tc>
          <w:tcPr>
            <w:tcW w:w="82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spacing w:after="0"/>
              <w:rPr>
                <w:sz w:val="14"/>
                <w:szCs w:val="14"/>
                <w:color w:val="auto"/>
              </w:rPr>
            </w:pPr>
          </w:p>
        </w:tc>
        <w:tc>
          <w:tcPr>
            <w:tcW w:w="46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spacing w:after="0"/>
              <w:rPr>
                <w:sz w:val="14"/>
                <w:szCs w:val="14"/>
                <w:color w:val="auto"/>
              </w:rPr>
            </w:pPr>
          </w:p>
        </w:tc>
        <w:tc>
          <w:tcPr>
            <w:tcW w:w="680" w:type="dxa"/>
            <w:vAlign w:val="bottom"/>
            <w:tcBorders>
              <w:top w:val="single" w:sz="8" w:color="auto"/>
            </w:tcBorders>
          </w:tcPr>
          <w:p>
            <w:pPr>
              <w:jc w:val="center"/>
              <w:spacing w:after="0" w:line="162"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 Ronald Blankenship</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Bradley J. Dodson</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Martin A. Lambert</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Constance B. Moore</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Richard A. Navarre</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Charles Szalkowski</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3940" w:type="dxa"/>
            <w:vAlign w:val="bottom"/>
          </w:tcPr>
          <w:p>
            <w:pPr>
              <w:spacing w:after="0"/>
              <w:rPr>
                <w:sz w:val="20"/>
                <w:szCs w:val="20"/>
                <w:color w:val="auto"/>
              </w:rPr>
            </w:pPr>
            <w:r>
              <w:rPr>
                <w:rFonts w:ascii="Arial" w:cs="Arial" w:eastAsia="Arial" w:hAnsi="Arial"/>
                <w:sz w:val="18"/>
                <w:szCs w:val="18"/>
                <w:color w:val="auto"/>
              </w:rPr>
              <w:t>Timothy O. Wall</w:t>
            </w:r>
          </w:p>
        </w:tc>
        <w:tc>
          <w:tcPr>
            <w:tcW w:w="132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gridSpan w:val="2"/>
          </w:tcPr>
          <w:p>
            <w:pPr>
              <w:jc w:val="center"/>
              <w:ind w:right="62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gridSpan w:val="2"/>
          </w:tcPr>
          <w:p>
            <w:pPr>
              <w:jc w:val="center"/>
              <w:ind w:right="64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selecting nominees for the board of directors, the Nominating &amp; Corporate Governance Committee considers, among other things, the diversity of the board of directors in terms of educational background, business industry experience, and knowledge of different geographic markets and the accommodations industry. In the case of each current director being considered for renomination, the Nominating &amp;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Civeo board of directors is divided into three classes, each of roughly equal size. There are currently two directors of Class I, three directors of Class II and three directors of Class III. The members of each class serve for three years following their election, with one class being elected each year. The directors designated as Class III directors will have terms expiring at the annual general meeting. As previously announced, Mr. Swanson, currently a Class</w:t>
      </w:r>
    </w:p>
    <w:p>
      <w:pPr>
        <w:ind w:firstLine="8"/>
        <w:spacing w:after="0" w:line="261" w:lineRule="auto"/>
        <w:tabs>
          <w:tab w:leader="none" w:pos="2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is retiring from the Civeo board of directors as of the date of the annual general meeting. The board of directors has taken action to reduce the size of the whole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seven members and the number of directors that are Class III directors to two, effective upon Mr. Swanson’s retirement. If elected at the annual general meeting, Messrs. Dodson and Wall, as Class III directors, will have terms expiring in 2020. The directors designated as Class II directors have terms expiring in 2019, and the directors designated as Class I directors have terms expiring in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Civeo’s board of directors has established an audit committee, consisting of independent directors. The members of the audit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Navarre and Szalkowski and Ms. Moore, each of whom the board of directors has determined is independent.</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Audit Committee meets separately with representatives of our independent auditors, our internal audit personnel and representatives of senior management in performing its functions. The Audit Committee appoints our independent auditors and reviews the general scope of audit coverage, the fees charged by the independent auditors, matters relating to internal control systems and other matters related to accounting and reporting functions. The board of directors has determined that each of Messrs. Navarre and Szalkowski and Ms. Moore is financially literate and has accounting or related financial management expertise, each as required by the applicable New York Stock Exchange (“NYSE”) listing standards. The board of directors also has determined that each of Mr. Navarre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“Audit Committee Charter” at the bottom of the page.</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Civeo’s board of directors has established a compensation committee, consisting of independent directors. The members of the compensation committee are Messrs. Blankenship and Lambert and Ms. Moore, each of whom the board of directors has determined is independent.</w:t>
      </w:r>
    </w:p>
    <w:p>
      <w:pPr>
        <w:spacing w:after="0" w:line="124"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The Compensation Committee administers Civeo’s Equity Participation Plan, and in this capacity makes a recommendation to the full board of directors concerning aggregate amount of all option grants or share awards to employees as well as specific awards to executive officers under the Equity Participation Plan. In addition, the Compensation Committee is responsible for (i) making recommendations to the board of directors with respect to the compensation of our chief executive officer and other executive officers, (ii) overseeing and approving compensation and employee benefit policies and</w:t>
      </w:r>
    </w:p>
    <w:p>
      <w:pPr>
        <w:spacing w:after="0" w:line="2" w:lineRule="exact"/>
        <w:rPr>
          <w:sz w:val="20"/>
          <w:szCs w:val="20"/>
          <w:color w:val="auto"/>
        </w:rPr>
      </w:pPr>
    </w:p>
    <w:p>
      <w:pPr>
        <w:jc w:val="both"/>
        <w:ind w:right="80" w:firstLine="8"/>
        <w:spacing w:after="0" w:line="254"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“Compensation Committee Charter” at the bottom of the page.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&amp; Corporate Governance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Civeo’s board of directors has established a nominating and corporate governance committee, consisting of independent directors. The members of the Nominating &amp; Corporate Governance Committee are Messrs. Swanson, Szalkowski and Wall, each of whom the board of directors has determined is independent.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The Nominating &amp; Corporate Governance Committee makes proposals to the board of directors for candidates to be nominated by the board of directors to fill vacancies or for new directorship positions, if any, which may be created from time to time. A more detailed discussion of the Nominating &amp; Corporate Governance Committee’s mission, composition and responsibilities is contained in the Nominating &amp; Corporate Governance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“Nominating &amp; Corporate Governance Committee Charter” at the bottom of the page.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we paid a fee to a third party to assist in the process of identifying and evaluating director candidates.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Nominating &amp; Corporate Governance Committee will consider recommendations from various sources, including from shareholders, regarding possible candidates for director. To submit a recommendation to the Nominating &amp;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&amp; Investment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Civeo’s board of directors has established a Finance &amp; Investment Committee. The members of the Finance &amp;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 Navarre and Wall.</w:t>
      </w:r>
    </w:p>
    <w:p>
      <w:pPr>
        <w:spacing w:after="0" w:line="21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Finance &amp; Investment Committee assists the Board in its consideration of opportunities to enhance our long-term performance and valuation, including reviewing and making recommendations to the Board with respect to our strategic objectives and financial and operating metrics and performance.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169545</wp:posOffset>
            </wp:positionV>
            <wp:extent cx="946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169545</wp:posOffset>
            </wp:positionV>
            <wp:extent cx="946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8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Chairperson</w:t>
            </w:r>
          </w:p>
        </w:tc>
        <w:tc>
          <w:tcPr>
            <w:tcW w:w="1460" w:type="dxa"/>
            <w:vAlign w:val="bottom"/>
          </w:tcPr>
          <w:p>
            <w:pPr>
              <w:ind w:left="420"/>
              <w:spacing w:after="0"/>
              <w:rPr>
                <w:sz w:val="20"/>
                <w:szCs w:val="20"/>
                <w:color w:val="auto"/>
              </w:rPr>
            </w:pPr>
            <w:r>
              <w:rPr>
                <w:rFonts w:ascii="Arial" w:cs="Arial" w:eastAsia="Arial" w:hAnsi="Arial"/>
                <w:sz w:val="18"/>
                <w:szCs w:val="18"/>
                <w:color w:val="auto"/>
              </w:rPr>
              <w:t>Member</w:t>
            </w:r>
          </w:p>
        </w:tc>
        <w:tc>
          <w:tcPr>
            <w:tcW w:w="2780" w:type="dxa"/>
            <w:vAlign w:val="bottom"/>
          </w:tcPr>
          <w:p>
            <w:pPr>
              <w:ind w:left="440"/>
              <w:spacing w:after="0"/>
              <w:rPr>
                <w:sz w:val="20"/>
                <w:szCs w:val="20"/>
                <w:color w:val="auto"/>
              </w:rPr>
            </w:pPr>
            <w:r>
              <w:rPr>
                <w:rFonts w:ascii="Arial" w:cs="Arial" w:eastAsia="Arial" w:hAnsi="Arial"/>
                <w:sz w:val="18"/>
                <w:szCs w:val="18"/>
                <w:color w:val="auto"/>
              </w:rPr>
              <w:t>Financial Expert</w:t>
            </w:r>
          </w:p>
        </w:tc>
        <w:tc>
          <w:tcPr>
            <w:tcW w:w="1960" w:type="dxa"/>
            <w:vAlign w:val="bottom"/>
          </w:tcPr>
          <w:p>
            <w:pPr>
              <w:spacing w:after="0"/>
              <w:rPr>
                <w:sz w:val="20"/>
                <w:szCs w:val="20"/>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Nominating &amp;</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2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Finance &amp;</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780" w:type="dxa"/>
            <w:vAlign w:val="bottom"/>
            <w:vMerge w:val="restart"/>
          </w:tcPr>
          <w:p>
            <w:pPr>
              <w:jc w:val="center"/>
              <w:ind w:left="942"/>
              <w:spacing w:after="0"/>
              <w:rPr>
                <w:sz w:val="20"/>
                <w:szCs w:val="20"/>
                <w:color w:val="auto"/>
              </w:rPr>
            </w:pPr>
            <w:r>
              <w:rPr>
                <w:rFonts w:ascii="Arial" w:cs="Arial" w:eastAsia="Arial" w:hAnsi="Arial"/>
                <w:sz w:val="14"/>
                <w:szCs w:val="14"/>
                <w:b w:val="1"/>
                <w:bCs w:val="1"/>
                <w:color w:val="auto"/>
              </w:rPr>
              <w:t>Audit</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24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tcPr>
          <w:p>
            <w:pPr>
              <w:jc w:val="center"/>
              <w:ind w:left="942"/>
              <w:spacing w:after="0"/>
              <w:rPr>
                <w:sz w:val="20"/>
                <w:szCs w:val="20"/>
                <w:color w:val="auto"/>
              </w:rPr>
            </w:pPr>
            <w:r>
              <w:rPr>
                <w:rFonts w:ascii="Arial" w:cs="Arial" w:eastAsia="Arial" w:hAnsi="Arial"/>
                <w:sz w:val="14"/>
                <w:szCs w:val="14"/>
                <w:b w:val="1"/>
                <w:bCs w:val="1"/>
                <w:u w:val="single" w:color="auto"/>
                <w:color w:val="auto"/>
                <w:w w:val="93"/>
              </w:rPr>
              <w:t>Committee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40" w:type="dxa"/>
            <w:vAlign w:val="bottom"/>
          </w:tcPr>
          <w:p>
            <w:pPr>
              <w:jc w:val="center"/>
              <w:ind w:left="488"/>
              <w:spacing w:after="0"/>
              <w:rPr>
                <w:sz w:val="20"/>
                <w:szCs w:val="20"/>
                <w:color w:val="auto"/>
              </w:rPr>
            </w:pPr>
            <w:r>
              <w:rPr>
                <w:rFonts w:ascii="Arial" w:cs="Arial" w:eastAsia="Arial" w:hAnsi="Arial"/>
                <w:sz w:val="14"/>
                <w:szCs w:val="14"/>
                <w:b w:val="1"/>
                <w:bCs w:val="1"/>
                <w:u w:val="single" w:color="auto"/>
                <w:color w:val="auto"/>
                <w:w w:val="93"/>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-635</wp:posOffset>
            </wp:positionV>
            <wp:extent cx="565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-514985</wp:posOffset>
            </wp:positionV>
            <wp:extent cx="9461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-635</wp:posOffset>
            </wp:positionV>
            <wp:extent cx="5657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E. Swanson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-121920</wp:posOffset>
            </wp:positionV>
            <wp:extent cx="9461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27432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-121920</wp:posOffset>
            </wp:positionV>
            <wp:extent cx="9461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A. Lambert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-96520</wp:posOffset>
            </wp:positionV>
            <wp:extent cx="94615"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-130810</wp:posOffset>
            </wp:positionV>
            <wp:extent cx="9461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-130810</wp:posOffset>
            </wp:positionV>
            <wp:extent cx="9461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-96520</wp:posOffset>
            </wp:positionV>
            <wp:extent cx="94615"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-130810</wp:posOffset>
            </wp:positionV>
            <wp:extent cx="9461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-130810</wp:posOffset>
            </wp:positionV>
            <wp:extent cx="9461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-130810</wp:posOffset>
            </wp:positionV>
            <wp:extent cx="946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-130810</wp:posOffset>
            </wp:positionV>
            <wp:extent cx="9461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During 2016, the Civeo board of directors held nine meetings, the Audit Committee held eight meetings, the Compensation Committee held six meetings, the Nominating &amp; Corporate Governance Committee held six meetings and the Finance &amp; Investment Committee held three meetings. Each of the directors attended at least 75%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attended the 2016 annual general meeting of shareholders.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Corporate Governance Guidelines provide that our non-employee directors shall meet separately in executive session at least annually. The director who presides at these sessions is the Chairman of the Board, assuming such person is a non-management director. Otherwise, the presiding director will be chosen by a vote of the non-management directors. In addition to the executive sessions of our non-management directors, our independent directors (as defined in the applicable NYSE listing standards) are required to meet in executive session at least annually. The independent directors generally meet in executive session at each board meeting. Our Chairman of the Board, who is an independent director, presides at these sessions.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results of the risk assessments are reviewed with the Audit Committee and with the full board of directors annually. The centerpiece of the assessment is the discussion of our key risks, which includes the factors discussed above. As part of the process for evaluating each key risk, a senior manager is identified to manage the risk, monitor potential impact of the risk and execute initiatives to mitigate the risk.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shareholder or officer of an organization that has a relationship with us) that would interfere with his or her exercise of independent judgment in carrying out his or her responsibilities as a director.</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Civeo board of directors reviews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Civeo and has not engaged in various types of business dealings with Civeo. In addition, as further required by the NYSE, the Civeo board of directors has made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Civeo board of directors has determined that all of the Civeo directors, except for Bradley Dodson, our President and Chief Executive Officer, qualify as “independent” in accordance with the applicable NYSE listing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Governance Guidelines.”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Since Civeo’s spin-off from Oil States International, Inc. in May 2014, the Chairman of the Board and Chief Executive Officer roles have been split, with the Chairman of the Board role being filled by a non-executive member of the board of directors. We believe the separation of these two positions promotes a strong independent leadership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Civeo has adopted a Corporate Code of Business Conduct and Ethics (the “Code of Conduct”), which requires that all directors, officers and employees of Civeo act ethically at all times. This Code of Conduct is available at Civeo’s web 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Code of Business Conduct and Ethics.”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That training includes a review of our Corporate Code of Conduct and an acknowledgement that the employee has read and understands the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Civeo has adopted a Financial Code of Ethics for Senior Officers (the “Financial Code of Ethics”) that applies to our chief executive officer, chief financial officer, principal accounting officer and other senior accounting and financial officers (“Senior Officers”). The Financial Code of Ethics is available at Civeo’s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“Financial Code of Ethics for Senior Officers.”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Ethical principles set forth in the Financial Code of Ethics include, among other principals, matters such as:</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Respecting confidentiality of information;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Responsibly using and maintaining assets and resources.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Officers must also comply with the Code of Conduct.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fails to receive, in an uncontested director election, a greater number of “for” votes than votes “withheld,” that director is required by our Corporate Governance Guidelines to tender his or her resignation to the Nominating &amp; Corporate Governance Committee for consideration. The Nominating &amp;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Civeo’s Corporate Governance Guidelines also provide that, if a director changes his or her employer or otherwise has a significant change in job responsibilities during his or her tenure as a director, that director is required to inform the Nominating &amp; Corporate Governance Committee of the change and tender his or her resignation to the board of directors for consideration. Such resignation shall not be effective unless and until the board of directors chooses to accept the resignation. The board, through the Nominating &amp; Corporate Governance Committee, shall review the matter in order to evaluate the continued appropriateness of such director’s membership on the board of directors and each applicable board committee under these circumstances, taking into account all relevant factors and may accept or reject a proffered resignation.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2016,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none of the members of our Compensation Committee: (1) was an officer or employee of Civeo during 2016, (2) was formerly an officer of Civeo, or (3) had any relationship requiring disclosure under any paragraph of Item 404 of Regulation S-K.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Civeo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regarding the compensation of our named executive officers. Our named executive officers are:</w:t>
      </w:r>
    </w:p>
    <w:p>
      <w:pPr>
        <w:spacing w:after="0" w:line="87"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Bradley J. Dodson, President and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Frank C. Steininger, Senior Vice President, Chief Financial Officer and Treasurer;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Peter L. McCann, Senior Vice President, Australia;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Allan D. Schoening, Senior Vice President, Human Resources/Health, Safety and Environment;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Michael L. Ridley, former Senior Vice President and President – North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Ridley’s employment was terminated effective September 8,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keeping with our commitment to good governance standards across our business, our executive compensation governance framework is built around the following:</w:t>
      </w:r>
    </w:p>
    <w:p>
      <w:pPr>
        <w:spacing w:after="0" w:line="76" w:lineRule="exact"/>
        <w:rPr>
          <w:sz w:val="20"/>
          <w:szCs w:val="20"/>
          <w:color w:val="auto"/>
        </w:rPr>
      </w:pPr>
    </w:p>
    <w:p>
      <w:pPr>
        <w:ind w:left="900" w:right="460" w:hanging="325"/>
        <w:spacing w:after="0" w:line="31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 and qualify as “outside directors” for purposes of Section 162(m) of the Internal Revenue Code;</w:t>
      </w:r>
    </w:p>
    <w:p>
      <w:pPr>
        <w:spacing w:after="0" w:line="52"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clearly defined decision-making framework and delegation of authority that ensures all material compensation decisions for named executive officers are made on behalf of Civeo solely by the Compensation Committee, whose priority is to ensure our policies and procedures allow Civeo to attract, reward and retain executives who are focused on delivering long-term results for shareholders; 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Clearly defined compensation policies structured to accommodate circumstances that are characteristic of a cyclical industry sector.</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further information on the background and qualifications of the members of our Compensation Committee, please see “Management—Executive Officers and Directors,” “Management—Board Committees” and “Management—Compensation Committee” in this proxy statement.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 and represent compensation and governance-related practices that are among best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Equity Awards Pricing. </w:t>
      </w:r>
      <w:r>
        <w:rPr>
          <w:rFonts w:ascii="Arial" w:cs="Arial" w:eastAsia="Arial" w:hAnsi="Arial"/>
          <w:sz w:val="18"/>
          <w:szCs w:val="18"/>
          <w:color w:val="auto"/>
        </w:rPr>
        <w:t>Civeo’s practice is to price awards at the market closing price on the date of award.</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 xml:space="preserve">Insider Trading Policy. </w:t>
      </w:r>
      <w:r>
        <w:rPr>
          <w:rFonts w:ascii="Arial" w:cs="Arial" w:eastAsia="Arial" w:hAnsi="Arial"/>
          <w:sz w:val="18"/>
          <w:szCs w:val="18"/>
          <w:color w:val="auto"/>
        </w:rPr>
        <w:t>Civeo prohibits directors, officers and other employees from trading Civeo’s securities on the basis of material, non-public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or “tipping” others who may so trade on such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In addition, the policy prohibits directors, officers and designated managers from trading in Civeo’s securities without obtaining prior approval from Civeo’s Vice President, Controller and Corporate Secretary. Executive officers and directors are prohibited from trading options or entering into any derivatives related to Civeo shares.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Civeo’s clawback policy allows Civeo to recoup incentive-based compensation from current or former executive officers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Civeo are materially restated within three years of their initial public release or filing, and the Board determines, in its reasonable discretion, that any current or former executive officer has engaged in intentional misconduct, and such misconduct caused or partially caused the need for such restatement. In that case, the Board may within 12 months after such a material restatement require that the executive forfeit and/or return to Civeo all or a portion of the compensation vested, awarded or received under any bonus award, equity award or other award during the period subject to restatement and the 12-month period following the initial public release or filing of the financial statements that were restated.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in control, as defined in the Amended and Restated 2014 Equity Participation Plan of Civeo Corporation (the “EPP”), and the policy does not limit the ability of Civeo to pursue forfeiture or reclamation of amounts under applicable law.</w:t>
      </w:r>
    </w:p>
    <w:p>
      <w:pPr>
        <w:spacing w:after="0" w:line="17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i w:val="1"/>
          <w:iCs w:val="1"/>
          <w:color w:val="auto"/>
        </w:rPr>
        <w:t xml:space="preserve">Executive Share Ownership Requirements. </w:t>
      </w:r>
      <w:r>
        <w:rPr>
          <w:rFonts w:ascii="Arial" w:cs="Arial" w:eastAsia="Arial" w:hAnsi="Arial"/>
          <w:sz w:val="16"/>
          <w:szCs w:val="16"/>
          <w:color w:val="auto"/>
        </w:rPr>
        <w:t>Civeo has established executive share ownership requirements to further align the interests of key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of its shareholders. Our Executive Share Ownership Guidelines are calculated based on a multiple of the executive’s base salary, as set forth below:</w:t>
      </w:r>
    </w:p>
    <w:p>
      <w:pPr>
        <w:spacing w:after="0" w:line="16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5X</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1240" w:type="dxa"/>
            <w:vAlign w:val="bottom"/>
          </w:tcPr>
          <w:p>
            <w:pPr>
              <w:ind w:left="960"/>
              <w:spacing w:after="0"/>
              <w:rPr>
                <w:sz w:val="20"/>
                <w:szCs w:val="20"/>
                <w:color w:val="auto"/>
              </w:rPr>
            </w:pPr>
            <w:r>
              <w:rPr>
                <w:rFonts w:ascii="Arial" w:cs="Arial" w:eastAsia="Arial" w:hAnsi="Arial"/>
                <w:sz w:val="18"/>
                <w:szCs w:val="18"/>
                <w:color w:val="auto"/>
              </w:rPr>
              <w:t>2X</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Section 16 Officers</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1X</w:t>
            </w:r>
          </w:p>
        </w:tc>
      </w:tr>
    </w:tbl>
    <w:p>
      <w:pPr>
        <w:spacing w:after="0" w:line="20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monitors compliance with these guidelines.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Long-term incentive awards made to named executive officers are 50% performance based.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Prohibited Practices. </w:t>
      </w:r>
      <w:r>
        <w:rPr>
          <w:rFonts w:ascii="Arial" w:cs="Arial" w:eastAsia="Arial" w:hAnsi="Arial"/>
          <w:sz w:val="18"/>
          <w:szCs w:val="18"/>
          <w:color w:val="auto"/>
        </w:rPr>
        <w:t>We do not allow any of the following:</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by directors and officers;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Liberal share recycling in our long-term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Single trigger vesting upon a change of control;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Unreasonably long terms for non-qualified options.</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900" w:right="4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To this end, Civeo’s total compensation program uses a blend of base salary, annual performance incentives and long-term equity incentives to achieve the four objectives described above. Broadly speaking, we target median pay levels for all components of executive compensation; however, when warranted in the discretion of the Compensation Committee, awards above median levels of our peer group may be considered.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to promote financial, operational and organizational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while giving due consideration to broader enterprise risk management considerations. Civeo’s compensation programs have been designed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Compensation Committee has reviewed our compensation policies applicable to our named executive officers and believes that our policies do not encourage excessive and unnecessary risk-taking, and that the level of risk that they do encourage is not reasonably likely to have a material adverse effect on us. The Compensation Committee performs this assessment annually, and if a likelihood of a material risk exists, the Compensation Committee will enlist additional resources for a full assessment.</w:t>
      </w:r>
    </w:p>
    <w:p>
      <w:pPr>
        <w:spacing w:after="0" w:line="18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In addition, the following specific factors, in particular, reduce the likelihood of excessive risk-taking by our named executive officers:</w:t>
      </w:r>
    </w:p>
    <w:p>
      <w:pPr>
        <w:spacing w:after="0" w:line="52" w:lineRule="exact"/>
        <w:rPr>
          <w:sz w:val="20"/>
          <w:szCs w:val="20"/>
          <w:color w:val="auto"/>
        </w:rPr>
      </w:pPr>
    </w:p>
    <w:p>
      <w:pPr>
        <w:ind w:left="900" w:right="26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overall executive compensation levels are competitive with the market, based on information provided by the Compensation Committee’s independent consultant and reviewed by the Compensation Committee;</w:t>
      </w:r>
    </w:p>
    <w:p>
      <w:pPr>
        <w:spacing w:after="0" w:line="75" w:lineRule="exact"/>
        <w:rPr>
          <w:rFonts w:ascii="Arial" w:cs="Arial" w:eastAsia="Arial" w:hAnsi="Arial"/>
          <w:sz w:val="18"/>
          <w:szCs w:val="18"/>
          <w:color w:val="auto"/>
        </w:rPr>
      </w:pPr>
    </w:p>
    <w:p>
      <w:pPr>
        <w:ind w:left="900" w:right="60" w:hanging="325"/>
        <w:spacing w:after="0" w:line="31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executive compensation mix is balanced among (i) fixed components including salary and benefits, (ii) annual incentives that reward our overall financial and operating performance and (iii) long-term incentives, 50% of which are performance-based for named executive officers, to more closely tie executive compensation to shareholder interests and to provide for at-risk compensation in relation to share price performance;</w:t>
      </w:r>
    </w:p>
    <w:p>
      <w:pPr>
        <w:spacing w:after="0" w:line="52" w:lineRule="exact"/>
        <w:rPr>
          <w:rFonts w:ascii="Arial" w:cs="Arial" w:eastAsia="Arial" w:hAnsi="Arial"/>
          <w:sz w:val="16"/>
          <w:szCs w:val="16"/>
          <w:color w:val="auto"/>
        </w:rPr>
      </w:pPr>
    </w:p>
    <w:p>
      <w:pPr>
        <w:ind w:left="900" w:right="4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implement what our Compensation Committee believes to be appropriate performance measures for executive compensation each year, whether absolute or relative;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established maximum award levels to cap any performance incentives in place.</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summary, although a portion of the compensation provided to our named executive officers is based on our overall performance or division performance, we believe our compensation programs do not encourage excessive and unnecessary risk-taking by our named executive officers (or other employees) because these programs are designed to encourage employees to remain focused on both our short-term and long-term operational and financial goals. We set performance goals that we believe are reasonable in light of our past performance and market conditions.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i w:val="1"/>
          <w:iCs w:val="1"/>
          <w:color w:val="auto"/>
        </w:rPr>
        <w:t xml:space="preserve">Executive Retention. </w:t>
      </w:r>
      <w:r>
        <w:rPr>
          <w:rFonts w:ascii="Arial" w:cs="Arial" w:eastAsia="Arial" w:hAnsi="Arial"/>
          <w:sz w:val="16"/>
          <w:szCs w:val="16"/>
          <w:color w:val="auto"/>
        </w:rPr>
        <w:t>The Compensation Committee is sensitive to the critical importance of key employee and executive retention, recognizing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costs, potential impacts and replacement challenges that accompany the loss of talented leadership particularly in a difficult market environment. For 2016 and 2017, executive retention was carefully considered by the Compensation Committee in arriving at its long-term incentive award determinations for our named executive officers, all of which remained consistent with our past practices other than the addition of performance share awards in 2016.</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executive compensation decisions for named executive officers are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Civeo solely by the Compensation Committee. Where appropriate, the Compensation Committee engages its independent compensation consultant to research and make recommendations on issues considered important to executive compensation, as well to provide the Compensation Committee with insights on evolving compensation trends in relevant industry sectors.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Role of Executive Officers</w:t>
      </w:r>
      <w:r>
        <w:rPr>
          <w:rFonts w:ascii="Arial" w:cs="Arial" w:eastAsia="Arial" w:hAnsi="Arial"/>
          <w:sz w:val="17"/>
          <w:szCs w:val="17"/>
          <w:color w:val="auto"/>
        </w:rPr>
        <w:t>. The Compensation Committee consults our Chief Executive Officer in its determination of compensation matters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17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Role of Compensation Consultant. </w:t>
      </w:r>
      <w:r>
        <w:rPr>
          <w:rFonts w:ascii="Arial" w:cs="Arial" w:eastAsia="Arial" w:hAnsi="Arial"/>
          <w:sz w:val="18"/>
          <w:szCs w:val="18"/>
          <w:color w:val="auto"/>
        </w:rPr>
        <w:t>Following an extensive interview process involving multiple consulting firms,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Mercer, LLC (“Mercer”) to act as compensation consultant. Subsequent to its initial engagement of Mercer in 2014, the Compensation Committee has reviewed and confirmed its selection of Mercer on an annual basis.</w:t>
      </w:r>
    </w:p>
    <w:p>
      <w:pPr>
        <w:spacing w:after="0" w:line="18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2016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2016:</w:t>
      </w:r>
    </w:p>
    <w:p>
      <w:pPr>
        <w:spacing w:after="0" w:line="98" w:lineRule="exact"/>
        <w:rPr>
          <w:sz w:val="20"/>
          <w:szCs w:val="20"/>
          <w:color w:val="auto"/>
        </w:rPr>
      </w:pPr>
    </w:p>
    <w:p>
      <w:pPr>
        <w:ind w:left="900" w:right="7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paid to Mercer by Civeo during 2016 were less than 1% of Mercer’s total revenue;</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2015, the Compensation Committee also approved the engagement of Mercer to provide benefits consulting services to Civeo. During 2016, fees paid to Mercer in the form of commissions by our Canadian insurer and retirement plan fund manager totaled CAD$28,850 and CAD$38,400, respectively, for benefits consulting services provided to our Canadian operations. During 2016, fees paid to Mercer in the form of commission by our U.S. insurers and retirement plan administrator totaled US$105,000 and US$25,500 for consulting services provided to our U.S. operations. In the opinion of the Compensation Committee, the scale of these fees does not compromise Mercer’s independence with regards executive compensation advisory services it provides directly to the Compensation Committee. This independence is and will continue to be monitored on an ongoing basis. Fees paid to Mercer for compensation consulting services to the Compensation Committee totaled CAD$53,000 in 2016.</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late 2016, Mercer reviewed Civeo’s peer group of companies that is used for benchmarking purposes to assess the competitiveness and suitability of Civeo’s compensation programs and practices. Prior to this review and for 2016 compensation measurement purposes, the Compensation Committee approved a peer group consisting of the following companies:</w:t>
      </w:r>
    </w:p>
    <w:p>
      <w:pPr>
        <w:sectPr>
          <w:pgSz w:w="11900" w:h="16838" w:orient="portrait"/>
          <w:cols w:equalWidth="0" w:num="1">
            <w:col w:w="11400"/>
          </w:cols>
          <w:pgMar w:left="240" w:top="459" w:right="259" w:bottom="1440" w:gutter="0" w:footer="0" w:header="0"/>
        </w:sect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100"/>
        <w:spacing w:after="0"/>
        <w:rPr>
          <w:sz w:val="20"/>
          <w:szCs w:val="20"/>
          <w:color w:val="auto"/>
        </w:rPr>
      </w:pPr>
      <w:r>
        <w:rPr>
          <w:rFonts w:ascii="Arial" w:cs="Arial" w:eastAsia="Arial" w:hAnsi="Arial"/>
          <w:sz w:val="16"/>
          <w:szCs w:val="16"/>
          <w:color w:val="auto"/>
        </w:rPr>
        <w:t>Matrix Service Co.</w:t>
      </w:r>
    </w:p>
    <w:p>
      <w:pPr>
        <w:spacing w:after="0" w:line="14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Newalta Corp.</w:t>
      </w:r>
    </w:p>
    <w:p>
      <w:pPr>
        <w:spacing w:after="0" w:line="14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Carbo Ceramics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Newpark Resources Inc.</w:t>
      </w:r>
    </w:p>
    <w:p>
      <w:pPr>
        <w:spacing w:after="0" w:line="14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Choice Hotels International Inc.</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6"/>
          <w:szCs w:val="16"/>
          <w:color w:val="auto"/>
        </w:rPr>
        <w:t>Oil States International Inc.</w:t>
      </w:r>
    </w:p>
    <w:p>
      <w:pPr>
        <w:spacing w:after="0" w:line="14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Extended Stay America Inc.</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6"/>
          <w:szCs w:val="16"/>
          <w:color w:val="auto"/>
        </w:rPr>
        <w:t>Precision Drilling Corp.</w:t>
      </w:r>
    </w:p>
    <w:p>
      <w:pPr>
        <w:spacing w:after="0" w:line="14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5"/>
          <w:szCs w:val="15"/>
          <w:color w:val="auto"/>
        </w:rPr>
        <w:t>Savanna Energy Services Corp.</w:t>
      </w:r>
    </w:p>
    <w:p>
      <w:pPr>
        <w:spacing w:after="0" w:line="151"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Tesco Corp.</w:t>
      </w:r>
    </w:p>
    <w:p>
      <w:pPr>
        <w:spacing w:after="0" w:line="151"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La Quinta Holdings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above peer group was the same as the peer group used during 2015.</w:t>
      </w:r>
    </w:p>
    <w:p>
      <w:pPr>
        <w:sectPr>
          <w:pgSz w:w="11900" w:h="16838" w:orient="portrait"/>
          <w:cols w:equalWidth="0" w:num="1">
            <w:col w:w="11400"/>
          </w:cols>
          <w:pgMar w:left="240" w:top="459" w:right="259" w:bottom="1440" w:gutter="0" w:footer="0" w:header="0"/>
          <w:type w:val="continuous"/>
        </w:sectPr>
      </w:pPr>
    </w:p>
    <w:p>
      <w:pPr>
        <w:spacing w:after="0" w:line="26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their 2016 review process, Mercer refined its peer company filtering and selection criteria to focus strictly on diversified support services companies and oil and gas equipment and services companies whose business results are influenced by similar industry and commodity factors as Civeo. As a consequence of the new peer company selection criteria, three hotel and lodging companies, Choice Hotels International Inc., Extended Stay America Inc. and La Quinta Holdings Inc., as well as Carbo Ceramics Inc., were removed from the peer group and replaced with Parker Drilling Company and Pioneer Energy Services Corp. The primary review and selection criteria for the peer group remained unchanged and included the following: revenue size, market value, market value to revenue ratio, enterprise value, number of employees, business/operational characteristics and geographic footprint. Unless otherwise determined in subsequent peer group evaluations, this new peer group is intended to be used by the Compensation Committee for compensation evaluation purposes for 2017 and thereafter. At the time of approving the new peer group, Civeo ranked slightly below the median of the peer group on an enterprise value basis.</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2016 Performance Share Awards, the Compensation Committee determined that four companies in the 2016 peer group were not well suited to be used as peers for relative total shareholder return (“TSR”) purposes, based on their customer and asset bases, service offerings or levels of exposure to the natural resources sectors where earnings can be impacted by commodity prices. These four companies were Carbo Ceramics Inc., Choice Hotels International Inc., Extended Stay America Inc. and La Quinta Holdings Inc. Accordingly, the Compensation Committee determined that these four companies would be removed from the peer group strictly for purposes of evaluating Civeo’s three-year relative TSR performance for performance share awards made for the 2016 plan year.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2016 for each of these components are discussed in greater detail immediately following this section. Overall compensation consists of base salary, annual performance incentive awards and long-term incentive awards.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Short-Term Incentive Plan. </w:t>
      </w:r>
      <w:r>
        <w:rPr>
          <w:rFonts w:ascii="Arial" w:cs="Arial" w:eastAsia="Arial" w:hAnsi="Arial"/>
          <w:sz w:val="17"/>
          <w:szCs w:val="17"/>
          <w:color w:val="auto"/>
        </w:rPr>
        <w:t>The key objective of Civeo’s Annual Incentive Compensation Plan (“AICP”) is to reward the achievement of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operating and financial objectives and to incentivize employee activities that will continually improve Civeo, both on a business unit and company-wide basis. Awards under AICP that are intended to qualify as “performance based compensation” under Section 162(m)(4)(C) of the Code are subject to additional limitations as set forth in Section 162(m) of the Code, which are described below. Awards made under the AICP are designed to represent a material component of target total cash compensation for our named executive officers.</w:t>
      </w:r>
    </w:p>
    <w:p>
      <w:pPr>
        <w:spacing w:after="0" w:line="173" w:lineRule="exact"/>
        <w:rPr>
          <w:sz w:val="20"/>
          <w:szCs w:val="20"/>
          <w:color w:val="auto"/>
        </w:rPr>
      </w:pPr>
    </w:p>
    <w:p>
      <w:pPr>
        <w:jc w:val="both"/>
        <w:ind w:right="260" w:firstLine="456"/>
        <w:spacing w:after="0" w:line="291" w:lineRule="auto"/>
        <w:rPr>
          <w:sz w:val="20"/>
          <w:szCs w:val="20"/>
          <w:color w:val="auto"/>
        </w:rPr>
      </w:pPr>
      <w:r>
        <w:rPr>
          <w:rFonts w:ascii="Arial" w:cs="Arial" w:eastAsia="Arial" w:hAnsi="Arial"/>
          <w:sz w:val="16"/>
          <w:szCs w:val="16"/>
          <w:color w:val="auto"/>
        </w:rPr>
        <w:t>Performance objectives under the AICP for awards intended to qualify as performance based compensation under Section 162(m) of the Code may include any one or combination of the following metrics: (i) net income; (ii) pre-tax income; (iii) operating income; (iv) cash flow; (v) earnings per share;</w:t>
      </w:r>
    </w:p>
    <w:p>
      <w:pPr>
        <w:ind w:right="60" w:firstLine="8"/>
        <w:spacing w:after="0" w:line="292" w:lineRule="auto"/>
        <w:tabs>
          <w:tab w:leader="none" w:pos="3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earnings before any one or more of the following items: interest, taxes, depreciation or amortization; (vii) return on equity; (viii) return on invested capital or assets; (ix) cost reductions or savings; (x) funds from operations or (xi) appreciation in the fair market value of the Civeo common shares. Our Compensation Committee determines which objectives to use, the weighting of such objectives where more than one is used, and whether the objective is to be measured against a company-established budget or target, an index or a peer group of companies. A performance objective need not be based on an increase or a positive result and may include, for example, minimizing financial losses during challenging business or economic cycles.</w:t>
      </w:r>
    </w:p>
    <w:p>
      <w:pPr>
        <w:spacing w:after="0" w:line="16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Prior to 2016, achieving results which exceeded a minimum, or threshold, level of performance triggered an AICP payout. Performance results at or below threshold (</w:t>
      </w:r>
      <w:r>
        <w:rPr>
          <w:rFonts w:ascii="Arial" w:cs="Arial" w:eastAsia="Arial" w:hAnsi="Arial"/>
          <w:sz w:val="17"/>
          <w:szCs w:val="17"/>
          <w:i w:val="1"/>
          <w:iCs w:val="1"/>
          <w:color w:val="auto"/>
        </w:rPr>
        <w:t>i.e.</w:t>
      </w:r>
      <w:r>
        <w:rPr>
          <w:rFonts w:ascii="Arial" w:cs="Arial" w:eastAsia="Arial" w:hAnsi="Arial"/>
          <w:sz w:val="17"/>
          <w:szCs w:val="17"/>
          <w:color w:val="auto"/>
        </w:rPr>
        <w:t>, typically achieving a percentage less than 85% of the related AICP performance objective) resulted in no AICP award. Targeted performance is earned when an executive achieves 100% of his or her performance objectives and Civeo achieves 100% of its budgeted financial performance. Overachievement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typically achieving a percentage of 120% of the corresponding performance and financial objective) is the performance level at which AICP compensation is maximized. Where performance results fall between the threshold and target level, a pro rata portion of the target amount is paid out. Where performance results fall between the target and overachievement level, 100-200% of the target amount is paid out proportionately.</w:t>
      </w:r>
    </w:p>
    <w:p>
      <w:pPr>
        <w:spacing w:after="0" w:line="18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performance metrics for our AICP consist of financial metrics, typically budgeted earnings before interest, taxes, depreciation and amortization (“EBITDA”), as adjusted where deemed appropriate by the Compensation Committee and improved safety performance.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For 2016, the Compensation Committee approved changes to the AICP to reflect challenging market and business conditions. These changes reset the minimum threshold for plan entry to 100% attainment of budgeted EBITDA and safety improvement performance. Under this new structure, target AICP payments are not made until 117% of budgeted EBITDA is met. Payment for overachievement against budgeted EBITDA begins when 117% of budgeted EBITDA is achieved and provides for a pro rata payment of between 100-200% of target AICP.</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percentage to mitigate the potential for excessive risk taking.</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the beginning of each year, our Compensation Committee is responsible for approving quantifiable corporate performance objectives, including those specific to our Chief Executive Officer. At the end of each year, the Compensation Committee reviews Civeo’s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Civeo-wide results, subject to the limitations of Section 162(m) in the case of awards intended to qualify as performance-based compensation.</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Long-Term Incentive Plan</w:t>
      </w:r>
      <w:r>
        <w:rPr>
          <w:rFonts w:ascii="Arial" w:cs="Arial" w:eastAsia="Arial" w:hAnsi="Arial"/>
          <w:sz w:val="18"/>
          <w:szCs w:val="18"/>
          <w:color w:val="auto"/>
        </w:rPr>
        <w:t>. Civeo’s long-term incentive plan, the EPP, is designed to provide an additional incentive to executives to grow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EPP provides for the grant of any combination of restricted shares, performance awards, dividend equivalents, phantom share awards, deferred share awards, share payments or options. Broadly speaking, we award three types of long-term incentives to balance liquidity and dilution considerations and to ensure we deliver the most tax effective incentive to plan participants. These awards may be cash or share settled, depending on their type. For our U.S. named executive officers, we award performance shares, restricted share awards and phantom units. For our Canadian named executive officers, we award performance shares, restricted share awards and/or phantom units, and for our Australian named executive officer, we grant performance shares and deferred share awards. All long-term incentive awards made to employees are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9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While unvested restricted shares are held, all rights of ownership are ascribed to such shares, including the right to vote the shares and receive dividends thereon if any (except that any dividends or other distributions paid in any form other than cash are subject to forfeiture restrictions applicable to the underlying award). Performance share and deferred share award recipients are not entitled to vote and receive dividends until such awards vest.</w:t>
      </w:r>
    </w:p>
    <w:p>
      <w:pPr>
        <w:spacing w:after="0" w:line="147"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As a general rule, long-term incentive award values increase with position responsibility and are intended to comprise a larger component of an executive’s total direct compensation as his or her responsibility increases.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Working closely with Mercer, the Compensation Committee approved, effective January 1, 2016, the introduction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Performance Share Award Program under the EPP to further promote the linkage between shareholder and executive management interests. This program is intended to allow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Civeo to grant qualified performance-based compensation under Section 162(m)(4)(c) of the Internal Revenue Code. Our Performance Share Award Program is comprised of the following key elements:</w:t>
      </w:r>
    </w:p>
    <w:p>
      <w:pPr>
        <w:sectPr>
          <w:pgSz w:w="11900" w:h="16838" w:orient="portrait"/>
          <w:cols w:equalWidth="0" w:num="1">
            <w:col w:w="11360"/>
          </w:cols>
          <w:pgMar w:left="240" w:top="459" w:right="299" w:bottom="1440" w:gutter="0" w:footer="0" w:header="0"/>
        </w:sectPr>
      </w:pPr>
    </w:p>
    <w:p>
      <w:pPr>
        <w:spacing w:after="0" w:line="3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a subset of our defined peer group as described above)</w:t>
      </w:r>
    </w:p>
    <w:p>
      <w:pPr>
        <w:spacing w:after="0" w:line="140"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 years, commencing with the year that includes the date of grant</w:t>
      </w:r>
    </w:p>
    <w:p>
      <w:pPr>
        <w:spacing w:after="0" w:line="140"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named executive officers and direct reports to each regional executive</w:t>
      </w:r>
    </w:p>
    <w:p>
      <w:pPr>
        <w:spacing w:after="0" w:line="140"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140"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ind w:right="116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62"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Payout: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2">
            <w:col w:w="2060" w:space="720"/>
            <w:col w:w="8580"/>
          </w:cols>
          <w:pgMar w:left="240" w:top="459" w:right="299" w:bottom="1440" w:gutter="0" w:footer="0" w:header="0"/>
          <w:type w:val="continuous"/>
        </w:sectPr>
      </w:pPr>
    </w:p>
    <w:p>
      <w:pPr>
        <w:spacing w:after="0" w:line="4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Calculation of our relative TSR will be conducted by a third party designated by the Compensation Committee following completion of the three-year performance cycle. Performance share awards granted in 2016 will be earned in amounts between 0% and 200% of the participant’s target performance share award, based on the payout percentage associated with Civeo’s absolute rank among the peer group as illustrated below:</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Performance Measures</w:t>
            </w:r>
          </w:p>
        </w:tc>
        <w:tc>
          <w:tcPr>
            <w:tcW w:w="100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Absolute Rank</w:t>
            </w:r>
          </w:p>
        </w:tc>
        <w:tc>
          <w:tcPr>
            <w:tcW w:w="1960" w:type="dxa"/>
            <w:vAlign w:val="bottom"/>
          </w:tcPr>
          <w:p>
            <w:pPr>
              <w:spacing w:after="0"/>
              <w:rPr>
                <w:sz w:val="10"/>
                <w:szCs w:val="10"/>
                <w:color w:val="auto"/>
              </w:rPr>
            </w:pPr>
          </w:p>
        </w:tc>
        <w:tc>
          <w:tcPr>
            <w:tcW w:w="2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Approximate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Implied</w:t>
            </w:r>
          </w:p>
        </w:tc>
        <w:tc>
          <w:tcPr>
            <w:tcW w:w="13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Payout Percentage</w:t>
            </w: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21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Decile</w:t>
            </w:r>
          </w:p>
        </w:tc>
        <w:tc>
          <w:tcPr>
            <w:tcW w:w="23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3"/>
              </w:rPr>
              <w:t>Percentile Rank</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p>
        </w:tc>
        <w:tc>
          <w:tcPr>
            <w:tcW w:w="1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p>
        </w:tc>
        <w:tc>
          <w:tcPr>
            <w:tcW w:w="1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90%-100%</w:t>
            </w:r>
          </w:p>
        </w:tc>
        <w:tc>
          <w:tcPr>
            <w:tcW w:w="1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4060" w:type="dxa"/>
            <w:vAlign w:val="bottom"/>
            <w:gridSpan w:val="3"/>
          </w:tcPr>
          <w:p>
            <w:pPr>
              <w:ind w:left="196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p>
        </w:tc>
        <w:tc>
          <w:tcPr>
            <w:tcW w:w="2320" w:type="dxa"/>
            <w:vAlign w:val="bottom"/>
            <w:gridSpan w:val="2"/>
          </w:tcPr>
          <w:p>
            <w:pPr>
              <w:jc w:val="right"/>
              <w:ind w:right="1320"/>
              <w:spacing w:after="0"/>
              <w:rPr>
                <w:sz w:val="20"/>
                <w:szCs w:val="20"/>
                <w:color w:val="auto"/>
              </w:rPr>
            </w:pPr>
            <w:r>
              <w:rPr>
                <w:rFonts w:ascii="Arial" w:cs="Arial" w:eastAsia="Arial" w:hAnsi="Arial"/>
                <w:sz w:val="18"/>
                <w:szCs w:val="18"/>
                <w:color w:val="auto"/>
              </w:rPr>
              <w:t>80%-89.9%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406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23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70%-79.9%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060" w:type="dxa"/>
            <w:vAlign w:val="bottom"/>
            <w:gridSpan w:val="3"/>
          </w:tcPr>
          <w:p>
            <w:pPr>
              <w:ind w:left="196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2320" w:type="dxa"/>
            <w:vAlign w:val="bottom"/>
            <w:gridSpan w:val="2"/>
          </w:tcPr>
          <w:p>
            <w:pPr>
              <w:jc w:val="right"/>
              <w:ind w:right="1320"/>
              <w:spacing w:after="0"/>
              <w:rPr>
                <w:sz w:val="20"/>
                <w:szCs w:val="20"/>
                <w:color w:val="auto"/>
              </w:rPr>
            </w:pPr>
            <w:r>
              <w:rPr>
                <w:rFonts w:ascii="Arial" w:cs="Arial" w:eastAsia="Arial" w:hAnsi="Arial"/>
                <w:sz w:val="18"/>
                <w:szCs w:val="18"/>
                <w:color w:val="auto"/>
              </w:rPr>
              <w:t>60%-69.9%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06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23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50%-59.9%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r>
              <w:rPr>
                <w:rFonts w:ascii="Arial" w:cs="Arial" w:eastAsia="Arial" w:hAnsi="Arial"/>
                <w:sz w:val="18"/>
                <w:szCs w:val="18"/>
                <w:color w:val="auto"/>
              </w:rPr>
              <w:t xml:space="preserve"> or 8</w:t>
            </w:r>
            <w:r>
              <w:rPr>
                <w:rFonts w:ascii="Arial" w:cs="Arial" w:eastAsia="Arial" w:hAnsi="Arial"/>
                <w:sz w:val="15"/>
                <w:szCs w:val="15"/>
                <w:color w:val="auto"/>
              </w:rPr>
              <w:t>th</w:t>
            </w:r>
          </w:p>
        </w:tc>
        <w:tc>
          <w:tcPr>
            <w:tcW w:w="4060" w:type="dxa"/>
            <w:vAlign w:val="bottom"/>
            <w:gridSpan w:val="3"/>
          </w:tcPr>
          <w:p>
            <w:pPr>
              <w:ind w:left="196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2320" w:type="dxa"/>
            <w:vAlign w:val="bottom"/>
            <w:gridSpan w:val="2"/>
          </w:tcPr>
          <w:p>
            <w:pPr>
              <w:jc w:val="right"/>
              <w:ind w:right="1320"/>
              <w:spacing w:after="0"/>
              <w:rPr>
                <w:sz w:val="20"/>
                <w:szCs w:val="20"/>
                <w:color w:val="auto"/>
              </w:rPr>
            </w:pPr>
            <w:r>
              <w:rPr>
                <w:rFonts w:ascii="Arial" w:cs="Arial" w:eastAsia="Arial" w:hAnsi="Arial"/>
                <w:sz w:val="18"/>
                <w:szCs w:val="18"/>
                <w:color w:val="auto"/>
              </w:rPr>
              <w:t>40%-49.9%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p>
        </w:tc>
        <w:tc>
          <w:tcPr>
            <w:tcW w:w="406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23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30%-39.9%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p>
        </w:tc>
        <w:tc>
          <w:tcPr>
            <w:tcW w:w="4060" w:type="dxa"/>
            <w:vAlign w:val="bottom"/>
            <w:gridSpan w:val="3"/>
          </w:tcPr>
          <w:p>
            <w:pPr>
              <w:ind w:left="196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2320" w:type="dxa"/>
            <w:vAlign w:val="bottom"/>
            <w:gridSpan w:val="2"/>
          </w:tcPr>
          <w:p>
            <w:pPr>
              <w:jc w:val="right"/>
              <w:ind w:right="1320"/>
              <w:spacing w:after="0"/>
              <w:rPr>
                <w:sz w:val="20"/>
                <w:szCs w:val="20"/>
                <w:color w:val="auto"/>
              </w:rPr>
            </w:pPr>
            <w:r>
              <w:rPr>
                <w:rFonts w:ascii="Arial" w:cs="Arial" w:eastAsia="Arial" w:hAnsi="Arial"/>
                <w:sz w:val="18"/>
                <w:szCs w:val="18"/>
                <w:color w:val="auto"/>
              </w:rPr>
              <w:t>20%-29.9%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12</w:t>
            </w:r>
            <w:r>
              <w:rPr>
                <w:rFonts w:ascii="Arial" w:cs="Arial" w:eastAsia="Arial" w:hAnsi="Arial"/>
                <w:sz w:val="15"/>
                <w:szCs w:val="15"/>
                <w:color w:val="auto"/>
              </w:rPr>
              <w:t>th</w:t>
            </w:r>
            <w:r>
              <w:rPr>
                <w:rFonts w:ascii="Arial" w:cs="Arial" w:eastAsia="Arial" w:hAnsi="Arial"/>
                <w:sz w:val="18"/>
                <w:szCs w:val="18"/>
                <w:color w:val="auto"/>
              </w:rPr>
              <w:t>, or 13</w:t>
            </w:r>
            <w:r>
              <w:rPr>
                <w:rFonts w:ascii="Arial" w:cs="Arial" w:eastAsia="Arial" w:hAnsi="Arial"/>
                <w:sz w:val="15"/>
                <w:szCs w:val="15"/>
                <w:color w:val="auto"/>
              </w:rPr>
              <w:t>th</w:t>
            </w:r>
          </w:p>
        </w:tc>
        <w:tc>
          <w:tcPr>
            <w:tcW w:w="406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 10</w:t>
            </w:r>
            <w:r>
              <w:rPr>
                <w:rFonts w:ascii="Arial" w:cs="Arial" w:eastAsia="Arial" w:hAnsi="Arial"/>
                <w:sz w:val="15"/>
                <w:szCs w:val="15"/>
                <w:color w:val="auto"/>
              </w:rPr>
              <w:t>th</w:t>
            </w:r>
          </w:p>
        </w:tc>
        <w:tc>
          <w:tcPr>
            <w:tcW w:w="23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0%-19.9%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If the performance metric yields a payout percentage of 0%, participants will not earn performance share awards for the applicable three-year performance period. Calculation of relative TSR includes all dividends paid over the performance cycle.</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is the last day of the performance period. In determining the payout percentage, the performance metric to be applied will be the absolute rank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performance share awards have been approved by the Compensation Committee.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All long-term incentive awards under the EPP are expensed in a manner to comply with Financial Accounting Standards Board, Accounting Standards codification, Topic 718, Compensation-Stock Compensation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(“FASB ASC Topic 718—Stock Compensation”). Except in special circumstances, long-term incentive awards are made to participants in these plans annually, in conjunction with approval of annual year-end audited financial statements by the Board.</w:t>
      </w:r>
    </w:p>
    <w:p>
      <w:pPr>
        <w:spacing w:after="0" w:line="170"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i w:val="1"/>
          <w:iCs w:val="1"/>
          <w:color w:val="auto"/>
        </w:rPr>
        <w:t xml:space="preserve">Free Cash Flow Program. </w:t>
      </w:r>
      <w:r>
        <w:rPr>
          <w:rFonts w:ascii="Arial" w:cs="Arial" w:eastAsia="Arial" w:hAnsi="Arial"/>
          <w:sz w:val="17"/>
          <w:szCs w:val="17"/>
          <w:color w:val="auto"/>
        </w:rPr>
        <w:t>Our 2016 Free Cash Flow program provides an opportunity for an annual cash bonus that is designed to promote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Civeo and its shareholders by incentivizing eligible employees of Civeo to identify and implement actions that generate incremental free cash flow. For every dollar that 2016 free cash flow exceeded $35.3 million, our budgeted Free Cash Flow for 2016, 10% was allocated to a bonus pool used to reward those employees implementing initiatives that generated free cash flow greater than budget. The bonus pool for 2016 was $1.4 million. The Compensation Committee determines, in its sole discretion, those employees who are eligible to participate in the Free Cash Flow program, which may include, under exceptional circumstances, our named executive officers, and the award amount allocated to each eligible employee. Eligible employees must be in continuous employment with Civeo through the date the award payment is made. For the 2016 plan year, awards were made to Messrs. McCann and Schoening in the amount of $8,000 and $41,500, respectively.</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Other Perquisites and Personal Benefits</w:t>
      </w:r>
      <w:r>
        <w:rPr>
          <w:rFonts w:ascii="Arial" w:cs="Arial" w:eastAsia="Arial" w:hAnsi="Arial"/>
          <w:sz w:val="18"/>
          <w:szCs w:val="18"/>
          <w:color w:val="auto"/>
        </w:rPr>
        <w:t>. In general, Civeo does not offer perquisites or other personal benefits to any executive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over $10,000. Some executives are provided paid club memberships, which are used for business purposes.</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Dual employment contract provisions for Messrs. Dodson, Steininger and Schoening provide for income tax preparation services for 2016 and subsequent years to satisfy their filing obligations in both Canada and the United States.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 talented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Civeo’s health and welfare benefits are provided to all North American employees, including U.S.- or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U.S.-based executives.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9.25% of base salary (to an annual capped limit established by the Australia Taxation Office) to a superannuation fund administered by the Australian government. This contribution is paid for by Civeo.</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In October 2016, due to low participation rates among eligible employees, the Board approved the termination of Civeo’s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compensation plan. Eligible employees participating in the deferred compensation plan, up to and including the date of its cancellation, did not receive any additional compensation aside from a matching deferral under the Deferred Compensation Plan that was intended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compensate them for contributions they could not receive under the 401(k) plan due to limits imposed on 401(k) plans by U.S. federal income tax laws. None of our directors participated in our Deferred Compensation Plan in 2016 and any inactive account balances in our Deferred Compensation Plan due to participation by our directors in the Deferred Compensation Plan prior to our spin-off from Oil States in 2014 will be distributed in connection with the plan termination. In connection with the termination of the deferred compensation plan, participants will be paid the full value of their account balances under the plan between 12 and 24 months following the date of the plan’s termination.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Executive Compensation</w:t>
      </w:r>
    </w:p>
    <w:p>
      <w:pPr>
        <w:spacing w:after="0" w:line="117" w:lineRule="exact"/>
        <w:rPr>
          <w:sz w:val="20"/>
          <w:szCs w:val="20"/>
          <w:color w:val="auto"/>
        </w:rPr>
      </w:pPr>
    </w:p>
    <w:p>
      <w:pPr>
        <w:ind w:right="880" w:firstLine="456"/>
        <w:spacing w:after="0" w:line="342" w:lineRule="auto"/>
        <w:rPr>
          <w:sz w:val="20"/>
          <w:szCs w:val="20"/>
          <w:color w:val="auto"/>
        </w:rPr>
      </w:pPr>
      <w:r>
        <w:rPr>
          <w:rFonts w:ascii="Arial" w:cs="Arial" w:eastAsia="Arial" w:hAnsi="Arial"/>
          <w:sz w:val="16"/>
          <w:szCs w:val="16"/>
          <w:color w:val="auto"/>
        </w:rPr>
        <w:t>All executive compensation decisions, as well as decisions including aggregate AICP and long-term incentive awards to non-executive plan participants, were made by our Compensation Committee in conjunction with the approval of our audited 2016 year-end financials by the Board.</w:t>
      </w:r>
    </w:p>
    <w:p>
      <w:pPr>
        <w:spacing w:after="0" w:line="12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light of depressed industry conditions in 2016, base salaries for all executive officers, with the exception of our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as further described below, remained unchanged from 2014, excluding the impact of currency exchange rate fluctuations on non-U.S. resident executive officer compensation. Isolated salary increases were made throughout 2016 for other employees in connection with changes in job scope or promotion.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Annualized base salaries and target AICP levels for 2016 are set forth below for each named executive officer.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420" w:type="dxa"/>
            <w:vAlign w:val="bottom"/>
            <w:vMerge w:val="restart"/>
          </w:tcPr>
          <w:p>
            <w:pPr>
              <w:spacing w:after="0"/>
              <w:rPr>
                <w:sz w:val="14"/>
                <w:szCs w:val="14"/>
                <w:color w:val="auto"/>
              </w:rPr>
            </w:pPr>
          </w:p>
        </w:tc>
        <w:tc>
          <w:tcPr>
            <w:tcW w:w="6360" w:type="dxa"/>
            <w:vAlign w:val="bottom"/>
            <w:vMerge w:val="restart"/>
          </w:tcPr>
          <w:p>
            <w:pPr>
              <w:ind w:left="2940"/>
              <w:spacing w:after="0"/>
              <w:rPr>
                <w:sz w:val="20"/>
                <w:szCs w:val="20"/>
                <w:color w:val="auto"/>
              </w:rPr>
            </w:pPr>
            <w:r>
              <w:rPr>
                <w:rFonts w:ascii="Arial" w:cs="Arial" w:eastAsia="Arial" w:hAnsi="Arial"/>
                <w:sz w:val="14"/>
                <w:szCs w:val="14"/>
                <w:b w:val="1"/>
                <w:bCs w:val="1"/>
                <w:color w:val="auto"/>
              </w:rPr>
              <w:t>Position</w:t>
            </w:r>
          </w:p>
        </w:tc>
        <w:tc>
          <w:tcPr>
            <w:tcW w:w="420" w:type="dxa"/>
            <w:vAlign w:val="bottom"/>
          </w:tcPr>
          <w:p>
            <w:pPr>
              <w:spacing w:after="0"/>
              <w:rPr>
                <w:sz w:val="14"/>
                <w:szCs w:val="14"/>
                <w:color w:val="auto"/>
              </w:rPr>
            </w:pPr>
          </w:p>
        </w:tc>
        <w:tc>
          <w:tcPr>
            <w:tcW w:w="1380" w:type="dxa"/>
            <w:vAlign w:val="bottom"/>
            <w:gridSpan w:val="2"/>
          </w:tcPr>
          <w:p>
            <w:pPr>
              <w:jc w:val="center"/>
              <w:ind w:right="583"/>
              <w:spacing w:after="0"/>
              <w:rPr>
                <w:sz w:val="20"/>
                <w:szCs w:val="20"/>
                <w:color w:val="auto"/>
              </w:rPr>
            </w:pPr>
            <w:r>
              <w:rPr>
                <w:rFonts w:ascii="Arial" w:cs="Arial" w:eastAsia="Arial" w:hAnsi="Arial"/>
                <w:sz w:val="14"/>
                <w:szCs w:val="14"/>
                <w:b w:val="1"/>
                <w:bCs w:val="1"/>
                <w:color w:val="auto"/>
                <w:w w:val="90"/>
              </w:rPr>
              <w:t>Base Salary</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63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(USD)</w:t>
            </w: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AICP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4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$ 575,000</w:t>
            </w:r>
          </w:p>
        </w:tc>
        <w:tc>
          <w:tcPr>
            <w:tcW w:w="6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87"/>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24"/>
        </w:trPr>
        <w:tc>
          <w:tcPr>
            <w:tcW w:w="266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800" w:type="dxa"/>
            <w:vAlign w:val="bottom"/>
            <w:gridSpan w:val="3"/>
          </w:tcPr>
          <w:p>
            <w:pPr>
              <w:jc w:val="center"/>
              <w:ind w:right="163"/>
              <w:spacing w:after="0"/>
              <w:rPr>
                <w:sz w:val="20"/>
                <w:szCs w:val="20"/>
                <w:color w:val="auto"/>
              </w:rPr>
            </w:pPr>
            <w:r>
              <w:rPr>
                <w:rFonts w:ascii="Arial" w:cs="Arial" w:eastAsia="Arial" w:hAnsi="Arial"/>
                <w:sz w:val="18"/>
                <w:szCs w:val="18"/>
                <w:color w:val="auto"/>
                <w:w w:val="89"/>
              </w:rPr>
              <w:t>$ 400,000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1800" w:type="dxa"/>
            <w:vAlign w:val="bottom"/>
            <w:gridSpan w:val="3"/>
            <w:shd w:val="clear" w:color="auto" w:fill="CCEEFF"/>
          </w:tcPr>
          <w:p>
            <w:pPr>
              <w:jc w:val="center"/>
              <w:ind w:right="163"/>
              <w:spacing w:after="0"/>
              <w:rPr>
                <w:sz w:val="20"/>
                <w:szCs w:val="20"/>
                <w:color w:val="auto"/>
              </w:rPr>
            </w:pPr>
            <w:r>
              <w:rPr>
                <w:rFonts w:ascii="Arial" w:cs="Arial" w:eastAsia="Arial" w:hAnsi="Arial"/>
                <w:sz w:val="18"/>
                <w:szCs w:val="18"/>
                <w:color w:val="auto"/>
                <w:w w:val="89"/>
              </w:rPr>
              <w:t>$ 312,438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2660" w:type="dxa"/>
            <w:vAlign w:val="bottom"/>
            <w:gridSpan w:val="3"/>
          </w:tcPr>
          <w:p>
            <w:pPr>
              <w:spacing w:after="0"/>
              <w:rPr>
                <w:sz w:val="20"/>
                <w:szCs w:val="20"/>
                <w:color w:val="auto"/>
              </w:rPr>
            </w:pPr>
            <w:r>
              <w:rPr>
                <w:rFonts w:ascii="Arial" w:cs="Arial" w:eastAsia="Arial" w:hAnsi="Arial"/>
                <w:sz w:val="18"/>
                <w:szCs w:val="18"/>
                <w:color w:val="auto"/>
              </w:rPr>
              <w:t>Allan D. Schoening</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 Human Resources/Health, Safety and Environment</w:t>
            </w:r>
          </w:p>
        </w:tc>
        <w:tc>
          <w:tcPr>
            <w:tcW w:w="1800" w:type="dxa"/>
            <w:vAlign w:val="bottom"/>
            <w:gridSpan w:val="3"/>
          </w:tcPr>
          <w:p>
            <w:pPr>
              <w:jc w:val="center"/>
              <w:ind w:right="163"/>
              <w:spacing w:after="0"/>
              <w:rPr>
                <w:sz w:val="20"/>
                <w:szCs w:val="20"/>
                <w:color w:val="auto"/>
              </w:rPr>
            </w:pPr>
            <w:r>
              <w:rPr>
                <w:rFonts w:ascii="Arial" w:cs="Arial" w:eastAsia="Arial" w:hAnsi="Arial"/>
                <w:sz w:val="18"/>
                <w:szCs w:val="18"/>
                <w:color w:val="auto"/>
                <w:w w:val="89"/>
              </w:rPr>
              <w:t>$ 245,408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Ridley</w:t>
            </w: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Former Senior Vice President and President—North America</w:t>
            </w:r>
          </w:p>
        </w:tc>
        <w:tc>
          <w:tcPr>
            <w:tcW w:w="1800" w:type="dxa"/>
            <w:vAlign w:val="bottom"/>
            <w:gridSpan w:val="3"/>
            <w:shd w:val="clear" w:color="auto" w:fill="CCEEFF"/>
          </w:tcPr>
          <w:p>
            <w:pPr>
              <w:jc w:val="center"/>
              <w:ind w:right="163"/>
              <w:spacing w:after="0"/>
              <w:rPr>
                <w:sz w:val="20"/>
                <w:szCs w:val="20"/>
                <w:color w:val="auto"/>
              </w:rPr>
            </w:pPr>
            <w:r>
              <w:rPr>
                <w:rFonts w:ascii="Arial" w:cs="Arial" w:eastAsia="Arial" w:hAnsi="Arial"/>
                <w:sz w:val="18"/>
                <w:szCs w:val="18"/>
                <w:color w:val="auto"/>
                <w:w w:val="89"/>
              </w:rPr>
              <w:t>$ 339,795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30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April 2, 2015, due to difficult industry conditions and significant restructuring within Civeo, Mr. Dodson requested that the Compensation Committee reduce his base salary from US$575,000 to US$500,000 per annum. This request was approved by the Compensation Committee and took effect on April 6, 2015. In September 2016, the Compensation Committee determined that it was appropriate to reinstate Mr. Dodson’s annual base salary of US$575,000 and did so effective September 17, 2016. Mr. Dodson’s total base salary received for 2016 was US$520,192.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2016 AICP Awards</w:t>
      </w:r>
      <w:r>
        <w:rPr>
          <w:rFonts w:ascii="Arial" w:cs="Arial" w:eastAsia="Arial" w:hAnsi="Arial"/>
          <w:sz w:val="18"/>
          <w:szCs w:val="18"/>
          <w:color w:val="auto"/>
        </w:rPr>
        <w:t>. The following 2016 performance metrics formed the basis for annual incentive award determinations for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520" w:type="dxa"/>
            <w:vAlign w:val="bottom"/>
            <w:vMerge w:val="restart"/>
          </w:tcPr>
          <w:p>
            <w:pPr>
              <w:spacing w:after="0"/>
              <w:rPr>
                <w:sz w:val="14"/>
                <w:szCs w:val="14"/>
                <w:color w:val="auto"/>
              </w:rPr>
            </w:pPr>
          </w:p>
        </w:tc>
        <w:tc>
          <w:tcPr>
            <w:tcW w:w="47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Position</w:t>
            </w:r>
          </w:p>
        </w:tc>
        <w:tc>
          <w:tcPr>
            <w:tcW w:w="520" w:type="dxa"/>
            <w:vAlign w:val="bottom"/>
            <w:vMerge w:val="restart"/>
          </w:tcPr>
          <w:p>
            <w:pPr>
              <w:spacing w:after="0"/>
              <w:rPr>
                <w:sz w:val="14"/>
                <w:szCs w:val="14"/>
                <w:color w:val="auto"/>
              </w:rPr>
            </w:pPr>
          </w:p>
        </w:tc>
        <w:tc>
          <w:tcPr>
            <w:tcW w:w="26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Financial Performance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47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Corporate</w:t>
            </w:r>
          </w:p>
        </w:tc>
        <w:tc>
          <w:tcPr>
            <w:tcW w:w="7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Division</w:t>
            </w:r>
          </w:p>
        </w:tc>
        <w:tc>
          <w:tcPr>
            <w:tcW w:w="7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Allan D. Schoening</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Human Resources/Health, Safety and</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Environment</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Ridley</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President—North America</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sole metric for evaluating financial performance for AICP purposes in 2016 is adjusted EBITDA. The EBITDA metric is widely recognized as a primary valuation and comparison metric used in the industry and, for this reason, was selected as the most suitable metric for 2016. EBITDA is a non-GAAP financial measure that is defined as net income plus interest, taxes, depreciation and amortization.</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Adjustments to EBITDA include one-time, unanticipated financial events incurred following approval of the 2016 budget. For 2016, specific adjustments included expenses related to our redomiciliation from the United States to Canada, changes in foreign exchange rates, asset impairment charges and executive severance costs. In the aggregate, these adjustments to EBITDA totaled US$40.2 million. All adjustments to EBITDA for AICP purposes were reviewed and approved by the Compensation Committee. Adjusted EBITDA is a non-GAAP financial measure.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2016, the following performance results relating to AICP calculations were achieved:</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Consolidated adjusted EBITDA of US$77.8 million versus a budget of $87.2 million (89%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for our Canadian division of 99.3%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for our Australian division of 107% of budget; and</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Improvements in total recordable incident rate (“TRIR”) safety performance of 34%, 100% and 48% in Canada, the U.S. and Australia, respectively, against a targeted TRIR improvement objective of 10% for 2016.</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these results, the following AICP payouts were approved by the Compensation Committee. These payouts are stated in U.S. dollars. Mr. McCann’s bonus, which is paid out in Australian dollars, has been converted to U.S. dollars below at an exchange rate of $0.7439 U.S. dollar per Australian dollar. Mr. Schoening’s bonus, which is paid out in Canadian dollars, has been converted to U.S. dollars below at an exchange rate of $0.7551 U.S. dollar per Canadian dollar. Mr. Ridley received payment in respect of his AICP participation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of his severance package, which is discussed under “Potential Payments upon Termination or Change of Control—Ridley Separation.”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20" w:type="dxa"/>
            <w:vAlign w:val="bottom"/>
            <w:vMerge w:val="restart"/>
          </w:tcPr>
          <w:p>
            <w:pPr>
              <w:spacing w:after="0"/>
              <w:rPr>
                <w:sz w:val="14"/>
                <w:szCs w:val="14"/>
                <w:color w:val="auto"/>
              </w:rPr>
            </w:pPr>
          </w:p>
        </w:tc>
        <w:tc>
          <w:tcPr>
            <w:tcW w:w="458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Position</w:t>
            </w:r>
          </w:p>
        </w:tc>
        <w:tc>
          <w:tcPr>
            <w:tcW w:w="3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20"/>
              <w:spacing w:after="0"/>
              <w:rPr>
                <w:sz w:val="20"/>
                <w:szCs w:val="20"/>
                <w:color w:val="auto"/>
              </w:rPr>
            </w:pPr>
            <w:r>
              <w:rPr>
                <w:rFonts w:ascii="Arial" w:cs="Arial" w:eastAsia="Arial" w:hAnsi="Arial"/>
                <w:sz w:val="14"/>
                <w:szCs w:val="14"/>
                <w:b w:val="1"/>
                <w:bCs w:val="1"/>
                <w:color w:val="auto"/>
              </w:rPr>
              <w:t>Business Performance</w:t>
            </w:r>
          </w:p>
        </w:tc>
        <w:tc>
          <w:tcPr>
            <w:tcW w:w="14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AICP Payout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45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Financial</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Safety</w:t>
            </w: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of Target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3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$ 93,635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93,635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49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$ 48,000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48,000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75,371</w:t>
            </w:r>
          </w:p>
        </w:tc>
        <w:tc>
          <w:tcPr>
            <w:tcW w:w="10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$ 84,998</w:t>
            </w: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$160,369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Allan D. Schoening</w:t>
            </w:r>
          </w:p>
        </w:tc>
        <w:tc>
          <w:tcPr>
            <w:tcW w:w="4900" w:type="dxa"/>
            <w:vAlign w:val="bottom"/>
            <w:gridSpan w:val="2"/>
          </w:tcPr>
          <w:p>
            <w:pPr>
              <w:spacing w:after="0"/>
              <w:rPr>
                <w:sz w:val="20"/>
                <w:szCs w:val="20"/>
                <w:color w:val="auto"/>
              </w:rPr>
            </w:pPr>
            <w:r>
              <w:rPr>
                <w:rFonts w:ascii="Arial" w:cs="Arial" w:eastAsia="Arial" w:hAnsi="Arial"/>
                <w:sz w:val="18"/>
                <w:szCs w:val="18"/>
                <w:color w:val="auto"/>
              </w:rPr>
              <w:t>Senior Vice President, Human Resources/Health, Safety and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$ 50,000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50,000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Environment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2016 Long-Term Incentive Awards</w:t>
      </w:r>
      <w:r>
        <w:rPr>
          <w:rFonts w:ascii="Arial" w:cs="Arial" w:eastAsia="Arial" w:hAnsi="Arial"/>
          <w:sz w:val="18"/>
          <w:szCs w:val="18"/>
          <w:color w:val="auto"/>
        </w:rPr>
        <w:t>. For 2016, Civeo incorporated a combination of performance share awards, restricted share units, phantom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deferred share awards as long-term incentives to its named executive officers and other key employees. The type of award made to individuals in this group took into consideration the following factors:</w:t>
      </w:r>
    </w:p>
    <w:p>
      <w:pPr>
        <w:spacing w:after="0" w:line="8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incentive awards approved by the Compensation Committee were made at levels consistent with past practice.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ind w:left="160"/>
              <w:spacing w:after="0"/>
              <w:rPr>
                <w:sz w:val="20"/>
                <w:szCs w:val="20"/>
                <w:color w:val="auto"/>
              </w:rPr>
            </w:pPr>
            <w:r>
              <w:rPr>
                <w:rFonts w:ascii="Arial" w:cs="Arial" w:eastAsia="Arial" w:hAnsi="Arial"/>
                <w:sz w:val="13"/>
                <w:szCs w:val="13"/>
                <w:b w:val="1"/>
                <w:bCs w:val="1"/>
                <w:color w:val="auto"/>
              </w:rPr>
              <w:t>Long Term Incentive Award (#)</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0"/>
              </w:rPr>
              <w:t>Grant Date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Restricted</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4660" w:type="dxa"/>
            <w:vAlign w:val="bottom"/>
            <w:gridSpan w:val="2"/>
            <w:vMerge w:val="restart"/>
          </w:tcPr>
          <w:p>
            <w:pPr>
              <w:ind w:left="2060"/>
              <w:spacing w:after="0"/>
              <w:rPr>
                <w:sz w:val="20"/>
                <w:szCs w:val="20"/>
                <w:color w:val="auto"/>
              </w:rPr>
            </w:pPr>
            <w:r>
              <w:rPr>
                <w:rFonts w:ascii="Arial" w:cs="Arial" w:eastAsia="Arial" w:hAnsi="Arial"/>
                <w:sz w:val="13"/>
                <w:szCs w:val="13"/>
                <w:b w:val="1"/>
                <w:bCs w:val="1"/>
                <w:color w:val="auto"/>
              </w:rPr>
              <w:t>Position</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Share</w:t>
            </w: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Phantom</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Deferred</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Performance</w:t>
            </w: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Per Share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Awards</w:t>
            </w: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Units</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460" w:type="dxa"/>
            <w:vAlign w:val="bottom"/>
          </w:tcPr>
          <w:p>
            <w:pPr>
              <w:jc w:val="center"/>
              <w:ind w:right="82"/>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10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President and Chief Executive Officer</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277,778</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6"/>
              </w:rPr>
              <w:t>277,778</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555,556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1,000,001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120" w:type="dxa"/>
            <w:vAlign w:val="bottom"/>
            <w:gridSpan w:val="2"/>
          </w:tcPr>
          <w:p>
            <w:pPr>
              <w:spacing w:after="0"/>
              <w:rPr>
                <w:sz w:val="20"/>
                <w:szCs w:val="20"/>
                <w:color w:val="auto"/>
              </w:rPr>
            </w:pPr>
            <w:r>
              <w:rPr>
                <w:rFonts w:ascii="Arial" w:cs="Arial" w:eastAsia="Arial" w:hAnsi="Arial"/>
                <w:sz w:val="16"/>
                <w:szCs w:val="16"/>
                <w:color w:val="auto"/>
              </w:rPr>
              <w:t>Frank C. Steininger</w:t>
            </w:r>
          </w:p>
        </w:tc>
        <w:tc>
          <w:tcPr>
            <w:tcW w:w="4760" w:type="dxa"/>
            <w:vAlign w:val="bottom"/>
            <w:gridSpan w:val="3"/>
          </w:tcPr>
          <w:p>
            <w:pPr>
              <w:ind w:left="100"/>
              <w:spacing w:after="0"/>
              <w:rPr>
                <w:sz w:val="20"/>
                <w:szCs w:val="20"/>
                <w:color w:val="auto"/>
              </w:rPr>
            </w:pPr>
            <w:r>
              <w:rPr>
                <w:rFonts w:ascii="Arial" w:cs="Arial" w:eastAsia="Arial" w:hAnsi="Arial"/>
                <w:sz w:val="16"/>
                <w:szCs w:val="16"/>
                <w:color w:val="auto"/>
              </w:rPr>
              <w:t>Senior Vice President, Chief Financial Officer and Treasurer</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194,444</w:t>
            </w:r>
          </w:p>
        </w:tc>
        <w:tc>
          <w:tcPr>
            <w:tcW w:w="1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194,445</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388,889</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47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Senior Vice President, Australia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231,934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120" w:type="dxa"/>
            <w:vAlign w:val="bottom"/>
            <w:gridSpan w:val="2"/>
          </w:tcPr>
          <w:p>
            <w:pPr>
              <w:spacing w:after="0"/>
              <w:rPr>
                <w:sz w:val="20"/>
                <w:szCs w:val="20"/>
                <w:color w:val="auto"/>
              </w:rPr>
            </w:pPr>
            <w:r>
              <w:rPr>
                <w:rFonts w:ascii="Arial" w:cs="Arial" w:eastAsia="Arial" w:hAnsi="Arial"/>
                <w:sz w:val="16"/>
                <w:szCs w:val="16"/>
                <w:color w:val="auto"/>
              </w:rPr>
              <w:t>Allan D. Schoening</w:t>
            </w:r>
          </w:p>
        </w:tc>
        <w:tc>
          <w:tcPr>
            <w:tcW w:w="4760" w:type="dxa"/>
            <w:vAlign w:val="bottom"/>
            <w:gridSpan w:val="3"/>
          </w:tcPr>
          <w:p>
            <w:pPr>
              <w:ind w:left="100"/>
              <w:spacing w:after="0"/>
              <w:rPr>
                <w:sz w:val="20"/>
                <w:szCs w:val="20"/>
                <w:color w:val="auto"/>
              </w:rPr>
            </w:pPr>
            <w:r>
              <w:rPr>
                <w:rFonts w:ascii="Arial" w:cs="Arial" w:eastAsia="Arial" w:hAnsi="Arial"/>
                <w:sz w:val="16"/>
                <w:szCs w:val="16"/>
                <w:color w:val="auto"/>
              </w:rPr>
              <w:t>Senior Vice President, Human Resources/Health, Safety and</w:t>
            </w:r>
          </w:p>
        </w:tc>
        <w:tc>
          <w:tcPr>
            <w:tcW w:w="7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208,334</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208,333</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375,000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760" w:type="dxa"/>
            <w:vAlign w:val="bottom"/>
            <w:gridSpan w:val="3"/>
          </w:tcPr>
          <w:p>
            <w:pPr>
              <w:ind w:left="100"/>
              <w:spacing w:after="0"/>
              <w:rPr>
                <w:sz w:val="20"/>
                <w:szCs w:val="20"/>
                <w:color w:val="auto"/>
              </w:rPr>
            </w:pPr>
            <w:r>
              <w:rPr>
                <w:rFonts w:ascii="Arial" w:cs="Arial" w:eastAsia="Arial" w:hAnsi="Arial"/>
                <w:sz w:val="16"/>
                <w:szCs w:val="16"/>
                <w:color w:val="auto"/>
              </w:rPr>
              <w:t>Environment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Michael L. Ridley</w:t>
            </w:r>
          </w:p>
        </w:tc>
        <w:tc>
          <w:tcPr>
            <w:tcW w:w="47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Senior Vice President and President—North America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269,500</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assuming the role of President and Chief Executive Officer following our spin-off from Oil States in 2014, Mr. Dodson has guided Civeo through a period of significant change during challenging business conditions. Under Mr. Dodson’s leadership, our free cash flow generation remains positive, our corporate debt has been significantly reduced, additional financial flexibility is available through amendments to our revolving credit facility, our operational execution remains strong and our organizational structure has been streamlined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reduce overhead costs. Through disciplined capital management, Mr. Dodson has positioned Civeo to be able to make continued investments in upgrading of assets, safety training, and upgrading of financial reporting systems.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Mr. Dodson’s 2016 performance, the Compensation Committee considered the following achievements:</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Repositioning the organization through a range of restructuring initiatives, including</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Headcount reductions of approximately 20% across our Canadian and U.S. divisions, thereby lowering annual overhead expenses by approximately $6 million;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Consolidation of management, construction and administrative services in our Edmonton, Alberta offices;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Free cash flow (which we define as cash flow from operations less capital expenditures) exceeded budget by 40%;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Strong asset utilization achieved through oil sands turnaround contract periods;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Corporate debt was reduced from US$402 million to US$357 million, representing an 11% reduction;</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Successful management of operations through the Fort McMurray forest fires, with no safety incidents or asset loss and additional revenue generated from supplementary client and emergency services activities;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improvements in our safety performance across all operating divisions, with total recordable incident rates declining by 34%,100% and 48% in Canada, the U.S. and Australia, respectively, in relation to prior year totals;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Substantial completion of Civeo’s redomiciliation from the United States to Canada.</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2016 Compensation. </w:t>
      </w:r>
      <w:r>
        <w:rPr>
          <w:rFonts w:ascii="Arial" w:cs="Arial" w:eastAsia="Arial" w:hAnsi="Arial"/>
          <w:sz w:val="17"/>
          <w:szCs w:val="17"/>
          <w:color w:val="auto"/>
        </w:rPr>
        <w:t>Mr. Dodson’s total cash compensation remained at approximately the same level when compared to the prior year and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sits in the lowest quartile of our peer group. In September 2016, the Compensation Committee reinstated Mr. Dodson’s annualized salary to US$575,000 after it had been reduced, at Mr. Dodson’s request, to $500,000 in 2015. For 2016, Mr. Dodson’s salary totaled US$520,192.</w:t>
      </w:r>
    </w:p>
    <w:p>
      <w:pPr>
        <w:spacing w:after="0" w:line="16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For 2016, the Compensation Committee approved an AICP payment of US$93,635 for Mr. Dodson. The calculation of Mr. Dodson’s bonus reflected financial performance and strong improvements in the area of safety, as discussed above. This payment was approved at the Compensation Committee’s meeting on February 21, 2017 in conjunction with approval of Civeo’s 2016 audited year-end financial results.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2016, Mr. Dodson was granted a long-term incentive award comprised of performance shares, restricted share units and phantom units. Performance share awards comprised 50% of the total grant date value of US$1,000,001 made to Mr. Dodson. Performance share awards granted Mr. Dodson vest on the third anniversary of date of grant and are subject to specific performance criteria more fully described above. Time vested awards granted to Mr. Dodson vest equally over three years from the date of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 describes the composition of Mr. Dodson’s compensation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169545</wp:posOffset>
            </wp:positionV>
            <wp:extent cx="3498850" cy="1063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9885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Civeo maintains Executive Agreements with Messrs. Dodson, Steininger and McCann and a Change of Control Agreement with Mr. Schoening. These agreements are not considered long-term employment agreements and as such, U.S. executives are employed “at will” by Civeo. The agreements for Messrs. Dodson, Steininger and McCann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Executive Agreement) of Civeo. Mr. Schoening’s agreement provides protection only following a termination other than for “Cause” during a specified period of time following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7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Change of Control provision in both types of agreement is intended to encourage continued employment by Civeo of its executive officers and minimize distractions around related uncertainties and risks created by a proposed Change of Control. Unlike “single trigger” plans that pay out immediately upon a change of control, Civeo’s agreements require a “double trigger” (</w:t>
      </w:r>
      <w:r>
        <w:rPr>
          <w:rFonts w:ascii="Arial" w:cs="Arial" w:eastAsia="Arial" w:hAnsi="Arial"/>
          <w:sz w:val="17"/>
          <w:szCs w:val="17"/>
          <w:i w:val="1"/>
          <w:iCs w:val="1"/>
          <w:color w:val="auto"/>
        </w:rPr>
        <w:t>i.e.</w:t>
      </w:r>
      <w:r>
        <w:rPr>
          <w:rFonts w:ascii="Arial" w:cs="Arial" w:eastAsia="Arial" w:hAnsi="Arial"/>
          <w:sz w:val="17"/>
          <w:szCs w:val="17"/>
          <w:color w:val="auto"/>
        </w:rPr>
        <w:t>, a change of control along with a loss of employment under certain circumstances). Where a qualified termination occurs during the 24-month period following a Change of Control, the agreements provide for a lump-sum payment to the executive officer based on his base salary and target annual incentive amount in place on the date of termination. Under the terms of their Executive Agreements, Messrs. Dodson, Steininger and McCann are each entitled to receive a lump -sum payment equal to two times their base salary and target annual incentive amount if a qualified termination occurs during the 24-month period following a Change of Control. Where a qualified termination occurs beyond the 24-month period following a Change of Control, Messrs. Dodson, Steininger and McCann will be entitled to receive a lump -sum payment equal to one year’s base salary and target annual bonus amount as well as other benefits described below. Under the terms of his Change of Control Agreement, Mr. Schoening is entitled to receive a lump -sum payment equal to 1.75 times his base salary and target annual incentive amount if a qualified termination occurs during the 18-month period following a Change of Control.</w:t>
      </w:r>
    </w:p>
    <w:p>
      <w:pPr>
        <w:spacing w:after="0" w:line="18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addition, the agreements provide that all restricted shares, performance shares, phantom share units and options will vest immediately, that all restrictions on such awards will lapse upon a Change of Control and a qualified termination and that outstanding options will remain exercisable for the remainder of their respective terms. The executive officer will also be entitled to (A) health benefits until the earlier of (i) 36 months (in the case of an Executive Agreement) or 24 months (in the case of a Change of Control Agreement) and (ii) the date the executive began receiving comparable benefits from a subsequent employer, (B) vesting of all employer contributions to our 401(k) plan and Deferred Compensation Plan to the extent not already vested and</w:t>
      </w:r>
    </w:p>
    <w:p>
      <w:pPr>
        <w:spacing w:after="0" w:line="2" w:lineRule="exact"/>
        <w:rPr>
          <w:sz w:val="20"/>
          <w:szCs w:val="20"/>
          <w:color w:val="auto"/>
        </w:rPr>
      </w:pPr>
    </w:p>
    <w:p>
      <w:pPr>
        <w:ind w:firstLine="8"/>
        <w:spacing w:after="0" w:line="252" w:lineRule="auto"/>
        <w:tabs>
          <w:tab w:leader="none" w:pos="2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during 2009 entitled him to be made whole for any excise taxes incurred with respect to severance payments that were in excess of the limits set forth under the Internal Revenue Code. No excise tax gross -up protection is available to Mr. Steininger, Mr. McCann or Mr. Schoening. See “Potential Payments Under Termination or Change of Control” in this proxy statement for additional disclosures of severance and Change of Control payments for named executive officers.</w:t>
      </w:r>
    </w:p>
    <w:p>
      <w:pPr>
        <w:spacing w:after="0" w:line="194"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Civeo’s Executive Agreements have a term of three years and are extended automatically for one additional day on a daily basis, unless notice of non-extension is served by the Board. Where notice is served, the agreement will terminate on the third anniversary of the date notice was given. To receive benefits under the Executive Agreement or Change of Control Agreement, the executive officer is required to execute a release of all claims against Civeo.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i w:val="1"/>
          <w:iCs w:val="1"/>
          <w:color w:val="auto"/>
        </w:rPr>
        <w:t xml:space="preserve">Dual Employment Contracts. </w:t>
      </w:r>
      <w:r>
        <w:rPr>
          <w:rFonts w:ascii="Arial" w:cs="Arial" w:eastAsia="Arial" w:hAnsi="Arial"/>
          <w:sz w:val="17"/>
          <w:szCs w:val="17"/>
          <w:color w:val="auto"/>
        </w:rPr>
        <w:t>Messrs. Dodson, Steininger and Schoening are all parties to dual employment contracts with Canadian and U.S. legal</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of Civeo. These contracts are in place to permit each such executive to execute contracts and other legal agreements on behalf of entities in either jurisdiction and to work and perform cross-border services on an uninterrupted basis. The terms of these contracts allocate a portion of each such executive’s time to services performed in the United States and Canada and provide for tax equalization payments intended to put the executive in the same position as if his or her employment income were all earned in the State of Texas.</w:t>
      </w:r>
    </w:p>
    <w:p>
      <w:pPr>
        <w:spacing w:after="0" w:line="17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i w:val="1"/>
          <w:iCs w:val="1"/>
          <w:color w:val="auto"/>
        </w:rPr>
        <w:t xml:space="preserve">Accounting and Tax Considerations. </w:t>
      </w:r>
      <w:r>
        <w:rPr>
          <w:rFonts w:ascii="Arial" w:cs="Arial" w:eastAsia="Arial" w:hAnsi="Arial"/>
          <w:sz w:val="16"/>
          <w:szCs w:val="16"/>
          <w:color w:val="auto"/>
        </w:rPr>
        <w:t>Under Section 162(m) of the Code, a limitation exists on tax deductions of any publicly-held corporation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compensation to certain executives of such corporation exceeding $1,000,000 in any taxable year, unless the compensation is performance-based.</w:t>
      </w:r>
    </w:p>
    <w:p>
      <w:pPr>
        <w:spacing w:after="0" w:line="124"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We reserve the right to use our judgment to authorize compensation payments that do not comply with the exemptions in Section 162(m) when we believe that such payments are appropriate and in the best interest of our shareholders, after taking into consideration changing business conditions or the executive’s individual performance and/or changes in specific job duties and responsibilities.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those arrangements.</w:t>
      </w:r>
    </w:p>
    <w:p>
      <w:pPr>
        <w:spacing w:after="0" w:line="18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Executive Compensation</w:t>
      </w:r>
    </w:p>
    <w:p>
      <w:pPr>
        <w:spacing w:after="0" w:line="11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i w:val="1"/>
          <w:iCs w:val="1"/>
          <w:color w:val="auto"/>
        </w:rPr>
        <w:t>Response to Say-on-Pay Vote</w:t>
      </w:r>
      <w:r>
        <w:rPr>
          <w:rFonts w:ascii="Arial" w:cs="Arial" w:eastAsia="Arial" w:hAnsi="Arial"/>
          <w:sz w:val="17"/>
          <w:szCs w:val="17"/>
          <w:color w:val="auto"/>
        </w:rPr>
        <w:t>. At our 2016 annual meeting, we obtained a 95.6% approval by our shareholders casting votes on our Say-on-Pay</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 Our Compensation Committee considered that approval level in making its compensation-related decisions in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Changes to Executive Compensation. </w:t>
      </w:r>
      <w:r>
        <w:rPr>
          <w:rFonts w:ascii="Arial" w:cs="Arial" w:eastAsia="Arial" w:hAnsi="Arial"/>
          <w:sz w:val="16"/>
          <w:szCs w:val="16"/>
          <w:color w:val="auto"/>
        </w:rPr>
        <w:t>At its February 21, 2017 meeting, the Compensation Committee approved compensation adjustments for Messrs.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Dodson, Steininger and Schoening. Following a detailed review by Mercer of competitive market long-term incentive award practices,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approved an increase in the multiple used to calculate Mr. Dodson’s 2017 long-term incentive award from 2.0 times to 2.75 times his annual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salary. As part of the same market compensation review, the Compensation Committee approved an increase to Mr. Steininger’s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US$420,000 and an increase to the multiple used to calculate Mr. Steininger’s 2017 long-term incentive award from 1.75 times to 2.0 times his annual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Adjustments to Mr. Dodson’s and Mr. Steininger’s AICP performance metrics were also made by the Compensation Committee such that 80%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AICP determination will be based on financial performance and 20% will be based on safety performance. Mr. Schoening’s annual base salary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C$360,000, to reflect his additional executive responsibilities for Indigenous Relations and Land Management.</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Changes to Peer Group</w:t>
      </w:r>
      <w:r>
        <w:rPr>
          <w:rFonts w:ascii="Arial" w:cs="Arial" w:eastAsia="Arial" w:hAnsi="Arial"/>
          <w:sz w:val="18"/>
          <w:szCs w:val="18"/>
          <w:color w:val="auto"/>
        </w:rPr>
        <w:t>. In addition, as discussed above under “</w:t>
      </w:r>
      <w:r>
        <w:rPr>
          <w:rFonts w:ascii="Arial" w:cs="Arial" w:eastAsia="Arial" w:hAnsi="Arial"/>
          <w:sz w:val="18"/>
          <w:szCs w:val="18"/>
          <w:i w:val="1"/>
          <w:iCs w:val="1"/>
          <w:color w:val="auto"/>
        </w:rPr>
        <w:t>Role of the Compensation Consultant</w:t>
      </w:r>
      <w:r>
        <w:rPr>
          <w:rFonts w:ascii="Arial" w:cs="Arial" w:eastAsia="Arial" w:hAnsi="Arial"/>
          <w:sz w:val="18"/>
          <w:szCs w:val="18"/>
          <w:color w:val="auto"/>
        </w:rPr>
        <w:t>,” the Compensation Committee, in consultation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Mercer, also made changes to our peer group for the purposes of evaluating our relative performance for compensation-related purposes, beginning with the 2017 calendar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compensation paid in respect of specified periods to our named executive officers. Through May 30, 2014, our named executive officers (other than Mr. Steininger and Mr. Ridley) were employed and compensated by Oil States International, Inc. For periods subsequent to May 30, 2014, all of our named executive officers were employed and compensated by Civeo. The amounts summarized below reflect compensation paid by Oil States until May 30, 2014 and Civeo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61"/>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0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1"/>
                <w:szCs w:val="11"/>
                <w:b w:val="1"/>
                <w:bCs w:val="1"/>
                <w:color w:val="auto"/>
              </w:rPr>
              <w:t>(1)</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r>
              <w:rPr>
                <w:rFonts w:ascii="Arial" w:cs="Arial" w:eastAsia="Arial" w:hAnsi="Arial"/>
                <w:sz w:val="11"/>
                <w:szCs w:val="11"/>
                <w:b w:val="1"/>
                <w:bCs w:val="1"/>
                <w:color w:val="auto"/>
                <w:w w:val="86"/>
              </w:rPr>
              <w:t>(1)</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6"/>
              </w:rPr>
              <w:t xml:space="preserve">Compensation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r>
              <w:rPr>
                <w:rFonts w:ascii="Arial" w:cs="Arial" w:eastAsia="Arial" w:hAnsi="Arial"/>
                <w:sz w:val="11"/>
                <w:szCs w:val="11"/>
                <w:b w:val="1"/>
                <w:bCs w:val="1"/>
                <w:color w:val="auto"/>
                <w:w w:val="86"/>
              </w:rPr>
              <w:t>(6)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1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$520,192</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w w:val="99"/>
              </w:rPr>
              <w:t>—</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$ 1,000,001</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126,973</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1,740,801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520,192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1,150,002</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462,752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63,448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2,196,394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554,808</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1,159,074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128,116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430,831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101,121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2,373,950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4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Frank C. Steininger </w:t>
            </w:r>
            <w:r>
              <w:rPr>
                <w:rFonts w:ascii="Arial" w:cs="Arial" w:eastAsia="Arial" w:hAnsi="Arial"/>
                <w:sz w:val="27"/>
                <w:szCs w:val="27"/>
                <w:color w:val="auto"/>
                <w:vertAlign w:val="superscript"/>
              </w:rPr>
              <w:t>(2)</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26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700,000</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48,000</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40,107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1,188,107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2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700,001</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237,221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23,025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1,360,247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Financial Officer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230,769</w:t>
            </w:r>
          </w:p>
        </w:tc>
        <w:tc>
          <w:tcPr>
            <w:tcW w:w="2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800,021</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201,615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106,844</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1,339,249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and Treasurer</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Peter L. McCann </w:t>
            </w:r>
            <w:r>
              <w:rPr>
                <w:rFonts w:ascii="Arial" w:cs="Arial" w:eastAsia="Arial" w:hAnsi="Arial"/>
                <w:sz w:val="23"/>
                <w:szCs w:val="23"/>
                <w:color w:val="auto"/>
                <w:vertAlign w:val="superscript"/>
              </w:rPr>
              <w:t>(3)</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$312,438</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417,480</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160,369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914,535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315,966</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476,693</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14,343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1,102,791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Australia</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376,582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703,010</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391,561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34,958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1,506,111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4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Allan D. Schoening </w:t>
            </w:r>
            <w:r>
              <w:rPr>
                <w:rFonts w:ascii="Arial" w:cs="Arial" w:eastAsia="Arial" w:hAnsi="Arial"/>
                <w:sz w:val="27"/>
                <w:szCs w:val="27"/>
                <w:color w:val="auto"/>
                <w:vertAlign w:val="superscript"/>
              </w:rPr>
              <w:t>(4)</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$245,408</w:t>
            </w:r>
          </w:p>
        </w:tc>
        <w:tc>
          <w:tcPr>
            <w:tcW w:w="26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375,000</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50,000</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60,394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730,802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253,847</w:t>
            </w:r>
          </w:p>
        </w:tc>
        <w:tc>
          <w:tcPr>
            <w:tcW w:w="2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375,003</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125,454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156,392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910,696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Human Resources/Health, Safety and</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gridSpan w:val="2"/>
          </w:tcPr>
          <w:p>
            <w:pPr>
              <w:ind w:left="160"/>
              <w:spacing w:after="0"/>
              <w:rPr>
                <w:sz w:val="20"/>
                <w:szCs w:val="20"/>
                <w:color w:val="auto"/>
              </w:rPr>
            </w:pPr>
            <w:r>
              <w:rPr>
                <w:rFonts w:ascii="Arial" w:cs="Arial" w:eastAsia="Arial" w:hAnsi="Arial"/>
                <w:sz w:val="16"/>
                <w:szCs w:val="16"/>
                <w:i w:val="1"/>
                <w:iCs w:val="1"/>
                <w:color w:val="auto"/>
              </w:rPr>
              <w:t>Environment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0" w:lineRule="exact"/>
              <w:rPr>
                <w:sz w:val="20"/>
                <w:szCs w:val="20"/>
                <w:color w:val="auto"/>
              </w:rPr>
            </w:pPr>
            <w:r>
              <w:rPr>
                <w:rFonts w:ascii="Arial" w:cs="Arial" w:eastAsia="Arial" w:hAnsi="Arial"/>
                <w:sz w:val="13"/>
                <w:szCs w:val="13"/>
                <w:color w:val="auto"/>
              </w:rPr>
              <w:t xml:space="preserve">Michael L. Ridley </w:t>
            </w:r>
            <w:r>
              <w:rPr>
                <w:rFonts w:ascii="Arial" w:cs="Arial" w:eastAsia="Arial" w:hAnsi="Arial"/>
                <w:sz w:val="21"/>
                <w:szCs w:val="21"/>
                <w:color w:val="auto"/>
                <w:vertAlign w:val="superscript"/>
              </w:rPr>
              <w:t>(5)</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$234,371</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485,100</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702,151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1,421,622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225,889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line="216" w:lineRule="exact"/>
              <w:rPr>
                <w:sz w:val="20"/>
                <w:szCs w:val="20"/>
                <w:color w:val="auto"/>
              </w:rPr>
            </w:pPr>
            <w:r>
              <w:rPr>
                <w:rFonts w:ascii="Arial" w:cs="Arial" w:eastAsia="Arial" w:hAnsi="Arial"/>
                <w:sz w:val="15"/>
                <w:szCs w:val="15"/>
                <w:color w:val="auto"/>
                <w:w w:val="90"/>
              </w:rPr>
              <w:t>94,575</w:t>
            </w:r>
            <w:r>
              <w:rPr>
                <w:rFonts w:ascii="Arial" w:cs="Arial" w:eastAsia="Arial" w:hAnsi="Arial"/>
                <w:sz w:val="25"/>
                <w:szCs w:val="25"/>
                <w:color w:val="auto"/>
                <w:w w:val="90"/>
                <w:vertAlign w:val="superscript"/>
              </w:rPr>
              <w:t>(8)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495,000</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9,221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929,762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18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columns represent the dollar amounts, for the years shown, of the aggregate grant date fair value of performance share awards, restricted share awards, phantom share awards and option awards,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upon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All options awarded were priced at the date of the award. See Note 15 to Civeo’s consolidated financial statements included in its Annual Report on Form 10-K for the year ended December 31, 2016 for additional detail regarding assumptions underlying the value of these awards.</w:t>
      </w:r>
    </w:p>
    <w:p>
      <w:pPr>
        <w:spacing w:after="0" w:line="5" w:lineRule="exact"/>
        <w:rPr>
          <w:rFonts w:ascii="Arial" w:cs="Arial" w:eastAsia="Arial" w:hAnsi="Arial"/>
          <w:sz w:val="16"/>
          <w:szCs w:val="16"/>
          <w:color w:val="auto"/>
        </w:rPr>
      </w:pPr>
    </w:p>
    <w:p>
      <w:pPr>
        <w:ind w:left="340" w:right="10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March 4, 2014, Mr. Steininger was a partner of PricewaterhouseCoopers LLP. Effective from March 4, 2014 to May 29, 2014, Mr. Steininger was a consultant to Oil States. Effective May 30, 2014, Mr. Steininger became an employee of Civeo in the capacity of Senior Vice President, Chief Financial Officer and Treasurer. Accordingly, amounts shown for 2014 reflect a partial year of service.</w:t>
      </w:r>
    </w:p>
    <w:p>
      <w:pPr>
        <w:ind w:left="340" w:right="120" w:hanging="332"/>
        <w:spacing w:after="0" w:line="281"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Compensation reported for Mr. McCann, other than share awards, was made in Australian dollars and is reflected in this table in U.S. dollars using the average exchange rate for each year. The U.S. dollar to Australian dollar average exchange rate for 2016, 2015 and 2014 was $0.7439, $0.7523 and $0.9025, respectively.</w:t>
      </w:r>
    </w:p>
    <w:p>
      <w:pPr>
        <w:spacing w:after="0" w:line="1" w:lineRule="exact"/>
        <w:rPr>
          <w:rFonts w:ascii="Arial" w:cs="Arial" w:eastAsia="Arial" w:hAnsi="Arial"/>
          <w:sz w:val="15"/>
          <w:szCs w:val="15"/>
          <w:color w:val="auto"/>
        </w:rPr>
      </w:pPr>
    </w:p>
    <w:p>
      <w:pPr>
        <w:ind w:left="34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Schoening was appointed as an officer of Civeo on May 14, 2015. Compensation reported for Mr. Schoening, other than share awards, was made in Canadian dollars and is reflected in this table in U.S. dollars using the average exchange rate for each year. The U.S. dollar to Canadian dollar average exchange rate for 2016 and 2015 was $0.7551 and $0.7566.</w:t>
      </w:r>
    </w:p>
    <w:p>
      <w:pPr>
        <w:ind w:left="340" w:right="20" w:hanging="332"/>
        <w:spacing w:after="0" w:line="302"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Effective May 4, 2015, Mr. Ridley became an employee of Civeo in the capacity of Senior Vice President and President-North America Division. Accordingly, amounts shown for 2015 reflect a partial year of service. Compensation reported for Mr. Ridley, other than share awards, was made in Canadian dollars and is reflected in this table in U.S. dollars using the average exchange rate for the year. The U.S. dollar to Canadian dollar average exchange rate during Mr. Ridley’s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spacing w:after="0" w:line="265" w:lineRule="auto"/>
        <w:rPr>
          <w:sz w:val="20"/>
          <w:szCs w:val="20"/>
          <w:color w:val="auto"/>
        </w:rPr>
      </w:pPr>
      <w:r>
        <w:rPr>
          <w:rFonts w:ascii="Arial" w:cs="Arial" w:eastAsia="Arial" w:hAnsi="Arial"/>
          <w:sz w:val="16"/>
          <w:szCs w:val="16"/>
          <w:color w:val="auto"/>
        </w:rPr>
        <w:t>employment in 2016 and 2015 was $0.7551 and $0.7566, respectively. Mr. Ridley’s employment with Civeo was terminated on September 8, 2016. See Note (7) and the discussion under “Potential Payments upon Termination or Change of Control—Ridley Separation” below for details regarding severance payments made to Mr. Ridley in connection with his termination of employment.</w:t>
      </w:r>
    </w:p>
    <w:p>
      <w:pPr>
        <w:spacing w:after="0" w:line="2" w:lineRule="exact"/>
        <w:rPr>
          <w:sz w:val="20"/>
          <w:szCs w:val="20"/>
          <w:color w:val="auto"/>
        </w:rPr>
      </w:pPr>
    </w:p>
    <w:p>
      <w:pPr>
        <w:ind w:left="340" w:right="80" w:hanging="332"/>
        <w:spacing w:after="0" w:line="264"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for “Non-Equity Incentive Plan Compensation” paid to each of the named executive officers were made pursuant to Civeo’s AICP and were paid in 2015, 2016 and 2017, respectively. For a description of Civeo’s plan, see “Compensation Discussion and Analysis—Compensation Program Components—Short-Term Incentive Plan.”</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the “All Other Compensation” column reflect the following for each Named Executive Officer:</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Retirement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Deferred</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210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Dividends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(b)</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(c)</w:t>
            </w: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8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Plan Match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(a)</w:t>
            </w:r>
          </w:p>
        </w:tc>
        <w:tc>
          <w:tcPr>
            <w:tcW w:w="1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Plan Match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(a)</w:t>
            </w:r>
          </w:p>
        </w:tc>
        <w:tc>
          <w:tcPr>
            <w:tcW w:w="134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2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2016</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43,618</w:t>
            </w: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71,211</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126,973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Frank C. Steininger</w:t>
            </w:r>
          </w:p>
        </w:tc>
        <w:tc>
          <w:tcPr>
            <w:tcW w:w="2460" w:type="dxa"/>
            <w:vAlign w:val="bottom"/>
            <w:gridSpan w:val="2"/>
          </w:tcPr>
          <w:p>
            <w:pPr>
              <w:ind w:left="2140"/>
              <w:spacing w:after="0"/>
              <w:rPr>
                <w:sz w:val="20"/>
                <w:szCs w:val="20"/>
                <w:color w:val="auto"/>
              </w:rPr>
            </w:pPr>
            <w:r>
              <w:rPr>
                <w:rFonts w:ascii="Arial" w:cs="Arial" w:eastAsia="Arial" w:hAnsi="Arial"/>
                <w:sz w:val="16"/>
                <w:szCs w:val="16"/>
                <w:color w:val="auto"/>
                <w:w w:val="84"/>
              </w:rPr>
              <w:t>2016</w:t>
            </w:r>
          </w:p>
        </w:tc>
        <w:tc>
          <w:tcPr>
            <w:tcW w:w="3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13,627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26,480</w:t>
            </w:r>
          </w:p>
        </w:tc>
        <w:tc>
          <w:tcPr>
            <w:tcW w:w="3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2460" w:type="dxa"/>
            <w:vAlign w:val="bottom"/>
            <w:gridSpan w:val="2"/>
            <w:shd w:val="clear" w:color="auto" w:fill="CCEEFF"/>
          </w:tcPr>
          <w:p>
            <w:pPr>
              <w:ind w:left="2140"/>
              <w:spacing w:after="0"/>
              <w:rPr>
                <w:sz w:val="20"/>
                <w:szCs w:val="20"/>
                <w:color w:val="auto"/>
              </w:rPr>
            </w:pPr>
            <w:r>
              <w:rPr>
                <w:rFonts w:ascii="Arial" w:cs="Arial" w:eastAsia="Arial" w:hAnsi="Arial"/>
                <w:sz w:val="16"/>
                <w:szCs w:val="16"/>
                <w:color w:val="auto"/>
                <w:w w:val="84"/>
              </w:rPr>
              <w:t>2016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9,806</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Allan D. Schoening</w:t>
            </w:r>
          </w:p>
        </w:tc>
        <w:tc>
          <w:tcPr>
            <w:tcW w:w="2460" w:type="dxa"/>
            <w:vAlign w:val="bottom"/>
            <w:gridSpan w:val="2"/>
          </w:tcPr>
          <w:p>
            <w:pPr>
              <w:ind w:left="2140"/>
              <w:spacing w:after="0"/>
              <w:rPr>
                <w:sz w:val="20"/>
                <w:szCs w:val="20"/>
                <w:color w:val="auto"/>
              </w:rPr>
            </w:pPr>
            <w:r>
              <w:rPr>
                <w:rFonts w:ascii="Arial" w:cs="Arial" w:eastAsia="Arial" w:hAnsi="Arial"/>
                <w:sz w:val="16"/>
                <w:szCs w:val="16"/>
                <w:color w:val="auto"/>
                <w:w w:val="84"/>
              </w:rPr>
              <w:t>2016</w:t>
            </w:r>
          </w:p>
        </w:tc>
        <w:tc>
          <w:tcPr>
            <w:tcW w:w="3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9,820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9,074</w:t>
            </w:r>
          </w:p>
        </w:tc>
        <w:tc>
          <w:tcPr>
            <w:tcW w:w="40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41,500</w:t>
            </w:r>
          </w:p>
        </w:tc>
        <w:tc>
          <w:tcPr>
            <w:tcW w:w="3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60,394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Michael L. Ridley</w:t>
            </w:r>
          </w:p>
        </w:tc>
        <w:tc>
          <w:tcPr>
            <w:tcW w:w="2460" w:type="dxa"/>
            <w:vAlign w:val="bottom"/>
            <w:gridSpan w:val="2"/>
            <w:shd w:val="clear" w:color="auto" w:fill="CCEEFF"/>
          </w:tcPr>
          <w:p>
            <w:pPr>
              <w:ind w:left="2140"/>
              <w:spacing w:after="0"/>
              <w:rPr>
                <w:sz w:val="20"/>
                <w:szCs w:val="20"/>
                <w:color w:val="auto"/>
              </w:rPr>
            </w:pPr>
            <w:r>
              <w:rPr>
                <w:rFonts w:ascii="Arial" w:cs="Arial" w:eastAsia="Arial" w:hAnsi="Arial"/>
                <w:sz w:val="16"/>
                <w:szCs w:val="16"/>
                <w:color w:val="auto"/>
                <w:w w:val="84"/>
              </w:rPr>
              <w:t>2016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9,820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16,611</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675,720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702,151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0" w:right="100" w:hanging="454"/>
        <w:spacing w:after="0" w:line="265"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Represents the matching contributions allocated by Civeo and Oil States, as applicable, to Mr. Dodson pursuant to the Deferred Compensation Plan, as more fully described in “Compensation Discussion and Analysis Compensation Program Components—Retirement Plans” and “—Deferred Compensation Plan,” included herein. Also represents contributions made to Messrs. Dodson, Steininger and Schoening pursuant to the 401(k) Retirement Plan. For Mr. McCann, represents a contribution to his Australian Superannuation fund as required by Australian law. For Mr. Ridley, represents contributions made on his behalf pursuant to the Canadian Registered Retirement Savings Plan.</w:t>
      </w:r>
    </w:p>
    <w:p>
      <w:pPr>
        <w:ind w:left="800" w:hanging="454"/>
        <w:spacing w:after="0"/>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amounts shown in the “Dividends” column in the table above reflect dividends paid during 2014 on unvested restricted stock awards.</w:t>
      </w:r>
    </w:p>
    <w:p>
      <w:pPr>
        <w:spacing w:after="0" w:line="18" w:lineRule="exact"/>
        <w:rPr>
          <w:rFonts w:ascii="Arial" w:cs="Arial" w:eastAsia="Arial" w:hAnsi="Arial"/>
          <w:sz w:val="16"/>
          <w:szCs w:val="16"/>
          <w:color w:val="auto"/>
        </w:rPr>
      </w:pPr>
    </w:p>
    <w:p>
      <w:pPr>
        <w:ind w:left="800" w:right="20" w:hanging="454"/>
        <w:spacing w:after="0" w:line="264"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amounts shown in the “Other” column in the table above for Mr. Dodson for 2016 include $1,200 in imputed income attributable to term life insurance benefits and $70,011 in Canadian taxes paid by Civeo in relation to his Dual Employment contract. The amounts in the “Other” column for Mr. Steininger for 2016 include $25,517 in Canadian taxes paid by Civeo on his behalf in relation to his Dual Employment contract and $963 in imputed income attributable to term life insurance benefits. The amount in “Other” for Mr. McCann is attributable to his Free Cash Flow program payment. The amount in “Other” for Mr. Schoening is attributable to his Free Cash Flow program payment. The amounts in “Other” compensation for Mr. Ridley include payments for severance comprised of one times his annual base salary of $339,795, payment of annualized full target AICP of $169,898, $139,105 for long-term incentive awards that vested during the severance notice period, $8,495 for payment toward his non-qualified retirement plan and $16,657 in pay in lieu of accrued but unused vacation as per his Executive Agreement. Also included for Mr. Ridley was $396 for BC Family Medical insurance premiums and a payment of $1,374 as part of the 2015 Free Cash Flow program. The Free Cash Flow payments were made pursuant to the Free Cash Flow program described under “Compensation Program Components—Free Cash Flow Program.”</w:t>
      </w:r>
    </w:p>
    <w:p>
      <w:pPr>
        <w:spacing w:after="0" w:line="1" w:lineRule="exact"/>
        <w:rPr>
          <w:rFonts w:ascii="Arial" w:cs="Arial" w:eastAsia="Arial" w:hAnsi="Arial"/>
          <w:sz w:val="16"/>
          <w:szCs w:val="16"/>
          <w:color w:val="auto"/>
        </w:rPr>
      </w:pPr>
    </w:p>
    <w:p>
      <w:pPr>
        <w:ind w:left="340" w:right="840" w:hanging="332"/>
        <w:spacing w:after="0" w:line="288"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Ridley was awarded a one-time bonus of $94,575, subject to completion of Civeo’s audited consolidated financial statements as of and for the year ended December 31, 2015. The bonus payment was made in February 2016.</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Messrs. Dodson, Steininger, and McCann are parties to Executive Agreements, none of which are considered a long-term employment agreement. For a description of these agreements, see “Compensation Discussion and Analysis—Executive and Change of Control Agreements.” The compensation amounts described in the preceding table were determined as described under “Compensation Discussion and Analysis—Compensation Program Components.” The material terms of the awards reported in the Grants of Plan Based Awards Table below are described in the “Compensation Discussion and Analysis— Compensation Program Components—Short-Term Incentive Plan” and “—Long-Term Incentive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2016</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following table provides information about equity and non-equity awards granted to our named executive officers in 2016. The table includes the following: (1) the grant date for each award; (2) the estimated future payouts under the non-equity incentive plan, which is discussed in “Compensation Discussion and Analysis—Compensation Program Components—Short-Term Incentive Plan”; (3) the number of performance shares, restricted shares and phantom share awards pursuant the EPP; and (4) the fair value of each equity award computed in accordance with FASB ASC Topic 718—Stock Compensation as of the grant date for such award.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8"/>
            <w:vMerge w:val="restart"/>
          </w:tcPr>
          <w:p>
            <w:pPr>
              <w:jc w:val="center"/>
              <w:ind w:right="460"/>
              <w:spacing w:after="0"/>
              <w:rPr>
                <w:sz w:val="20"/>
                <w:szCs w:val="20"/>
                <w:color w:val="auto"/>
              </w:rPr>
            </w:pPr>
            <w:r>
              <w:rPr>
                <w:rFonts w:ascii="Arial" w:cs="Arial" w:eastAsia="Arial" w:hAnsi="Arial"/>
                <w:sz w:val="14"/>
                <w:szCs w:val="14"/>
                <w:b w:val="1"/>
                <w:bCs w:val="1"/>
                <w:color w:val="auto"/>
                <w:w w:val="93"/>
              </w:rPr>
              <w:t>Estimated Future Payouts Under</w:t>
            </w:r>
          </w:p>
        </w:tc>
        <w:tc>
          <w:tcPr>
            <w:tcW w:w="9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8"/>
            <w:vMerge w:val="continue"/>
          </w:tcPr>
          <w:p>
            <w:pPr>
              <w:spacing w:after="0"/>
              <w:rPr>
                <w:sz w:val="12"/>
                <w:szCs w:val="12"/>
                <w:color w:val="auto"/>
              </w:rPr>
            </w:pPr>
          </w:p>
        </w:tc>
        <w:tc>
          <w:tcPr>
            <w:tcW w:w="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4"/>
              </w:rPr>
              <w:t>Shares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Target</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487"/>
              <w:spacing w:after="0"/>
              <w:rPr>
                <w:sz w:val="20"/>
                <w:szCs w:val="20"/>
                <w:color w:val="auto"/>
              </w:rPr>
            </w:pPr>
            <w:r>
              <w:rPr>
                <w:rFonts w:ascii="Arial" w:cs="Arial" w:eastAsia="Arial" w:hAnsi="Arial"/>
                <w:sz w:val="14"/>
                <w:szCs w:val="14"/>
                <w:b w:val="1"/>
                <w:bCs w:val="1"/>
                <w:color w:val="auto"/>
              </w:rPr>
              <w:t>Grant Date</w:t>
            </w: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AICP</w:t>
            </w:r>
          </w:p>
        </w:tc>
        <w:tc>
          <w:tcPr>
            <w:tcW w:w="2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0</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517,500</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1,035,000</w:t>
            </w: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277,778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277,778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555,556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1,766,668</w:t>
            </w:r>
          </w:p>
        </w:tc>
        <w:tc>
          <w:tcPr>
            <w:tcW w:w="0" w:type="dxa"/>
            <w:vAlign w:val="bottom"/>
          </w:tcPr>
          <w:p>
            <w:pPr>
              <w:spacing w:after="0"/>
              <w:rPr>
                <w:sz w:val="1"/>
                <w:szCs w:val="1"/>
                <w:color w:val="auto"/>
              </w:rPr>
            </w:pPr>
          </w:p>
        </w:tc>
      </w:tr>
      <w:tr>
        <w:trPr>
          <w:trHeight w:val="310"/>
        </w:trPr>
        <w:tc>
          <w:tcPr>
            <w:tcW w:w="366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AICP</w:t>
            </w:r>
          </w:p>
        </w:tc>
        <w:tc>
          <w:tcPr>
            <w:tcW w:w="156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240,000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480,000</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194,444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194,445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388,889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1,236,667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r>
              <w:rPr>
                <w:rFonts w:ascii="Arial" w:cs="Arial" w:eastAsia="Arial" w:hAnsi="Arial"/>
                <w:sz w:val="15"/>
                <w:szCs w:val="15"/>
                <w:color w:val="auto"/>
              </w:rPr>
              <w:t>(4)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AICP</w:t>
            </w:r>
          </w:p>
        </w:tc>
        <w:tc>
          <w:tcPr>
            <w:tcW w:w="156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203,085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406,170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231,934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231,933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737,547</w:t>
            </w:r>
          </w:p>
        </w:tc>
        <w:tc>
          <w:tcPr>
            <w:tcW w:w="0" w:type="dxa"/>
            <w:vAlign w:val="bottom"/>
          </w:tcPr>
          <w:p>
            <w:pPr>
              <w:spacing w:after="0"/>
              <w:rPr>
                <w:sz w:val="1"/>
                <w:szCs w:val="1"/>
                <w:color w:val="auto"/>
              </w:rPr>
            </w:pPr>
          </w:p>
        </w:tc>
      </w:tr>
      <w:tr>
        <w:trPr>
          <w:trHeight w:val="310"/>
        </w:trPr>
        <w:tc>
          <w:tcPr>
            <w:tcW w:w="3660" w:type="dxa"/>
            <w:vAlign w:val="bottom"/>
            <w:gridSpan w:val="3"/>
          </w:tcPr>
          <w:p>
            <w:pPr>
              <w:spacing w:after="0"/>
              <w:rPr>
                <w:sz w:val="20"/>
                <w:szCs w:val="20"/>
                <w:color w:val="auto"/>
              </w:rPr>
            </w:pPr>
            <w:r>
              <w:rPr>
                <w:rFonts w:ascii="Arial" w:cs="Arial" w:eastAsia="Arial" w:hAnsi="Arial"/>
                <w:sz w:val="18"/>
                <w:szCs w:val="18"/>
                <w:color w:val="auto"/>
              </w:rPr>
              <w:t>Allan D. Schoening</w:t>
            </w:r>
            <w:r>
              <w:rPr>
                <w:rFonts w:ascii="Arial" w:cs="Arial" w:eastAsia="Arial" w:hAnsi="Arial"/>
                <w:sz w:val="15"/>
                <w:szCs w:val="15"/>
                <w:color w:val="auto"/>
              </w:rPr>
              <w:t>(5)</w:t>
            </w:r>
          </w:p>
        </w:tc>
        <w:tc>
          <w:tcPr>
            <w:tcW w:w="2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AICP</w:t>
            </w:r>
          </w:p>
        </w:tc>
        <w:tc>
          <w:tcPr>
            <w:tcW w:w="156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122,704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245,408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208,334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208,333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662,499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Ridley</w:t>
            </w:r>
            <w:r>
              <w:rPr>
                <w:rFonts w:ascii="Arial" w:cs="Arial" w:eastAsia="Arial" w:hAnsi="Arial"/>
                <w:sz w:val="15"/>
                <w:szCs w:val="15"/>
                <w:color w:val="auto"/>
              </w:rPr>
              <w:t>(6)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AICP</w:t>
            </w:r>
          </w:p>
        </w:tc>
        <w:tc>
          <w:tcPr>
            <w:tcW w:w="156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169,898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339,796</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269,500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8"/>
              </w:rPr>
              <w:t>2014 Plan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2/23/2016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269,500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the columns “Target” and “Maximum” reflect the target and overachievement levels of bonus payable under the AICP (see discussion in “Compensation Discussion and Analysis—Compensation Program Components—Short-Term Incentive Plan”), which is based on an executive’s base salary paid during the year multiplied by the executive’s applicable bonus percentage for that level. The base salary used in this table is the base salary in effect as of December 31, 2016;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tables summarizes the types of awards included in the amounts shown in “All Other Stock Awards” column: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5"/>
              </w:rPr>
              <w:t>Type of Award</w:t>
            </w:r>
          </w:p>
        </w:tc>
        <w:tc>
          <w:tcPr>
            <w:tcW w:w="1780" w:type="dxa"/>
            <w:vAlign w:val="bottom"/>
            <w:vMerge w:val="restart"/>
          </w:tcPr>
          <w:p>
            <w:pPr>
              <w:spacing w:after="0"/>
              <w:rPr>
                <w:sz w:val="14"/>
                <w:szCs w:val="14"/>
                <w:color w:val="auto"/>
              </w:rPr>
            </w:pPr>
          </w:p>
        </w:tc>
        <w:tc>
          <w:tcPr>
            <w:tcW w:w="35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Vesting Details</w:t>
            </w:r>
          </w:p>
        </w:tc>
        <w:tc>
          <w:tcPr>
            <w:tcW w:w="100" w:type="dxa"/>
            <w:vAlign w:val="bottom"/>
            <w:vMerge w:val="restart"/>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Bradley J.</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Frank C.</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Peter L.</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Allan D.</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Michael L.</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CCEEFF"/>
            </w:tcBorders>
            <w:vMerge w:val="continue"/>
          </w:tcPr>
          <w:p>
            <w:pPr>
              <w:spacing w:after="0"/>
              <w:rPr>
                <w:sz w:val="14"/>
                <w:szCs w:val="14"/>
                <w:color w:val="auto"/>
              </w:rPr>
            </w:pPr>
          </w:p>
        </w:tc>
        <w:tc>
          <w:tcPr>
            <w:tcW w:w="3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Dodson</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Steininger</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McCann</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Schoening</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Ridley</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Restricted Stock Units</w:t>
            </w:r>
          </w:p>
        </w:tc>
        <w:tc>
          <w:tcPr>
            <w:tcW w:w="3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Vest annually at a rate of one-third per year on</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86"/>
              </w:rPr>
              <w:t>277,778</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194,444</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420"/>
              <w:spacing w:after="0" w:line="19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ind w:left="460"/>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each of the first three anniversaries of the grant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Phantom Share Awards</w:t>
            </w: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w w:val="98"/>
              </w:rPr>
              <w:t>Vest annually at a rate of one-third per year on</w:t>
            </w:r>
          </w:p>
        </w:tc>
        <w:tc>
          <w:tcPr>
            <w:tcW w:w="8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277,778</w:t>
            </w:r>
          </w:p>
        </w:tc>
        <w:tc>
          <w:tcPr>
            <w:tcW w:w="8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194,445</w:t>
            </w:r>
          </w:p>
        </w:tc>
        <w:tc>
          <w:tcPr>
            <w:tcW w:w="84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208,334</w:t>
            </w:r>
          </w:p>
        </w:tc>
        <w:tc>
          <w:tcPr>
            <w:tcW w:w="140" w:type="dxa"/>
            <w:vAlign w:val="bottom"/>
          </w:tcPr>
          <w:p>
            <w:pPr>
              <w:spacing w:after="0"/>
              <w:rPr>
                <w:sz w:val="17"/>
                <w:szCs w:val="17"/>
                <w:color w:val="auto"/>
              </w:rPr>
            </w:pPr>
          </w:p>
        </w:tc>
        <w:tc>
          <w:tcPr>
            <w:tcW w:w="8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8"/>
              </w:rPr>
              <w:t>269,500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6"/>
              </w:rPr>
              <w:t>each of the first three anniversaries of the grant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date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Share Awards</w:t>
            </w: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Vest on the third anniversary of the grant date,</w:t>
            </w:r>
          </w:p>
        </w:tc>
        <w:tc>
          <w:tcPr>
            <w:tcW w:w="8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555,556</w:t>
            </w:r>
          </w:p>
        </w:tc>
        <w:tc>
          <w:tcPr>
            <w:tcW w:w="8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388,889</w:t>
            </w:r>
          </w:p>
        </w:tc>
        <w:tc>
          <w:tcPr>
            <w:tcW w:w="8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231,933</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208,333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269,500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subject to the achievement of performance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metrics</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rPr>
              <w:t>Deferred Share Awards</w:t>
            </w: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w w:val="98"/>
              </w:rPr>
              <w:t>Vest annually at a rate of one-third per year on</w:t>
            </w:r>
          </w:p>
        </w:tc>
        <w:tc>
          <w:tcPr>
            <w:tcW w:w="8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231,934</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6"/>
              </w:rPr>
              <w:t>each of the first three anniversaries of the grant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date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84"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column shows the full grant date fair value of performance share awards, restricted share awards, phantom share awards and deferred share awards computed under FASB ASC Topic 718—Stock Compensation and granted to the named executive officers during 2015. Generally, the full grant date fair value is the amount that Civeo would expense in its financial statements over the vesting schedule of the awards. For purposes of the performance share awards, shareholder approval to grant these awards was obtained on May 12, 2016. Accordingly, the fair value of the awards of $3.18 was calculated as of May 12, 2016 using a Monte Carlo simulation pricing model. See Note 15 to Civeo’s consolidated financial statements included in its Annual Report on Form 10-K for the year ended December 31, 2016 for additional detail regarding assumptions underlying the value of these awards.</w:t>
      </w:r>
    </w:p>
    <w:p>
      <w:pPr>
        <w:spacing w:after="0" w:line="4"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McCann’s AICP award amounts were made in Australian dollars and are reflected in this table in U.S. dollars using an average exchange rate for 2016 of $0.7439 U.S. dollar per Australian dollar.</w:t>
      </w:r>
    </w:p>
    <w:p>
      <w:pPr>
        <w:ind w:left="460" w:right="1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Schoening’s AICP award amounts were made in Canadian dollars and are reflected in this table in U.S. dollars using an average exchange rate for 2016 of $0.7551.</w:t>
      </w:r>
    </w:p>
    <w:p>
      <w:pPr>
        <w:ind w:left="46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Ridley’s AICP award amounts were made in Canadian dollars and are reflected in this table in U.S. dollars using an average exchange rate for 2016 of $0.7551 U.S. dollar per Canadian dollar.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2016 FISCAL YEAR END</w:t>
      </w:r>
    </w:p>
    <w:p>
      <w:pPr>
        <w:spacing w:after="0" w:line="22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2016. This table includes unexercised and unvested option awards and unvested share awards. Each equity grant is shown separately for each named executive officer. The vesting schedule for each grant is shown following this table, based on the option or share award grant date or other factors, as discussed. Accelerated vesting provisions applicable to the outstanding awards are described below under “—Potential Payments upon Termination or Change in Control.” The market value of the share awards is based on the closing market price of Civeo’s common shares as of December 30, 2016, which was $2.20.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6"/>
          </w:tcPr>
          <w:p>
            <w:pPr>
              <w:ind w:left="460"/>
              <w:spacing w:after="0"/>
              <w:rPr>
                <w:sz w:val="20"/>
                <w:szCs w:val="20"/>
                <w:color w:val="auto"/>
              </w:rPr>
            </w:pPr>
            <w:r>
              <w:rPr>
                <w:rFonts w:ascii="Arial" w:cs="Arial" w:eastAsia="Arial" w:hAnsi="Arial"/>
                <w:sz w:val="14"/>
                <w:szCs w:val="14"/>
                <w:b w:val="1"/>
                <w:bCs w:val="1"/>
                <w:color w:val="auto"/>
              </w:rPr>
              <w:t>Share Awards</w:t>
            </w:r>
          </w:p>
        </w:tc>
        <w:tc>
          <w:tcPr>
            <w:tcW w:w="2120" w:type="dxa"/>
            <w:vAlign w:val="bottom"/>
            <w:gridSpan w:val="6"/>
          </w:tcPr>
          <w:p>
            <w:pPr>
              <w:ind w:left="280"/>
              <w:spacing w:after="0"/>
              <w:rPr>
                <w:sz w:val="20"/>
                <w:szCs w:val="20"/>
                <w:color w:val="auto"/>
              </w:rPr>
            </w:pPr>
            <w:r>
              <w:rPr>
                <w:rFonts w:ascii="Arial" w:cs="Arial" w:eastAsia="Arial" w:hAnsi="Arial"/>
                <w:sz w:val="14"/>
                <w:szCs w:val="14"/>
                <w:b w:val="1"/>
                <w:bCs w:val="1"/>
                <w:color w:val="auto"/>
              </w:rPr>
              <w:t>Performance Awards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center"/>
              <w:ind w:right="191"/>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2"/>
              <w:spacing w:after="0" w:line="11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center"/>
              <w:ind w:right="291"/>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5"/>
              <w:spacing w:after="0" w:line="119" w:lineRule="exact"/>
              <w:rPr>
                <w:sz w:val="20"/>
                <w:szCs w:val="20"/>
                <w:color w:val="auto"/>
              </w:rPr>
            </w:pPr>
            <w:r>
              <w:rPr>
                <w:rFonts w:ascii="Arial" w:cs="Arial" w:eastAsia="Arial" w:hAnsi="Arial"/>
                <w:sz w:val="13"/>
                <w:szCs w:val="13"/>
                <w:b w:val="1"/>
                <w:bCs w:val="1"/>
                <w:color w:val="auto"/>
              </w:rPr>
              <w:t>Market</w:t>
            </w: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Value of</w:t>
            </w:r>
          </w:p>
        </w:tc>
        <w:tc>
          <w:tcPr>
            <w:tcW w:w="1160" w:type="dxa"/>
            <w:vAlign w:val="bottom"/>
            <w:gridSpan w:val="2"/>
            <w:vMerge w:val="restart"/>
          </w:tcPr>
          <w:p>
            <w:pPr>
              <w:jc w:val="center"/>
              <w:ind w:right="351"/>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331"/>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191"/>
              <w:spacing w:after="0" w:line="149" w:lineRule="exact"/>
              <w:rPr>
                <w:sz w:val="20"/>
                <w:szCs w:val="20"/>
                <w:color w:val="auto"/>
              </w:rPr>
            </w:pPr>
            <w:r>
              <w:rPr>
                <w:rFonts w:ascii="Arial" w:cs="Arial" w:eastAsia="Arial" w:hAnsi="Arial"/>
                <w:sz w:val="14"/>
                <w:szCs w:val="14"/>
                <w:b w:val="1"/>
                <w:bCs w:val="1"/>
                <w:color w:val="auto"/>
                <w:w w:val="89"/>
              </w:rPr>
              <w:t>Shares or</w:t>
            </w:r>
          </w:p>
        </w:tc>
        <w:tc>
          <w:tcPr>
            <w:tcW w:w="1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20" w:type="dxa"/>
            <w:vAlign w:val="bottom"/>
            <w:gridSpan w:val="2"/>
          </w:tcPr>
          <w:p>
            <w:pPr>
              <w:jc w:val="center"/>
              <w:ind w:right="291"/>
              <w:spacing w:after="0" w:line="149" w:lineRule="exact"/>
              <w:rPr>
                <w:sz w:val="20"/>
                <w:szCs w:val="20"/>
                <w:color w:val="auto"/>
              </w:rPr>
            </w:pPr>
            <w:r>
              <w:rPr>
                <w:rFonts w:ascii="Arial" w:cs="Arial" w:eastAsia="Arial" w:hAnsi="Arial"/>
                <w:sz w:val="14"/>
                <w:szCs w:val="14"/>
                <w:b w:val="1"/>
                <w:bCs w:val="1"/>
                <w:color w:val="auto"/>
                <w:w w:val="89"/>
              </w:rPr>
              <w:t>Shares or</w:t>
            </w: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211"/>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102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2"/>
              </w:rPr>
              <w:t>Units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Units of</w:t>
            </w:r>
          </w:p>
        </w:tc>
        <w:tc>
          <w:tcPr>
            <w:tcW w:w="1160" w:type="dxa"/>
            <w:vAlign w:val="bottom"/>
            <w:gridSpan w:val="2"/>
          </w:tcPr>
          <w:p>
            <w:pPr>
              <w:jc w:val="center"/>
              <w:ind w:right="331"/>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331"/>
              <w:spacing w:after="0" w:line="149" w:lineRule="exact"/>
              <w:rPr>
                <w:sz w:val="20"/>
                <w:szCs w:val="20"/>
                <w:color w:val="auto"/>
              </w:rPr>
            </w:pPr>
            <w:r>
              <w:rPr>
                <w:rFonts w:ascii="Arial" w:cs="Arial" w:eastAsia="Arial" w:hAnsi="Arial"/>
                <w:sz w:val="14"/>
                <w:szCs w:val="14"/>
                <w:b w:val="1"/>
                <w:bCs w:val="1"/>
                <w:color w:val="auto"/>
                <w:w w:val="86"/>
              </w:rPr>
              <w:t>Securities</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211"/>
              <w:spacing w:after="0" w:line="149" w:lineRule="exact"/>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 that</w:t>
            </w:r>
          </w:p>
        </w:tc>
        <w:tc>
          <w:tcPr>
            <w:tcW w:w="1020" w:type="dxa"/>
            <w:vAlign w:val="bottom"/>
            <w:gridSpan w:val="2"/>
          </w:tcPr>
          <w:p>
            <w:pPr>
              <w:jc w:val="center"/>
              <w:ind w:right="291"/>
              <w:spacing w:after="0" w:line="149" w:lineRule="exact"/>
              <w:rPr>
                <w:sz w:val="20"/>
                <w:szCs w:val="20"/>
                <w:color w:val="auto"/>
              </w:rPr>
            </w:pPr>
            <w:r>
              <w:rPr>
                <w:rFonts w:ascii="Arial" w:cs="Arial" w:eastAsia="Arial" w:hAnsi="Arial"/>
                <w:sz w:val="14"/>
                <w:szCs w:val="14"/>
                <w:b w:val="1"/>
                <w:bCs w:val="1"/>
                <w:color w:val="auto"/>
                <w:w w:val="91"/>
              </w:rPr>
              <w:t>Stock that</w:t>
            </w: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1160" w:type="dxa"/>
            <w:vAlign w:val="bottom"/>
            <w:gridSpan w:val="2"/>
          </w:tcPr>
          <w:p>
            <w:pPr>
              <w:jc w:val="center"/>
              <w:ind w:right="351"/>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331"/>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3"/>
            <w:vMerge w:val="continue"/>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191"/>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020" w:type="dxa"/>
            <w:vAlign w:val="bottom"/>
            <w:gridSpan w:val="2"/>
          </w:tcPr>
          <w:p>
            <w:pPr>
              <w:jc w:val="center"/>
              <w:ind w:right="291"/>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1160" w:type="dxa"/>
            <w:vAlign w:val="bottom"/>
            <w:gridSpan w:val="2"/>
          </w:tcPr>
          <w:p>
            <w:pPr>
              <w:jc w:val="center"/>
              <w:ind w:right="351"/>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331"/>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960" w:type="dxa"/>
            <w:vAlign w:val="bottom"/>
            <w:gridSpan w:val="2"/>
          </w:tcPr>
          <w:p>
            <w:pPr>
              <w:jc w:val="center"/>
              <w:ind w:right="211"/>
              <w:spacing w:after="0" w:line="149" w:lineRule="exact"/>
              <w:rPr>
                <w:sz w:val="20"/>
                <w:szCs w:val="20"/>
                <w:color w:val="auto"/>
              </w:rPr>
            </w:pPr>
            <w:r>
              <w:rPr>
                <w:rFonts w:ascii="Arial" w:cs="Arial" w:eastAsia="Arial" w:hAnsi="Arial"/>
                <w:sz w:val="14"/>
                <w:szCs w:val="14"/>
                <w:b w:val="1"/>
                <w:bCs w:val="1"/>
                <w:color w:val="auto"/>
                <w:w w:val="87"/>
              </w:rPr>
              <w:t>Vested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351"/>
              <w:spacing w:after="0" w:line="149" w:lineRule="exact"/>
              <w:rPr>
                <w:sz w:val="20"/>
                <w:szCs w:val="20"/>
                <w:color w:val="auto"/>
              </w:rPr>
            </w:pPr>
            <w:r>
              <w:rPr>
                <w:rFonts w:ascii="Arial" w:cs="Arial" w:eastAsia="Arial" w:hAnsi="Arial"/>
                <w:sz w:val="14"/>
                <w:szCs w:val="14"/>
                <w:b w:val="1"/>
                <w:bCs w:val="1"/>
                <w:color w:val="auto"/>
                <w:w w:val="94"/>
              </w:rPr>
              <w:t>Options (#)</w:t>
            </w:r>
          </w:p>
        </w:tc>
        <w:tc>
          <w:tcPr>
            <w:tcW w:w="1260" w:type="dxa"/>
            <w:vAlign w:val="bottom"/>
            <w:gridSpan w:val="2"/>
          </w:tcPr>
          <w:p>
            <w:pPr>
              <w:jc w:val="center"/>
              <w:ind w:right="331"/>
              <w:spacing w:after="0" w:line="149"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60" w:type="dxa"/>
            <w:vAlign w:val="bottom"/>
            <w:gridSpan w:val="2"/>
          </w:tcPr>
          <w:p>
            <w:pPr>
              <w:jc w:val="center"/>
              <w:ind w:right="351"/>
              <w:spacing w:after="0"/>
              <w:rPr>
                <w:sz w:val="20"/>
                <w:szCs w:val="20"/>
                <w:color w:val="auto"/>
              </w:rPr>
            </w:pPr>
            <w:r>
              <w:rPr>
                <w:rFonts w:ascii="Arial" w:cs="Arial" w:eastAsia="Arial" w:hAnsi="Arial"/>
                <w:sz w:val="14"/>
                <w:szCs w:val="14"/>
                <w:b w:val="1"/>
                <w:bCs w:val="1"/>
                <w:color w:val="auto"/>
                <w:w w:val="89"/>
              </w:rPr>
              <w:t>Exercisable</w:t>
            </w:r>
          </w:p>
        </w:tc>
        <w:tc>
          <w:tcPr>
            <w:tcW w:w="1260" w:type="dxa"/>
            <w:vAlign w:val="bottom"/>
            <w:gridSpan w:val="2"/>
          </w:tcPr>
          <w:p>
            <w:pPr>
              <w:jc w:val="center"/>
              <w:ind w:right="331"/>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3"/>
        </w:trPr>
        <w:tc>
          <w:tcPr>
            <w:tcW w:w="1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93"/>
              </w:rPr>
              <w:t>Bradley J. Dodson</w:t>
            </w:r>
          </w:p>
        </w:tc>
        <w:tc>
          <w:tcPr>
            <w:tcW w:w="2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6,314</w:t>
            </w:r>
          </w:p>
        </w:tc>
        <w:tc>
          <w:tcPr>
            <w:tcW w:w="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13,891</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555,556</w:t>
            </w:r>
          </w:p>
        </w:tc>
        <w:tc>
          <w:tcPr>
            <w:tcW w:w="340" w:type="dxa"/>
            <w:vAlign w:val="bottom"/>
            <w:tcBorders>
              <w:top w:val="single" w:sz="8" w:color="CCEEFF"/>
            </w:tcBorders>
            <w:shd w:val="clear" w:color="auto" w:fill="CCEEFF"/>
          </w:tcPr>
          <w:p>
            <w:pPr>
              <w:jc w:val="right"/>
              <w:ind w:right="51"/>
              <w:spacing w:after="0" w:line="155" w:lineRule="exact"/>
              <w:rPr>
                <w:sz w:val="20"/>
                <w:szCs w:val="20"/>
                <w:color w:val="auto"/>
              </w:rPr>
            </w:pPr>
            <w:r>
              <w:rPr>
                <w:rFonts w:ascii="Arial" w:cs="Arial" w:eastAsia="Arial" w:hAnsi="Arial"/>
                <w:sz w:val="14"/>
                <w:szCs w:val="14"/>
                <w:color w:val="auto"/>
                <w:w w:val="80"/>
              </w:rPr>
              <w:t>(17)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1,222,223</w:t>
            </w:r>
          </w:p>
        </w:tc>
        <w:tc>
          <w:tcPr>
            <w:tcW w:w="2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13,777</w:t>
            </w:r>
          </w:p>
        </w:tc>
        <w:tc>
          <w:tcPr>
            <w:tcW w:w="400" w:type="dxa"/>
            <w:vAlign w:val="bottom"/>
            <w:tcBorders>
              <w:top w:val="single" w:sz="8" w:color="CCEEFF"/>
            </w:tcBorders>
            <w:shd w:val="clear" w:color="auto" w:fill="CCEEFF"/>
          </w:tcPr>
          <w:p>
            <w:pPr>
              <w:jc w:val="right"/>
              <w:ind w:right="171"/>
              <w:spacing w:after="0" w:line="155" w:lineRule="exact"/>
              <w:rPr>
                <w:sz w:val="20"/>
                <w:szCs w:val="20"/>
                <w:color w:val="auto"/>
              </w:rPr>
            </w:pPr>
            <w:r>
              <w:rPr>
                <w:rFonts w:ascii="Arial" w:cs="Arial" w:eastAsia="Arial" w:hAnsi="Arial"/>
                <w:sz w:val="14"/>
                <w:szCs w:val="14"/>
                <w:color w:val="auto"/>
                <w:w w:val="81"/>
              </w:rPr>
              <w:t>(1)</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w:t>
            </w:r>
          </w:p>
        </w:tc>
        <w:tc>
          <w:tcPr>
            <w:tcW w:w="400" w:type="dxa"/>
            <w:vAlign w:val="bottom"/>
            <w:tcBorders>
              <w:top w:val="single" w:sz="8" w:color="CCEEFF"/>
            </w:tcBorders>
            <w:shd w:val="clear" w:color="auto" w:fill="CCEEFF"/>
          </w:tcPr>
          <w:p>
            <w:pPr>
              <w:jc w:val="right"/>
              <w:ind w:right="171"/>
              <w:spacing w:after="0" w:line="155" w:lineRule="exact"/>
              <w:rPr>
                <w:sz w:val="20"/>
                <w:szCs w:val="20"/>
                <w:color w:val="auto"/>
              </w:rPr>
            </w:pPr>
            <w:r>
              <w:rPr>
                <w:rFonts w:ascii="Arial" w:cs="Arial" w:eastAsia="Arial" w:hAnsi="Arial"/>
                <w:sz w:val="14"/>
                <w:szCs w:val="14"/>
                <w:color w:val="auto"/>
                <w:w w:val="81"/>
              </w:rPr>
              <w:t>(1)</w:t>
            </w: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w w:val="89"/>
              </w:rPr>
              <w:t>16.43</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5"/>
              </w:rPr>
              <w:t>2/17/2021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12,629</w:t>
            </w:r>
            <w:r>
              <w:rPr>
                <w:rFonts w:ascii="Arial" w:cs="Arial" w:eastAsia="Arial" w:hAnsi="Arial"/>
                <w:sz w:val="23"/>
                <w:szCs w:val="23"/>
                <w:color w:val="auto"/>
                <w:vertAlign w:val="superscript"/>
              </w:rPr>
              <w:t>(6)</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71"/>
              <w:spacing w:after="0" w:line="202" w:lineRule="exact"/>
              <w:rPr>
                <w:sz w:val="20"/>
                <w:szCs w:val="20"/>
                <w:color w:val="auto"/>
              </w:rPr>
            </w:pPr>
            <w:r>
              <w:rPr>
                <w:rFonts w:ascii="Arial" w:cs="Arial" w:eastAsia="Arial" w:hAnsi="Arial"/>
                <w:sz w:val="14"/>
                <w:szCs w:val="14"/>
                <w:color w:val="auto"/>
              </w:rPr>
              <w:t>22,961</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right"/>
              <w:ind w:right="171"/>
              <w:spacing w:after="0"/>
              <w:rPr>
                <w:sz w:val="20"/>
                <w:szCs w:val="20"/>
                <w:color w:val="auto"/>
              </w:rPr>
            </w:pPr>
            <w:r>
              <w:rPr>
                <w:rFonts w:ascii="Arial" w:cs="Arial" w:eastAsia="Arial" w:hAnsi="Arial"/>
                <w:sz w:val="16"/>
                <w:szCs w:val="16"/>
                <w:color w:val="auto"/>
              </w:rPr>
              <w:t>0</w:t>
            </w:r>
            <w:r>
              <w:rPr>
                <w:rFonts w:ascii="Arial" w:cs="Arial" w:eastAsia="Arial" w:hAnsi="Arial"/>
                <w:sz w:val="13"/>
                <w:szCs w:val="13"/>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18.43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2/16/2022</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13,154</w:t>
            </w:r>
            <w:r>
              <w:rPr>
                <w:rFonts w:ascii="Arial" w:cs="Arial" w:eastAsia="Arial" w:hAnsi="Arial"/>
                <w:sz w:val="23"/>
                <w:szCs w:val="23"/>
                <w:color w:val="auto"/>
                <w:vertAlign w:val="superscript"/>
              </w:rPr>
              <w:t>(7)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71"/>
              <w:spacing w:after="0" w:line="202" w:lineRule="exact"/>
              <w:rPr>
                <w:sz w:val="20"/>
                <w:szCs w:val="20"/>
                <w:color w:val="auto"/>
              </w:rPr>
            </w:pPr>
            <w:r>
              <w:rPr>
                <w:rFonts w:ascii="Arial" w:cs="Arial" w:eastAsia="Arial" w:hAnsi="Arial"/>
                <w:sz w:val="14"/>
                <w:szCs w:val="14"/>
                <w:color w:val="auto"/>
              </w:rPr>
              <w:t>13,777</w:t>
            </w:r>
            <w:r>
              <w:rPr>
                <w:rFonts w:ascii="Arial" w:cs="Arial" w:eastAsia="Arial" w:hAnsi="Arial"/>
                <w:sz w:val="23"/>
                <w:szCs w:val="23"/>
                <w:color w:val="auto"/>
                <w:vertAlign w:val="superscript"/>
              </w:rPr>
              <w:t>(3)</w:t>
            </w:r>
          </w:p>
        </w:tc>
        <w:tc>
          <w:tcPr>
            <w:tcW w:w="1260" w:type="dxa"/>
            <w:vAlign w:val="bottom"/>
            <w:gridSpan w:val="2"/>
            <w:shd w:val="clear" w:color="auto" w:fill="CCEEFF"/>
          </w:tcPr>
          <w:p>
            <w:pPr>
              <w:jc w:val="right"/>
              <w:ind w:right="171"/>
              <w:spacing w:after="0" w:line="202" w:lineRule="exact"/>
              <w:rPr>
                <w:sz w:val="20"/>
                <w:szCs w:val="20"/>
                <w:color w:val="auto"/>
              </w:rPr>
            </w:pPr>
            <w:r>
              <w:rPr>
                <w:rFonts w:ascii="Arial" w:cs="Arial" w:eastAsia="Arial" w:hAnsi="Arial"/>
                <w:sz w:val="14"/>
                <w:szCs w:val="14"/>
                <w:color w:val="auto"/>
              </w:rPr>
              <w:t>4,592</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17.48</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2/19/2023</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119,460</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$ 262,812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71"/>
              <w:spacing w:after="0" w:line="202" w:lineRule="exact"/>
              <w:rPr>
                <w:sz w:val="20"/>
                <w:szCs w:val="20"/>
                <w:color w:val="auto"/>
              </w:rPr>
            </w:pPr>
            <w:r>
              <w:rPr>
                <w:rFonts w:ascii="Arial" w:cs="Arial" w:eastAsia="Arial" w:hAnsi="Arial"/>
                <w:sz w:val="14"/>
                <w:szCs w:val="14"/>
                <w:color w:val="auto"/>
              </w:rPr>
              <w:t>9,185</w:t>
            </w:r>
            <w:r>
              <w:rPr>
                <w:rFonts w:ascii="Arial" w:cs="Arial" w:eastAsia="Arial" w:hAnsi="Arial"/>
                <w:sz w:val="23"/>
                <w:szCs w:val="23"/>
                <w:color w:val="auto"/>
                <w:vertAlign w:val="superscript"/>
              </w:rPr>
              <w:t>(5)</w:t>
            </w:r>
          </w:p>
        </w:tc>
        <w:tc>
          <w:tcPr>
            <w:tcW w:w="1260" w:type="dxa"/>
            <w:vAlign w:val="bottom"/>
            <w:gridSpan w:val="2"/>
            <w:shd w:val="clear" w:color="auto" w:fill="CCEEFF"/>
          </w:tcPr>
          <w:p>
            <w:pPr>
              <w:jc w:val="right"/>
              <w:ind w:right="171"/>
              <w:spacing w:after="0" w:line="202" w:lineRule="exact"/>
              <w:rPr>
                <w:sz w:val="20"/>
                <w:szCs w:val="20"/>
                <w:color w:val="auto"/>
              </w:rPr>
            </w:pPr>
            <w:r>
              <w:rPr>
                <w:rFonts w:ascii="Arial" w:cs="Arial" w:eastAsia="Arial" w:hAnsi="Arial"/>
                <w:sz w:val="14"/>
                <w:szCs w:val="14"/>
                <w:color w:val="auto"/>
              </w:rPr>
              <w:t>9,184</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21.87</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2/19/2024</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119,460</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$ 262,812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277,778</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$ 611,112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277,778</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$ 611,112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460" w:type="dxa"/>
            <w:vAlign w:val="bottom"/>
            <w:gridSpan w:val="2"/>
          </w:tcPr>
          <w:p>
            <w:pPr>
              <w:spacing w:after="0"/>
              <w:rPr>
                <w:sz w:val="20"/>
                <w:szCs w:val="20"/>
                <w:color w:val="auto"/>
              </w:rPr>
            </w:pPr>
            <w:r>
              <w:rPr>
                <w:rFonts w:ascii="Arial" w:cs="Arial" w:eastAsia="Arial" w:hAnsi="Arial"/>
                <w:sz w:val="16"/>
                <w:szCs w:val="16"/>
                <w:color w:val="auto"/>
              </w:rPr>
              <w:t>Frank C. Steininger</w:t>
            </w:r>
          </w:p>
        </w:tc>
        <w:tc>
          <w:tcPr>
            <w:tcW w:w="1000" w:type="dxa"/>
            <w:vAlign w:val="bottom"/>
            <w:gridSpan w:val="3"/>
          </w:tcPr>
          <w:p>
            <w:pPr>
              <w:jc w:val="right"/>
              <w:ind w:right="51"/>
              <w:spacing w:after="0" w:line="297" w:lineRule="exact"/>
              <w:rPr>
                <w:sz w:val="20"/>
                <w:szCs w:val="20"/>
                <w:color w:val="auto"/>
              </w:rPr>
            </w:pPr>
            <w:r>
              <w:rPr>
                <w:rFonts w:ascii="Arial" w:cs="Arial" w:eastAsia="Arial" w:hAnsi="Arial"/>
                <w:sz w:val="16"/>
                <w:szCs w:val="16"/>
                <w:color w:val="auto"/>
              </w:rPr>
              <w:t>17,347</w:t>
            </w:r>
            <w:r>
              <w:rPr>
                <w:rFonts w:ascii="Arial" w:cs="Arial" w:eastAsia="Arial" w:hAnsi="Arial"/>
                <w:sz w:val="27"/>
                <w:szCs w:val="27"/>
                <w:color w:val="auto"/>
                <w:vertAlign w:val="superscript"/>
              </w:rPr>
              <w:t>(7)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38,163</w:t>
            </w:r>
          </w:p>
        </w:tc>
        <w:tc>
          <w:tcPr>
            <w:tcW w:w="80" w:type="dxa"/>
            <w:vAlign w:val="bottom"/>
          </w:tcPr>
          <w:p>
            <w:pPr>
              <w:spacing w:after="0"/>
              <w:rPr>
                <w:sz w:val="24"/>
                <w:szCs w:val="24"/>
                <w:color w:val="auto"/>
              </w:rPr>
            </w:pPr>
          </w:p>
        </w:tc>
        <w:tc>
          <w:tcPr>
            <w:tcW w:w="1020" w:type="dxa"/>
            <w:vAlign w:val="bottom"/>
            <w:gridSpan w:val="2"/>
          </w:tcPr>
          <w:p>
            <w:pPr>
              <w:jc w:val="right"/>
              <w:ind w:right="51"/>
              <w:spacing w:after="0" w:line="297" w:lineRule="exact"/>
              <w:rPr>
                <w:sz w:val="20"/>
                <w:szCs w:val="20"/>
                <w:color w:val="auto"/>
              </w:rPr>
            </w:pPr>
            <w:r>
              <w:rPr>
                <w:rFonts w:ascii="Arial" w:cs="Arial" w:eastAsia="Arial" w:hAnsi="Arial"/>
                <w:sz w:val="16"/>
                <w:szCs w:val="16"/>
                <w:color w:val="auto"/>
                <w:w w:val="97"/>
              </w:rPr>
              <w:t>388,889</w:t>
            </w:r>
            <w:r>
              <w:rPr>
                <w:rFonts w:ascii="Arial" w:cs="Arial" w:eastAsia="Arial" w:hAnsi="Arial"/>
                <w:sz w:val="27"/>
                <w:szCs w:val="27"/>
                <w:color w:val="auto"/>
                <w:w w:val="97"/>
                <w:vertAlign w:val="superscript"/>
              </w:rPr>
              <w:t>(17)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855,556</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gridSpan w:val="3"/>
          </w:tcPr>
          <w:p>
            <w:pPr>
              <w:jc w:val="right"/>
              <w:ind w:right="51"/>
              <w:spacing w:after="0" w:line="202" w:lineRule="exact"/>
              <w:rPr>
                <w:sz w:val="20"/>
                <w:szCs w:val="20"/>
                <w:color w:val="auto"/>
              </w:rPr>
            </w:pPr>
            <w:r>
              <w:rPr>
                <w:rFonts w:ascii="Arial" w:cs="Arial" w:eastAsia="Arial" w:hAnsi="Arial"/>
                <w:sz w:val="14"/>
                <w:szCs w:val="14"/>
                <w:color w:val="auto"/>
              </w:rPr>
              <w:t>72,714</w:t>
            </w:r>
            <w:r>
              <w:rPr>
                <w:rFonts w:ascii="Arial" w:cs="Arial" w:eastAsia="Arial" w:hAnsi="Arial"/>
                <w:sz w:val="23"/>
                <w:szCs w:val="23"/>
                <w:color w:val="auto"/>
                <w:vertAlign w:val="superscript"/>
              </w:rPr>
              <w:t>(8)</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$ 159,971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gridSpan w:val="3"/>
          </w:tcPr>
          <w:p>
            <w:pPr>
              <w:jc w:val="right"/>
              <w:ind w:right="51"/>
              <w:spacing w:after="0" w:line="202" w:lineRule="exact"/>
              <w:rPr>
                <w:sz w:val="20"/>
                <w:szCs w:val="20"/>
                <w:color w:val="auto"/>
              </w:rPr>
            </w:pPr>
            <w:r>
              <w:rPr>
                <w:rFonts w:ascii="Arial" w:cs="Arial" w:eastAsia="Arial" w:hAnsi="Arial"/>
                <w:sz w:val="14"/>
                <w:szCs w:val="14"/>
                <w:color w:val="auto"/>
              </w:rPr>
              <w:t>72,714</w:t>
            </w:r>
            <w:r>
              <w:rPr>
                <w:rFonts w:ascii="Arial" w:cs="Arial" w:eastAsia="Arial" w:hAnsi="Arial"/>
                <w:sz w:val="23"/>
                <w:szCs w:val="23"/>
                <w:color w:val="auto"/>
                <w:vertAlign w:val="superscript"/>
              </w:rPr>
              <w:t>(9)</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$ 159,971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4"/>
                <w:szCs w:val="14"/>
                <w:color w:val="auto"/>
              </w:rPr>
              <w:t>194,444</w:t>
            </w:r>
            <w:r>
              <w:rPr>
                <w:rFonts w:ascii="Arial" w:cs="Arial" w:eastAsia="Arial" w:hAnsi="Arial"/>
                <w:sz w:val="23"/>
                <w:szCs w:val="23"/>
                <w:color w:val="auto"/>
                <w:vertAlign w:val="superscript"/>
              </w:rPr>
              <w:t>(15)</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$ 427,777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194,445</w:t>
            </w:r>
            <w:r>
              <w:rPr>
                <w:rFonts w:ascii="Arial" w:cs="Arial" w:eastAsia="Arial" w:hAnsi="Arial"/>
                <w:sz w:val="27"/>
                <w:szCs w:val="27"/>
                <w:color w:val="auto"/>
                <w:vertAlign w:val="superscript"/>
              </w:rPr>
              <w:t>(16)</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$ 427,779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4"/>
                <w:szCs w:val="14"/>
                <w:color w:val="auto"/>
              </w:rPr>
              <w:t>6,888</w:t>
            </w:r>
            <w:r>
              <w:rPr>
                <w:rFonts w:ascii="Arial" w:cs="Arial" w:eastAsia="Arial" w:hAnsi="Arial"/>
                <w:sz w:val="23"/>
                <w:szCs w:val="23"/>
                <w:color w:val="auto"/>
                <w:vertAlign w:val="superscript"/>
              </w:rPr>
              <w:t>(11)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231,933</w:t>
            </w:r>
            <w:r>
              <w:rPr>
                <w:rFonts w:ascii="Arial" w:cs="Arial" w:eastAsia="Arial" w:hAnsi="Arial"/>
                <w:sz w:val="23"/>
                <w:szCs w:val="23"/>
                <w:color w:val="auto"/>
                <w:vertAlign w:val="superscript"/>
              </w:rPr>
              <w:t>(17)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510,253</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16,073</w:t>
            </w:r>
            <w:r>
              <w:rPr>
                <w:rFonts w:ascii="Arial" w:cs="Arial" w:eastAsia="Arial" w:hAnsi="Arial"/>
                <w:sz w:val="23"/>
                <w:szCs w:val="23"/>
                <w:color w:val="auto"/>
                <w:vertAlign w:val="superscript"/>
              </w:rPr>
              <w:t>(6)</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51"/>
              <w:spacing w:after="0" w:line="190" w:lineRule="exact"/>
              <w:rPr>
                <w:sz w:val="20"/>
                <w:szCs w:val="20"/>
                <w:color w:val="auto"/>
              </w:rPr>
            </w:pPr>
            <w:r>
              <w:rPr>
                <w:rFonts w:ascii="Arial" w:cs="Arial" w:eastAsia="Arial" w:hAnsi="Arial"/>
                <w:sz w:val="13"/>
                <w:szCs w:val="13"/>
                <w:color w:val="auto"/>
              </w:rPr>
              <w:t>99,036</w:t>
            </w:r>
            <w:r>
              <w:rPr>
                <w:rFonts w:ascii="Arial" w:cs="Arial" w:eastAsia="Arial" w:hAnsi="Arial"/>
                <w:sz w:val="21"/>
                <w:szCs w:val="21"/>
                <w:color w:val="auto"/>
                <w:vertAlign w:val="superscript"/>
              </w:rPr>
              <w:t>(8)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$ 217,879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5"/>
                <w:szCs w:val="15"/>
                <w:color w:val="auto"/>
              </w:rPr>
              <w:t>231,934</w:t>
            </w:r>
            <w:r>
              <w:rPr>
                <w:rFonts w:ascii="Arial" w:cs="Arial" w:eastAsia="Arial" w:hAnsi="Arial"/>
                <w:sz w:val="25"/>
                <w:szCs w:val="25"/>
                <w:color w:val="auto"/>
                <w:vertAlign w:val="superscript"/>
              </w:rPr>
              <w:t>(14)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$ 510,255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460" w:type="dxa"/>
            <w:vAlign w:val="bottom"/>
            <w:gridSpan w:val="2"/>
          </w:tcPr>
          <w:p>
            <w:pPr>
              <w:spacing w:after="0"/>
              <w:rPr>
                <w:sz w:val="20"/>
                <w:szCs w:val="20"/>
                <w:color w:val="auto"/>
              </w:rPr>
            </w:pPr>
            <w:r>
              <w:rPr>
                <w:rFonts w:ascii="Arial" w:cs="Arial" w:eastAsia="Arial" w:hAnsi="Arial"/>
                <w:sz w:val="16"/>
                <w:szCs w:val="16"/>
                <w:color w:val="auto"/>
              </w:rPr>
              <w:t>Allan D. Schoening</w:t>
            </w:r>
          </w:p>
        </w:tc>
        <w:tc>
          <w:tcPr>
            <w:tcW w:w="1000" w:type="dxa"/>
            <w:vAlign w:val="bottom"/>
            <w:gridSpan w:val="3"/>
          </w:tcPr>
          <w:p>
            <w:pPr>
              <w:jc w:val="right"/>
              <w:spacing w:after="0" w:line="297" w:lineRule="exact"/>
              <w:rPr>
                <w:sz w:val="20"/>
                <w:szCs w:val="20"/>
                <w:color w:val="auto"/>
              </w:rPr>
            </w:pPr>
            <w:r>
              <w:rPr>
                <w:rFonts w:ascii="Arial" w:cs="Arial" w:eastAsia="Arial" w:hAnsi="Arial"/>
                <w:sz w:val="16"/>
                <w:szCs w:val="16"/>
                <w:color w:val="auto"/>
              </w:rPr>
              <w:t>5,664</w:t>
            </w:r>
            <w:r>
              <w:rPr>
                <w:rFonts w:ascii="Arial" w:cs="Arial" w:eastAsia="Arial" w:hAnsi="Arial"/>
                <w:sz w:val="27"/>
                <w:szCs w:val="27"/>
                <w:color w:val="auto"/>
                <w:vertAlign w:val="superscript"/>
              </w:rPr>
              <w:t>(10)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12,461</w:t>
            </w:r>
          </w:p>
        </w:tc>
        <w:tc>
          <w:tcPr>
            <w:tcW w:w="80" w:type="dxa"/>
            <w:vAlign w:val="bottom"/>
          </w:tcPr>
          <w:p>
            <w:pPr>
              <w:spacing w:after="0"/>
              <w:rPr>
                <w:sz w:val="24"/>
                <w:szCs w:val="24"/>
                <w:color w:val="auto"/>
              </w:rPr>
            </w:pPr>
          </w:p>
        </w:tc>
        <w:tc>
          <w:tcPr>
            <w:tcW w:w="1020" w:type="dxa"/>
            <w:vAlign w:val="bottom"/>
            <w:gridSpan w:val="2"/>
          </w:tcPr>
          <w:p>
            <w:pPr>
              <w:jc w:val="right"/>
              <w:ind w:right="51"/>
              <w:spacing w:after="0" w:line="297" w:lineRule="exact"/>
              <w:rPr>
                <w:sz w:val="20"/>
                <w:szCs w:val="20"/>
                <w:color w:val="auto"/>
              </w:rPr>
            </w:pPr>
            <w:r>
              <w:rPr>
                <w:rFonts w:ascii="Arial" w:cs="Arial" w:eastAsia="Arial" w:hAnsi="Arial"/>
                <w:sz w:val="16"/>
                <w:szCs w:val="16"/>
                <w:color w:val="auto"/>
                <w:w w:val="97"/>
              </w:rPr>
              <w:t>208,333</w:t>
            </w:r>
            <w:r>
              <w:rPr>
                <w:rFonts w:ascii="Arial" w:cs="Arial" w:eastAsia="Arial" w:hAnsi="Arial"/>
                <w:sz w:val="27"/>
                <w:szCs w:val="27"/>
                <w:color w:val="auto"/>
                <w:w w:val="97"/>
                <w:vertAlign w:val="superscript"/>
              </w:rPr>
              <w:t>(17)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458,333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4"/>
                <w:szCs w:val="14"/>
                <w:color w:val="auto"/>
              </w:rPr>
              <w:t>1,446</w:t>
            </w:r>
            <w:r>
              <w:rPr>
                <w:rFonts w:ascii="Arial" w:cs="Arial" w:eastAsia="Arial" w:hAnsi="Arial"/>
                <w:sz w:val="23"/>
                <w:szCs w:val="23"/>
                <w:color w:val="auto"/>
                <w:vertAlign w:val="superscript"/>
              </w:rPr>
              <w:t>(12)</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3,181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4"/>
                <w:szCs w:val="14"/>
                <w:color w:val="auto"/>
              </w:rPr>
              <w:t>69,253</w:t>
            </w:r>
            <w:r>
              <w:rPr>
                <w:rFonts w:ascii="Arial" w:cs="Arial" w:eastAsia="Arial" w:hAnsi="Arial"/>
                <w:sz w:val="23"/>
                <w:szCs w:val="23"/>
                <w:color w:val="auto"/>
                <w:vertAlign w:val="superscript"/>
              </w:rPr>
              <w:t>(13)</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$ 152,357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208,334</w:t>
            </w:r>
            <w:r>
              <w:rPr>
                <w:rFonts w:ascii="Arial" w:cs="Arial" w:eastAsia="Arial" w:hAnsi="Arial"/>
                <w:sz w:val="27"/>
                <w:szCs w:val="27"/>
                <w:color w:val="auto"/>
                <w:vertAlign w:val="superscript"/>
              </w:rPr>
              <w:t>(16)</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$ 458,335</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Option award of February 17, 2011 that was fully vested at December 31, 2016.</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Option award of February 16, 2012 that was fully vested at December 31, 2016.</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Option award of February 19, 2013 that vested at the rate of 25% per year, and became fully vested on February 19, 2017.</w:t>
      </w:r>
    </w:p>
    <w:p>
      <w:pPr>
        <w:spacing w:after="0" w:line="18" w:lineRule="exact"/>
        <w:rPr>
          <w:rFonts w:ascii="Arial" w:cs="Arial" w:eastAsia="Arial" w:hAnsi="Arial"/>
          <w:sz w:val="16"/>
          <w:szCs w:val="16"/>
          <w:color w:val="auto"/>
        </w:rPr>
      </w:pPr>
    </w:p>
    <w:p>
      <w:pPr>
        <w:ind w:left="340" w:right="20" w:hanging="332"/>
        <w:spacing w:after="0" w:line="264"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Option award of February 19, 2014 that vests at the rate of 25% per year, with vesting dates of February 19, 2015, February 19, 2016, February 19, 2017 and February 19, 2018.</w:t>
      </w: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or deferred share award of February 19, 2013 that vested at the rate of 25% per year, and became fully vested on February 19, 2017.</w:t>
      </w:r>
    </w:p>
    <w:p>
      <w:pPr>
        <w:spacing w:after="0" w:line="18" w:lineRule="exact"/>
        <w:rPr>
          <w:rFonts w:ascii="Arial" w:cs="Arial" w:eastAsia="Arial" w:hAnsi="Arial"/>
          <w:sz w:val="16"/>
          <w:szCs w:val="16"/>
          <w:color w:val="auto"/>
        </w:rPr>
      </w:pPr>
    </w:p>
    <w:p>
      <w:pPr>
        <w:ind w:left="340" w:right="180" w:hanging="332"/>
        <w:spacing w:after="0" w:line="264"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or deferred share award of February 19, 2014 that vests at the rate of 25% per year, with vesting dates of February 19, 2015, February 19, 2016, February 19, 2017 and February 19, 2018.</w:t>
      </w:r>
    </w:p>
    <w:p>
      <w:pPr>
        <w:ind w:left="340" w:hanging="332"/>
        <w:spacing w:after="0"/>
        <w:tabs>
          <w:tab w:leader="none" w:pos="3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Restricted share award of May 30, 2014 that vests at the rate of 25% per year, with vesting dates of May 30, 2015, May 30, 2016, May 30, 2017 and May 30, 2018.</w:t>
      </w:r>
    </w:p>
    <w:p>
      <w:pPr>
        <w:spacing w:after="0" w:line="30" w:lineRule="exact"/>
        <w:rPr>
          <w:rFonts w:ascii="Arial" w:cs="Arial" w:eastAsia="Arial" w:hAnsi="Arial"/>
          <w:sz w:val="15"/>
          <w:szCs w:val="15"/>
          <w:color w:val="auto"/>
        </w:rPr>
      </w:pPr>
    </w:p>
    <w:p>
      <w:pPr>
        <w:ind w:left="340" w:right="660" w:hanging="332"/>
        <w:spacing w:after="0" w:line="264"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share award or deferred share award of February 11, 2015 that vests at the rate of 25% per year, with vesting dates of February 11, 2016, February 11, 2017, February 11, 2018 and February 11, 2019.</w:t>
      </w:r>
    </w:p>
    <w:p>
      <w:pPr>
        <w:ind w:left="340" w:right="20" w:hanging="332"/>
        <w:spacing w:after="0" w:line="288"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Phantom share units award of February 11, 2015 that vests at the rate of 25% per year, with vesting dates of February 11, 2016, February 11, 2017, February 11, 2018, and February 11,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60" w:hanging="332"/>
        <w:spacing w:after="0" w:line="26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Phantom share units award of February 19, 2014 that vests at the rate of 33.33% per year, with vesting dates of February 19, 2015, February 19, 2016, and February 19, 2017.</w:t>
      </w:r>
    </w:p>
    <w:p>
      <w:pPr>
        <w:spacing w:after="0" w:line="1" w:lineRule="exact"/>
        <w:rPr>
          <w:rFonts w:ascii="Arial" w:cs="Arial" w:eastAsia="Arial" w:hAnsi="Arial"/>
          <w:sz w:val="16"/>
          <w:szCs w:val="16"/>
          <w:color w:val="auto"/>
        </w:rPr>
      </w:pPr>
    </w:p>
    <w:p>
      <w:pPr>
        <w:ind w:left="340" w:right="880" w:hanging="332"/>
        <w:spacing w:after="0" w:line="26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Deferred share award of February 19, 2013 that vests at the rate of 25% per year, with vesting dates of February 19, 2014, February 19, 2015, February 19, 2016, February 19, 2017.</w:t>
      </w:r>
    </w:p>
    <w:p>
      <w:pPr>
        <w:ind w:left="340" w:hanging="332"/>
        <w:spacing w:after="0"/>
        <w:tabs>
          <w:tab w:leader="none" w:pos="3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Phantom share units award of May 30, 2014 that vests at the rate of 33.33% per year, with vesting dates of May 30, 2015, May 30, 2016, and May 30, 2017.</w:t>
      </w:r>
    </w:p>
    <w:p>
      <w:pPr>
        <w:spacing w:after="0" w:line="30" w:lineRule="exact"/>
        <w:rPr>
          <w:rFonts w:ascii="Arial" w:cs="Arial" w:eastAsia="Arial" w:hAnsi="Arial"/>
          <w:sz w:val="15"/>
          <w:szCs w:val="15"/>
          <w:color w:val="auto"/>
        </w:rPr>
      </w:pPr>
    </w:p>
    <w:p>
      <w:pPr>
        <w:ind w:left="340" w:right="80" w:hanging="332"/>
        <w:spacing w:after="0" w:line="26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Phantom share units award of February 11, 2015 that vests at the rate of 33.33% per year, with vesting dates of February 11, 2016, February 11, 2017, and February 11, 2018.</w:t>
      </w: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Deferred share award of February 23, 2016 that vests at the rate of 33.33% per year, with vesting dates of February 23, 2017, February 23, 2018, and February 23, 2019.</w:t>
      </w:r>
    </w:p>
    <w:p>
      <w:pPr>
        <w:spacing w:after="0" w:line="41" w:lineRule="exact"/>
        <w:rPr>
          <w:rFonts w:ascii="Arial" w:cs="Arial" w:eastAsia="Arial" w:hAnsi="Arial"/>
          <w:sz w:val="14"/>
          <w:szCs w:val="14"/>
          <w:color w:val="auto"/>
        </w:rPr>
      </w:pPr>
    </w:p>
    <w:p>
      <w:pPr>
        <w:ind w:left="340" w:right="40" w:hanging="332"/>
        <w:spacing w:after="0" w:line="26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Restricted stock unit award of February 23, 2016 that vests at the rate of 33.33% per year, with vesting dates of February 23, 2017, February 23, 2018, and February 23, 2019.</w:t>
      </w:r>
    </w:p>
    <w:p>
      <w:pPr>
        <w:ind w:left="340" w:right="60" w:hanging="332"/>
        <w:spacing w:after="0" w:line="26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Phantom share units award of February 23, 2016 that vests at the rate of 33.33% per year, with vesting dates of February 23, 2017, February 23, 2018, and February 23, 2019.</w:t>
      </w: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Performance share award of February 23, 2016 that vests on February 23, 2019.</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following table provides information for our named executive officers for the period from January 1, 2016 to December 31, 2016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0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rPr>
              <w:t>Option Awards</w:t>
            </w:r>
          </w:p>
        </w:tc>
        <w:tc>
          <w:tcPr>
            <w:tcW w:w="7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Stock Awards</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Pre-tax Value</w:t>
            </w: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1"/>
              </w:rPr>
              <w:t>Number of Shares</w:t>
            </w: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1"/>
              </w:rPr>
              <w:t>Realized</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Number of Shares</w:t>
            </w:r>
          </w:p>
        </w:tc>
        <w:tc>
          <w:tcPr>
            <w:tcW w:w="8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w w:val="94"/>
              </w:rPr>
              <w:t>Pre-tax Value Realized</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ind w:left="520"/>
              <w:spacing w:after="0"/>
              <w:rPr>
                <w:sz w:val="20"/>
                <w:szCs w:val="20"/>
                <w:color w:val="auto"/>
              </w:rPr>
            </w:pPr>
            <w:r>
              <w:rPr>
                <w:rFonts w:ascii="Arial" w:cs="Arial" w:eastAsia="Arial" w:hAnsi="Arial"/>
                <w:sz w:val="14"/>
                <w:szCs w:val="14"/>
                <w:color w:val="auto"/>
              </w:rPr>
              <w:t>Name</w:t>
            </w:r>
          </w:p>
        </w:tc>
        <w:tc>
          <w:tcPr>
            <w:tcW w:w="21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3"/>
              </w:rPr>
              <w:t>Acquired on Exercise</w:t>
            </w: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2"/>
              </w:rPr>
              <w:t>on Exercise</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Acquired on Vesting</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on Vesting</w:t>
            </w:r>
          </w:p>
        </w:tc>
        <w:tc>
          <w:tcPr>
            <w:tcW w:w="0" w:type="dxa"/>
            <w:vAlign w:val="bottom"/>
          </w:tcPr>
          <w:p>
            <w:pPr>
              <w:spacing w:after="0"/>
              <w:rPr>
                <w:sz w:val="1"/>
                <w:szCs w:val="1"/>
                <w:color w:val="auto"/>
              </w:rPr>
            </w:pPr>
          </w:p>
        </w:tc>
      </w:tr>
      <w:tr>
        <w:trPr>
          <w:trHeight w:val="167"/>
        </w:trPr>
        <w:tc>
          <w:tcPr>
            <w:tcW w:w="428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Bradley J. Dodson</w:t>
            </w:r>
          </w:p>
        </w:tc>
        <w:tc>
          <w:tcPr>
            <w:tcW w:w="28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110,692</w:t>
            </w: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21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32,912</w:t>
            </w: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37,222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55,974</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50,629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21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Ridley</w:t>
            </w:r>
          </w:p>
        </w:tc>
        <w:tc>
          <w:tcPr>
            <w:tcW w:w="2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00" w:type="dxa"/>
            <w:vAlign w:val="bottom"/>
            <w:gridSpan w:val="2"/>
          </w:tcPr>
          <w:p>
            <w:pPr>
              <w:ind w:left="1340"/>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and Canadian Non-Registered Savings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Civeo maintained a non-qualified Deferred Compensation Plan that permitted our directors and eligible U.S. employees to elect to defer all or a part of their cash compensation (base and/or incentive pay) from Civeo until the termination of their status as a director or employee or a change of control. In Canada, Civeo maintains a similar style of plan in which Mr. Ridley and Mr. Schoening were participants. See “Compensation Discussion and Analysis— Compensation Plan Components—Deferred Compensation Plan” for details about these plans. Mr. McCann has not participated in a similar plan. Mr. Steininger did not participate in Civeo’s Deferred Compensation Plan.</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investment alternatives available to executives and directors under the Deferred Compensation Plan during 2016 were the same mutual funds available to all employees under Civeo’s 401(k) Retirement Plan. Selection of these funds was at the discretion of the executive. Payout terms, withdrawals and other distributions were made at the discretion of the executive subject to corresponding plan terms and conditions.</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October 2016, as a consequence of low participation by eligible employees, the Board approved the termination of the Deferred Compensation Plan. Assets of the Plan are held in a rabbi trust and are under the administration of a third party. A distribution date of plan assets has not been determined but will occur within the 12- to 24-month period following date of plan termination as defined by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Detailed below is 2016 activity in the Deferred Compensation Plan for Mr. Dodson and the similar Canadian plan for Mr. Ridley and Mr. Schoening.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gridSpan w:val="3"/>
          </w:tcPr>
          <w:p>
            <w:pPr>
              <w:jc w:val="center"/>
              <w:ind w:right="106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95"/>
              </w:rPr>
              <w:t>Executive</w:t>
            </w:r>
          </w:p>
        </w:tc>
        <w:tc>
          <w:tcPr>
            <w:tcW w:w="180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90"/>
              </w:rPr>
              <w:t>Registrant</w:t>
            </w:r>
          </w:p>
        </w:tc>
        <w:tc>
          <w:tcPr>
            <w:tcW w:w="80" w:type="dxa"/>
            <w:vAlign w:val="bottom"/>
          </w:tcPr>
          <w:p>
            <w:pPr>
              <w:spacing w:after="0"/>
              <w:rPr>
                <w:sz w:val="12"/>
                <w:szCs w:val="12"/>
                <w:color w:val="auto"/>
              </w:rPr>
            </w:pPr>
          </w:p>
        </w:tc>
        <w:tc>
          <w:tcPr>
            <w:tcW w:w="166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4"/>
              </w:rPr>
              <w:t>Earnings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color w:val="auto"/>
              </w:rPr>
              <w:t>Contributions</w:t>
            </w:r>
          </w:p>
        </w:tc>
        <w:tc>
          <w:tcPr>
            <w:tcW w:w="180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97"/>
              </w:rPr>
              <w:t>Contribution</w:t>
            </w:r>
          </w:p>
        </w:tc>
        <w:tc>
          <w:tcPr>
            <w:tcW w:w="80" w:type="dxa"/>
            <w:vAlign w:val="bottom"/>
          </w:tcPr>
          <w:p>
            <w:pPr>
              <w:spacing w:after="0"/>
              <w:rPr>
                <w:sz w:val="12"/>
                <w:szCs w:val="12"/>
                <w:color w:val="auto"/>
              </w:rPr>
            </w:pPr>
          </w:p>
        </w:tc>
        <w:tc>
          <w:tcPr>
            <w:tcW w:w="166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2"/>
              </w:rPr>
              <w:t>(Loss)</w:t>
            </w:r>
          </w:p>
        </w:tc>
        <w:tc>
          <w:tcPr>
            <w:tcW w:w="182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At Last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92"/>
              </w:rPr>
              <w:t>in Last</w:t>
            </w:r>
          </w:p>
        </w:tc>
        <w:tc>
          <w:tcPr>
            <w:tcW w:w="140" w:type="dxa"/>
            <w:vAlign w:val="bottom"/>
          </w:tcPr>
          <w:p>
            <w:pPr>
              <w:spacing w:after="0"/>
              <w:rPr>
                <w:sz w:val="12"/>
                <w:szCs w:val="12"/>
                <w:color w:val="auto"/>
              </w:rPr>
            </w:pPr>
          </w:p>
        </w:tc>
        <w:tc>
          <w:tcPr>
            <w:tcW w:w="1660" w:type="dxa"/>
            <w:vAlign w:val="bottom"/>
            <w:gridSpan w:val="2"/>
          </w:tcPr>
          <w:p>
            <w:pPr>
              <w:jc w:val="center"/>
              <w:ind w:right="1200"/>
              <w:spacing w:after="0" w:line="149" w:lineRule="exact"/>
              <w:rPr>
                <w:sz w:val="20"/>
                <w:szCs w:val="20"/>
                <w:color w:val="auto"/>
              </w:rPr>
            </w:pPr>
            <w:r>
              <w:rPr>
                <w:rFonts w:ascii="Arial" w:cs="Arial" w:eastAsia="Arial" w:hAnsi="Arial"/>
                <w:sz w:val="14"/>
                <w:szCs w:val="14"/>
                <w:color w:val="auto"/>
                <w:w w:val="92"/>
              </w:rPr>
              <w:t>in Last</w:t>
            </w:r>
          </w:p>
        </w:tc>
        <w:tc>
          <w:tcPr>
            <w:tcW w:w="80" w:type="dxa"/>
            <w:vAlign w:val="bottom"/>
          </w:tcPr>
          <w:p>
            <w:pPr>
              <w:spacing w:after="0"/>
              <w:rPr>
                <w:sz w:val="12"/>
                <w:szCs w:val="12"/>
                <w:color w:val="auto"/>
              </w:rPr>
            </w:pPr>
          </w:p>
        </w:tc>
        <w:tc>
          <w:tcPr>
            <w:tcW w:w="166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6"/>
              </w:rPr>
              <w:t>in Last</w:t>
            </w:r>
          </w:p>
        </w:tc>
        <w:tc>
          <w:tcPr>
            <w:tcW w:w="182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4"/>
              </w:rPr>
              <w:t>Withdrawals/</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Fiscal</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520"/>
              <w:spacing w:after="0"/>
              <w:rPr>
                <w:sz w:val="20"/>
                <w:szCs w:val="20"/>
                <w:color w:val="auto"/>
              </w:rPr>
            </w:pPr>
            <w:r>
              <w:rPr>
                <w:rFonts w:ascii="Arial" w:cs="Arial" w:eastAsia="Arial" w:hAnsi="Arial"/>
                <w:sz w:val="14"/>
                <w:szCs w:val="14"/>
                <w:color w:val="auto"/>
              </w:rPr>
              <w:t>Name</w:t>
            </w:r>
          </w:p>
        </w:tc>
        <w:tc>
          <w:tcPr>
            <w:tcW w:w="184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94"/>
              </w:rPr>
              <w:t>Fiscal Year</w:t>
            </w:r>
          </w:p>
        </w:tc>
        <w:tc>
          <w:tcPr>
            <w:tcW w:w="180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94"/>
              </w:rPr>
              <w:t>Fiscal Year</w:t>
            </w:r>
          </w:p>
        </w:tc>
        <w:tc>
          <w:tcPr>
            <w:tcW w:w="1740" w:type="dxa"/>
            <w:vAlign w:val="bottom"/>
            <w:gridSpan w:val="3"/>
          </w:tcPr>
          <w:p>
            <w:pPr>
              <w:jc w:val="center"/>
              <w:ind w:right="1060"/>
              <w:spacing w:after="0" w:line="149" w:lineRule="exact"/>
              <w:rPr>
                <w:sz w:val="20"/>
                <w:szCs w:val="20"/>
                <w:color w:val="auto"/>
              </w:rPr>
            </w:pPr>
            <w:r>
              <w:rPr>
                <w:rFonts w:ascii="Arial" w:cs="Arial" w:eastAsia="Arial" w:hAnsi="Arial"/>
                <w:sz w:val="14"/>
                <w:szCs w:val="14"/>
                <w:color w:val="auto"/>
                <w:w w:val="91"/>
              </w:rPr>
              <w:t>Fiscal Year</w:t>
            </w:r>
          </w:p>
        </w:tc>
        <w:tc>
          <w:tcPr>
            <w:tcW w:w="182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8"/>
              </w:rPr>
              <w:t>Distributions</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Year End</w:t>
            </w:r>
          </w:p>
        </w:tc>
        <w:tc>
          <w:tcPr>
            <w:tcW w:w="0" w:type="dxa"/>
            <w:vAlign w:val="bottom"/>
          </w:tcPr>
          <w:p>
            <w:pPr>
              <w:spacing w:after="0"/>
              <w:rPr>
                <w:sz w:val="1"/>
                <w:szCs w:val="1"/>
                <w:color w:val="auto"/>
              </w:rPr>
            </w:pPr>
          </w:p>
        </w:tc>
      </w:tr>
      <w:tr>
        <w:trPr>
          <w:trHeight w:val="167"/>
        </w:trPr>
        <w:tc>
          <w:tcPr>
            <w:tcW w:w="3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color w:val="auto"/>
                <w:w w:val="94"/>
              </w:rPr>
              <w:t>($)</w:t>
            </w:r>
            <w:r>
              <w:rPr>
                <w:rFonts w:ascii="Arial" w:cs="Arial" w:eastAsia="Arial" w:hAnsi="Arial"/>
                <w:sz w:val="12"/>
                <w:szCs w:val="12"/>
                <w:color w:val="auto"/>
                <w:w w:val="94"/>
              </w:rPr>
              <w:t>(1)</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Arial" w:cs="Arial" w:eastAsia="Arial" w:hAnsi="Arial"/>
                <w:sz w:val="14"/>
                <w:szCs w:val="14"/>
                <w:color w:val="auto"/>
                <w:w w:val="94"/>
              </w:rPr>
              <w:t>($)</w:t>
            </w:r>
            <w:r>
              <w:rPr>
                <w:rFonts w:ascii="Arial" w:cs="Arial" w:eastAsia="Arial" w:hAnsi="Arial"/>
                <w:sz w:val="12"/>
                <w:szCs w:val="12"/>
                <w:color w:val="auto"/>
                <w:w w:val="94"/>
              </w:rPr>
              <w:t>(2)</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10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Bradley J. Dodson</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52,342</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43,618</w:t>
            </w:r>
          </w:p>
        </w:tc>
        <w:tc>
          <w:tcPr>
            <w:tcW w:w="1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$104,751</w:t>
            </w:r>
          </w:p>
        </w:tc>
        <w:tc>
          <w:tcPr>
            <w:tcW w:w="10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$1,032,293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12,869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color w:val="auto"/>
              </w:rPr>
              <w:t>9,074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color w:val="auto"/>
              </w:rPr>
              <w:t>2,621</w:t>
            </w:r>
          </w:p>
        </w:tc>
        <w:tc>
          <w:tcPr>
            <w:tcW w:w="18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w w:val="94"/>
              </w:rPr>
              <w:t>35,854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Ridley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21,828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16,611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2,666</w:t>
            </w:r>
          </w:p>
        </w:tc>
        <w:tc>
          <w:tcPr>
            <w:tcW w:w="18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42,735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for 2016 in the Summary Compensation Table for 2016.</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$43,618 reported for Mr. Dodson in this column is also included for 2016 in the “All Other Compensation” column of the Summary Compensation Table for 2016.</w:t>
      </w:r>
    </w:p>
    <w:p>
      <w:pPr>
        <w:ind w:left="460" w:right="200" w:hanging="452"/>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Dodson for mutual fund investments for 2016 associated with investments held in the Deferred Compensation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reflects the amount of compensation to Messrs. Dodson, Steininger and McCann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to Mr. Schoening in the event of a qualified termination during a specified period time after a “Change of Control” (as defined in his Change of Control Agreement) of Civeo, as his Change of Control Agreement does not provide for any severance benefits on a termination prior to a Change of Control.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2016 and, therefore, include compensation earned through such time and are estimates of the amounts which would be paid out to the executives upon their terminations. The actual amounts to be paid can only be determined at the time of such executive’s separation from Civeo. Due to his termination of employment in September 2016, no amounts are shown in the table below for Mr. Ridley. For a discussion of the terms of the Executive and Change of Control Agreements, see “Compensation Discussion and Analysis—Executive and Change of Control Agreements.”</w:t>
      </w:r>
    </w:p>
    <w:p>
      <w:pPr>
        <w:spacing w:after="0" w:line="180"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 of Control” includes (i) any person acquiring beneficial ownership of 35% or more of the combined voting power of our capital stock,</w:t>
      </w:r>
    </w:p>
    <w:p>
      <w:pPr>
        <w:spacing w:after="0" w:line="35" w:lineRule="exact"/>
        <w:rPr>
          <w:sz w:val="20"/>
          <w:szCs w:val="20"/>
          <w:color w:val="auto"/>
        </w:rPr>
      </w:pPr>
    </w:p>
    <w:p>
      <w:pPr>
        <w:ind w:right="20" w:firstLine="8"/>
        <w:spacing w:after="0" w:line="281"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turnover of a majority of the Board unless such turnover is approved by incumbent directors, (iii) any merger unless our shareholders own at least 50% of the combined voting power of the surviving parent company’s capital stock following the merger, (iv) shareholder approval of a complete liquidation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sale of all or substantially all of our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award agreements provide that restricted share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granted beginning in 2016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absolute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defined above) and prior to the payout of performance share awards, the executive is entitled to payout of the performance share awards under the terms provided within the performance share award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Shown in the table below are potential payments upon the assumed (A) involuntary not for Cause termination of Messrs. Dodson, Steininger or McCann employed by Civeo on December 31, 2016, other than during the 24-month period following a Change of Control, or (B) involuntary not for Cause termination or termination by the named executive officer for “Good Reason,” in either case, during the 24-month period (18-month period in the case of Mr. Schoening) following a Change of Control of Civeo, occurring as of December 31, 2016. None of Mr. Dodson’s potential payments as of December 31, 2016 would trigger a gross-up payment for excise taxes that would be reimbursed under his Executive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Bradley J. Dodson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320"/>
              <w:spacing w:after="0"/>
              <w:rPr>
                <w:sz w:val="20"/>
                <w:szCs w:val="20"/>
                <w:color w:val="auto"/>
              </w:rPr>
            </w:pPr>
            <w:r>
              <w:rPr>
                <w:rFonts w:ascii="Arial" w:cs="Arial" w:eastAsia="Arial" w:hAnsi="Arial"/>
                <w:sz w:val="14"/>
                <w:szCs w:val="14"/>
                <w:b w:val="1"/>
                <w:bCs w:val="1"/>
                <w:color w:val="auto"/>
              </w:rPr>
              <w:t>Frank C. Steininger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ind w:left="440"/>
              <w:spacing w:after="0"/>
              <w:rPr>
                <w:sz w:val="20"/>
                <w:szCs w:val="20"/>
                <w:color w:val="auto"/>
              </w:rPr>
            </w:pPr>
            <w:r>
              <w:rPr>
                <w:rFonts w:ascii="Arial" w:cs="Arial" w:eastAsia="Arial" w:hAnsi="Arial"/>
                <w:sz w:val="14"/>
                <w:szCs w:val="14"/>
                <w:b w:val="1"/>
                <w:bCs w:val="1"/>
                <w:color w:val="auto"/>
              </w:rPr>
              <w:t>Peter L. McCann</w:t>
            </w:r>
          </w:p>
        </w:tc>
      </w:tr>
      <w:tr>
        <w:trPr>
          <w:trHeight w:val="142"/>
        </w:trPr>
        <w:tc>
          <w:tcPr>
            <w:tcW w:w="4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A</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A</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A</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Benefits and Payments due on Separation</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1,092,500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2,185,000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1,280,000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515,523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1,031,046</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3,040,684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3,040,684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2,069,217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2,069,217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1,288,901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1,288,901</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Benefits &amp; Perquisites: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86,250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86,250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46,866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46,866</w:t>
            </w: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Gross -Up</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bl>
    <w:p>
      <w:pPr>
        <w:spacing w:after="0" w:line="193"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Allan D. Schoening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A</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B</w:t>
            </w:r>
          </w:p>
        </w:tc>
        <w:tc>
          <w:tcPr>
            <w:tcW w:w="51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Compensation:</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900" w:type="dxa"/>
            <w:vAlign w:val="bottom"/>
            <w:gridSpan w:val="2"/>
          </w:tcPr>
          <w:p>
            <w:pPr>
              <w:jc w:val="right"/>
              <w:ind w:right="5100"/>
              <w:spacing w:after="0"/>
              <w:rPr>
                <w:sz w:val="20"/>
                <w:szCs w:val="20"/>
                <w:color w:val="auto"/>
              </w:rPr>
            </w:pPr>
            <w:r>
              <w:rPr>
                <w:rFonts w:ascii="Arial" w:cs="Arial" w:eastAsia="Arial" w:hAnsi="Arial"/>
                <w:sz w:val="18"/>
                <w:szCs w:val="18"/>
                <w:color w:val="auto"/>
              </w:rPr>
              <w:t>552,168</w:t>
            </w: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900" w:type="dxa"/>
            <w:vAlign w:val="bottom"/>
            <w:gridSpan w:val="2"/>
          </w:tcPr>
          <w:p>
            <w:pPr>
              <w:jc w:val="right"/>
              <w:ind w:right="5100"/>
              <w:spacing w:after="0"/>
              <w:rPr>
                <w:sz w:val="20"/>
                <w:szCs w:val="20"/>
                <w:color w:val="auto"/>
              </w:rPr>
            </w:pPr>
            <w:r>
              <w:rPr>
                <w:rFonts w:ascii="Arial" w:cs="Arial" w:eastAsia="Arial" w:hAnsi="Arial"/>
                <w:sz w:val="18"/>
                <w:szCs w:val="18"/>
                <w:color w:val="auto"/>
                <w:w w:val="97"/>
              </w:rPr>
              <w:t>1,084,666</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900" w:type="dxa"/>
            <w:vAlign w:val="bottom"/>
            <w:gridSpan w:val="2"/>
          </w:tcPr>
          <w:p>
            <w:pPr>
              <w:jc w:val="right"/>
              <w:ind w:right="5100"/>
              <w:spacing w:after="0"/>
              <w:rPr>
                <w:sz w:val="20"/>
                <w:szCs w:val="20"/>
                <w:color w:val="auto"/>
              </w:rPr>
            </w:pPr>
            <w:r>
              <w:rPr>
                <w:rFonts w:ascii="Arial" w:cs="Arial" w:eastAsia="Arial" w:hAnsi="Arial"/>
                <w:sz w:val="18"/>
                <w:szCs w:val="18"/>
                <w:color w:val="auto"/>
              </w:rPr>
              <w:t>4,181</w:t>
            </w: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900" w:type="dxa"/>
            <w:vAlign w:val="bottom"/>
            <w:gridSpan w:val="2"/>
            <w:shd w:val="clear" w:color="auto" w:fill="CCEEFF"/>
          </w:tcPr>
          <w:p>
            <w:pPr>
              <w:jc w:val="right"/>
              <w:ind w:right="5100"/>
              <w:spacing w:after="0"/>
              <w:rPr>
                <w:sz w:val="20"/>
                <w:szCs w:val="20"/>
                <w:color w:val="auto"/>
              </w:rPr>
            </w:pPr>
            <w:r>
              <w:rPr>
                <w:rFonts w:ascii="Arial" w:cs="Arial" w:eastAsia="Arial" w:hAnsi="Arial"/>
                <w:sz w:val="18"/>
                <w:szCs w:val="18"/>
                <w:color w:val="auto"/>
              </w:rPr>
              <w:t>36,811</w:t>
            </w: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Tax Gross -Up</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0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90"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Reflects the value of unvested options, restricted share awards and deferred share awards as of December 30, 2016 that would be accelerated as a result of the separation event based on Civeo’s share price of $2.20, which was the closing market price of Civeo’s common shares on December 30, 2016. For Performance Units, the payout is assumed at target level. Due to the exercise price for the unvested options that would become vested and exercisable on a Change of Control and the price of Civeo’s common shares as of December 30, 2016,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2016. The treatment of Performance Share Awards during a Change of Control is described more fully under “Compensation Program Components—Performance Share Award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hanging="452"/>
        <w:spacing w:after="0" w:line="291"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ind w:left="460" w:right="86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Ridley Separation</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Ridley’s employment with Civeo was terminated in September 2016. In connection with the termination, Civeo agreed to provide certain severance benefits to Mr. Ridley, including Canadian dollar denominated payments for severance comprised of one times his annual base salary of $339,795, payment of annualized full target AICP of $169,898, $139,105 for vested long-term incentive awards, $8,495 for payment toward his non-qualified retirement plan and $16,657 in pay in lieu of accrued but unused vacation as per his Executive Agreement. Also included for Mr. Ridley was $396 for BC Family Medical insurance premiums and a payment of $1,374 as part of the 2015 Free Cash Flow program. All entitlements to unvested long-term incentive and performance share awards were forfeited on termination. As Mr. Ridley’s employment was terminated prior to the end of the year, no payment under the Civeo AICP linked to 2016 business results was paid to Mr. Ridley. Mr. Ridley withdrew the balance in his Canadian Non-Registered Savings Plan account upon his termination from Civeo.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non-employee directors receive compensation for their services on the Board. Directors who are also our employees do not receive a retainer or fees for service on our Board or any committees. Accordingly, Mr. Dodson, a director of Civeo and Civeo’s President and Chief Executive Officer, does not receive director compensation. Directors who are not employees receive an annual retainer of $50,000 and fees of $2,000 for attendance at each Board or committee meeting. The non-employee director who serves as the Chairman of the Board receives an additional annual retainer of $75,000, which is paid quarterly 50% in cash and 50% in fully vested common shares, and each non-employee director who serves as the chairman of the Compensation Committee, the Nominating &amp; Corporate Governance Committee or the Finance &amp; Investment Committee receives an additional annual retainer of $10,000. The chairman of the Audit Committee receives an additional annual retainer of $17,500. Members of the Nominating &amp; Corporate Governance Committee, the Compensation Committee and the Finance &amp; Investment Committee, other than the Committee chairman, receive an additional annual retainer of $5,000 and members of the Audit Committee, other than the Committee chairman, receive an additional annual retainer of $10,000. All committee retainers are paid in cash. Newly elected non-employee directors receive restricted share awards valued at $125,000 after their initial election. In addition, non-employee directors who have served for at least six months receive additional restricted share awards valued at $125,000 at each annual shareholders’ meeting after which they continue to serve. The non-employee directors’ restricted share awards are valued on the award date based on the closing share price and vest on the earlier of one year from the date of grant or the next annual shareholders’ meeting date following the date of grant.</w:t>
      </w:r>
    </w:p>
    <w:p>
      <w:pPr>
        <w:spacing w:after="0" w:line="17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Non-employee directors are also subject to Civeo’s share ownership and holding period guidelines pursuant to which they are expected to retain restricted share awards remaining, after payment of applicable taxes, valued at five times the annual retainer amount, or $250,000, until retirement or until leaving the Board. Once the ownership guideline is established for a director and communicated, the director has five years to attain the targeted level of ownership. All of our directors are reimbursed for reasonable out-of-pocket expenses incurred in attending meetings of our Board or committees and for other reasonable expenses related to the performance of their duties as directors, including attendance at pertinent continuing education programs and training.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00" w:type="dxa"/>
            <w:vAlign w:val="bottom"/>
            <w:vMerge w:val="restart"/>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6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Paid in Cash</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$162,501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$287,001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99,000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$125,000</w:t>
            </w: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w w:val="95"/>
              </w:rPr>
              <w:t>$224,000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99,000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$125,000</w:t>
            </w: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5"/>
              </w:rPr>
              <w:t>$224,000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113,000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$125,000</w:t>
            </w: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w w:val="95"/>
              </w:rPr>
              <w:t>$238,000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110,500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$125,000</w:t>
            </w: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5"/>
              </w:rPr>
              <w:t>$235,500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118,000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$125,000</w:t>
            </w: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w w:val="95"/>
              </w:rPr>
              <w:t>$243,000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amounts in the “Share Awards” column reflect the aggregate grant date fair value of restricted share awards granted in 2016 calculated in accordance with FASB ASC Topic 718—Stock Compensation. Please see Note 15 to the notes to consolidated financial statements included in Item 8 of Civeo’s Annual Report on Form 10-K for the year ended December 31, 2016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Swanson’s share award total includes $37,500 of Civeo common shares as part of his fees as Chairman of the Board, which vested on the grant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the aggregate number of unvested restricted share awards and the aggregate number of shares outstanding underlying option awards held by non-employee directors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Share Awards</w:t>
            </w:r>
          </w:p>
        </w:tc>
        <w:tc>
          <w:tcPr>
            <w:tcW w:w="2020" w:type="dxa"/>
            <w:vAlign w:val="bottom"/>
            <w:gridSpan w:val="2"/>
          </w:tcPr>
          <w:p>
            <w:pPr>
              <w:ind w:left="1020"/>
              <w:spacing w:after="0"/>
              <w:rPr>
                <w:sz w:val="20"/>
                <w:szCs w:val="20"/>
                <w:color w:val="auto"/>
              </w:rPr>
            </w:pPr>
            <w:r>
              <w:rPr>
                <w:rFonts w:ascii="Arial" w:cs="Arial" w:eastAsia="Arial" w:hAnsi="Arial"/>
                <w:sz w:val="14"/>
                <w:szCs w:val="14"/>
                <w:b w:val="1"/>
                <w:bCs w:val="1"/>
                <w:color w:val="auto"/>
                <w:w w:val="96"/>
              </w:rPr>
              <w:t>Option Awards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8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8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66,845</w:t>
            </w:r>
          </w:p>
        </w:tc>
        <w:tc>
          <w:tcPr>
            <w:tcW w:w="104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20" w:type="dxa"/>
            <w:vAlign w:val="bottom"/>
          </w:tcPr>
          <w:p>
            <w:pPr>
              <w:jc w:val="right"/>
              <w:ind w:right="1270"/>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w:t>
      </w:r>
      <w:r>
        <w:rPr>
          <w:rFonts w:ascii="Arial" w:cs="Arial" w:eastAsia="Arial" w:hAnsi="Arial"/>
          <w:sz w:val="18"/>
          <w:szCs w:val="18"/>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This section discusses transactions and relationships with related persons during the past three fiscal years. As a subsidiary of Oil States prior to the spin-off in May 2014, we engaged in related-party transactions with Oil States. Those transactions are described in more detail in Note 17—Related Party Transactions to the notes to consolidated financial statements in Item 8 of Civeo’s Annual Report on Form 10-K for the year ended December 31, 2016.</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adopted procedures for approving related-party transactions. We review all relationships and transactions in which we and our directors and executive officers or their immediate family members are participants to determine whether such persons have a direct or indirect material interest. Our Corporate Secretary’s office is primarily responsible for the development and implementation of processes and controls to obtain information from the directors and executive officers with respect to related-party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disclosed in filings we make with the SEC when required, including disclosure in our proxy statements.</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Code of Conduct prohibits conflicts of interest. Any waivers of these guidelines must be approved by the Nominating &amp;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multiple internal processes for reporting conflicts of interest,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78"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nature of the related party’s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Civeo’s best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Ultimately, all material related-party transactions must be approved or ratified by the Nominating &amp; Corporate Governance Committee of our board of directors. Any member of the Nominating &amp; Corporate Governance Committee who is a related party with respect to a transaction would be recused from the review of the transaction.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employment and beneficial ownership interests. This information is then reviewed for any conflicts of interest under the Code of Conduct.</w:t>
      </w:r>
    </w:p>
    <w:p>
      <w:pPr>
        <w:spacing w:after="0" w:line="225"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We also have other policies and procedures to prevent conflicts of interest, including related-party transactions. For example, the charter of our Nominating &amp;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w:t>
      </w:r>
    </w:p>
    <w:p>
      <w:pPr>
        <w:spacing w:after="0" w:line="116" w:lineRule="exact"/>
        <w:rPr>
          <w:sz w:val="20"/>
          <w:szCs w:val="20"/>
          <w:color w:val="auto"/>
        </w:rPr>
      </w:pPr>
    </w:p>
    <w:p>
      <w:pPr>
        <w:ind w:left="900" w:right="14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 of Civeo’s funds, assets or services will be used for political contributions, directly or indirectly, unless allowed by applicable foreign and U.S. law and approved in advance by our board of directors.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contributions by Civeo to support or oppose public referenda or similar ballot issues are only permitted with advance approval of our board of directors.</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a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Section 16 Reporting Persons are required by SEC regulations to furnish Civeo with copies of all Section 16(a) reports they file.</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Based solely on its review of the copies of such reports received by it, and written representations from certain Section 16 Reporting Persons that all Section 16(a) reports required to be filed for such persons had been filed, Civeo believes that during 2016 the Section 16 Reporting Persons complied with all Section 16(a) filing requirements applicable to them on a timely basis, except that (i) Bradley J. Dodson, President and Chief Executive Officer, inadvertently failed to timely report the annual grant of 277,778 shares of restricted common share units, (ii) Frank Steininger, Senior Vice President, Chief Financial Officer and Treasurer, inadvertently failed to timely report the annual grant of 194,444 shares of restricted common share units, (iii) Allan D. Schoening, Senior Vice President, Human Resources / Health, Safety and Environment, inadvertently failed to timely report the annual vesting of 9,491 shares of phantom shares and (iv) Carolyn J. Stone, Vice President, Controller and Corporate Secretary, inadvertently failed to timely report the annual grant of 156,250 shares of restricted common share units.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22, 2017 by:</w:t>
      </w:r>
    </w:p>
    <w:p>
      <w:pPr>
        <w:spacing w:after="0" w:line="142"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within 60 days of March 22, 2017 are considered outstanding. These shares, however, are not considered outstanding as of March 22, 2017 when computing the percentage ownership of each other person.</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5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Beneficial Ownership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2"/>
                <w:szCs w:val="12"/>
                <w:b w:val="1"/>
                <w:bCs w:val="1"/>
                <w:color w:val="auto"/>
              </w:rPr>
              <w:t>(1)</w:t>
            </w:r>
          </w:p>
        </w:tc>
        <w:tc>
          <w:tcPr>
            <w:tcW w:w="1680" w:type="dxa"/>
            <w:vAlign w:val="bottom"/>
            <w:gridSpan w:val="2"/>
          </w:tcPr>
          <w:p>
            <w:pPr>
              <w:jc w:val="right"/>
              <w:ind w:right="960"/>
              <w:spacing w:after="0" w:line="119" w:lineRule="exact"/>
              <w:rPr>
                <w:sz w:val="20"/>
                <w:szCs w:val="20"/>
                <w:color w:val="auto"/>
              </w:rPr>
            </w:pPr>
            <w:r>
              <w:rPr>
                <w:rFonts w:ascii="Arial" w:cs="Arial" w:eastAsia="Arial" w:hAnsi="Arial"/>
                <w:sz w:val="13"/>
                <w:szCs w:val="13"/>
                <w:b w:val="1"/>
                <w:bCs w:val="1"/>
                <w:color w:val="auto"/>
              </w:rPr>
              <w:t>Common</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Percentage</w:t>
            </w:r>
            <w:r>
              <w:rPr>
                <w:rFonts w:ascii="Arial" w:cs="Arial" w:eastAsia="Arial" w:hAnsi="Arial"/>
                <w:sz w:val="12"/>
                <w:szCs w:val="12"/>
                <w:b w:val="1"/>
                <w:bCs w:val="1"/>
                <w:color w:val="auto"/>
                <w:w w:val="88"/>
              </w:rPr>
              <w:t>(2)</w:t>
            </w:r>
          </w:p>
        </w:tc>
        <w:tc>
          <w:tcPr>
            <w:tcW w:w="0" w:type="dxa"/>
            <w:vAlign w:val="bottom"/>
          </w:tcPr>
          <w:p>
            <w:pPr>
              <w:spacing w:after="0"/>
              <w:rPr>
                <w:sz w:val="1"/>
                <w:szCs w:val="1"/>
                <w:color w:val="auto"/>
              </w:rPr>
            </w:pPr>
          </w:p>
        </w:tc>
      </w:tr>
      <w:tr>
        <w:trPr>
          <w:trHeight w:val="171"/>
        </w:trPr>
        <w:tc>
          <w:tcPr>
            <w:tcW w:w="7800" w:type="dxa"/>
            <w:vAlign w:val="bottom"/>
            <w:gridSpan w:val="2"/>
            <w:vMerge w:val="continue"/>
          </w:tcPr>
          <w:p>
            <w:pPr>
              <w:spacing w:after="0"/>
              <w:rPr>
                <w:sz w:val="14"/>
                <w:szCs w:val="14"/>
                <w:color w:val="auto"/>
              </w:rPr>
            </w:pPr>
          </w:p>
        </w:tc>
        <w:tc>
          <w:tcPr>
            <w:tcW w:w="16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5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52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12,637,939</w:t>
            </w:r>
          </w:p>
        </w:tc>
        <w:tc>
          <w:tcPr>
            <w:tcW w:w="8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2"/>
        </w:trPr>
        <w:tc>
          <w:tcPr>
            <w:tcW w:w="78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245 Summer Street</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Boston, Massachusetts 02210</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Centerbridge Credit Partners, L.P. and affiliates</w:t>
            </w:r>
            <w:r>
              <w:rPr>
                <w:rFonts w:ascii="Arial" w:cs="Arial" w:eastAsia="Arial" w:hAnsi="Arial"/>
                <w:sz w:val="15"/>
                <w:szCs w:val="15"/>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8,938,710</w:t>
            </w:r>
          </w:p>
        </w:tc>
        <w:tc>
          <w:tcPr>
            <w:tcW w:w="8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78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375 Park Avenue</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12th Floor</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New York, NY 10152</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Renaissance Technologies LLC</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6,701,000</w:t>
            </w:r>
          </w:p>
        </w:tc>
        <w:tc>
          <w:tcPr>
            <w:tcW w:w="8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78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800 Third Avenue</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New York, NY 10022</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247,537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Bradley J. Dodson</w:t>
            </w:r>
            <w:r>
              <w:rPr>
                <w:rFonts w:ascii="Arial" w:cs="Arial" w:eastAsia="Arial" w:hAnsi="Arial"/>
                <w:sz w:val="15"/>
                <w:szCs w:val="15"/>
                <w:color w:val="auto"/>
              </w:rPr>
              <w:t>(7)</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670,261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341,141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Peter McCann</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83,682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Schoening</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94,193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127,065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105,508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94,688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94,688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O. Wall</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47,529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(13 persons)</w:t>
            </w:r>
            <w:r>
              <w:rPr>
                <w:rFonts w:ascii="Arial" w:cs="Arial" w:eastAsia="Arial" w:hAnsi="Arial"/>
                <w:sz w:val="15"/>
                <w:szCs w:val="15"/>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1,906,292</w:t>
            </w:r>
          </w:p>
        </w:tc>
        <w:tc>
          <w:tcPr>
            <w:tcW w:w="8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4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total shares outstanding of 132,005,624 as of March 22, 2017.</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66"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a Schedule 13G/A filed pursuant to the Exchange Act on February 14, 2017, FMR LLC has beneficial ownership of 12,637,939 shares, the sole power to vote or direct the vote of 1,205,300 shares, and the sole power to dispose or direct the disposition of 12,637,939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the Common Stock outstanding; (ii) Abigail P. Johnson is a Director, the Chairman and the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disclaims reporting on shares, if any, beneficially owned by certain subsidiaries, affiliates or other companies whose beneficial ownership of shares is disaggregated from that of FMR LLC in accordance with SEC Release No. 34-39538 (January 12, 1998).</w:t>
      </w:r>
    </w:p>
    <w:p>
      <w:pPr>
        <w:spacing w:after="0" w:line="5" w:lineRule="exact"/>
        <w:rPr>
          <w:rFonts w:ascii="Arial" w:cs="Arial" w:eastAsia="Arial" w:hAnsi="Arial"/>
          <w:sz w:val="17"/>
          <w:szCs w:val="17"/>
          <w:color w:val="auto"/>
        </w:rPr>
      </w:pPr>
    </w:p>
    <w:p>
      <w:pPr>
        <w:ind w:left="460" w:right="12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a Schedule 13G filed pursuant to the Exchange Act on February 14, 2017, Renaissance Technologies LLC (“RT LLC”) and Renaissance Technologies Holdings Corporation, which owns a majority interest in RT LLC, have beneficial ownership of 6,701,000 shares, the sole power to vote or direct the vote of 6,653,815 shares, the sole power to dispose or direct the disposition of 6,694,891 shares and the shared power to dispose or direct the disposition of 6,109 shares.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a Schedule 13G filed pursuant to the Exchange Act on February 10, 2017, Prescott Group Capital Management, L.L.C. (“Prescott Capital”), beneficially owns 5,916,275 shares, with sole voting power and sole dispositive power over all those shares. The Schedule 13G further reports the relevant fund entities, as to which Prescott Capital serves as the general partner, as Prescott Group Aggressive Small Cap, L.P. and Prescott Group Aggressive Small Cap II, L.P. and reports that these fund entities, through their ability to direct the vote and disposition of shares in a master fund, have beneficial ownership of 5,872,275 shares (of the 5,916,275 shares reported as beneficially owned by Prescott Capital), with shared voting power and dispositive power over all those shares. The Schedule 13G further reports that Mr. Phil Frohlich, as the principal of Prescott Capital, may direct the vote and disposition of the shares beneficially owned by Prescott Capital and him individually. Accordingly, the Schedule 13G reports that Mr. Frohlich has beneficial ownership of 5,926,301 shares, with sole voting power and sole dispositive power over all those shares.</w:t>
      </w:r>
    </w:p>
    <w:p>
      <w:pPr>
        <w:spacing w:after="0" w:line="5" w:lineRule="exact"/>
        <w:rPr>
          <w:rFonts w:ascii="Arial" w:cs="Arial" w:eastAsia="Arial" w:hAnsi="Arial"/>
          <w:sz w:val="16"/>
          <w:szCs w:val="16"/>
          <w:color w:val="auto"/>
        </w:rPr>
      </w:pPr>
    </w:p>
    <w:p>
      <w:pPr>
        <w:ind w:left="460" w:right="40" w:hanging="452"/>
        <w:spacing w:after="0" w:line="265"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a Schedule 13G/A filed pursuant to the Exchange Act on February 9, 2017, Centerbridge Credit Partners, L.P. and Centerbridge Credit Partners General Partner, L.P. have shared voting and shared dispositive power over 3,030,084 shares; Centerbridge Credit Partners Master, L.P. and Centerbridge Credit Partners Offshore General Partner, L.P. have shared voting and shared dispositive power over 5,437,232 shares; Centerbridge Credit Cayman GP Ltd. has shared voting and shared dispositive power over 8,467,316 shares; Centerbridge Special Credit Partners III, L.P. and CSCP III Cayman GP Ltd. have shared voting and share dispositive power over 471,394 shares; and Mark T. Gallogly and Jeffrey H. Aronson have shared voting and shared dispositive power over 8,938,710 shares.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shares that may be acquired within 60 days of March 22, 2017 through the exercise of options to purchase shares as follows: Bradley Dodson</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73,476; all current directors and executive officers as a group – 73,476.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Ernst &amp; Young LLP (“E&amp;Y”) to audit the consolidated financial statements of Civeo for the year ending December 31, 2017 and the internal control over financial reporting of Civeo at December 31, 2017. E&amp;Y has audited Civeo’s, or its predecessor’s, as applicable, consolidated financial statements beginning with the year ended December 31, 2010 through the year ended December 31, 2016. Our board of directors is asking shareholders to ratify the appointment of E&amp;Y as Civeo’s auditor and independent registered public accounting firm for the year ending December 31, 2017 and until the next annual general meeting of shareholders and to authorize the directors to determine the remuneration to be paid to E&amp;Y for 2017. If the appointment is not ratified, it is not anticipated that E&amp;Y will be replaced in 2017. The Audit Committee will, however, consider whether it is appropriate to appoint another independent registered public accounting firm for 2018. Even if the selection is ratified, the Audit Committee in its discretion may appoint a different independent registered public accounting firm at any time during the year.</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aggregate fees billed by and paid to E&amp;Y for 2016 and 2015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9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$1,844</w:t>
            </w:r>
          </w:p>
        </w:tc>
        <w:tc>
          <w:tcPr>
            <w:tcW w:w="1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Audit-Related Fees</w:t>
            </w:r>
          </w:p>
        </w:tc>
        <w:tc>
          <w:tcPr>
            <w:tcW w:w="19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All Other Fees</w:t>
            </w:r>
          </w:p>
        </w:tc>
        <w:tc>
          <w:tcPr>
            <w:tcW w:w="1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2,734</w:t>
            </w:r>
          </w:p>
        </w:tc>
        <w:tc>
          <w:tcPr>
            <w:tcW w:w="60" w:type="dxa"/>
            <w:vAlign w:val="bottom"/>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the standards of the Public Company Accounting Oversight Board (the “PCAOB”). Audit fees were lower in 2016 than in 2015 primarily as a result of the following items: (1) during 2015, incremental audit work was required as a result of Civeo’s redomiciliation to Canada, and (2) during 2015, incremental audit work resulting from the significant effect of the macroeconomic environment on commodity prices, which impacted Civeo and its customers.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not reported above under “Audit Fees” and principally include due diligence in connection with acquisitions and accounting consultations and audits in connections with acquisitions, and internal control reviews.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include professional services provided for tax compliance, tax advice and tax planning, except those rendered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21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2016 and 2015 were subject to our pre-approval policy. None of the services related to the Audit-Related Fees, Tax Fees or All Other Fees described above were approved by the Audit Committee pursuant to the waiver of pre-approval provisions set forth in applicable rules of the SEC. Civeo has not agreed to indemnify E&amp;Y in connection with any of their work, except for limited indemnification for certain tax compliance and advisory engagements. Civeo has a policy that the hiring of any alumni of Civeo’s independent accounting firm must be pre-approved by either the Chief Financial Officer or the Vice President, Controller and Corporate Secretary to ensure compliance with independence regulations.</w:t>
      </w:r>
    </w:p>
    <w:p>
      <w:pPr>
        <w:spacing w:after="0" w:line="169" w:lineRule="exact"/>
        <w:rPr>
          <w:sz w:val="20"/>
          <w:szCs w:val="20"/>
          <w:color w:val="auto"/>
        </w:rPr>
      </w:pPr>
    </w:p>
    <w:p>
      <w:pPr>
        <w:jc w:val="both"/>
        <w:ind w:right="560" w:firstLine="456"/>
        <w:spacing w:after="0" w:line="312"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questions and discuss matters pertaining to the Reports of Independent Registered Public Accounting Firm contained in the financial statements in the Form 10-K filed with the SEC on February 23, 2017.</w:t>
      </w:r>
    </w:p>
    <w:p>
      <w:pPr>
        <w:spacing w:after="0" w:line="147"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174"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The board of directors recommends that shareholders vote “FOR” the ratification of the appointment of E&amp;Y as Civeo’s auditor and independent registered public accounting firm for the year ending December 31, 2017 and until the next annual general meeting of shareholders and the authorization of the directors of Civeo to determine the remuneration to be paid to E&amp;Y for 2017. The persons named in the accompanying proxy intend to vote such proxy in favor of this proposal, unless authority to vote for this proposal is withheld</w:t>
      </w:r>
      <w:r>
        <w:rPr>
          <w:rFonts w:ascii="Arial" w:cs="Arial" w:eastAsia="Arial" w:hAnsi="Arial"/>
          <w:sz w:val="17"/>
          <w:szCs w:val="17"/>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and the adequacy of the committee charter.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2016, and earlier in 2017 in preparation for the filing with the SEC of Civeo’s Form 10-K for the year ended December 31, 2016, the Audit Committee:</w:t>
      </w:r>
    </w:p>
    <w:p>
      <w:pPr>
        <w:spacing w:after="0" w:line="76" w:lineRule="exact"/>
        <w:rPr>
          <w:sz w:val="20"/>
          <w:szCs w:val="20"/>
          <w:color w:val="auto"/>
        </w:rPr>
      </w:pPr>
    </w:p>
    <w:p>
      <w:pPr>
        <w:ind w:left="900" w:right="200" w:hanging="325"/>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reviewed and discussed (1) the audited annual financial statements and quarterly financial statements, (2) related periodic reports filed with the SEC and (3) quarterly earnings press releases with management and Civeo’s independent registered public accounting firm;</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142" w:lineRule="exact"/>
        <w:rPr>
          <w:rFonts w:ascii="Arial" w:cs="Arial" w:eastAsia="Arial" w:hAnsi="Arial"/>
          <w:sz w:val="17"/>
          <w:szCs w:val="17"/>
          <w:color w:val="auto"/>
        </w:rPr>
      </w:pPr>
    </w:p>
    <w:p>
      <w:pPr>
        <w:ind w:left="900" w:right="1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Civeo’s internal controls, including Civeo’s internal control over financial reporting and the quality of its financial reporting, and discussed these matters with Civeo’s independent registered public accounting firm and with appropriate Company financial and compliance personnel;</w:t>
      </w:r>
    </w:p>
    <w:p>
      <w:pPr>
        <w:spacing w:after="0" w:line="86"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discussed with Civeo’s senior management and E&amp;Y, Civeo’s independent registered public accounting firm, the process used for Civeo’s Chief Executive Officer and Chief Financial Officer to make the certifications required by the SEC and the Sarbanes-Oxley Act of 2002 in connection with the 10-K and other periodic filings with the SEC;</w:t>
      </w:r>
    </w:p>
    <w:p>
      <w:pPr>
        <w:spacing w:after="0" w:line="86" w:lineRule="exact"/>
        <w:rPr>
          <w:rFonts w:ascii="Arial" w:cs="Arial" w:eastAsia="Arial" w:hAnsi="Arial"/>
          <w:sz w:val="18"/>
          <w:szCs w:val="18"/>
          <w:color w:val="auto"/>
        </w:rPr>
      </w:pPr>
    </w:p>
    <w:p>
      <w:pPr>
        <w:ind w:left="900" w:right="60" w:hanging="325"/>
        <w:spacing w:after="0" w:line="288"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w:t>
      </w:r>
    </w:p>
    <w:p>
      <w:pPr>
        <w:ind w:left="900" w:right="120"/>
        <w:spacing w:after="0" w:line="261" w:lineRule="auto"/>
        <w:rPr>
          <w:rFonts w:ascii="Arial" w:cs="Arial" w:eastAsia="Arial" w:hAnsi="Arial"/>
          <w:sz w:val="16"/>
          <w:szCs w:val="16"/>
          <w:color w:val="auto"/>
        </w:rPr>
      </w:pPr>
      <w:r>
        <w:rPr>
          <w:rFonts w:ascii="Arial" w:cs="Arial" w:eastAsia="Arial" w:hAnsi="Arial"/>
          <w:sz w:val="18"/>
          <w:szCs w:val="18"/>
          <w:color w:val="auto"/>
        </w:rPr>
        <w:t>(4) the matters required to be discussed with the committee under auditing standards generally accepted in the United States, including Auditing Standard No. 16, “Communication with Audit Committees”;</w:t>
      </w:r>
    </w:p>
    <w:p>
      <w:pPr>
        <w:spacing w:after="0" w:line="89"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these reviews and discussions, as well as private discussions with E&amp;Y and Civeo’s internal auditor, recommended to the board of directors the inclusion of the audited financial statements of Civeo and its subsidiaries in the Form 10-K for the year ended December 31, 2016; and</w:t>
      </w:r>
    </w:p>
    <w:p>
      <w:pPr>
        <w:spacing w:after="0" w:line="86"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Civeo by E&amp;Y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2016 and on the representations of the independent auditors included in their report on Civeo’s financial statements.</w:t>
      </w:r>
    </w:p>
    <w:p>
      <w:pPr>
        <w:spacing w:after="0" w:line="18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15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Civeo specifically incorporates it by reference into a document filed under the Securities Act of 1933, as amended, or the Exchange Act of 1934, as amended.</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Richard A. Navarre,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Szalkowski</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are asking that you vote for approval, on an advisory basis, of the compensation of our named executive officers as disclosed in this proxy statement, commonly referred to as a “Say-on-Pay” proposal. As approved by our stockholders at the 2015 annual meeting, consistent with our Board’s recommendation, we are submitting this proposal for a non-binding vote on an annual basis.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“Executive Compensation.”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discussed in greater detail in the Compensation Discussion and Analysis section of this proxy statement, Civeo’s philosophy regarding its executive compensation programs for named executive officers is to provide a comprehensive and competitive total compensation program with the following objectives:</w:t>
      </w:r>
    </w:p>
    <w:p>
      <w:pPr>
        <w:spacing w:after="0" w:line="87" w:lineRule="exact"/>
        <w:rPr>
          <w:sz w:val="20"/>
          <w:szCs w:val="20"/>
          <w:color w:val="auto"/>
        </w:rPr>
      </w:pPr>
    </w:p>
    <w:p>
      <w:pPr>
        <w:ind w:left="900" w:right="4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compensation program design and policies contribute to achievement of our objectives.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the reasons expressed above, the Compensation Committee and the board of directors believe that these policies and practices are aligned with the interests of our shareholders and reward our executives for performance.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therefore requesting your nonbinding vote on the following resolution:</w:t>
      </w:r>
    </w:p>
    <w:p>
      <w:pPr>
        <w:spacing w:after="0" w:line="117"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Civeo’s proxy statement for its 2017 annual general meeting of shareholders, pursuant to Item 402 of Regulation S-K, including the Compensation Discussion and Analysis, the executive compensation tables and the narrative discussion.”</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firstLine="456"/>
        <w:spacing w:after="0" w:line="343" w:lineRule="auto"/>
        <w:rPr>
          <w:sz w:val="20"/>
          <w:szCs w:val="20"/>
          <w:color w:val="auto"/>
        </w:rPr>
      </w:pPr>
      <w:r>
        <w:rPr>
          <w:rFonts w:ascii="Arial" w:cs="Arial" w:eastAsia="Arial" w:hAnsi="Arial"/>
          <w:sz w:val="15"/>
          <w:szCs w:val="15"/>
          <w:b w:val="1"/>
          <w:bCs w:val="1"/>
          <w:color w:val="auto"/>
        </w:rPr>
        <w:t>Civeo’s board of directors recommends a vote “FOR”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be included in the proxy materials for the 2018 annual general meeting of shareholders, shareholder proposals that are submitted for presentation at that annual general meeting and are otherwise eligible for inclusion in the proxy statement must be received by us no later than December 11, 2017. Proxies granted in connection with that annual general meeting may confer discretionary authority to vote on any shareholder proposal if notice of the proposal is not received by us in accordance with the advance notice requirements of our articles discussed below. It is suggested that proponents submit their proposals by certified mail, return receipt requested.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2018 annual general meeting of shareholders, notice will have to be received by us no later than January 11, 2018.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 If we choose not to include such a nominee, the shareholder will be required to distribute its own proxy materials in connection with its solicitation of proxies with respect to that nominee.</w:t>
      </w:r>
    </w:p>
    <w:p>
      <w:pPr>
        <w:spacing w:after="0" w:line="17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statements wishes to receive a single proxy statement in the future, that shareholder should contact their broker or send a request to our Corporate Secretary, Civeo Corporation, Three Allen Center, 333 Clay Street, Suite 4980, Houston, TX 77002, (713) 510-2400. We will deliver, promptly upon written or oral request to the general counsel, a separate copy of this proxy statement to a beneficial shareholder at a shared address to which a single copy of the documents was delivered.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You may obtain a copy of our Annual Report on Form 10-K for the fiscal year ended December 31, 2016 without charge from our Corporate Secretary by sending a written request to Carolyn J. Stone, Vice President, Controller and Corporate Secretary, Civeo Corporation, Three Allen Center, 333 Clay Street, Suite 4980, Houston, Texas 77002, (713) 510-2400, or you may access our Annual Report on Form 10-K for the year ended December 31, 2016 from our website at </w:t>
      </w:r>
      <w:r>
        <w:rPr>
          <w:rFonts w:ascii="Arial" w:cs="Arial" w:eastAsia="Arial" w:hAnsi="Arial"/>
          <w:sz w:val="18"/>
          <w:szCs w:val="18"/>
          <w:u w:val="single" w:color="auto"/>
          <w:color w:val="auto"/>
        </w:rPr>
        <w:t>www.civeo.com</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42610" cy="7289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42610" cy="72891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upperLetter"/>
      <w:start w:val="17"/>
    </w:lvl>
  </w:abstractNum>
  <w:abstractNum w:abstractNumId="8">
    <w:nsid w:val="1D4ED43B"/>
    <w:multiLevelType w:val="hybridMultilevel"/>
    <w:lvl w:ilvl="0">
      <w:lvlJc w:val="left"/>
      <w:lvlText w:val="%1:"/>
      <w:numFmt w:val="upperLetter"/>
      <w:start w:val="1"/>
    </w:lvl>
    <w:lvl w:ilvl="1">
      <w:lvlJc w:val="left"/>
      <w:lvlText w:val="•"/>
      <w:numFmt w:val="bullet"/>
      <w:start w:val="1"/>
    </w:lvl>
  </w:abstractNum>
  <w:abstractNum w:abstractNumId="9">
    <w:nsid w:val="725A06FB"/>
    <w:multiLevelType w:val="hybridMultilevel"/>
    <w:lvl w:ilvl="0">
      <w:lvlJc w:val="left"/>
      <w:lvlText w:val="%1:"/>
      <w:numFmt w:val="upperLetter"/>
      <w:start w:val="17"/>
    </w:lvl>
  </w:abstractNum>
  <w:abstractNum w:abstractNumId="10">
    <w:nsid w:val="2CD89A32"/>
    <w:multiLevelType w:val="hybridMultilevel"/>
    <w:lvl w:ilvl="0">
      <w:lvlJc w:val="left"/>
      <w:lvlText w:val="%1:"/>
      <w:numFmt w:val="upperLetter"/>
      <w:start w:val="1"/>
    </w:lvl>
  </w:abstractNum>
  <w:abstractNum w:abstractNumId="11">
    <w:nsid w:val="57E4CCAF"/>
    <w:multiLevelType w:val="hybridMultilevel"/>
    <w:lvl w:ilvl="0">
      <w:lvlJc w:val="left"/>
      <w:lvlText w:val="%1:"/>
      <w:numFmt w:val="upperLetter"/>
      <w:start w:val="17"/>
    </w:lvl>
  </w:abstractNum>
  <w:abstractNum w:abstractNumId="12">
    <w:nsid w:val="7A6D8D3C"/>
    <w:multiLevelType w:val="hybridMultilevel"/>
    <w:lvl w:ilvl="0">
      <w:lvlJc w:val="left"/>
      <w:lvlText w:val="%1:"/>
      <w:numFmt w:val="upperLetter"/>
      <w:start w:val="1"/>
    </w:lvl>
  </w:abstractNum>
  <w:abstractNum w:abstractNumId="13">
    <w:nsid w:val="4B588F54"/>
    <w:multiLevelType w:val="hybridMultilevel"/>
    <w:lvl w:ilvl="0">
      <w:lvlJc w:val="left"/>
      <w:lvlText w:val="%1:"/>
      <w:numFmt w:val="upperLetter"/>
      <w:start w:val="17"/>
    </w:lvl>
  </w:abstractNum>
  <w:abstractNum w:abstractNumId="14">
    <w:nsid w:val="542289EC"/>
    <w:multiLevelType w:val="hybridMultilevel"/>
    <w:lvl w:ilvl="0">
      <w:lvlJc w:val="left"/>
      <w:lvlText w:val="%1:"/>
      <w:numFmt w:val="upperLetter"/>
      <w:start w:val="1"/>
    </w:lvl>
  </w:abstractNum>
  <w:abstractNum w:abstractNumId="15">
    <w:nsid w:val="6DE91B18"/>
    <w:multiLevelType w:val="hybridMultilevel"/>
    <w:lvl w:ilvl="0">
      <w:lvlJc w:val="left"/>
      <w:lvlText w:val="%1:"/>
      <w:numFmt w:val="upperLetter"/>
      <w:start w:val="17"/>
    </w:lvl>
  </w:abstractNum>
  <w:abstractNum w:abstractNumId="16">
    <w:nsid w:val="38437FDB"/>
    <w:multiLevelType w:val="hybridMultilevel"/>
    <w:lvl w:ilvl="0">
      <w:lvlJc w:val="left"/>
      <w:lvlText w:val="%1:"/>
      <w:numFmt w:val="upperLetter"/>
      <w:start w:val="1"/>
    </w:lvl>
  </w:abstractNum>
  <w:abstractNum w:abstractNumId="17">
    <w:nsid w:val="7644A45C"/>
    <w:multiLevelType w:val="hybridMultilevel"/>
    <w:lvl w:ilvl="0">
      <w:lvlJc w:val="left"/>
      <w:lvlText w:val="%1:"/>
      <w:numFmt w:val="upperLetter"/>
      <w:start w:val="17"/>
    </w:lvl>
  </w:abstractNum>
  <w:abstractNum w:abstractNumId="18">
    <w:nsid w:val="32FFF902"/>
    <w:multiLevelType w:val="hybridMultilevel"/>
    <w:lvl w:ilvl="0">
      <w:lvlJc w:val="left"/>
      <w:lvlText w:val="%1:"/>
      <w:numFmt w:val="upperLetter"/>
      <w:start w:val="1"/>
    </w:lvl>
  </w:abstractNum>
  <w:abstractNum w:abstractNumId="19">
    <w:nsid w:val="684A481A"/>
    <w:multiLevelType w:val="hybridMultilevel"/>
    <w:lvl w:ilvl="0">
      <w:lvlJc w:val="left"/>
      <w:lvlText w:val="%1:"/>
      <w:numFmt w:val="upperLetter"/>
      <w:start w:val="17"/>
    </w:lvl>
  </w:abstractNum>
  <w:abstractNum w:abstractNumId="20">
    <w:nsid w:val="579478FE"/>
    <w:multiLevelType w:val="hybridMultilevel"/>
    <w:lvl w:ilvl="0">
      <w:lvlJc w:val="left"/>
      <w:lvlText w:val="%1:"/>
      <w:numFmt w:val="upperLetter"/>
      <w:start w:val="1"/>
    </w:lvl>
    <w:lvl w:ilvl="1">
      <w:lvlJc w:val="left"/>
      <w:lvlText w:val="•"/>
      <w:numFmt w:val="bullet"/>
      <w:start w:val="1"/>
    </w:lvl>
  </w:abstractNum>
  <w:abstractNum w:abstractNumId="21">
    <w:nsid w:val="749ABB43"/>
    <w:multiLevelType w:val="hybridMultilevel"/>
    <w:lvl w:ilvl="0">
      <w:lvlJc w:val="left"/>
      <w:lvlText w:val="%1:"/>
      <w:numFmt w:val="upperLetter"/>
      <w:start w:val="17"/>
    </w:lvl>
  </w:abstractNum>
  <w:abstractNum w:abstractNumId="22">
    <w:nsid w:val="3DC240FB"/>
    <w:multiLevelType w:val="hybridMultilevel"/>
    <w:lvl w:ilvl="0">
      <w:lvlJc w:val="left"/>
      <w:lvlText w:val="%1:"/>
      <w:numFmt w:val="upperLetter"/>
      <w:start w:val="1"/>
    </w:lvl>
  </w:abstractNum>
  <w:abstractNum w:abstractNumId="23">
    <w:nsid w:val="1BA026FA"/>
    <w:multiLevelType w:val="hybridMultilevel"/>
    <w:lvl w:ilvl="0">
      <w:lvlJc w:val="left"/>
      <w:lvlText w:val="%1:"/>
      <w:numFmt w:val="upperLetter"/>
      <w:start w:val="17"/>
    </w:lvl>
  </w:abstractNum>
  <w:abstractNum w:abstractNumId="24">
    <w:nsid w:val="79A1DEAA"/>
    <w:multiLevelType w:val="hybridMultilevel"/>
    <w:lvl w:ilvl="0">
      <w:lvlJc w:val="left"/>
      <w:lvlText w:val="%1:"/>
      <w:numFmt w:val="upperLetter"/>
      <w:start w:val="1"/>
    </w:lvl>
  </w:abstractNum>
  <w:abstractNum w:abstractNumId="25">
    <w:nsid w:val="75C6C33A"/>
    <w:multiLevelType w:val="hybridMultilevel"/>
    <w:lvl w:ilvl="0">
      <w:lvlJc w:val="left"/>
      <w:lvlText w:val="%1:"/>
      <w:numFmt w:val="upperLetter"/>
      <w:start w:val="17"/>
    </w:lvl>
  </w:abstractNum>
  <w:abstractNum w:abstractNumId="26">
    <w:nsid w:val="12E685FB"/>
    <w:multiLevelType w:val="hybridMultilevel"/>
    <w:lvl w:ilvl="0">
      <w:lvlJc w:val="left"/>
      <w:lvlText w:val="%1:"/>
      <w:numFmt w:val="upperLetter"/>
      <w:start w:val="1"/>
    </w:lvl>
    <w:lvl w:ilvl="1">
      <w:lvlJc w:val="left"/>
      <w:lvlText w:val="•"/>
      <w:numFmt w:val="bullet"/>
      <w:start w:val="1"/>
    </w:lvl>
  </w:abstractNum>
  <w:abstractNum w:abstractNumId="27">
    <w:nsid w:val="70C6A529"/>
    <w:multiLevelType w:val="hybridMultilevel"/>
    <w:lvl w:ilvl="0">
      <w:lvlJc w:val="left"/>
      <w:lvlText w:val="%1:"/>
      <w:numFmt w:val="upperLetter"/>
      <w:start w:val="17"/>
    </w:lvl>
  </w:abstractNum>
  <w:abstractNum w:abstractNumId="28">
    <w:nsid w:val="520EEDD1"/>
    <w:multiLevelType w:val="hybridMultilevel"/>
    <w:lvl w:ilvl="0">
      <w:lvlJc w:val="left"/>
      <w:lvlText w:val="%1:"/>
      <w:numFmt w:val="upperLetter"/>
      <w:start w:val="1"/>
    </w:lvl>
  </w:abstractNum>
  <w:abstractNum w:abstractNumId="29">
    <w:nsid w:val="374A3FE6"/>
    <w:multiLevelType w:val="hybridMultilevel"/>
    <w:lvl w:ilvl="0">
      <w:lvlJc w:val="left"/>
      <w:lvlText w:val="%1:"/>
      <w:numFmt w:val="upperLetter"/>
      <w:start w:val="17"/>
    </w:lvl>
  </w:abstractNum>
  <w:abstractNum w:abstractNumId="30">
    <w:nsid w:val="4F4EF005"/>
    <w:multiLevelType w:val="hybridMultilevel"/>
    <w:lvl w:ilvl="0">
      <w:lvlJc w:val="left"/>
      <w:lvlText w:val="%1:"/>
      <w:numFmt w:val="upperLetter"/>
      <w:start w:val="1"/>
    </w:lvl>
  </w:abstractNum>
  <w:abstractNum w:abstractNumId="31">
    <w:nsid w:val="23F9C13C"/>
    <w:multiLevelType w:val="hybridMultilevel"/>
    <w:lvl w:ilvl="0">
      <w:lvlJc w:val="left"/>
      <w:lvlText w:val="%1:"/>
      <w:numFmt w:val="upperLetter"/>
      <w:start w:val="17"/>
    </w:lvl>
  </w:abstractNum>
  <w:abstractNum w:abstractNumId="32">
    <w:nsid w:val="649BB77C"/>
    <w:multiLevelType w:val="hybridMultilevel"/>
    <w:lvl w:ilvl="0">
      <w:lvlJc w:val="left"/>
      <w:lvlText w:val="%1:"/>
      <w:numFmt w:val="upperLetter"/>
      <w:start w:val="1"/>
    </w:lvl>
  </w:abstractNum>
  <w:abstractNum w:abstractNumId="33">
    <w:nsid w:val="275AC794"/>
    <w:multiLevelType w:val="hybridMultilevel"/>
    <w:lvl w:ilvl="0">
      <w:lvlJc w:val="left"/>
      <w:lvlText w:val="%1:"/>
      <w:numFmt w:val="upperLetter"/>
      <w:start w:val="17"/>
    </w:lvl>
  </w:abstractNum>
  <w:abstractNum w:abstractNumId="34">
    <w:nsid w:val="39386575"/>
    <w:multiLevelType w:val="hybridMultilevel"/>
    <w:lvl w:ilvl="0">
      <w:lvlJc w:val="left"/>
      <w:lvlText w:val="%1:"/>
      <w:numFmt w:val="upperLetter"/>
      <w:start w:val="1"/>
    </w:lvl>
  </w:abstractNum>
  <w:abstractNum w:abstractNumId="35">
    <w:nsid w:val="1CF10FD8"/>
    <w:multiLevelType w:val="hybridMultilevel"/>
    <w:lvl w:ilvl="0">
      <w:lvlJc w:val="left"/>
      <w:lvlText w:val="%1:"/>
      <w:numFmt w:val="upperLetter"/>
      <w:start w:val="17"/>
    </w:lvl>
  </w:abstractNum>
  <w:abstractNum w:abstractNumId="36">
    <w:nsid w:val="180115BE"/>
    <w:multiLevelType w:val="hybridMultilevel"/>
    <w:lvl w:ilvl="0">
      <w:lvlJc w:val="left"/>
      <w:lvlText w:val="%1:"/>
      <w:numFmt w:val="upperLetter"/>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upperLetter"/>
      <w:start w:val="61"/>
    </w:lvl>
  </w:abstractNum>
  <w:abstractNum w:abstractNumId="41">
    <w:nsid w:val="741226BB"/>
    <w:multiLevelType w:val="hybridMultilevel"/>
    <w:lvl w:ilvl="0">
      <w:lvlJc w:val="left"/>
      <w:lvlText w:val="(%1)"/>
      <w:numFmt w:val="lowerRoman"/>
      <w:start w:val="3"/>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lowerRoman"/>
      <w:start w:val="6"/>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lvl w:ilvl="1">
      <w:lvlJc w:val="left"/>
      <w:lvlText w:val="•"/>
      <w:numFmt w:val="bullet"/>
      <w:start w:val="1"/>
    </w:lvl>
  </w:abstractNum>
  <w:abstractNum w:abstractNumId="54">
    <w:nsid w:val="4AD084E9"/>
    <w:multiLevelType w:val="hybridMultilevel"/>
    <w:lvl w:ilvl="0">
      <w:lvlJc w:val="left"/>
      <w:lvlText w:val="(%1)"/>
      <w:numFmt w:val="upperLetter"/>
      <w:start w:val="3"/>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6"/>
    </w:lvl>
  </w:abstractNum>
  <w:abstractNum w:abstractNumId="57">
    <w:nsid w:val="5DB70AE5"/>
    <w:multiLevelType w:val="hybridMultilevel"/>
    <w:lvl w:ilvl="0">
      <w:lvlJc w:val="left"/>
      <w:lvlText w:val="%1"/>
      <w:numFmt w:val="decimal"/>
      <w:start w:val="1"/>
    </w:lvl>
    <w:lvl w:ilvl="1">
      <w:lvlJc w:val="left"/>
      <w:lvlText w:val="(%2)"/>
      <w:numFmt w:val="lowerLetter"/>
      <w:start w:val="1"/>
    </w:lvl>
  </w:abstractNum>
  <w:abstractNum w:abstractNumId="58">
    <w:nsid w:val="100F8FCA"/>
    <w:multiLevelType w:val="hybridMultilevel"/>
    <w:lvl w:ilvl="0">
      <w:lvlJc w:val="left"/>
      <w:lvlText w:val="(%1)"/>
      <w:numFmt w:val="decimal"/>
      <w:start w:val="8"/>
    </w:lvl>
    <w:lvl w:ilvl="1">
      <w:lvlJc w:val="left"/>
      <w:lvlText w:val="%2"/>
      <w:numFmt w:val="lowerLetter"/>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2"/>
    </w:lvl>
  </w:abstractNum>
  <w:abstractNum w:abstractNumId="61">
    <w:nsid w:val="5F5E7FD0"/>
    <w:multiLevelType w:val="hybridMultilevel"/>
    <w:lvl w:ilvl="0">
      <w:lvlJc w:val="left"/>
      <w:lvlText w:val="(%1)"/>
      <w:numFmt w:val="decimal"/>
      <w:start w:val="3"/>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0"/>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lowerRoman"/>
      <w:start w:val="2"/>
    </w:lvl>
  </w:abstractNum>
  <w:abstractNum w:abstractNumId="66">
    <w:nsid w:val="168E121F"/>
    <w:multiLevelType w:val="hybridMultilevel"/>
    <w:lvl w:ilvl="0">
      <w:lvlJc w:val="left"/>
      <w:lvlText w:val="(%1)"/>
      <w:numFmt w:val="lowerRoman"/>
      <w:start w:val="5"/>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2"/>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3"/>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2019-12-07T21:07:43Z</dcterms:created>
  <dcterms:modified xsi:type="dcterms:W3CDTF">2019-12-07T21:07:43Z</dcterms:modified>
</cp:coreProperties>
</file>