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071603.xml.htm"/>
      <w:bookmarkStart w:id="1" w:name="kswkform4_17090716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McCann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 SUITE 4980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Civeo Corp</w:t>
              </w:r>
            </w:hyperlink>
            <w:r>
              <w:rPr/>
              <w:t xml:space="preserve"> [ </w:t>
            </w:r>
            <w:r>
              <w:rPr>
                <w:rFonts w:ascii="Times;serif" w:hAnsi="Times;serif"/>
                <w:color w:val="0000FF"/>
                <w:sz w:val="24"/>
                <w:shd w:fill="FFFFFF" w:val="clear"/>
              </w:rPr>
              <w:t>CVEO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Australia</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2,099</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52,714</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2,099</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50,615</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3,368</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53,983</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3,368</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50,615</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share was the economic equivalent of one Civeo common share and is payable in cash. The phantom shares vest at various times based on the grant date. 2,099 shares vested on February 23,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phantom share was the economic equivalent of one Civeo common share and is payable in cash. The phantom shares vest at various times based on the grant date. 3,368 shares vested on February 25,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McCann, by Bradley J. Dodson,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07344" TargetMode="External"/><Relationship Id="rId4" Type="http://schemas.openxmlformats.org/officeDocument/2006/relationships/hyperlink" Target="http://www.sec.gov/cgi-bin/browse-edgar?action=getcompany&amp;CIK=000159058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3636</Characters>
  <CharactersWithSpaces>4220</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