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29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2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4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4"/>
                </w:rPr>
                <w:t>Fraser Andrew</w:t>
              </w:r>
            </w:hyperlink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Civeo Corp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CVEO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333 CLAY STREET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4980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08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HOUSTON</w:t>
            </w: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TX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77002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7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11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President, Canada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89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4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78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No securities are beneficially owned.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Andrew Fraser, by Bradley J.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106170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17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Dodson, 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98107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34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08/20/2024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360" w:space="46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27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1" Type="http://schemas.openxmlformats.org/officeDocument/2006/relationships/hyperlink" Target="http://www.sec.gov/cgi-bin/browse-edgar?action=getcompany&amp;CIK=0002033633" TargetMode="External"/><Relationship Id="rId12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2024-08-20T13:32:19Z</dcterms:created>
  <dcterms:modified xsi:type="dcterms:W3CDTF">2024-08-20T13:32:19Z</dcterms:modified>
</cp:coreProperties>
</file>