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 August 12, 2014</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Civeo Corporation</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p>
      <w:pPr>
        <w:ind w:left="1480"/>
        <w:spacing w:after="0"/>
        <w:tabs>
          <w:tab w:leader="none" w:pos="5520" w:val="left"/>
          <w:tab w:leader="none" w:pos="9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1-36246</w:t>
      </w:r>
      <w:r>
        <w:rPr>
          <w:sz w:val="20"/>
          <w:szCs w:val="20"/>
          <w:color w:val="auto"/>
        </w:rPr>
        <w:tab/>
      </w:r>
      <w:r>
        <w:rPr>
          <w:rFonts w:ascii="Arial" w:cs="Arial" w:eastAsia="Arial" w:hAnsi="Arial"/>
          <w:sz w:val="15"/>
          <w:szCs w:val="15"/>
          <w:b w:val="1"/>
          <w:bCs w:val="1"/>
          <w:color w:val="auto"/>
        </w:rPr>
        <w:t>46-3831207</w:t>
      </w:r>
    </w:p>
    <w:p>
      <w:pPr>
        <w:spacing w:after="0" w:line="21" w:lineRule="exact"/>
        <w:rPr>
          <w:sz w:val="24"/>
          <w:szCs w:val="24"/>
          <w:color w:val="auto"/>
        </w:rPr>
      </w:pPr>
    </w:p>
    <w:p>
      <w:pPr>
        <w:ind w:left="260"/>
        <w:spacing w:after="0"/>
        <w:tabs>
          <w:tab w:leader="none" w:pos="4840" w:val="left"/>
          <w:tab w:leader="none" w:pos="826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Three Allen Center</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and zip code of principal executive offices)</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p>
    <w:p>
      <w:pPr>
        <w:spacing w:after="0" w:line="200" w:lineRule="exact"/>
        <w:rPr>
          <w:sz w:val="24"/>
          <w:szCs w:val="24"/>
          <w:color w:val="auto"/>
        </w:rPr>
      </w:pPr>
    </w:p>
    <w:p>
      <w:pPr>
        <w:spacing w:after="0" w:line="26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On August 12, 2014, Civeo Corporation (the "Company") issued a press release announcing its financial condition and results of operations for the quarter ended June 30, 2014. A copy of the press release is furnished as Exhibit 99.1 to this report on Form 8-K, and is incorporated herein by reference.</w:t>
      </w:r>
    </w:p>
    <w:p>
      <w:pPr>
        <w:spacing w:after="0" w:line="139"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80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36"/>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800" w:type="dxa"/>
            <w:vAlign w:val="bottom"/>
            <w:gridSpan w:val="3"/>
          </w:tcPr>
          <w:p>
            <w:pPr>
              <w:ind w:left="400"/>
              <w:spacing w:after="0"/>
              <w:rPr>
                <w:sz w:val="20"/>
                <w:szCs w:val="20"/>
                <w:color w:val="auto"/>
              </w:rPr>
            </w:pPr>
            <w:r>
              <w:rPr>
                <w:rFonts w:ascii="Arial" w:cs="Arial" w:eastAsia="Arial" w:hAnsi="Arial"/>
                <w:sz w:val="16"/>
                <w:szCs w:val="16"/>
                <w:color w:val="auto"/>
                <w:w w:val="88"/>
              </w:rPr>
              <w:t>Press Release dated August 12, 2014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6"/>
          <w:szCs w:val="16"/>
          <w:b w:val="1"/>
          <w:bCs w:val="1"/>
          <w:color w:val="auto"/>
        </w:rPr>
        <w:t>Civeo Corporation</w:t>
      </w:r>
    </w:p>
    <w:p>
      <w:pPr>
        <w:spacing w:after="0" w:line="231"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Officer and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Index to Exhibits</w:t>
      </w:r>
    </w:p>
    <w:p>
      <w:pPr>
        <w:sectPr>
          <w:pgSz w:w="11900" w:h="16871" w:orient="portrait"/>
          <w:cols w:equalWidth="0" w:num="1">
            <w:col w:w="11340"/>
          </w:cols>
          <w:pgMar w:left="240" w:top="220" w:right="319" w:bottom="0" w:gutter="0" w:footer="0" w:header="0"/>
        </w:sectPr>
      </w:pP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color w:val="auto"/>
        </w:rPr>
        <w:t>Exhibit</w:t>
      </w:r>
    </w:p>
    <w:p>
      <w:pPr>
        <w:sectPr>
          <w:pgSz w:w="11900" w:h="16871" w:orient="portrait"/>
          <w:cols w:equalWidth="0" w:num="1">
            <w:col w:w="11340"/>
          </w:cols>
          <w:pgMar w:left="240" w:top="220"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6"/>
                <w:szCs w:val="16"/>
                <w:color w:val="auto"/>
              </w:rPr>
            </w:pPr>
          </w:p>
        </w:tc>
        <w:tc>
          <w:tcPr>
            <w:tcW w:w="2800" w:type="dxa"/>
            <w:vAlign w:val="bottom"/>
            <w:gridSpan w:val="3"/>
          </w:tcPr>
          <w:p>
            <w:pPr>
              <w:ind w:left="400"/>
              <w:spacing w:after="0"/>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49"/>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800" w:type="dxa"/>
            <w:vAlign w:val="bottom"/>
            <w:gridSpan w:val="3"/>
          </w:tcPr>
          <w:p>
            <w:pPr>
              <w:ind w:left="400"/>
              <w:spacing w:after="0"/>
              <w:rPr>
                <w:sz w:val="20"/>
                <w:szCs w:val="20"/>
                <w:color w:val="auto"/>
              </w:rPr>
            </w:pPr>
            <w:r>
              <w:rPr>
                <w:rFonts w:ascii="Arial" w:cs="Arial" w:eastAsia="Arial" w:hAnsi="Arial"/>
                <w:sz w:val="16"/>
                <w:szCs w:val="16"/>
                <w:color w:val="auto"/>
                <w:w w:val="88"/>
              </w:rPr>
              <w:t>Press Release dated August 12, 2014</w:t>
            </w:r>
          </w:p>
        </w:tc>
      </w:tr>
    </w:tbl>
    <w:p>
      <w:pPr>
        <w:sectPr>
          <w:pgSz w:w="11900" w:h="16838" w:orient="portrait"/>
          <w:cols w:equalWidth="0" w:num="1">
            <w:col w:w="10219"/>
          </w:cols>
          <w:pgMar w:left="240" w:top="118"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ind w:left="3080"/>
        <w:spacing w:after="0"/>
        <w:rPr>
          <w:sz w:val="20"/>
          <w:szCs w:val="20"/>
          <w:color w:val="auto"/>
        </w:rPr>
      </w:pPr>
      <w:r>
        <w:rPr>
          <w:rFonts w:ascii="Arial" w:cs="Arial" w:eastAsia="Arial" w:hAnsi="Arial"/>
          <w:sz w:val="25"/>
          <w:szCs w:val="25"/>
          <w:b w:val="1"/>
          <w:bCs w:val="1"/>
          <w:color w:val="auto"/>
        </w:rPr>
        <w:t>Civeo Announces Second Quarter 2014 Earnings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Successfully completed our Spin-Off from Oil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120"/>
        <w:spacing w:after="0" w:line="241" w:lineRule="auto"/>
        <w:rPr>
          <w:sz w:val="20"/>
          <w:szCs w:val="20"/>
          <w:color w:val="auto"/>
        </w:rPr>
      </w:pPr>
      <w:r>
        <w:rPr>
          <w:rFonts w:ascii="Arial" w:cs="Arial" w:eastAsia="Arial" w:hAnsi="Arial"/>
          <w:sz w:val="21"/>
          <w:szCs w:val="21"/>
          <w:color w:val="auto"/>
        </w:rPr>
        <w:t>Second quarter results are in-line with previous quarterly guidance Opened eighth Canadian lodge ahead of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60"/>
        <w:spacing w:after="0" w:line="237" w:lineRule="auto"/>
        <w:rPr>
          <w:sz w:val="20"/>
          <w:szCs w:val="20"/>
          <w:color w:val="auto"/>
        </w:rPr>
      </w:pPr>
      <w:r>
        <w:rPr>
          <w:rFonts w:ascii="Arial" w:cs="Arial" w:eastAsia="Arial" w:hAnsi="Arial"/>
          <w:sz w:val="22"/>
          <w:szCs w:val="22"/>
          <w:color w:val="auto"/>
        </w:rPr>
        <w:t>Expect to conclude assessment of structural alternatives, including a possible REIT conversion, by the end of the third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HOUSTON, Aug. 12, 2014 (GLOBE NEWSWIRE) -- Civeo Corporation (NYSE:CVEO) reported net income for the quarter ended June 30, 2014 of $13.9 million, or $0.13 per diluted share, which included transaction and one-time costs and expenses totaling $21.1 million pre-tax, or $0.17 per diluted share after-tax, which are detailed below. These results compare to net income of $33.0 million, or $0.31 per diluted share, for the second quarter of 2013, which included a $0.01 per diluted share after-tax loss from debt extinguishment costs.</w:t>
      </w:r>
    </w:p>
    <w:p>
      <w:pPr>
        <w:spacing w:after="0" w:line="188"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As previously reported, the Company completed its spin-off from Oil States International, Inc. (NYSE:OIS) on May 30, 2014. For periods prior to the spin-off, Civeo's financial position, results of operations and cash flows consisted of the Accommodations business of Oil States, which represented a combined reporting entity. The financial information for periods subsequent to the spin-off represents the consolidated results of operations, financial position and cash flows of Civeo. As a result, the Company's consolidated statements of income and comprehensive income for the quarter ended June 30, 2014 consist of the consolidated results of Civeo for the month ended June 30, 2014, and the combined results of the Accommodations business of Oil States for the two months ended May 31, 2014.</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Company generated revenues of $227.1 million and Adjusted EBITDA of $76.6 million during the second quarter of 2014 (EBITDA is defined as net income plus interest, taxes, depreciation and amortization and Adjusted EBITDA is defined as EBITDA adjusted to exclude impairment charges and certain other costs such as those incurred associated with the spin-off). These results compare to revenues of $243.0 million and Adjusted EBITDA of $92.9 million reported in the second quarter of 2013. Revenues and Adjusted EBITDA were down year-over-year primarily due to the unfavorable impact on consolidated results of a stronger U.S. dollar compared to the Australian and Canadian dollars, year-over-year declines of 10% and 7%, respectively, lower occupancy levels in both the Australian villages and Canadian lodges and lower average daily rates at the Canadian lodges.</w:t>
      </w:r>
    </w:p>
    <w:p>
      <w:pPr>
        <w:spacing w:after="0" w:line="153"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The Company's President and Chief Executive Officer, Bradley J. Dodson, stated, "We made significant strategic progress in the second quarter including successfully completing the spin-off from Oil States. In addition, we opened our eighth Canadian lodge, the McClelland Lake Lodge, ahead of schedule and began serving our client under a three-year contract. In Australia, we moved 114 existing, underutilized rooms from Dysart to Boggabri where we expect stronger demand in the near term. We continue to pursue other organic and acquisition related growth opportunities in Canada and Australia. Operationally, the second quarter results were modestly ahead of our guidance and expectations. Overall, it was a good first quarter for Civeo as an independent public company."</w:t>
      </w:r>
    </w:p>
    <w:p>
      <w:pPr>
        <w:spacing w:after="0" w:line="19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Mr. Dodson continued, "Together with our outside legal, tax and investment banking advisors, Civeo management and our board of directors are assessing a possible REIT conversion for the company and expect to complete this process in the third quarter of 2014."</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For the first half of 2014, the Company reported revenues of $479.9 million, Adjusted EBITDA of $169.5 million and net income of $50.2 million, or $0.47 per diluted share, which included a $0.12 per diluted share after-tax loss from transition costs, debt extinguishment costs and an impairment incurred in connection with the spin-off from Oil States, a $0.03 per diluted share after-tax loss from severance costs associated with the termination of an executive, and a $0.02 per diluted share after-tax loss from the impairment of assets, and for which the return or reimbursement is unlikely. For the first half of 2013, the Company reported revenues of $537.5 million, Adjusted EBITDA of $220.8 million and net income of $96.8 million, or $0.91 per diluted share, which included a pre-tax gain of $4.0 million, or $0.03 per diluted share after-tax related to the reversal of an estimated earnout liability associated with an acquisition, offset by a $0.01 per diluted share after-tax loss from debt extinguishment costs.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(Unless otherwise noted, the following discussion compares the quarterly results for the second quarter of 2014 to the results for the second quarter of 2013.)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Canadian segment generated revenues of $156.5 million and Adjusted EBITDA of $50.9 million for the second quarter of 2014 compared to revenues and Adjusted EBITDA of $161.0 million and $58.0 million, respectively, in the second quarter of 2013. Our second quarter 2014 results were negatively impacted by weakening Canadian currencies relative to the U.S. dollar which reduced revenues by $10.2 million and Adjusted EBITDA by $3.2 million. Excluding the year-over-year impact of exchange rates, revenues would have increased $5.7 million and Adjusted EBITDA would have decreased $3.9 million. On a constant currency basis, the revenues increased due to higher mobile camp activity partially offset by lower contracted rates and reduced occupancy at one of our lodges. Adjusted EBITDA decreased due to the lower contracted rates. RevPAR decreased 15% year-over-year to $110</w:t>
      </w:r>
    </w:p>
    <w:p>
      <w:pPr>
        <w:sectPr>
          <w:pgSz w:w="11900" w:h="16838" w:orient="portrait"/>
          <w:cols w:equalWidth="0" w:num="1">
            <w:col w:w="11420"/>
          </w:cols>
          <w:pgMar w:left="240" w:top="118" w:right="239" w:bottom="7" w:gutter="0" w:footer="0" w:header="0"/>
        </w:sectPr>
      </w:pPr>
    </w:p>
    <w:bookmarkStart w:id="3" w:name="page4"/>
    <w:bookmarkEnd w:id="3"/>
    <w:p>
      <w:pPr>
        <w:ind w:right="60"/>
        <w:spacing w:after="0" w:line="251" w:lineRule="auto"/>
        <w:rPr>
          <w:sz w:val="20"/>
          <w:szCs w:val="20"/>
          <w:color w:val="auto"/>
        </w:rPr>
      </w:pPr>
      <w:r>
        <w:rPr>
          <w:rFonts w:ascii="Arial" w:cs="Arial" w:eastAsia="Arial" w:hAnsi="Arial"/>
          <w:sz w:val="22"/>
          <w:szCs w:val="22"/>
          <w:color w:val="auto"/>
        </w:rPr>
        <w:t>in the second quarter of 2014, compared to $129 in the second quarter of 2013. The RevPAR decrease was attributable to declining foreign exchange rates and lower average daily rates.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Australian segment generated revenues of $54.4 million and Adjusted EBITDA of $25.7 million for the second quarter of 2014 compared to revenues and Adjusted EBITDA of $64.0 million and $34.3 million, respectively, in the second quarter of 2013. Our second quarter 2014 results were negatively impacted by a weaker Australian dollar relative to the U.S. dollar which reduced revenues by $3.4 million and Adjusted EBITDA by $1.5 million. On a constant currency basis, revenues and Adjusted EBITDA would have declined $6.2 million and $7.1 million, respectively. The revenue and Adjusted EBITDA declines were primarily due to lower occupancy resulting from reduced customer commitments and overall lower customer activity and spending in the Bowen Basin, partially offset by contributions by the Boggabri Village which opened in the third quarter of 2013. RevPAR decreased 19% year-over-year to $65 in the second quarter of 2014, compared to $80 in the second quarter of 2013. The RevPAR decrease was attributable to declining foreign exchange rates and lower occupancy levels for the Australian villages.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U.S. segment generated revenues of $16.3 million and Adjusted EBITDA of $3.7 million for the second quarter of 2014 compared to revenues and Adjusted EBITDA of $18.0 million and $2.6 million, respectively, in the second quarter of 2013. Adjusted EBITDA from the U.S. segment was higher due to lower selling, general and administrative expense in 2014 compared to 2013 due to cost cutting measures put in place in the third quarter of 2013.</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Company recognized a tax benefit, which result in an effective tax rate of (52.4%), in the second quarter of 2014 compared to tax expense, and an effective tax rate of 25.4%, in the second quarter of 2013. The negative effective tax rate for the second quarter of 2014 is a result of the impact of the reduction of our estimated annual effective tax rate to 14.6%. The reduction in our estimated annual effective tax rate is the result of a change in the earnings mix between the different tax jurisdictions and changes in our corporate structure due to our spin-off from Oil States.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jc w:val="both"/>
        <w:ind w:right="220"/>
        <w:spacing w:after="0" w:line="297" w:lineRule="auto"/>
        <w:rPr>
          <w:sz w:val="20"/>
          <w:szCs w:val="20"/>
          <w:color w:val="auto"/>
        </w:rPr>
      </w:pPr>
      <w:r>
        <w:rPr>
          <w:rFonts w:ascii="Arial" w:cs="Arial" w:eastAsia="Arial" w:hAnsi="Arial"/>
          <w:sz w:val="19"/>
          <w:szCs w:val="19"/>
          <w:color w:val="auto"/>
        </w:rPr>
        <w:t>The Company invested $78.1 million in capital expenditures during the second quarter of 2014. Spending primarily related to the ongoing expansion of the Canadian accommodations business, specifically the construction of the McClelland Lake Lodge. The Company currently expects to spend approximately $300 to $350 million in capital expenditures for the full year of 2014.</w:t>
      </w:r>
    </w:p>
    <w:p>
      <w:pPr>
        <w:spacing w:after="0" w:line="134"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As of the end of the second quarter, the Company had total liquidity of approximately $928.6 million, comprised of $643.1 million available under its credit facilities and $285.5 million of cash on hand.</w:t>
      </w:r>
    </w:p>
    <w:p>
      <w:pPr>
        <w:spacing w:after="0" w:line="173"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Company recently announced a $0.13 per share cash dividend to be paid on August 29, 2014 to shareholders of record as of August 15, 2014.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eighteen lodges and villages in operation in Canada and Australia, with an aggregate of more than 22,000 rooms. Civeo is publicly traded on the NYSE under the symbol "CVEO".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and other factors discussed in the "Business" and "Risk Factors" sections of the amended Form 10 filed by Civeo with the SEC on May 8, 2014 and within the Company's subsequent SEC filings.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INCOME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6" w:lineRule="exact"/>
        <w:rPr>
          <w:sz w:val="20"/>
          <w:szCs w:val="20"/>
          <w:color w:val="auto"/>
        </w:rPr>
      </w:pPr>
    </w:p>
    <w:tbl>
      <w:tblPr>
        <w:tblLayout w:type="fixed"/>
        <w:tblInd w:w="6960" w:type="dxa"/>
        <w:tblCellMar>
          <w:top w:w="0" w:type="dxa"/>
          <w:left w:w="0" w:type="dxa"/>
          <w:bottom w:w="0" w:type="dxa"/>
          <w:right w:w="0" w:type="dxa"/>
        </w:tblCellMar>
      </w:tblPr>
      <w:tr>
        <w:trPr>
          <w:trHeight w:val="189"/>
        </w:trPr>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780" w:type="dxa"/>
            <w:vAlign w:val="bottom"/>
          </w:tcPr>
          <w:p>
            <w:pPr>
              <w:spacing w:after="0"/>
              <w:rPr>
                <w:sz w:val="18"/>
                <w:szCs w:val="18"/>
                <w:color w:val="auto"/>
              </w:rPr>
            </w:pPr>
          </w:p>
        </w:tc>
        <w:tc>
          <w:tcPr>
            <w:tcW w:w="1540" w:type="dxa"/>
            <w:vAlign w:val="bottom"/>
            <w:gridSpan w:val="3"/>
          </w:tcPr>
          <w:p>
            <w:pPr>
              <w:jc w:val="center"/>
              <w:ind w:right="719"/>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rPr>
              <w:t>JUNE 30,</w:t>
            </w:r>
          </w:p>
        </w:tc>
      </w:tr>
      <w:tr>
        <w:trPr>
          <w:trHeight w:val="263"/>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r>
    </w:tbl>
    <w:p>
      <w:pPr>
        <w:sectPr>
          <w:pgSz w:w="11900" w:h="16838" w:orient="portrait"/>
          <w:cols w:equalWidth="0" w:num="1">
            <w:col w:w="11400"/>
          </w:cols>
          <w:pgMar w:left="240" w:top="118" w:right="2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20"/>
                <w:szCs w:val="20"/>
                <w:color w:val="auto"/>
              </w:rPr>
            </w:pPr>
            <w:r>
              <w:rPr>
                <w:rFonts w:ascii="Arial" w:cs="Arial" w:eastAsia="Arial" w:hAnsi="Arial"/>
                <w:sz w:val="16"/>
                <w:szCs w:val="16"/>
                <w:color w:val="auto"/>
              </w:rPr>
              <w:t>Revenues</w:t>
            </w:r>
          </w:p>
        </w:tc>
        <w:tc>
          <w:tcPr>
            <w:tcW w:w="1120" w:type="dxa"/>
            <w:vAlign w:val="bottom"/>
          </w:tcPr>
          <w:p>
            <w:pPr>
              <w:jc w:val="right"/>
              <w:spacing w:after="0"/>
              <w:rPr>
                <w:sz w:val="20"/>
                <w:szCs w:val="20"/>
                <w:color w:val="auto"/>
              </w:rPr>
            </w:pPr>
            <w:r>
              <w:rPr>
                <w:rFonts w:ascii="Arial" w:cs="Arial" w:eastAsia="Arial" w:hAnsi="Arial"/>
                <w:sz w:val="16"/>
                <w:szCs w:val="16"/>
                <w:color w:val="auto"/>
              </w:rPr>
              <w:t>$ 227,133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$ 242,990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$ 479,932</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$ 537,528</w:t>
            </w:r>
          </w:p>
        </w:tc>
        <w:tc>
          <w:tcPr>
            <w:tcW w:w="0" w:type="dxa"/>
            <w:vAlign w:val="bottom"/>
          </w:tcPr>
          <w:p>
            <w:pPr>
              <w:spacing w:after="0"/>
              <w:rPr>
                <w:sz w:val="1"/>
                <w:szCs w:val="1"/>
                <w:color w:val="auto"/>
              </w:rPr>
            </w:pPr>
          </w:p>
        </w:tc>
      </w:tr>
      <w:tr>
        <w:trPr>
          <w:trHeight w:val="540"/>
        </w:trPr>
        <w:tc>
          <w:tcPr>
            <w:tcW w:w="6880" w:type="dxa"/>
            <w:vAlign w:val="bottom"/>
          </w:tcPr>
          <w:p>
            <w:pPr>
              <w:spacing w:after="0"/>
              <w:rPr>
                <w:sz w:val="20"/>
                <w:szCs w:val="20"/>
                <w:color w:val="auto"/>
              </w:rPr>
            </w:pPr>
            <w:r>
              <w:rPr>
                <w:rFonts w:ascii="Arial" w:cs="Arial" w:eastAsia="Arial" w:hAnsi="Arial"/>
                <w:sz w:val="16"/>
                <w:szCs w:val="16"/>
                <w:color w:val="auto"/>
              </w:rPr>
              <w:t>Costs and expenses: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Cost of sales and services</w:t>
            </w:r>
          </w:p>
        </w:tc>
        <w:tc>
          <w:tcPr>
            <w:tcW w:w="1120" w:type="dxa"/>
            <w:vAlign w:val="bottom"/>
          </w:tcPr>
          <w:p>
            <w:pPr>
              <w:jc w:val="right"/>
              <w:spacing w:after="0"/>
              <w:rPr>
                <w:sz w:val="20"/>
                <w:szCs w:val="20"/>
                <w:color w:val="auto"/>
              </w:rPr>
            </w:pPr>
            <w:r>
              <w:rPr>
                <w:rFonts w:ascii="Arial" w:cs="Arial" w:eastAsia="Arial" w:hAnsi="Arial"/>
                <w:sz w:val="16"/>
                <w:szCs w:val="16"/>
                <w:color w:val="auto"/>
              </w:rPr>
              <w:t>133,305</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132,594</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276,815</w:t>
            </w:r>
          </w:p>
        </w:tc>
        <w:tc>
          <w:tcPr>
            <w:tcW w:w="980" w:type="dxa"/>
            <w:vAlign w:val="bottom"/>
          </w:tcPr>
          <w:p>
            <w:pPr>
              <w:jc w:val="right"/>
              <w:spacing w:after="0"/>
              <w:rPr>
                <w:sz w:val="20"/>
                <w:szCs w:val="20"/>
                <w:color w:val="auto"/>
              </w:rPr>
            </w:pPr>
            <w:r>
              <w:rPr>
                <w:rFonts w:ascii="Arial" w:cs="Arial" w:eastAsia="Arial" w:hAnsi="Arial"/>
                <w:sz w:val="16"/>
                <w:szCs w:val="16"/>
                <w:color w:val="auto"/>
              </w:rPr>
              <w:t>283,042</w:t>
            </w: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21,708</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16,898</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37,853</w:t>
            </w:r>
          </w:p>
        </w:tc>
        <w:tc>
          <w:tcPr>
            <w:tcW w:w="980" w:type="dxa"/>
            <w:vAlign w:val="bottom"/>
          </w:tcPr>
          <w:p>
            <w:pPr>
              <w:jc w:val="right"/>
              <w:spacing w:after="0"/>
              <w:rPr>
                <w:sz w:val="20"/>
                <w:szCs w:val="20"/>
                <w:color w:val="auto"/>
              </w:rPr>
            </w:pPr>
            <w:r>
              <w:rPr>
                <w:rFonts w:ascii="Arial" w:cs="Arial" w:eastAsia="Arial" w:hAnsi="Arial"/>
                <w:sz w:val="16"/>
                <w:szCs w:val="16"/>
                <w:color w:val="auto"/>
              </w:rPr>
              <w:t>33,165</w:t>
            </w: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Spin-off and formation costs</w:t>
            </w:r>
          </w:p>
        </w:tc>
        <w:tc>
          <w:tcPr>
            <w:tcW w:w="1120" w:type="dxa"/>
            <w:vAlign w:val="bottom"/>
          </w:tcPr>
          <w:p>
            <w:pPr>
              <w:jc w:val="right"/>
              <w:spacing w:after="0"/>
              <w:rPr>
                <w:sz w:val="20"/>
                <w:szCs w:val="20"/>
                <w:color w:val="auto"/>
              </w:rPr>
            </w:pPr>
            <w:r>
              <w:rPr>
                <w:rFonts w:ascii="Arial" w:cs="Arial" w:eastAsia="Arial" w:hAnsi="Arial"/>
                <w:sz w:val="16"/>
                <w:szCs w:val="16"/>
                <w:color w:val="auto"/>
              </w:rPr>
              <w:t>1,896</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2,469</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jc w:val="right"/>
              <w:spacing w:after="0"/>
              <w:rPr>
                <w:sz w:val="20"/>
                <w:szCs w:val="20"/>
                <w:color w:val="auto"/>
              </w:rPr>
            </w:pPr>
            <w:r>
              <w:rPr>
                <w:rFonts w:ascii="Arial" w:cs="Arial" w:eastAsia="Arial" w:hAnsi="Arial"/>
                <w:sz w:val="16"/>
                <w:szCs w:val="16"/>
                <w:color w:val="auto"/>
              </w:rPr>
              <w:t>42,413</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41,411</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82,012</w:t>
            </w:r>
          </w:p>
        </w:tc>
        <w:tc>
          <w:tcPr>
            <w:tcW w:w="980" w:type="dxa"/>
            <w:vAlign w:val="bottom"/>
          </w:tcPr>
          <w:p>
            <w:pPr>
              <w:jc w:val="right"/>
              <w:spacing w:after="0"/>
              <w:rPr>
                <w:sz w:val="20"/>
                <w:szCs w:val="20"/>
                <w:color w:val="auto"/>
              </w:rPr>
            </w:pPr>
            <w:r>
              <w:rPr>
                <w:rFonts w:ascii="Arial" w:cs="Arial" w:eastAsia="Arial" w:hAnsi="Arial"/>
                <w:sz w:val="16"/>
                <w:szCs w:val="16"/>
                <w:color w:val="auto"/>
              </w:rPr>
              <w:t>82,499</w:t>
            </w: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Impairment expense</w:t>
            </w:r>
          </w:p>
        </w:tc>
        <w:tc>
          <w:tcPr>
            <w:tcW w:w="1120" w:type="dxa"/>
            <w:vAlign w:val="bottom"/>
          </w:tcPr>
          <w:p>
            <w:pPr>
              <w:jc w:val="right"/>
              <w:spacing w:after="0"/>
              <w:rPr>
                <w:sz w:val="20"/>
                <w:szCs w:val="20"/>
                <w:color w:val="auto"/>
              </w:rPr>
            </w:pPr>
            <w:r>
              <w:rPr>
                <w:rFonts w:ascii="Arial" w:cs="Arial" w:eastAsia="Arial" w:hAnsi="Arial"/>
                <w:sz w:val="16"/>
                <w:szCs w:val="16"/>
                <w:color w:val="auto"/>
              </w:rPr>
              <w:t>11,610</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11,610</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880" w:type="dxa"/>
            <w:vAlign w:val="bottom"/>
          </w:tcPr>
          <w:p>
            <w:pPr>
              <w:ind w:left="140"/>
              <w:spacing w:after="0"/>
              <w:rPr>
                <w:sz w:val="20"/>
                <w:szCs w:val="20"/>
                <w:color w:val="auto"/>
              </w:rPr>
            </w:pPr>
            <w:r>
              <w:rPr>
                <w:rFonts w:ascii="Arial" w:cs="Arial" w:eastAsia="Arial" w:hAnsi="Arial"/>
                <w:sz w:val="16"/>
                <w:szCs w:val="16"/>
                <w:color w:val="auto"/>
              </w:rPr>
              <w:t>Other operating expense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87</w:t>
            </w:r>
          </w:p>
        </w:tc>
        <w:tc>
          <w:tcPr>
            <w:tcW w:w="980" w:type="dxa"/>
            <w:vAlign w:val="bottom"/>
          </w:tcPr>
          <w:p>
            <w:pPr>
              <w:jc w:val="right"/>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210,907</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191,358</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410,846</w:t>
            </w:r>
          </w:p>
        </w:tc>
        <w:tc>
          <w:tcPr>
            <w:tcW w:w="980" w:type="dxa"/>
            <w:vAlign w:val="bottom"/>
          </w:tcPr>
          <w:p>
            <w:pPr>
              <w:jc w:val="right"/>
              <w:spacing w:after="0"/>
              <w:rPr>
                <w:sz w:val="20"/>
                <w:szCs w:val="20"/>
                <w:color w:val="auto"/>
              </w:rPr>
            </w:pPr>
            <w:r>
              <w:rPr>
                <w:rFonts w:ascii="Arial" w:cs="Arial" w:eastAsia="Arial" w:hAnsi="Arial"/>
                <w:sz w:val="16"/>
                <w:szCs w:val="16"/>
                <w:color w:val="auto"/>
              </w:rPr>
              <w:t>395,135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80" w:type="dxa"/>
            <w:vAlign w:val="bottom"/>
          </w:tcPr>
          <w:p>
            <w:pPr>
              <w:spacing w:after="0"/>
              <w:rPr>
                <w:sz w:val="20"/>
                <w:szCs w:val="20"/>
                <w:color w:val="auto"/>
              </w:rPr>
            </w:pPr>
            <w:r>
              <w:rPr>
                <w:rFonts w:ascii="Arial" w:cs="Arial" w:eastAsia="Arial" w:hAnsi="Arial"/>
                <w:sz w:val="16"/>
                <w:szCs w:val="16"/>
                <w:color w:val="auto"/>
              </w:rPr>
              <w:t>Operating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16,226</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51,632</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69,086</w:t>
            </w:r>
          </w:p>
        </w:tc>
        <w:tc>
          <w:tcPr>
            <w:tcW w:w="980" w:type="dxa"/>
            <w:vAlign w:val="bottom"/>
          </w:tcPr>
          <w:p>
            <w:pPr>
              <w:jc w:val="right"/>
              <w:spacing w:after="0"/>
              <w:rPr>
                <w:sz w:val="20"/>
                <w:szCs w:val="20"/>
                <w:color w:val="auto"/>
              </w:rPr>
            </w:pPr>
            <w:r>
              <w:rPr>
                <w:rFonts w:ascii="Arial" w:cs="Arial" w:eastAsia="Arial" w:hAnsi="Arial"/>
                <w:sz w:val="16"/>
                <w:szCs w:val="16"/>
                <w:color w:val="auto"/>
              </w:rPr>
              <w:t>142,393</w:t>
            </w:r>
          </w:p>
        </w:tc>
        <w:tc>
          <w:tcPr>
            <w:tcW w:w="0" w:type="dxa"/>
            <w:vAlign w:val="bottom"/>
          </w:tcPr>
          <w:p>
            <w:pPr>
              <w:spacing w:after="0"/>
              <w:rPr>
                <w:sz w:val="1"/>
                <w:szCs w:val="1"/>
                <w:color w:val="auto"/>
              </w:rPr>
            </w:pPr>
          </w:p>
        </w:tc>
      </w:tr>
      <w:tr>
        <w:trPr>
          <w:trHeight w:val="540"/>
        </w:trPr>
        <w:tc>
          <w:tcPr>
            <w:tcW w:w="688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120" w:type="dxa"/>
            <w:vAlign w:val="bottom"/>
          </w:tcPr>
          <w:p>
            <w:pPr>
              <w:jc w:val="right"/>
              <w:spacing w:after="0"/>
              <w:rPr>
                <w:sz w:val="20"/>
                <w:szCs w:val="20"/>
                <w:color w:val="auto"/>
              </w:rPr>
            </w:pPr>
            <w:r>
              <w:rPr>
                <w:rFonts w:ascii="Arial" w:cs="Arial" w:eastAsia="Arial" w:hAnsi="Arial"/>
                <w:sz w:val="16"/>
                <w:szCs w:val="16"/>
                <w:color w:val="auto"/>
              </w:rPr>
              <w:t>(2,828)</w:t>
            </w: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(4,624)</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(6,980)</w:t>
            </w:r>
          </w:p>
        </w:tc>
        <w:tc>
          <w:tcPr>
            <w:tcW w:w="980" w:type="dxa"/>
            <w:vAlign w:val="bottom"/>
          </w:tcPr>
          <w:p>
            <w:pPr>
              <w:jc w:val="right"/>
              <w:spacing w:after="0"/>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120" w:type="dxa"/>
            <w:vAlign w:val="bottom"/>
          </w:tcPr>
          <w:p>
            <w:pPr>
              <w:jc w:val="right"/>
              <w:spacing w:after="0"/>
              <w:rPr>
                <w:sz w:val="20"/>
                <w:szCs w:val="20"/>
                <w:color w:val="auto"/>
              </w:rPr>
            </w:pPr>
            <w:r>
              <w:rPr>
                <w:rFonts w:ascii="Arial" w:cs="Arial" w:eastAsia="Arial" w:hAnsi="Arial"/>
                <w:sz w:val="16"/>
                <w:szCs w:val="16"/>
                <w:color w:val="auto"/>
              </w:rPr>
              <w:t>(2,269)</w:t>
            </w:r>
          </w:p>
        </w:tc>
        <w:tc>
          <w:tcPr>
            <w:tcW w:w="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(1,805)</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(3,110)</w:t>
            </w:r>
          </w:p>
        </w:tc>
        <w:tc>
          <w:tcPr>
            <w:tcW w:w="980" w:type="dxa"/>
            <w:vAlign w:val="bottom"/>
          </w:tcPr>
          <w:p>
            <w:pPr>
              <w:jc w:val="right"/>
              <w:spacing w:after="0"/>
              <w:rPr>
                <w:sz w:val="20"/>
                <w:szCs w:val="20"/>
                <w:color w:val="auto"/>
              </w:rPr>
            </w:pPr>
            <w:r>
              <w:rPr>
                <w:rFonts w:ascii="Arial" w:cs="Arial" w:eastAsia="Arial" w:hAnsi="Arial"/>
                <w:sz w:val="16"/>
                <w:szCs w:val="16"/>
                <w:color w:val="auto"/>
              </w:rPr>
              <w:t>(3,970)</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120" w:type="dxa"/>
            <w:vAlign w:val="bottom"/>
          </w:tcPr>
          <w:p>
            <w:pPr>
              <w:jc w:val="right"/>
              <w:spacing w:after="0"/>
              <w:rPr>
                <w:sz w:val="20"/>
                <w:szCs w:val="20"/>
                <w:color w:val="auto"/>
              </w:rPr>
            </w:pPr>
            <w:r>
              <w:rPr>
                <w:rFonts w:ascii="Arial" w:cs="Arial" w:eastAsia="Arial" w:hAnsi="Arial"/>
                <w:sz w:val="16"/>
                <w:szCs w:val="16"/>
                <w:color w:val="auto"/>
              </w:rPr>
              <w:t>(3,455)</w:t>
            </w:r>
          </w:p>
        </w:tc>
        <w:tc>
          <w:tcPr>
            <w:tcW w:w="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(1,207)</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(3,455)</w:t>
            </w:r>
          </w:p>
        </w:tc>
        <w:tc>
          <w:tcPr>
            <w:tcW w:w="980" w:type="dxa"/>
            <w:vAlign w:val="bottom"/>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Interest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475</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1,793</w:t>
            </w:r>
          </w:p>
        </w:tc>
        <w:tc>
          <w:tcPr>
            <w:tcW w:w="98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63"/>
        </w:trPr>
        <w:tc>
          <w:tcPr>
            <w:tcW w:w="6880" w:type="dxa"/>
            <w:vAlign w:val="bottom"/>
          </w:tcPr>
          <w:p>
            <w:pPr>
              <w:spacing w:after="0"/>
              <w:rPr>
                <w:sz w:val="20"/>
                <w:szCs w:val="20"/>
                <w:color w:val="auto"/>
              </w:rPr>
            </w:pPr>
            <w:r>
              <w:rPr>
                <w:rFonts w:ascii="Arial" w:cs="Arial" w:eastAsia="Arial" w:hAnsi="Arial"/>
                <w:sz w:val="16"/>
                <w:szCs w:val="16"/>
                <w:color w:val="auto"/>
              </w:rPr>
              <w:t>Other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709</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947</w:t>
            </w:r>
          </w:p>
        </w:tc>
        <w:tc>
          <w:tcPr>
            <w:tcW w:w="98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8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1120" w:type="dxa"/>
            <w:vAlign w:val="bottom"/>
          </w:tcPr>
          <w:p>
            <w:pPr>
              <w:jc w:val="right"/>
              <w:spacing w:after="0"/>
              <w:rPr>
                <w:sz w:val="20"/>
                <w:szCs w:val="20"/>
                <w:color w:val="auto"/>
              </w:rPr>
            </w:pPr>
            <w:r>
              <w:rPr>
                <w:rFonts w:ascii="Arial" w:cs="Arial" w:eastAsia="Arial" w:hAnsi="Arial"/>
                <w:sz w:val="16"/>
                <w:szCs w:val="16"/>
                <w:color w:val="auto"/>
              </w:rPr>
              <w:t>9,374</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44,663</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58,281</w:t>
            </w:r>
          </w:p>
        </w:tc>
        <w:tc>
          <w:tcPr>
            <w:tcW w:w="980" w:type="dxa"/>
            <w:vAlign w:val="bottom"/>
          </w:tcPr>
          <w:p>
            <w:pPr>
              <w:jc w:val="right"/>
              <w:spacing w:after="0"/>
              <w:rPr>
                <w:sz w:val="20"/>
                <w:szCs w:val="20"/>
                <w:color w:val="auto"/>
              </w:rPr>
            </w:pPr>
            <w:r>
              <w:rPr>
                <w:rFonts w:ascii="Arial" w:cs="Arial" w:eastAsia="Arial" w:hAnsi="Arial"/>
                <w:sz w:val="16"/>
                <w:szCs w:val="16"/>
                <w:color w:val="auto"/>
              </w:rPr>
              <w:t>129,425</w:t>
            </w:r>
          </w:p>
        </w:tc>
        <w:tc>
          <w:tcPr>
            <w:tcW w:w="0" w:type="dxa"/>
            <w:vAlign w:val="bottom"/>
          </w:tcPr>
          <w:p>
            <w:pPr>
              <w:spacing w:after="0"/>
              <w:rPr>
                <w:sz w:val="1"/>
                <w:szCs w:val="1"/>
                <w:color w:val="auto"/>
              </w:rPr>
            </w:pPr>
          </w:p>
        </w:tc>
      </w:tr>
      <w:tr>
        <w:trPr>
          <w:trHeight w:val="263"/>
        </w:trPr>
        <w:tc>
          <w:tcPr>
            <w:tcW w:w="68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120" w:type="dxa"/>
            <w:vAlign w:val="bottom"/>
          </w:tcPr>
          <w:p>
            <w:pPr>
              <w:jc w:val="right"/>
              <w:spacing w:after="0"/>
              <w:rPr>
                <w:sz w:val="20"/>
                <w:szCs w:val="20"/>
                <w:color w:val="auto"/>
              </w:rPr>
            </w:pPr>
            <w:r>
              <w:rPr>
                <w:rFonts w:ascii="Arial" w:cs="Arial" w:eastAsia="Arial" w:hAnsi="Arial"/>
                <w:sz w:val="16"/>
                <w:szCs w:val="16"/>
                <w:color w:val="auto"/>
              </w:rPr>
              <w:t>4,911</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(11,360)</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(7,400)</w:t>
            </w:r>
          </w:p>
        </w:tc>
        <w:tc>
          <w:tcPr>
            <w:tcW w:w="980" w:type="dxa"/>
            <w:vAlign w:val="bottom"/>
          </w:tcPr>
          <w:p>
            <w:pPr>
              <w:jc w:val="right"/>
              <w:spacing w:after="0"/>
              <w:rPr>
                <w:sz w:val="20"/>
                <w:szCs w:val="20"/>
                <w:color w:val="auto"/>
              </w:rPr>
            </w:pPr>
            <w:r>
              <w:rPr>
                <w:rFonts w:ascii="Arial" w:cs="Arial" w:eastAsia="Arial" w:hAnsi="Arial"/>
                <w:sz w:val="16"/>
                <w:szCs w:val="16"/>
                <w:color w:val="auto"/>
              </w:rPr>
              <w:t>(31,932)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80" w:type="dxa"/>
            <w:vAlign w:val="bottom"/>
          </w:tcPr>
          <w:p>
            <w:pPr>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14,285</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33,303</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50,881</w:t>
            </w:r>
          </w:p>
        </w:tc>
        <w:tc>
          <w:tcPr>
            <w:tcW w:w="980" w:type="dxa"/>
            <w:vAlign w:val="bottom"/>
          </w:tcPr>
          <w:p>
            <w:pPr>
              <w:jc w:val="right"/>
              <w:spacing w:after="0"/>
              <w:rPr>
                <w:sz w:val="20"/>
                <w:szCs w:val="20"/>
                <w:color w:val="auto"/>
              </w:rPr>
            </w:pPr>
            <w:r>
              <w:rPr>
                <w:rFonts w:ascii="Arial" w:cs="Arial" w:eastAsia="Arial" w:hAnsi="Arial"/>
                <w:sz w:val="16"/>
                <w:szCs w:val="16"/>
                <w:color w:val="auto"/>
              </w:rPr>
              <w:t>97,493</w:t>
            </w:r>
          </w:p>
        </w:tc>
        <w:tc>
          <w:tcPr>
            <w:tcW w:w="0" w:type="dxa"/>
            <w:vAlign w:val="bottom"/>
          </w:tcPr>
          <w:p>
            <w:pPr>
              <w:spacing w:after="0"/>
              <w:rPr>
                <w:sz w:val="1"/>
                <w:szCs w:val="1"/>
                <w:color w:val="auto"/>
              </w:rPr>
            </w:pPr>
          </w:p>
        </w:tc>
      </w:tr>
      <w:tr>
        <w:trPr>
          <w:trHeight w:val="263"/>
        </w:trPr>
        <w:tc>
          <w:tcPr>
            <w:tcW w:w="6880" w:type="dxa"/>
            <w:vAlign w:val="bottom"/>
          </w:tcPr>
          <w:p>
            <w:pPr>
              <w:ind w:left="140"/>
              <w:spacing w:after="0"/>
              <w:rPr>
                <w:sz w:val="20"/>
                <w:szCs w:val="20"/>
                <w:color w:val="auto"/>
              </w:rPr>
            </w:pPr>
            <w:r>
              <w:rPr>
                <w:rFonts w:ascii="Arial" w:cs="Arial" w:eastAsia="Arial" w:hAnsi="Arial"/>
                <w:sz w:val="16"/>
                <w:szCs w:val="16"/>
                <w:color w:val="auto"/>
              </w:rPr>
              <w:t>Less: Net income attributable to noncontrolling interest</w:t>
            </w:r>
          </w:p>
        </w:tc>
        <w:tc>
          <w:tcPr>
            <w:tcW w:w="112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693</w:t>
            </w:r>
          </w:p>
        </w:tc>
        <w:tc>
          <w:tcPr>
            <w:tcW w:w="98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80" w:type="dxa"/>
            <w:vAlign w:val="bottom"/>
          </w:tcPr>
          <w:p>
            <w:pPr>
              <w:spacing w:after="0"/>
              <w:rPr>
                <w:sz w:val="20"/>
                <w:szCs w:val="20"/>
                <w:color w:val="auto"/>
              </w:rPr>
            </w:pPr>
            <w:r>
              <w:rPr>
                <w:rFonts w:ascii="Arial" w:cs="Arial" w:eastAsia="Arial" w:hAnsi="Arial"/>
                <w:sz w:val="16"/>
                <w:szCs w:val="16"/>
                <w:color w:val="auto"/>
              </w:rPr>
              <w:t>Net income attributable to Civeo Corporation</w:t>
            </w:r>
          </w:p>
        </w:tc>
        <w:tc>
          <w:tcPr>
            <w:tcW w:w="1120" w:type="dxa"/>
            <w:vAlign w:val="bottom"/>
          </w:tcPr>
          <w:p>
            <w:pPr>
              <w:jc w:val="right"/>
              <w:spacing w:after="0"/>
              <w:rPr>
                <w:sz w:val="20"/>
                <w:szCs w:val="20"/>
                <w:color w:val="auto"/>
              </w:rPr>
            </w:pPr>
            <w:r>
              <w:rPr>
                <w:rFonts w:ascii="Arial" w:cs="Arial" w:eastAsia="Arial" w:hAnsi="Arial"/>
                <w:sz w:val="16"/>
                <w:szCs w:val="16"/>
                <w:color w:val="auto"/>
              </w:rPr>
              <w:t>$ 13,949</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$ 32,970</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$ 50,188</w:t>
            </w:r>
          </w:p>
        </w:tc>
        <w:tc>
          <w:tcPr>
            <w:tcW w:w="980" w:type="dxa"/>
            <w:vAlign w:val="bottom"/>
          </w:tcPr>
          <w:p>
            <w:pPr>
              <w:jc w:val="right"/>
              <w:spacing w:after="0"/>
              <w:rPr>
                <w:sz w:val="20"/>
                <w:szCs w:val="20"/>
                <w:color w:val="auto"/>
              </w:rPr>
            </w:pPr>
            <w:r>
              <w:rPr>
                <w:rFonts w:ascii="Arial" w:cs="Arial" w:eastAsia="Arial" w:hAnsi="Arial"/>
                <w:sz w:val="16"/>
                <w:szCs w:val="16"/>
                <w:color w:val="auto"/>
              </w:rPr>
              <w:t>$ 96,782</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6"/>
                <w:szCs w:val="16"/>
                <w:color w:val="auto"/>
              </w:rPr>
              <w:t>Net income per share attributable to Civeo Corporation common stockholders: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68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Basic</w:t>
            </w:r>
          </w:p>
        </w:tc>
        <w:tc>
          <w:tcPr>
            <w:tcW w:w="112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$ 0.31</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$ 0.47</w:t>
            </w:r>
          </w:p>
        </w:tc>
        <w:tc>
          <w:tcPr>
            <w:tcW w:w="980" w:type="dxa"/>
            <w:vAlign w:val="bottom"/>
          </w:tcPr>
          <w:p>
            <w:pPr>
              <w:jc w:val="right"/>
              <w:spacing w:after="0"/>
              <w:rPr>
                <w:sz w:val="20"/>
                <w:szCs w:val="20"/>
                <w:color w:val="auto"/>
              </w:rPr>
            </w:pPr>
            <w:r>
              <w:rPr>
                <w:rFonts w:ascii="Arial" w:cs="Arial" w:eastAsia="Arial" w:hAnsi="Arial"/>
                <w:sz w:val="16"/>
                <w:szCs w:val="16"/>
                <w:color w:val="auto"/>
              </w:rPr>
              <w:t>$ 0.91</w:t>
            </w: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12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$ 0.31</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$ 0.47</w:t>
            </w:r>
          </w:p>
        </w:tc>
        <w:tc>
          <w:tcPr>
            <w:tcW w:w="980" w:type="dxa"/>
            <w:vAlign w:val="bottom"/>
          </w:tcPr>
          <w:p>
            <w:pPr>
              <w:jc w:val="right"/>
              <w:spacing w:after="0"/>
              <w:rPr>
                <w:sz w:val="20"/>
                <w:szCs w:val="20"/>
                <w:color w:val="auto"/>
              </w:rPr>
            </w:pPr>
            <w:r>
              <w:rPr>
                <w:rFonts w:ascii="Arial" w:cs="Arial" w:eastAsia="Arial" w:hAnsi="Arial"/>
                <w:sz w:val="16"/>
                <w:szCs w:val="16"/>
                <w:color w:val="auto"/>
              </w:rPr>
              <w:t>$ 0.91</w:t>
            </w:r>
          </w:p>
        </w:tc>
        <w:tc>
          <w:tcPr>
            <w:tcW w:w="0" w:type="dxa"/>
            <w:vAlign w:val="bottom"/>
          </w:tcPr>
          <w:p>
            <w:pPr>
              <w:spacing w:after="0"/>
              <w:rPr>
                <w:sz w:val="1"/>
                <w:szCs w:val="1"/>
                <w:color w:val="auto"/>
              </w:rPr>
            </w:pPr>
          </w:p>
        </w:tc>
      </w:tr>
      <w:tr>
        <w:trPr>
          <w:trHeight w:val="810"/>
        </w:trPr>
        <w:tc>
          <w:tcPr>
            <w:tcW w:w="688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Basic</w:t>
            </w:r>
          </w:p>
        </w:tc>
        <w:tc>
          <w:tcPr>
            <w:tcW w:w="1120" w:type="dxa"/>
            <w:vAlign w:val="bottom"/>
          </w:tcPr>
          <w:p>
            <w:pPr>
              <w:jc w:val="right"/>
              <w:spacing w:after="0"/>
              <w:rPr>
                <w:sz w:val="20"/>
                <w:szCs w:val="20"/>
                <w:color w:val="auto"/>
              </w:rPr>
            </w:pPr>
            <w:r>
              <w:rPr>
                <w:rFonts w:ascii="Arial" w:cs="Arial" w:eastAsia="Arial" w:hAnsi="Arial"/>
                <w:sz w:val="16"/>
                <w:szCs w:val="16"/>
                <w:color w:val="auto"/>
              </w:rPr>
              <w:t>106,294</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106,293</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106,294</w:t>
            </w:r>
          </w:p>
        </w:tc>
        <w:tc>
          <w:tcPr>
            <w:tcW w:w="980" w:type="dxa"/>
            <w:vAlign w:val="bottom"/>
          </w:tcPr>
          <w:p>
            <w:pPr>
              <w:jc w:val="right"/>
              <w:spacing w:after="0"/>
              <w:rPr>
                <w:sz w:val="20"/>
                <w:szCs w:val="20"/>
                <w:color w:val="auto"/>
              </w:rPr>
            </w:pPr>
            <w:r>
              <w:rPr>
                <w:rFonts w:ascii="Arial" w:cs="Arial" w:eastAsia="Arial" w:hAnsi="Arial"/>
                <w:sz w:val="16"/>
                <w:szCs w:val="16"/>
                <w:color w:val="auto"/>
              </w:rPr>
              <w:t>106,293</w:t>
            </w:r>
          </w:p>
        </w:tc>
        <w:tc>
          <w:tcPr>
            <w:tcW w:w="0" w:type="dxa"/>
            <w:vAlign w:val="bottom"/>
          </w:tcPr>
          <w:p>
            <w:pPr>
              <w:spacing w:after="0"/>
              <w:rPr>
                <w:sz w:val="1"/>
                <w:szCs w:val="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120" w:type="dxa"/>
            <w:vAlign w:val="bottom"/>
          </w:tcPr>
          <w:p>
            <w:pPr>
              <w:jc w:val="right"/>
              <w:spacing w:after="0"/>
              <w:rPr>
                <w:sz w:val="20"/>
                <w:szCs w:val="20"/>
                <w:color w:val="auto"/>
              </w:rPr>
            </w:pPr>
            <w:r>
              <w:rPr>
                <w:rFonts w:ascii="Arial" w:cs="Arial" w:eastAsia="Arial" w:hAnsi="Arial"/>
                <w:sz w:val="16"/>
                <w:szCs w:val="16"/>
                <w:color w:val="auto"/>
              </w:rPr>
              <w:t>106,465</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106,460</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106,463</w:t>
            </w:r>
          </w:p>
        </w:tc>
        <w:tc>
          <w:tcPr>
            <w:tcW w:w="980" w:type="dxa"/>
            <w:vAlign w:val="bottom"/>
          </w:tcPr>
          <w:p>
            <w:pPr>
              <w:jc w:val="right"/>
              <w:spacing w:after="0"/>
              <w:rPr>
                <w:sz w:val="20"/>
                <w:szCs w:val="20"/>
                <w:color w:val="auto"/>
              </w:rPr>
            </w:pPr>
            <w:r>
              <w:rPr>
                <w:rFonts w:ascii="Arial" w:cs="Arial" w:eastAsia="Arial" w:hAnsi="Arial"/>
                <w:sz w:val="16"/>
                <w:szCs w:val="16"/>
                <w:color w:val="auto"/>
              </w:rPr>
              <w:t>106,460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9"/>
        <w:spacing w:after="0" w:line="251"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399" w:lineRule="exact"/>
        <w:rPr>
          <w:sz w:val="20"/>
          <w:szCs w:val="20"/>
          <w:color w:val="auto"/>
        </w:rPr>
      </w:pPr>
    </w:p>
    <w:p>
      <w:pPr>
        <w:jc w:val="center"/>
        <w:ind w:right="1700"/>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170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86" w:lineRule="exact"/>
        <w:rPr>
          <w:sz w:val="20"/>
          <w:szCs w:val="20"/>
          <w:color w:val="auto"/>
        </w:rPr>
      </w:pPr>
    </w:p>
    <w:p>
      <w:pPr>
        <w:jc w:val="center"/>
        <w:ind w:right="170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8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2014 DECEMBER 31, 2013</w:t>
            </w:r>
          </w:p>
        </w:tc>
        <w:tc>
          <w:tcPr>
            <w:tcW w:w="0" w:type="dxa"/>
            <w:vAlign w:val="bottom"/>
          </w:tcPr>
          <w:p>
            <w:pPr>
              <w:spacing w:after="0"/>
              <w:rPr>
                <w:sz w:val="1"/>
                <w:szCs w:val="1"/>
                <w:color w:val="auto"/>
              </w:rPr>
            </w:pPr>
          </w:p>
        </w:tc>
      </w:tr>
      <w:tr>
        <w:trPr>
          <w:trHeight w:val="271"/>
        </w:trPr>
        <w:tc>
          <w:tcPr>
            <w:tcW w:w="6740" w:type="dxa"/>
            <w:vAlign w:val="bottom"/>
          </w:tcPr>
          <w:p>
            <w:pPr>
              <w:spacing w:after="0"/>
              <w:rPr>
                <w:sz w:val="23"/>
                <w:szCs w:val="2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120" w:type="dxa"/>
            <w:vAlign w:val="bottom"/>
          </w:tcPr>
          <w:p>
            <w:pPr>
              <w:jc w:val="right"/>
              <w:spacing w:after="0"/>
              <w:rPr>
                <w:sz w:val="20"/>
                <w:szCs w:val="20"/>
                <w:color w:val="auto"/>
              </w:rPr>
            </w:pPr>
            <w:r>
              <w:rPr>
                <w:rFonts w:ascii="Arial" w:cs="Arial" w:eastAsia="Arial" w:hAnsi="Arial"/>
                <w:sz w:val="16"/>
                <w:szCs w:val="16"/>
                <w:color w:val="auto"/>
              </w:rPr>
              <w:t>$ 285,494</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$ 224,128</w:t>
            </w: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120" w:type="dxa"/>
            <w:vAlign w:val="bottom"/>
          </w:tcPr>
          <w:p>
            <w:pPr>
              <w:jc w:val="right"/>
              <w:spacing w:after="0"/>
              <w:rPr>
                <w:sz w:val="20"/>
                <w:szCs w:val="20"/>
                <w:color w:val="auto"/>
              </w:rPr>
            </w:pPr>
            <w:r>
              <w:rPr>
                <w:rFonts w:ascii="Arial" w:cs="Arial" w:eastAsia="Arial" w:hAnsi="Arial"/>
                <w:sz w:val="16"/>
                <w:szCs w:val="16"/>
                <w:color w:val="auto"/>
              </w:rPr>
              <w:t>191,901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177,845</w:t>
            </w: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120" w:type="dxa"/>
            <w:vAlign w:val="bottom"/>
          </w:tcPr>
          <w:p>
            <w:pPr>
              <w:jc w:val="right"/>
              <w:spacing w:after="0"/>
              <w:rPr>
                <w:sz w:val="20"/>
                <w:szCs w:val="20"/>
                <w:color w:val="auto"/>
              </w:rPr>
            </w:pPr>
            <w:r>
              <w:rPr>
                <w:rFonts w:ascii="Arial" w:cs="Arial" w:eastAsia="Arial" w:hAnsi="Arial"/>
                <w:sz w:val="16"/>
                <w:szCs w:val="16"/>
                <w:color w:val="auto"/>
              </w:rPr>
              <w:t>20,614</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29,815</w:t>
            </w:r>
          </w:p>
        </w:tc>
        <w:tc>
          <w:tcPr>
            <w:tcW w:w="0" w:type="dxa"/>
            <w:vAlign w:val="bottom"/>
          </w:tcPr>
          <w:p>
            <w:pPr>
              <w:spacing w:after="0"/>
              <w:rPr>
                <w:sz w:val="1"/>
                <w:szCs w:val="1"/>
                <w:color w:val="auto"/>
              </w:rPr>
            </w:pPr>
          </w:p>
        </w:tc>
      </w:tr>
      <w:tr>
        <w:trPr>
          <w:trHeight w:val="263"/>
        </w:trPr>
        <w:tc>
          <w:tcPr>
            <w:tcW w:w="674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29,817</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c>
          <w:tcPr>
            <w:tcW w:w="0" w:type="dxa"/>
            <w:vAlign w:val="bottom"/>
          </w:tcPr>
          <w:p>
            <w:pPr>
              <w:spacing w:after="0"/>
              <w:rPr>
                <w:sz w:val="1"/>
                <w:szCs w:val="1"/>
                <w:color w:val="auto"/>
              </w:rPr>
            </w:pPr>
          </w:p>
        </w:tc>
      </w:tr>
      <w:tr>
        <w:trPr>
          <w:trHeight w:val="271"/>
        </w:trPr>
        <w:tc>
          <w:tcPr>
            <w:tcW w:w="67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120" w:type="dxa"/>
            <w:vAlign w:val="bottom"/>
          </w:tcPr>
          <w:p>
            <w:pPr>
              <w:jc w:val="right"/>
              <w:spacing w:after="0"/>
              <w:rPr>
                <w:sz w:val="20"/>
                <w:szCs w:val="20"/>
                <w:color w:val="auto"/>
              </w:rPr>
            </w:pPr>
            <w:r>
              <w:rPr>
                <w:rFonts w:ascii="Arial" w:cs="Arial" w:eastAsia="Arial" w:hAnsi="Arial"/>
                <w:sz w:val="16"/>
                <w:szCs w:val="16"/>
                <w:color w:val="auto"/>
              </w:rPr>
              <w:t>527,826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439,744</w:t>
            </w:r>
          </w:p>
        </w:tc>
        <w:tc>
          <w:tcPr>
            <w:tcW w:w="0" w:type="dxa"/>
            <w:vAlign w:val="bottom"/>
          </w:tcPr>
          <w:p>
            <w:pPr>
              <w:spacing w:after="0"/>
              <w:rPr>
                <w:sz w:val="1"/>
                <w:szCs w:val="1"/>
                <w:color w:val="auto"/>
              </w:rPr>
            </w:pPr>
          </w:p>
        </w:tc>
      </w:tr>
      <w:tr>
        <w:trPr>
          <w:trHeight w:val="540"/>
        </w:trPr>
        <w:tc>
          <w:tcPr>
            <w:tcW w:w="67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120" w:type="dxa"/>
            <w:vAlign w:val="bottom"/>
          </w:tcPr>
          <w:p>
            <w:pPr>
              <w:jc w:val="right"/>
              <w:spacing w:after="0"/>
              <w:rPr>
                <w:sz w:val="20"/>
                <w:szCs w:val="20"/>
                <w:color w:val="auto"/>
              </w:rPr>
            </w:pPr>
            <w:r>
              <w:rPr>
                <w:rFonts w:ascii="Arial" w:cs="Arial" w:eastAsia="Arial" w:hAnsi="Arial"/>
                <w:sz w:val="16"/>
                <w:szCs w:val="16"/>
                <w:color w:val="auto"/>
              </w:rPr>
              <w:t>1,414,551</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1,325,867</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6"/>
                <w:szCs w:val="16"/>
                <w:color w:val="auto"/>
              </w:rPr>
              <w:t>Goodwill, net</w:t>
            </w:r>
          </w:p>
        </w:tc>
        <w:tc>
          <w:tcPr>
            <w:tcW w:w="1120" w:type="dxa"/>
            <w:vAlign w:val="bottom"/>
          </w:tcPr>
          <w:p>
            <w:pPr>
              <w:jc w:val="right"/>
              <w:spacing w:after="0"/>
              <w:rPr>
                <w:sz w:val="20"/>
                <w:szCs w:val="20"/>
                <w:color w:val="auto"/>
              </w:rPr>
            </w:pPr>
            <w:r>
              <w:rPr>
                <w:rFonts w:ascii="Arial" w:cs="Arial" w:eastAsia="Arial" w:hAnsi="Arial"/>
                <w:sz w:val="16"/>
                <w:szCs w:val="16"/>
                <w:color w:val="auto"/>
              </w:rPr>
              <w:t>271,882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261,056</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120" w:type="dxa"/>
            <w:vAlign w:val="bottom"/>
          </w:tcPr>
          <w:p>
            <w:pPr>
              <w:jc w:val="right"/>
              <w:spacing w:after="0"/>
              <w:rPr>
                <w:sz w:val="20"/>
                <w:szCs w:val="20"/>
                <w:color w:val="auto"/>
              </w:rPr>
            </w:pPr>
            <w:r>
              <w:rPr>
                <w:rFonts w:ascii="Arial" w:cs="Arial" w:eastAsia="Arial" w:hAnsi="Arial"/>
                <w:sz w:val="16"/>
                <w:szCs w:val="16"/>
                <w:color w:val="auto"/>
              </w:rPr>
              <w:t>66,156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75,675</w:t>
            </w: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33,214</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$ 2,313,629</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120" w:type="dxa"/>
            <w:vAlign w:val="bottom"/>
          </w:tcPr>
          <w:p>
            <w:pPr>
              <w:jc w:val="right"/>
              <w:spacing w:after="0"/>
              <w:rPr>
                <w:sz w:val="20"/>
                <w:szCs w:val="20"/>
                <w:color w:val="auto"/>
              </w:rPr>
            </w:pPr>
            <w:r>
              <w:rPr>
                <w:rFonts w:ascii="Arial" w:cs="Arial" w:eastAsia="Arial" w:hAnsi="Arial"/>
                <w:sz w:val="16"/>
                <w:szCs w:val="16"/>
                <w:color w:val="auto"/>
              </w:rPr>
              <w:t>$ 60,548</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$ 45,376</w:t>
            </w: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120" w:type="dxa"/>
            <w:vAlign w:val="bottom"/>
          </w:tcPr>
          <w:p>
            <w:pPr>
              <w:jc w:val="right"/>
              <w:spacing w:after="0"/>
              <w:rPr>
                <w:sz w:val="20"/>
                <w:szCs w:val="20"/>
                <w:color w:val="auto"/>
              </w:rPr>
            </w:pPr>
            <w:r>
              <w:rPr>
                <w:rFonts w:ascii="Arial" w:cs="Arial" w:eastAsia="Arial" w:hAnsi="Arial"/>
                <w:sz w:val="16"/>
                <w:szCs w:val="16"/>
                <w:color w:val="auto"/>
              </w:rPr>
              <w:t>27,391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26,874</w:t>
            </w:r>
          </w:p>
        </w:tc>
        <w:tc>
          <w:tcPr>
            <w:tcW w:w="0" w:type="dxa"/>
            <w:vAlign w:val="bottom"/>
          </w:tcPr>
          <w:p>
            <w:pPr>
              <w:spacing w:after="0"/>
              <w:rPr>
                <w:sz w:val="1"/>
                <w:szCs w:val="1"/>
                <w:color w:val="auto"/>
              </w:rPr>
            </w:pPr>
          </w:p>
        </w:tc>
      </w:tr>
    </w:tbl>
    <w:p>
      <w:pPr>
        <w:sectPr>
          <w:pgSz w:w="11900" w:h="16838" w:orient="portrait"/>
          <w:cols w:equalWidth="0" w:num="1">
            <w:col w:w="11260"/>
          </w:cols>
          <w:pgMar w:left="320" w:top="168" w:right="319" w:bottom="0" w:gutter="0" w:footer="0" w:header="0"/>
        </w:sectPr>
      </w:pPr>
    </w:p>
    <w:bookmarkStart w:id="5" w:name="page6"/>
    <w:bookmarkEnd w:id="5"/>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24,026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19,571</w:t>
            </w:r>
          </w:p>
        </w:tc>
        <w:tc>
          <w:tcPr>
            <w:tcW w:w="0" w:type="dxa"/>
            <w:vAlign w:val="bottom"/>
          </w:tcPr>
          <w:p>
            <w:pPr>
              <w:spacing w:after="0"/>
              <w:rPr>
                <w:sz w:val="1"/>
                <w:szCs w:val="1"/>
                <w:color w:val="auto"/>
              </w:rPr>
            </w:pPr>
          </w:p>
        </w:tc>
      </w:tr>
      <w:tr>
        <w:trPr>
          <w:trHeight w:val="263"/>
        </w:trPr>
        <w:tc>
          <w:tcPr>
            <w:tcW w:w="586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71"/>
        </w:trPr>
        <w:tc>
          <w:tcPr>
            <w:tcW w:w="58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114,397</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97,052</w:t>
            </w: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Long-term debt to affiliates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335,171</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775,000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78,016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79,739</w:t>
            </w: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29,159</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18,530</w:t>
            </w:r>
          </w:p>
        </w:tc>
        <w:tc>
          <w:tcPr>
            <w:tcW w:w="0" w:type="dxa"/>
            <w:vAlign w:val="bottom"/>
          </w:tcPr>
          <w:p>
            <w:pPr>
              <w:spacing w:after="0"/>
              <w:rPr>
                <w:sz w:val="1"/>
                <w:szCs w:val="1"/>
                <w:color w:val="auto"/>
              </w:rPr>
            </w:pPr>
          </w:p>
        </w:tc>
      </w:tr>
      <w:tr>
        <w:trPr>
          <w:trHeight w:val="271"/>
        </w:trPr>
        <w:tc>
          <w:tcPr>
            <w:tcW w:w="586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996,572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530,492</w:t>
            </w: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Stockholders' equity / Net investment: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1,067</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1,311,395</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8,507</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Oil States International, Inc. net investment</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1,651,013</w:t>
            </w:r>
          </w:p>
        </w:tc>
        <w:tc>
          <w:tcPr>
            <w:tcW w:w="0" w:type="dxa"/>
            <w:vAlign w:val="bottom"/>
          </w:tcPr>
          <w:p>
            <w:pPr>
              <w:spacing w:after="0"/>
              <w:rPr>
                <w:sz w:val="1"/>
                <w:szCs w:val="1"/>
                <w:color w:val="auto"/>
              </w:rPr>
            </w:pPr>
          </w:p>
        </w:tc>
      </w:tr>
      <w:tr>
        <w:trPr>
          <w:trHeight w:val="263"/>
        </w:trPr>
        <w:tc>
          <w:tcPr>
            <w:tcW w:w="58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(59,979)</w:t>
            </w:r>
          </w:p>
        </w:tc>
        <w:tc>
          <w:tcPr>
            <w:tcW w:w="0" w:type="dxa"/>
            <w:vAlign w:val="bottom"/>
          </w:tcPr>
          <w:p>
            <w:pPr>
              <w:spacing w:after="0"/>
              <w:rPr>
                <w:sz w:val="1"/>
                <w:szCs w:val="1"/>
                <w:color w:val="auto"/>
              </w:rPr>
            </w:pPr>
          </w:p>
        </w:tc>
      </w:tr>
      <w:tr>
        <w:trPr>
          <w:trHeight w:val="264"/>
        </w:trPr>
        <w:tc>
          <w:tcPr>
            <w:tcW w:w="6740" w:type="dxa"/>
            <w:vAlign w:val="bottom"/>
            <w:gridSpan w:val="4"/>
          </w:tcPr>
          <w:p>
            <w:pPr>
              <w:ind w:left="280"/>
              <w:spacing w:after="0"/>
              <w:rPr>
                <w:sz w:val="20"/>
                <w:szCs w:val="20"/>
                <w:color w:val="auto"/>
              </w:rPr>
            </w:pPr>
            <w:r>
              <w:rPr>
                <w:rFonts w:ascii="Arial" w:cs="Arial" w:eastAsia="Arial" w:hAnsi="Arial"/>
                <w:sz w:val="16"/>
                <w:szCs w:val="16"/>
                <w:color w:val="auto"/>
              </w:rPr>
              <w:t>Total Civeo Corporation stockholders' equity / Oil States International, Inc. net investment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1,315,132</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1,591,034</w:t>
            </w: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64"/>
        </w:trPr>
        <w:tc>
          <w:tcPr>
            <w:tcW w:w="5860" w:type="dxa"/>
            <w:vAlign w:val="bottom"/>
          </w:tcPr>
          <w:p>
            <w:pPr>
              <w:ind w:left="140"/>
              <w:spacing w:after="0"/>
              <w:rPr>
                <w:sz w:val="20"/>
                <w:szCs w:val="20"/>
                <w:color w:val="auto"/>
              </w:rPr>
            </w:pPr>
            <w:r>
              <w:rPr>
                <w:rFonts w:ascii="Arial" w:cs="Arial" w:eastAsia="Arial" w:hAnsi="Arial"/>
                <w:sz w:val="16"/>
                <w:szCs w:val="16"/>
                <w:color w:val="auto"/>
              </w:rPr>
              <w:t>Total stockholders' equity / net investment</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1,317,057</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1,592,745</w:t>
            </w:r>
          </w:p>
        </w:tc>
        <w:tc>
          <w:tcPr>
            <w:tcW w:w="0" w:type="dxa"/>
            <w:vAlign w:val="bottom"/>
          </w:tcPr>
          <w:p>
            <w:pPr>
              <w:spacing w:after="0"/>
              <w:rPr>
                <w:sz w:val="1"/>
                <w:szCs w:val="1"/>
                <w:color w:val="auto"/>
              </w:rPr>
            </w:pPr>
          </w:p>
        </w:tc>
      </w:tr>
      <w:tr>
        <w:trPr>
          <w:trHeight w:val="264"/>
        </w:trPr>
        <w:tc>
          <w:tcPr>
            <w:tcW w:w="586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 / net investment</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$ 2,313,629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5860" w:type="dxa"/>
            <w:vAlign w:val="bottom"/>
            <w:vMerge w:val="restart"/>
          </w:tcPr>
          <w:p>
            <w:pPr>
              <w:jc w:val="center"/>
              <w:ind w:left="1559"/>
              <w:spacing w:after="0"/>
              <w:rPr>
                <w:sz w:val="20"/>
                <w:szCs w:val="20"/>
                <w:color w:val="auto"/>
              </w:rPr>
            </w:pPr>
            <w:r>
              <w:rPr>
                <w:rFonts w:ascii="Arial" w:cs="Arial" w:eastAsia="Arial" w:hAnsi="Arial"/>
                <w:sz w:val="16"/>
                <w:szCs w:val="16"/>
                <w:b w:val="1"/>
                <w:bCs w:val="1"/>
                <w:color w:val="auto"/>
                <w:w w:val="99"/>
              </w:rPr>
              <w:t>CIVEO CORPORATION</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58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gridSpan w:val="4"/>
          </w:tcPr>
          <w:p>
            <w:pPr>
              <w:jc w:val="center"/>
              <w:ind w:left="679"/>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jc w:val="center"/>
              <w:ind w:left="1559"/>
              <w:spacing w:after="0"/>
              <w:rPr>
                <w:sz w:val="20"/>
                <w:szCs w:val="20"/>
                <w:color w:val="auto"/>
              </w:rPr>
            </w:pPr>
            <w:r>
              <w:rPr>
                <w:rFonts w:ascii="Arial" w:cs="Arial" w:eastAsia="Arial" w:hAnsi="Arial"/>
                <w:sz w:val="16"/>
                <w:szCs w:val="16"/>
                <w:b w:val="1"/>
                <w:bCs w:val="1"/>
                <w:color w:val="auto"/>
                <w:w w:val="99"/>
              </w:rPr>
              <w:t>(in thousands)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5860" w:type="dxa"/>
            <w:vAlign w:val="bottom"/>
          </w:tcPr>
          <w:p>
            <w:pPr>
              <w:spacing w:after="0"/>
              <w:rPr>
                <w:sz w:val="24"/>
                <w:szCs w:val="24"/>
                <w:color w:val="auto"/>
              </w:rPr>
            </w:pPr>
          </w:p>
        </w:tc>
        <w:tc>
          <w:tcPr>
            <w:tcW w:w="200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99"/>
              </w:rPr>
              <w:t>SIX MONTHS ENDED</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200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2"/>
                <w:szCs w:val="22"/>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1"/>
        </w:trPr>
        <w:tc>
          <w:tcPr>
            <w:tcW w:w="58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Net income</w:t>
            </w:r>
          </w:p>
        </w:tc>
        <w:tc>
          <w:tcPr>
            <w:tcW w:w="780" w:type="dxa"/>
            <w:vAlign w:val="bottom"/>
          </w:tcPr>
          <w:p>
            <w:pPr>
              <w:jc w:val="right"/>
              <w:spacing w:after="0"/>
              <w:rPr>
                <w:sz w:val="20"/>
                <w:szCs w:val="20"/>
                <w:color w:val="auto"/>
              </w:rPr>
            </w:pPr>
            <w:r>
              <w:rPr>
                <w:rFonts w:ascii="Arial" w:cs="Arial" w:eastAsia="Arial" w:hAnsi="Arial"/>
                <w:sz w:val="16"/>
                <w:szCs w:val="16"/>
                <w:color w:val="auto"/>
              </w:rPr>
              <w:t>$ 50,881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$ 97,493</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780" w:type="dxa"/>
            <w:vAlign w:val="bottom"/>
          </w:tcPr>
          <w:p>
            <w:pPr>
              <w:jc w:val="right"/>
              <w:spacing w:after="0"/>
              <w:rPr>
                <w:sz w:val="20"/>
                <w:szCs w:val="20"/>
                <w:color w:val="auto"/>
              </w:rPr>
            </w:pPr>
            <w:r>
              <w:rPr>
                <w:rFonts w:ascii="Arial" w:cs="Arial" w:eastAsia="Arial" w:hAnsi="Arial"/>
                <w:sz w:val="16"/>
                <w:szCs w:val="16"/>
                <w:color w:val="auto"/>
              </w:rPr>
              <w:t>82,012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82,499</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780" w:type="dxa"/>
            <w:vAlign w:val="bottom"/>
          </w:tcPr>
          <w:p>
            <w:pPr>
              <w:jc w:val="right"/>
              <w:spacing w:after="0"/>
              <w:rPr>
                <w:sz w:val="20"/>
                <w:szCs w:val="20"/>
                <w:color w:val="auto"/>
              </w:rPr>
            </w:pPr>
            <w:r>
              <w:rPr>
                <w:rFonts w:ascii="Arial" w:cs="Arial" w:eastAsia="Arial" w:hAnsi="Arial"/>
                <w:sz w:val="16"/>
                <w:szCs w:val="16"/>
                <w:color w:val="auto"/>
              </w:rPr>
              <w:t>11,610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780" w:type="dxa"/>
            <w:vAlign w:val="bottom"/>
          </w:tcPr>
          <w:p>
            <w:pPr>
              <w:jc w:val="right"/>
              <w:spacing w:after="0"/>
              <w:rPr>
                <w:sz w:val="20"/>
                <w:szCs w:val="20"/>
                <w:color w:val="auto"/>
              </w:rPr>
            </w:pPr>
            <w:r>
              <w:rPr>
                <w:rFonts w:ascii="Arial" w:cs="Arial" w:eastAsia="Arial" w:hAnsi="Arial"/>
                <w:sz w:val="16"/>
                <w:szCs w:val="16"/>
                <w:color w:val="auto"/>
              </w:rPr>
              <w:t>3,455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Deferred income tax provision (benefit)</w:t>
            </w:r>
          </w:p>
        </w:tc>
        <w:tc>
          <w:tcPr>
            <w:tcW w:w="780" w:type="dxa"/>
            <w:vAlign w:val="bottom"/>
          </w:tcPr>
          <w:p>
            <w:pPr>
              <w:jc w:val="right"/>
              <w:spacing w:after="0"/>
              <w:rPr>
                <w:sz w:val="20"/>
                <w:szCs w:val="20"/>
                <w:color w:val="auto"/>
              </w:rPr>
            </w:pPr>
            <w:r>
              <w:rPr>
                <w:rFonts w:ascii="Arial" w:cs="Arial" w:eastAsia="Arial" w:hAnsi="Arial"/>
                <w:sz w:val="16"/>
                <w:szCs w:val="16"/>
                <w:color w:val="auto"/>
              </w:rPr>
              <w:t>(7,151)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7,088</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780" w:type="dxa"/>
            <w:vAlign w:val="bottom"/>
          </w:tcPr>
          <w:p>
            <w:pPr>
              <w:jc w:val="right"/>
              <w:spacing w:after="0"/>
              <w:rPr>
                <w:sz w:val="20"/>
                <w:szCs w:val="20"/>
                <w:color w:val="auto"/>
              </w:rPr>
            </w:pPr>
            <w:r>
              <w:rPr>
                <w:rFonts w:ascii="Arial" w:cs="Arial" w:eastAsia="Arial" w:hAnsi="Arial"/>
                <w:sz w:val="16"/>
                <w:szCs w:val="16"/>
                <w:color w:val="auto"/>
              </w:rPr>
              <w:t>5,419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Losses on disposals of assets</w:t>
            </w:r>
          </w:p>
        </w:tc>
        <w:tc>
          <w:tcPr>
            <w:tcW w:w="780" w:type="dxa"/>
            <w:vAlign w:val="bottom"/>
          </w:tcPr>
          <w:p>
            <w:pPr>
              <w:jc w:val="right"/>
              <w:spacing w:after="0"/>
              <w:rPr>
                <w:sz w:val="20"/>
                <w:szCs w:val="20"/>
                <w:color w:val="auto"/>
              </w:rPr>
            </w:pPr>
            <w:r>
              <w:rPr>
                <w:rFonts w:ascii="Arial" w:cs="Arial" w:eastAsia="Arial" w:hAnsi="Arial"/>
                <w:sz w:val="16"/>
                <w:szCs w:val="16"/>
                <w:color w:val="auto"/>
              </w:rPr>
              <w:t>574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Provision for loss on receivables</w:t>
            </w: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Fair value adjustment of contingent consideration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(3,865)</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780" w:type="dxa"/>
            <w:vAlign w:val="bottom"/>
          </w:tcPr>
          <w:p>
            <w:pPr>
              <w:jc w:val="right"/>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780" w:type="dxa"/>
            <w:vAlign w:val="bottom"/>
          </w:tcPr>
          <w:p>
            <w:pPr>
              <w:jc w:val="right"/>
              <w:spacing w:after="0"/>
              <w:rPr>
                <w:sz w:val="20"/>
                <w:szCs w:val="20"/>
                <w:color w:val="auto"/>
              </w:rPr>
            </w:pPr>
            <w:r>
              <w:rPr>
                <w:rFonts w:ascii="Arial" w:cs="Arial" w:eastAsia="Arial" w:hAnsi="Arial"/>
                <w:sz w:val="16"/>
                <w:szCs w:val="16"/>
                <w:color w:val="auto"/>
              </w:rPr>
              <w:t>(12,622)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11,418</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780" w:type="dxa"/>
            <w:vAlign w:val="bottom"/>
          </w:tcPr>
          <w:p>
            <w:pPr>
              <w:jc w:val="right"/>
              <w:spacing w:after="0"/>
              <w:rPr>
                <w:sz w:val="20"/>
                <w:szCs w:val="20"/>
                <w:color w:val="auto"/>
              </w:rPr>
            </w:pPr>
            <w:r>
              <w:rPr>
                <w:rFonts w:ascii="Arial" w:cs="Arial" w:eastAsia="Arial" w:hAnsi="Arial"/>
                <w:sz w:val="16"/>
                <w:szCs w:val="16"/>
                <w:color w:val="auto"/>
              </w:rPr>
              <w:t>8,841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780" w:type="dxa"/>
            <w:vAlign w:val="bottom"/>
          </w:tcPr>
          <w:p>
            <w:pPr>
              <w:jc w:val="right"/>
              <w:spacing w:after="0"/>
              <w:rPr>
                <w:sz w:val="20"/>
                <w:szCs w:val="20"/>
                <w:color w:val="auto"/>
              </w:rPr>
            </w:pPr>
            <w:r>
              <w:rPr>
                <w:rFonts w:ascii="Arial" w:cs="Arial" w:eastAsia="Arial" w:hAnsi="Arial"/>
                <w:sz w:val="16"/>
                <w:szCs w:val="16"/>
                <w:color w:val="auto"/>
              </w:rPr>
              <w:t>21,405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(25,432)</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780" w:type="dxa"/>
            <w:vAlign w:val="bottom"/>
          </w:tcPr>
          <w:p>
            <w:pPr>
              <w:jc w:val="right"/>
              <w:spacing w:after="0"/>
              <w:rPr>
                <w:sz w:val="20"/>
                <w:szCs w:val="20"/>
                <w:color w:val="auto"/>
              </w:rPr>
            </w:pPr>
            <w:r>
              <w:rPr>
                <w:rFonts w:ascii="Arial" w:cs="Arial" w:eastAsia="Arial" w:hAnsi="Arial"/>
                <w:sz w:val="16"/>
                <w:szCs w:val="16"/>
                <w:color w:val="auto"/>
              </w:rPr>
              <w:t>(14,376)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(16,919)</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60" w:type="dxa"/>
            <w:vAlign w:val="bottom"/>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86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780" w:type="dxa"/>
            <w:vAlign w:val="bottom"/>
          </w:tcPr>
          <w:p>
            <w:pPr>
              <w:jc w:val="right"/>
              <w:spacing w:after="0"/>
              <w:rPr>
                <w:sz w:val="20"/>
                <w:szCs w:val="20"/>
                <w:color w:val="auto"/>
              </w:rPr>
            </w:pPr>
            <w:r>
              <w:rPr>
                <w:rFonts w:ascii="Arial" w:cs="Arial" w:eastAsia="Arial" w:hAnsi="Arial"/>
                <w:sz w:val="16"/>
                <w:szCs w:val="16"/>
                <w:color w:val="auto"/>
              </w:rPr>
              <w:t>154,731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160,258</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Capital expenditures, including capitalized interest</w:t>
            </w:r>
          </w:p>
        </w:tc>
        <w:tc>
          <w:tcPr>
            <w:tcW w:w="780" w:type="dxa"/>
            <w:vAlign w:val="bottom"/>
          </w:tcPr>
          <w:p>
            <w:pPr>
              <w:jc w:val="right"/>
              <w:spacing w:after="0"/>
              <w:rPr>
                <w:sz w:val="20"/>
                <w:szCs w:val="20"/>
                <w:color w:val="auto"/>
              </w:rPr>
            </w:pPr>
            <w:r>
              <w:rPr>
                <w:rFonts w:ascii="Arial" w:cs="Arial" w:eastAsia="Arial" w:hAnsi="Arial"/>
                <w:sz w:val="16"/>
                <w:szCs w:val="16"/>
                <w:color w:val="auto"/>
              </w:rPr>
              <w:t>(141,667)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(160,605)</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780" w:type="dxa"/>
            <w:vAlign w:val="bottom"/>
          </w:tcPr>
          <w:p>
            <w:pPr>
              <w:jc w:val="right"/>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780" w:type="dxa"/>
            <w:vAlign w:val="bottom"/>
          </w:tcPr>
          <w:p>
            <w:pPr>
              <w:jc w:val="right"/>
              <w:spacing w:after="0"/>
              <w:rPr>
                <w:sz w:val="20"/>
                <w:szCs w:val="20"/>
                <w:color w:val="auto"/>
              </w:rPr>
            </w:pPr>
            <w:r>
              <w:rPr>
                <w:rFonts w:ascii="Arial" w:cs="Arial" w:eastAsia="Arial" w:hAnsi="Arial"/>
                <w:sz w:val="16"/>
                <w:szCs w:val="16"/>
                <w:color w:val="auto"/>
              </w:rPr>
              <w:t>(778)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860" w:type="dxa"/>
            <w:vAlign w:val="bottom"/>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(141,095)</w:t>
            </w: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(159,261)</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Revolving credit borrowings and (repayments), net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(47,901)</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Term loan borrowings, net of issuance costs</w:t>
            </w:r>
          </w:p>
        </w:tc>
        <w:tc>
          <w:tcPr>
            <w:tcW w:w="780" w:type="dxa"/>
            <w:vAlign w:val="bottom"/>
          </w:tcPr>
          <w:p>
            <w:pPr>
              <w:jc w:val="right"/>
              <w:spacing w:after="0"/>
              <w:rPr>
                <w:sz w:val="20"/>
                <w:szCs w:val="20"/>
                <w:color w:val="auto"/>
              </w:rPr>
            </w:pPr>
            <w:r>
              <w:rPr>
                <w:rFonts w:ascii="Arial" w:cs="Arial" w:eastAsia="Arial" w:hAnsi="Arial"/>
                <w:sz w:val="16"/>
                <w:szCs w:val="16"/>
                <w:color w:val="auto"/>
              </w:rPr>
              <w:t>775,000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780" w:type="dxa"/>
            <w:vAlign w:val="bottom"/>
          </w:tcPr>
          <w:p>
            <w:pPr>
              <w:jc w:val="right"/>
              <w:spacing w:after="0"/>
              <w:rPr>
                <w:sz w:val="20"/>
                <w:szCs w:val="20"/>
                <w:color w:val="auto"/>
              </w:rPr>
            </w:pPr>
            <w:r>
              <w:rPr>
                <w:rFonts w:ascii="Arial" w:cs="Arial" w:eastAsia="Arial" w:hAnsi="Arial"/>
                <w:sz w:val="16"/>
                <w:szCs w:val="16"/>
                <w:color w:val="auto"/>
              </w:rPr>
              <w:t>(9,106)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(82,762)</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05" w:orient="portrait"/>
          <w:cols w:equalWidth="0" w:num="1">
            <w:col w:w="10139"/>
          </w:cols>
          <w:pgMar w:left="320" w:top="141" w:right="1440" w:bottom="0" w:gutter="0" w:footer="0" w:header="0"/>
        </w:sectPr>
      </w:pPr>
    </w:p>
    <w:bookmarkStart w:id="6" w:name="page7"/>
    <w:bookmarkEnd w:id="6"/>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ind w:left="140"/>
              <w:spacing w:after="0"/>
              <w:rPr>
                <w:sz w:val="20"/>
                <w:szCs w:val="20"/>
                <w:color w:val="auto"/>
              </w:rPr>
            </w:pPr>
            <w:r>
              <w:rPr>
                <w:rFonts w:ascii="Arial" w:cs="Arial" w:eastAsia="Arial" w:hAnsi="Arial"/>
                <w:sz w:val="16"/>
                <w:szCs w:val="16"/>
                <w:color w:val="auto"/>
              </w:rPr>
              <w:t>Distributions to Oil States</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(750,000)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380" w:type="dxa"/>
            <w:vAlign w:val="bottom"/>
          </w:tcPr>
          <w:p>
            <w:pPr>
              <w:ind w:left="140"/>
              <w:spacing w:after="0"/>
              <w:rPr>
                <w:sz w:val="20"/>
                <w:szCs w:val="20"/>
                <w:color w:val="auto"/>
              </w:rPr>
            </w:pPr>
            <w:r>
              <w:rPr>
                <w:rFonts w:ascii="Arial" w:cs="Arial" w:eastAsia="Arial" w:hAnsi="Arial"/>
                <w:sz w:val="16"/>
                <w:szCs w:val="16"/>
                <w:color w:val="auto"/>
              </w:rPr>
              <w:t>Contributions from Oil States</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28,170</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84,383</w:t>
            </w:r>
          </w:p>
        </w:tc>
        <w:tc>
          <w:tcPr>
            <w:tcW w:w="0" w:type="dxa"/>
            <w:vAlign w:val="bottom"/>
          </w:tcPr>
          <w:p>
            <w:pPr>
              <w:spacing w:after="0"/>
              <w:rPr>
                <w:sz w:val="1"/>
                <w:szCs w:val="1"/>
                <w:color w:val="auto"/>
              </w:rPr>
            </w:pPr>
          </w:p>
        </w:tc>
      </w:tr>
      <w:tr>
        <w:trPr>
          <w:trHeight w:val="271"/>
        </w:trPr>
        <w:tc>
          <w:tcPr>
            <w:tcW w:w="4440" w:type="dxa"/>
            <w:vAlign w:val="bottom"/>
            <w:gridSpan w:val="7"/>
          </w:tcPr>
          <w:p>
            <w:pPr>
              <w:ind w:left="280"/>
              <w:spacing w:after="0"/>
              <w:rPr>
                <w:sz w:val="20"/>
                <w:szCs w:val="20"/>
                <w:color w:val="auto"/>
              </w:rPr>
            </w:pPr>
            <w:r>
              <w:rPr>
                <w:rFonts w:ascii="Arial" w:cs="Arial" w:eastAsia="Arial" w:hAnsi="Arial"/>
                <w:sz w:val="16"/>
                <w:szCs w:val="16"/>
                <w:color w:val="auto"/>
              </w:rPr>
              <w:t>Net cash flows provided by (used in) financing activities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44,064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(46,280)</w:t>
            </w:r>
          </w:p>
        </w:tc>
        <w:tc>
          <w:tcPr>
            <w:tcW w:w="0" w:type="dxa"/>
            <w:vAlign w:val="bottom"/>
          </w:tcPr>
          <w:p>
            <w:pPr>
              <w:spacing w:after="0"/>
              <w:rPr>
                <w:sz w:val="1"/>
                <w:szCs w:val="1"/>
                <w:color w:val="auto"/>
              </w:rPr>
            </w:pPr>
          </w:p>
        </w:tc>
      </w:tr>
      <w:tr>
        <w:trPr>
          <w:trHeight w:val="540"/>
        </w:trPr>
        <w:tc>
          <w:tcPr>
            <w:tcW w:w="3620" w:type="dxa"/>
            <w:vAlign w:val="bottom"/>
            <w:gridSpan w:val="5"/>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3,666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(16,904)</w:t>
            </w:r>
          </w:p>
        </w:tc>
        <w:tc>
          <w:tcPr>
            <w:tcW w:w="0" w:type="dxa"/>
            <w:vAlign w:val="bottom"/>
          </w:tcPr>
          <w:p>
            <w:pPr>
              <w:spacing w:after="0"/>
              <w:rPr>
                <w:sz w:val="1"/>
                <w:szCs w:val="1"/>
                <w:color w:val="auto"/>
              </w:rPr>
            </w:pPr>
          </w:p>
        </w:tc>
      </w:tr>
      <w:tr>
        <w:trPr>
          <w:trHeight w:val="533"/>
        </w:trPr>
        <w:tc>
          <w:tcPr>
            <w:tcW w:w="3620" w:type="dxa"/>
            <w:vAlign w:val="bottom"/>
            <w:gridSpan w:val="5"/>
          </w:tcPr>
          <w:p>
            <w:pPr>
              <w:spacing w:after="0"/>
              <w:rPr>
                <w:sz w:val="20"/>
                <w:szCs w:val="20"/>
                <w:color w:val="auto"/>
              </w:rPr>
            </w:pPr>
            <w:r>
              <w:rPr>
                <w:rFonts w:ascii="Arial" w:cs="Arial" w:eastAsia="Arial" w:hAnsi="Arial"/>
                <w:sz w:val="16"/>
                <w:szCs w:val="16"/>
                <w:color w:val="auto"/>
              </w:rPr>
              <w:t>Net change in cash and cash equivalents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61,366</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(62,187)</w:t>
            </w:r>
          </w:p>
        </w:tc>
        <w:tc>
          <w:tcPr>
            <w:tcW w:w="0" w:type="dxa"/>
            <w:vAlign w:val="bottom"/>
          </w:tcPr>
          <w:p>
            <w:pPr>
              <w:spacing w:after="0"/>
              <w:rPr>
                <w:sz w:val="1"/>
                <w:szCs w:val="1"/>
                <w:color w:val="auto"/>
              </w:rPr>
            </w:pPr>
          </w:p>
        </w:tc>
      </w:tr>
      <w:tr>
        <w:trPr>
          <w:trHeight w:val="541"/>
        </w:trPr>
        <w:tc>
          <w:tcPr>
            <w:tcW w:w="3620" w:type="dxa"/>
            <w:vAlign w:val="bottom"/>
            <w:gridSpan w:val="5"/>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224,128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161,396</w:t>
            </w:r>
          </w:p>
        </w:tc>
        <w:tc>
          <w:tcPr>
            <w:tcW w:w="0" w:type="dxa"/>
            <w:vAlign w:val="bottom"/>
          </w:tcPr>
          <w:p>
            <w:pPr>
              <w:spacing w:after="0"/>
              <w:rPr>
                <w:sz w:val="1"/>
                <w:szCs w:val="1"/>
                <w:color w:val="auto"/>
              </w:rPr>
            </w:pPr>
          </w:p>
        </w:tc>
      </w:tr>
      <w:tr>
        <w:trPr>
          <w:trHeight w:val="263"/>
        </w:trPr>
        <w:tc>
          <w:tcPr>
            <w:tcW w:w="244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20" w:type="dxa"/>
            <w:vAlign w:val="bottom"/>
            <w:gridSpan w:val="5"/>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$ 285,494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$ 99,209</w:t>
            </w:r>
          </w:p>
        </w:tc>
        <w:tc>
          <w:tcPr>
            <w:tcW w:w="0" w:type="dxa"/>
            <w:vAlign w:val="bottom"/>
          </w:tcPr>
          <w:p>
            <w:pPr>
              <w:spacing w:after="0"/>
              <w:rPr>
                <w:sz w:val="1"/>
                <w:szCs w:val="1"/>
                <w:color w:val="auto"/>
              </w:rPr>
            </w:pPr>
          </w:p>
        </w:tc>
      </w:tr>
      <w:tr>
        <w:trPr>
          <w:trHeight w:val="20"/>
        </w:trPr>
        <w:tc>
          <w:tcPr>
            <w:tcW w:w="4440" w:type="dxa"/>
            <w:vAlign w:val="bottom"/>
            <w:gridSpan w:val="7"/>
            <w:vMerge w:val="restart"/>
          </w:tcPr>
          <w:p>
            <w:pPr>
              <w:jc w:val="center"/>
              <w:ind w:left="1559"/>
              <w:spacing w:after="0"/>
              <w:rPr>
                <w:sz w:val="20"/>
                <w:szCs w:val="20"/>
                <w:color w:val="auto"/>
              </w:rPr>
            </w:pPr>
            <w:r>
              <w:rPr>
                <w:rFonts w:ascii="Arial" w:cs="Arial" w:eastAsia="Arial" w:hAnsi="Arial"/>
                <w:sz w:val="16"/>
                <w:szCs w:val="16"/>
                <w:b w:val="1"/>
                <w:bCs w:val="1"/>
                <w:color w:val="auto"/>
              </w:rPr>
              <w:t>CIVEO CORPORATION</w:t>
            </w: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440" w:type="dxa"/>
            <w:vAlign w:val="bottom"/>
            <w:gridSpan w:val="7"/>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2060" w:type="dxa"/>
            <w:vAlign w:val="bottom"/>
            <w:gridSpan w:val="6"/>
          </w:tcPr>
          <w:p>
            <w:pPr>
              <w:jc w:val="center"/>
              <w:ind w:right="740"/>
              <w:spacing w:after="0"/>
              <w:rPr>
                <w:sz w:val="20"/>
                <w:szCs w:val="20"/>
                <w:color w:val="auto"/>
              </w:rPr>
            </w:pPr>
            <w:r>
              <w:rPr>
                <w:rFonts w:ascii="Arial" w:cs="Arial" w:eastAsia="Arial" w:hAnsi="Arial"/>
                <w:sz w:val="16"/>
                <w:szCs w:val="16"/>
                <w:b w:val="1"/>
                <w:bCs w:val="1"/>
                <w:color w:val="auto"/>
                <w:w w:val="99"/>
              </w:rPr>
              <w:t>SEGMENT DATA</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(unaudited)</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10"/>
          </w:tcPr>
          <w:p>
            <w:pPr>
              <w:jc w:val="right"/>
              <w:ind w:right="580"/>
              <w:spacing w:after="0"/>
              <w:rPr>
                <w:sz w:val="20"/>
                <w:szCs w:val="20"/>
                <w:color w:val="auto"/>
              </w:rPr>
            </w:pPr>
            <w:r>
              <w:rPr>
                <w:rFonts w:ascii="Arial" w:cs="Arial" w:eastAsia="Arial" w:hAnsi="Arial"/>
                <w:sz w:val="16"/>
                <w:szCs w:val="16"/>
                <w:b w:val="1"/>
                <w:bCs w:val="1"/>
                <w:color w:val="auto"/>
              </w:rPr>
              <w:t>THREE MONTHS ENDED SIX MONTHS ENDED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5"/>
          </w:tcPr>
          <w:p>
            <w:pPr>
              <w:ind w:left="600"/>
              <w:spacing w:after="0"/>
              <w:rPr>
                <w:sz w:val="20"/>
                <w:szCs w:val="20"/>
                <w:color w:val="auto"/>
              </w:rPr>
            </w:pPr>
            <w:r>
              <w:rPr>
                <w:rFonts w:ascii="Arial" w:cs="Arial" w:eastAsia="Arial" w:hAnsi="Arial"/>
                <w:sz w:val="16"/>
                <w:szCs w:val="16"/>
                <w:b w:val="1"/>
                <w:bCs w:val="1"/>
                <w:color w:val="auto"/>
              </w:rPr>
              <w:t>JUNE 30,</w:t>
            </w:r>
          </w:p>
        </w:tc>
        <w:tc>
          <w:tcPr>
            <w:tcW w:w="220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2"/>
                <w:szCs w:val="22"/>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380" w:type="dxa"/>
            <w:vAlign w:val="bottom"/>
          </w:tcPr>
          <w:p>
            <w:pPr>
              <w:spacing w:after="0"/>
              <w:rPr>
                <w:sz w:val="20"/>
                <w:szCs w:val="20"/>
                <w:color w:val="auto"/>
              </w:rPr>
            </w:pPr>
            <w:r>
              <w:rPr>
                <w:rFonts w:ascii="Arial" w:cs="Arial" w:eastAsia="Arial" w:hAnsi="Arial"/>
                <w:sz w:val="16"/>
                <w:szCs w:val="16"/>
                <w:color w:val="auto"/>
              </w:rPr>
              <w:t>Revenues</w:t>
            </w:r>
          </w:p>
        </w:tc>
        <w:tc>
          <w:tcPr>
            <w:tcW w:w="6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Canada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$ 156,479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$ 160,952</w:t>
            </w:r>
          </w:p>
        </w:tc>
        <w:tc>
          <w:tcPr>
            <w:tcW w:w="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$ 336,803</w:t>
            </w:r>
          </w:p>
        </w:tc>
        <w:tc>
          <w:tcPr>
            <w:tcW w:w="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$ 368,603</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54,383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64,043</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109,847</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131,772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16,271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17,995</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33,282</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37,153</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8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6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$ 227,133</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$ 242,990</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$ 479,932</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$ 537,528</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Canada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$ 46,809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$ 58,038</w:t>
            </w:r>
          </w:p>
        </w:tc>
        <w:tc>
          <w:tcPr>
            <w:tcW w:w="760" w:type="dxa"/>
            <w:vAlign w:val="bottom"/>
          </w:tcPr>
          <w:p>
            <w:pPr>
              <w:jc w:val="center"/>
              <w:spacing w:after="0"/>
              <w:rPr>
                <w:sz w:val="20"/>
                <w:szCs w:val="20"/>
                <w:color w:val="auto"/>
              </w:rPr>
            </w:pPr>
            <w:r>
              <w:rPr>
                <w:rFonts w:ascii="Arial" w:cs="Arial" w:eastAsia="Arial" w:hAnsi="Arial"/>
                <w:sz w:val="16"/>
                <w:szCs w:val="16"/>
                <w:color w:val="auto"/>
              </w:rPr>
              <w:t>$ 108,604</w:t>
            </w:r>
          </w:p>
        </w:tc>
        <w:tc>
          <w:tcPr>
            <w:tcW w:w="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$ 146,751</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16,422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34,329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47,226</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71,086</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1,038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2,566</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4,177</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10,992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8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(2,031)</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(8,655)</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(4,046)</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80" w:type="dxa"/>
            <w:vAlign w:val="bottom"/>
          </w:tcPr>
          <w:p>
            <w:pPr>
              <w:ind w:left="280"/>
              <w:spacing w:after="0"/>
              <w:rPr>
                <w:sz w:val="20"/>
                <w:szCs w:val="20"/>
                <w:color w:val="auto"/>
              </w:rPr>
            </w:pPr>
            <w:r>
              <w:rPr>
                <w:rFonts w:ascii="Arial" w:cs="Arial" w:eastAsia="Arial" w:hAnsi="Arial"/>
                <w:sz w:val="16"/>
                <w:szCs w:val="16"/>
                <w:color w:val="auto"/>
              </w:rPr>
              <w:t>Total EBITDA</w:t>
            </w:r>
          </w:p>
        </w:tc>
        <w:tc>
          <w:tcPr>
            <w:tcW w:w="6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$ 59,012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$ 92,902</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$ 151,352</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$ 224,783</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Canada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$ 50,926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$ 58,038</w:t>
            </w:r>
          </w:p>
        </w:tc>
        <w:tc>
          <w:tcPr>
            <w:tcW w:w="760" w:type="dxa"/>
            <w:vAlign w:val="bottom"/>
          </w:tcPr>
          <w:p>
            <w:pPr>
              <w:jc w:val="center"/>
              <w:spacing w:after="0"/>
              <w:rPr>
                <w:sz w:val="20"/>
                <w:szCs w:val="20"/>
                <w:color w:val="auto"/>
              </w:rPr>
            </w:pPr>
            <w:r>
              <w:rPr>
                <w:rFonts w:ascii="Arial" w:cs="Arial" w:eastAsia="Arial" w:hAnsi="Arial"/>
                <w:sz w:val="16"/>
                <w:szCs w:val="16"/>
                <w:color w:val="auto"/>
              </w:rPr>
              <w:t>$ 112,726</w:t>
            </w:r>
          </w:p>
        </w:tc>
        <w:tc>
          <w:tcPr>
            <w:tcW w:w="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$ 146,751</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25,653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34,329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56,457</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71,086</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3,726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2,566</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6,892</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6,987</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8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(2,031)</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(6,527)</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(4,046)</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80" w:type="dxa"/>
            <w:vAlign w:val="bottom"/>
          </w:tcPr>
          <w:p>
            <w:pPr>
              <w:ind w:left="280"/>
              <w:spacing w:after="0"/>
              <w:rPr>
                <w:sz w:val="20"/>
                <w:szCs w:val="20"/>
                <w:color w:val="auto"/>
              </w:rPr>
            </w:pPr>
            <w:r>
              <w:rPr>
                <w:rFonts w:ascii="Arial" w:cs="Arial" w:eastAsia="Arial" w:hAnsi="Arial"/>
                <w:sz w:val="16"/>
                <w:szCs w:val="16"/>
                <w:color w:val="auto"/>
              </w:rPr>
              <w:t>Total adjusted EBITDA</w:t>
            </w:r>
          </w:p>
        </w:tc>
        <w:tc>
          <w:tcPr>
            <w:tcW w:w="6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$ 76,635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$ 92,902</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$ 169,548</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$ 220,778</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Canada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$ 25,424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$ 37,638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$ 67,466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$ 106,274</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17,527</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15,638</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37,093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(3,767)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(1,540)</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(5,428)</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3,003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8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(1,993)</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(8,590)</w:t>
            </w:r>
          </w:p>
        </w:tc>
        <w:tc>
          <w:tcPr>
            <w:tcW w:w="1360" w:type="dxa"/>
            <w:vAlign w:val="bottom"/>
            <w:gridSpan w:val="3"/>
          </w:tcPr>
          <w:p>
            <w:pPr>
              <w:jc w:val="right"/>
              <w:ind w:right="560"/>
              <w:spacing w:after="0"/>
              <w:rPr>
                <w:sz w:val="20"/>
                <w:szCs w:val="20"/>
                <w:color w:val="auto"/>
              </w:rPr>
            </w:pPr>
            <w:r>
              <w:rPr>
                <w:rFonts w:ascii="Arial" w:cs="Arial" w:eastAsia="Arial" w:hAnsi="Arial"/>
                <w:sz w:val="16"/>
                <w:szCs w:val="16"/>
                <w:color w:val="auto"/>
              </w:rPr>
              <w:t>(3,977)</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80" w:type="dxa"/>
            <w:vAlign w:val="bottom"/>
          </w:tcPr>
          <w:p>
            <w:pPr>
              <w:ind w:left="280"/>
              <w:spacing w:after="0"/>
              <w:rPr>
                <w:sz w:val="20"/>
                <w:szCs w:val="20"/>
                <w:color w:val="auto"/>
              </w:rPr>
            </w:pPr>
            <w:r>
              <w:rPr>
                <w:rFonts w:ascii="Arial" w:cs="Arial" w:eastAsia="Arial" w:hAnsi="Arial"/>
                <w:sz w:val="16"/>
                <w:szCs w:val="16"/>
                <w:color w:val="auto"/>
              </w:rPr>
              <w:t>Total operating income (loss)</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$ 16,226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$ 51,632</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$ 69,086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$ 142,393</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20" w:firstLine="9"/>
        <w:spacing w:after="0" w:line="248"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7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4760" w:type="dxa"/>
        <w:tblCellMar>
          <w:top w:w="0" w:type="dxa"/>
          <w:left w:w="0" w:type="dxa"/>
          <w:bottom w:w="0" w:type="dxa"/>
          <w:right w:w="0" w:type="dxa"/>
        </w:tblCellMar>
      </w:tblPr>
      <w:tr>
        <w:trPr>
          <w:trHeight w:val="189"/>
        </w:trPr>
        <w:tc>
          <w:tcPr>
            <w:tcW w:w="34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246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16"/>
                <w:szCs w:val="16"/>
                <w:color w:val="auto"/>
              </w:rPr>
            </w:pPr>
          </w:p>
        </w:tc>
      </w:tr>
      <w:tr>
        <w:trPr>
          <w:trHeight w:val="215"/>
        </w:trPr>
        <w:tc>
          <w:tcPr>
            <w:tcW w:w="1200" w:type="dxa"/>
            <w:vAlign w:val="bottom"/>
          </w:tcPr>
          <w:p>
            <w:pPr>
              <w:spacing w:after="0"/>
              <w:rPr>
                <w:sz w:val="18"/>
                <w:szCs w:val="18"/>
                <w:color w:val="auto"/>
              </w:rPr>
            </w:pPr>
          </w:p>
        </w:tc>
        <w:tc>
          <w:tcPr>
            <w:tcW w:w="2240" w:type="dxa"/>
            <w:vAlign w:val="bottom"/>
            <w:gridSpan w:val="3"/>
          </w:tcPr>
          <w:p>
            <w:pPr>
              <w:jc w:val="center"/>
              <w:ind w:right="1099"/>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246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r>
      <w:tr>
        <w:trPr>
          <w:trHeight w:val="263"/>
        </w:trPr>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r>
    </w:tbl>
    <w:p>
      <w:pPr>
        <w:sectPr>
          <w:pgSz w:w="11900" w:h="16857" w:orient="portrait"/>
          <w:cols w:equalWidth="0" w:num="1">
            <w:col w:w="11260"/>
          </w:cols>
          <w:pgMar w:left="320" w:top="209" w:right="3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20"/>
                <w:szCs w:val="20"/>
                <w:color w:val="auto"/>
              </w:rPr>
            </w:pPr>
            <w:r>
              <w:rPr>
                <w:rFonts w:ascii="Arial" w:cs="Arial" w:eastAsia="Arial" w:hAnsi="Arial"/>
                <w:sz w:val="16"/>
                <w:szCs w:val="16"/>
                <w:color w:val="auto"/>
              </w:rPr>
              <w:t>Net income</w:t>
            </w:r>
          </w:p>
        </w:tc>
        <w:tc>
          <w:tcPr>
            <w:tcW w:w="1680" w:type="dxa"/>
            <w:vAlign w:val="bottom"/>
          </w:tcPr>
          <w:p>
            <w:pPr>
              <w:jc w:val="right"/>
              <w:spacing w:after="0"/>
              <w:rPr>
                <w:sz w:val="20"/>
                <w:szCs w:val="20"/>
                <w:color w:val="auto"/>
              </w:rPr>
            </w:pPr>
            <w:r>
              <w:rPr>
                <w:rFonts w:ascii="Arial" w:cs="Arial" w:eastAsia="Arial" w:hAnsi="Arial"/>
                <w:sz w:val="16"/>
                <w:szCs w:val="16"/>
                <w:color w:val="auto"/>
              </w:rPr>
              <w:t>$ 13,949</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$ 32,970</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$ 50,188</w:t>
            </w:r>
          </w:p>
        </w:tc>
        <w:tc>
          <w:tcPr>
            <w:tcW w:w="1480" w:type="dxa"/>
            <w:vAlign w:val="bottom"/>
          </w:tcPr>
          <w:p>
            <w:pPr>
              <w:jc w:val="right"/>
              <w:spacing w:after="0"/>
              <w:rPr>
                <w:sz w:val="20"/>
                <w:szCs w:val="20"/>
                <w:color w:val="auto"/>
              </w:rPr>
            </w:pPr>
            <w:r>
              <w:rPr>
                <w:rFonts w:ascii="Arial" w:cs="Arial" w:eastAsia="Arial" w:hAnsi="Arial"/>
                <w:sz w:val="16"/>
                <w:szCs w:val="16"/>
                <w:color w:val="auto"/>
              </w:rPr>
              <w:t>$ 96,782</w:t>
            </w:r>
          </w:p>
        </w:tc>
      </w:tr>
      <w:tr>
        <w:trPr>
          <w:trHeight w:val="270"/>
        </w:trPr>
        <w:tc>
          <w:tcPr>
            <w:tcW w:w="476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680" w:type="dxa"/>
            <w:vAlign w:val="bottom"/>
          </w:tcPr>
          <w:p>
            <w:pPr>
              <w:jc w:val="right"/>
              <w:spacing w:after="0"/>
              <w:rPr>
                <w:sz w:val="20"/>
                <w:szCs w:val="20"/>
                <w:color w:val="auto"/>
              </w:rPr>
            </w:pPr>
            <w:r>
              <w:rPr>
                <w:rFonts w:ascii="Arial" w:cs="Arial" w:eastAsia="Arial" w:hAnsi="Arial"/>
                <w:sz w:val="16"/>
                <w:szCs w:val="16"/>
                <w:color w:val="auto"/>
              </w:rPr>
              <w:t>(4,911)</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11,360</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7,400</w:t>
            </w:r>
          </w:p>
        </w:tc>
        <w:tc>
          <w:tcPr>
            <w:tcW w:w="1480" w:type="dxa"/>
            <w:vAlign w:val="bottom"/>
          </w:tcPr>
          <w:p>
            <w:pPr>
              <w:jc w:val="right"/>
              <w:spacing w:after="0"/>
              <w:rPr>
                <w:sz w:val="20"/>
                <w:szCs w:val="20"/>
                <w:color w:val="auto"/>
              </w:rPr>
            </w:pPr>
            <w:r>
              <w:rPr>
                <w:rFonts w:ascii="Arial" w:cs="Arial" w:eastAsia="Arial" w:hAnsi="Arial"/>
                <w:sz w:val="16"/>
                <w:szCs w:val="16"/>
                <w:color w:val="auto"/>
              </w:rPr>
              <w:t>31,932</w:t>
            </w:r>
          </w:p>
        </w:tc>
      </w:tr>
      <w:tr>
        <w:trPr>
          <w:trHeight w:val="270"/>
        </w:trPr>
        <w:tc>
          <w:tcPr>
            <w:tcW w:w="4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80" w:type="dxa"/>
            <w:vAlign w:val="bottom"/>
          </w:tcPr>
          <w:p>
            <w:pPr>
              <w:jc w:val="right"/>
              <w:spacing w:after="0"/>
              <w:rPr>
                <w:sz w:val="20"/>
                <w:szCs w:val="20"/>
                <w:color w:val="auto"/>
              </w:rPr>
            </w:pPr>
            <w:r>
              <w:rPr>
                <w:rFonts w:ascii="Arial" w:cs="Arial" w:eastAsia="Arial" w:hAnsi="Arial"/>
                <w:sz w:val="16"/>
                <w:szCs w:val="16"/>
                <w:color w:val="auto"/>
              </w:rPr>
              <w:t>42,413</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41,411</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82,012</w:t>
            </w:r>
          </w:p>
        </w:tc>
        <w:tc>
          <w:tcPr>
            <w:tcW w:w="1480" w:type="dxa"/>
            <w:vAlign w:val="bottom"/>
          </w:tcPr>
          <w:p>
            <w:pPr>
              <w:jc w:val="right"/>
              <w:spacing w:after="0"/>
              <w:rPr>
                <w:sz w:val="20"/>
                <w:szCs w:val="20"/>
                <w:color w:val="auto"/>
              </w:rPr>
            </w:pPr>
            <w:r>
              <w:rPr>
                <w:rFonts w:ascii="Arial" w:cs="Arial" w:eastAsia="Arial" w:hAnsi="Arial"/>
                <w:sz w:val="16"/>
                <w:szCs w:val="16"/>
                <w:color w:val="auto"/>
              </w:rPr>
              <w:t>82,499</w:t>
            </w:r>
          </w:p>
        </w:tc>
      </w:tr>
      <w:tr>
        <w:trPr>
          <w:trHeight w:val="270"/>
        </w:trPr>
        <w:tc>
          <w:tcPr>
            <w:tcW w:w="4760" w:type="dxa"/>
            <w:vAlign w:val="bottom"/>
          </w:tcPr>
          <w:p>
            <w:pPr>
              <w:spacing w:after="0"/>
              <w:rPr>
                <w:sz w:val="20"/>
                <w:szCs w:val="20"/>
                <w:color w:val="auto"/>
              </w:rPr>
            </w:pPr>
            <w:r>
              <w:rPr>
                <w:rFonts w:ascii="Arial" w:cs="Arial" w:eastAsia="Arial" w:hAnsi="Arial"/>
                <w:sz w:val="16"/>
                <w:szCs w:val="16"/>
                <w:color w:val="auto"/>
              </w:rPr>
              <w:t>Interest income</w:t>
            </w:r>
          </w:p>
        </w:tc>
        <w:tc>
          <w:tcPr>
            <w:tcW w:w="1680" w:type="dxa"/>
            <w:vAlign w:val="bottom"/>
          </w:tcPr>
          <w:p>
            <w:pPr>
              <w:jc w:val="right"/>
              <w:spacing w:after="0"/>
              <w:rPr>
                <w:sz w:val="20"/>
                <w:szCs w:val="20"/>
                <w:color w:val="auto"/>
              </w:rPr>
            </w:pPr>
            <w:r>
              <w:rPr>
                <w:rFonts w:ascii="Arial" w:cs="Arial" w:eastAsia="Arial" w:hAnsi="Arial"/>
                <w:sz w:val="16"/>
                <w:szCs w:val="16"/>
                <w:color w:val="auto"/>
              </w:rPr>
              <w:t>(991)</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(475)</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(1,793)</w:t>
            </w:r>
          </w:p>
        </w:tc>
        <w:tc>
          <w:tcPr>
            <w:tcW w:w="148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263"/>
        </w:trPr>
        <w:tc>
          <w:tcPr>
            <w:tcW w:w="4760" w:type="dxa"/>
            <w:vAlign w:val="bottom"/>
          </w:tcPr>
          <w:p>
            <w:pPr>
              <w:spacing w:after="0"/>
              <w:rPr>
                <w:sz w:val="20"/>
                <w:szCs w:val="20"/>
                <w:color w:val="auto"/>
              </w:rPr>
            </w:pPr>
            <w:r>
              <w:rPr>
                <w:rFonts w:ascii="Arial" w:cs="Arial" w:eastAsia="Arial" w:hAnsi="Arial"/>
                <w:sz w:val="16"/>
                <w:szCs w:val="16"/>
                <w:color w:val="auto"/>
              </w:rPr>
              <w:t>Interest expense</w:t>
            </w:r>
          </w:p>
        </w:tc>
        <w:tc>
          <w:tcPr>
            <w:tcW w:w="1680" w:type="dxa"/>
            <w:vAlign w:val="bottom"/>
          </w:tcPr>
          <w:p>
            <w:pPr>
              <w:jc w:val="right"/>
              <w:spacing w:after="0"/>
              <w:rPr>
                <w:sz w:val="20"/>
                <w:szCs w:val="20"/>
                <w:color w:val="auto"/>
              </w:rPr>
            </w:pPr>
            <w:r>
              <w:rPr>
                <w:rFonts w:ascii="Arial" w:cs="Arial" w:eastAsia="Arial" w:hAnsi="Arial"/>
                <w:sz w:val="16"/>
                <w:szCs w:val="16"/>
                <w:color w:val="auto"/>
              </w:rPr>
              <w:t>8,552</w:t>
            </w:r>
          </w:p>
        </w:tc>
        <w:tc>
          <w:tcPr>
            <w:tcW w:w="80" w:type="dxa"/>
            <w:vAlign w:val="bottom"/>
          </w:tcPr>
          <w:p>
            <w:pPr>
              <w:spacing w:after="0"/>
              <w:rPr>
                <w:sz w:val="22"/>
                <w:szCs w:val="22"/>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6"/>
                <w:szCs w:val="16"/>
                <w:color w:val="auto"/>
              </w:rPr>
              <w:t>7,636</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13,545</w:t>
            </w:r>
          </w:p>
        </w:tc>
        <w:tc>
          <w:tcPr>
            <w:tcW w:w="1480" w:type="dxa"/>
            <w:vAlign w:val="bottom"/>
          </w:tcPr>
          <w:p>
            <w:pPr>
              <w:jc w:val="right"/>
              <w:spacing w:after="0"/>
              <w:rPr>
                <w:sz w:val="20"/>
                <w:szCs w:val="20"/>
                <w:color w:val="auto"/>
              </w:rPr>
            </w:pPr>
            <w:r>
              <w:rPr>
                <w:rFonts w:ascii="Arial" w:cs="Arial" w:eastAsia="Arial" w:hAnsi="Arial"/>
                <w:sz w:val="16"/>
                <w:szCs w:val="16"/>
                <w:color w:val="auto"/>
              </w:rPr>
              <w:t>14,471</w:t>
            </w:r>
          </w:p>
        </w:tc>
      </w:tr>
      <w:tr>
        <w:trPr>
          <w:trHeight w:val="20"/>
        </w:trPr>
        <w:tc>
          <w:tcPr>
            <w:tcW w:w="47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64"/>
        </w:trPr>
        <w:tc>
          <w:tcPr>
            <w:tcW w:w="4760" w:type="dxa"/>
            <w:vAlign w:val="bottom"/>
          </w:tcPr>
          <w:p>
            <w:pPr>
              <w:ind w:left="140"/>
              <w:spacing w:after="0"/>
              <w:rPr>
                <w:sz w:val="20"/>
                <w:szCs w:val="20"/>
                <w:color w:val="auto"/>
              </w:rPr>
            </w:pPr>
            <w:r>
              <w:rPr>
                <w:rFonts w:ascii="Arial" w:cs="Arial" w:eastAsia="Arial" w:hAnsi="Arial"/>
                <w:sz w:val="16"/>
                <w:szCs w:val="16"/>
                <w:color w:val="auto"/>
              </w:rPr>
              <w:t>EBITDA</w:t>
            </w:r>
          </w:p>
        </w:tc>
        <w:tc>
          <w:tcPr>
            <w:tcW w:w="1680" w:type="dxa"/>
            <w:vAlign w:val="bottom"/>
          </w:tcPr>
          <w:p>
            <w:pPr>
              <w:jc w:val="right"/>
              <w:spacing w:after="0"/>
              <w:rPr>
                <w:sz w:val="20"/>
                <w:szCs w:val="20"/>
                <w:color w:val="auto"/>
              </w:rPr>
            </w:pPr>
            <w:r>
              <w:rPr>
                <w:rFonts w:ascii="Arial" w:cs="Arial" w:eastAsia="Arial" w:hAnsi="Arial"/>
                <w:sz w:val="16"/>
                <w:szCs w:val="16"/>
                <w:color w:val="auto"/>
              </w:rPr>
              <w:t>$ 59,012</w:t>
            </w:r>
          </w:p>
        </w:tc>
        <w:tc>
          <w:tcPr>
            <w:tcW w:w="80" w:type="dxa"/>
            <w:vAlign w:val="bottom"/>
          </w:tcPr>
          <w:p>
            <w:pPr>
              <w:spacing w:after="0"/>
              <w:rPr>
                <w:sz w:val="22"/>
                <w:szCs w:val="22"/>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6"/>
                <w:szCs w:val="16"/>
                <w:color w:val="auto"/>
              </w:rPr>
              <w:t>$ 92,902</w:t>
            </w:r>
          </w:p>
        </w:tc>
        <w:tc>
          <w:tcPr>
            <w:tcW w:w="1420" w:type="dxa"/>
            <w:vAlign w:val="bottom"/>
          </w:tcPr>
          <w:p>
            <w:pPr>
              <w:jc w:val="right"/>
              <w:spacing w:after="0"/>
              <w:rPr>
                <w:sz w:val="20"/>
                <w:szCs w:val="20"/>
                <w:color w:val="auto"/>
              </w:rPr>
            </w:pPr>
            <w:r>
              <w:rPr>
                <w:rFonts w:ascii="Arial" w:cs="Arial" w:eastAsia="Arial" w:hAnsi="Arial"/>
                <w:sz w:val="16"/>
                <w:szCs w:val="16"/>
                <w:color w:val="auto"/>
              </w:rPr>
              <w:t>$ 151,352</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$ 224,783</w:t>
            </w:r>
          </w:p>
        </w:tc>
      </w:tr>
      <w:tr>
        <w:trPr>
          <w:trHeight w:val="271"/>
        </w:trPr>
        <w:tc>
          <w:tcPr>
            <w:tcW w:w="4760" w:type="dxa"/>
            <w:vAlign w:val="bottom"/>
          </w:tcPr>
          <w:p>
            <w:pPr>
              <w:spacing w:after="0"/>
              <w:rPr>
                <w:sz w:val="20"/>
                <w:szCs w:val="20"/>
                <w:color w:val="auto"/>
              </w:rPr>
            </w:pPr>
            <w:r>
              <w:rPr>
                <w:rFonts w:ascii="Arial" w:cs="Arial" w:eastAsia="Arial" w:hAnsi="Arial"/>
                <w:sz w:val="16"/>
                <w:szCs w:val="16"/>
                <w:color w:val="auto"/>
              </w:rPr>
              <w:t>Adjustments to EBITDA</w:t>
            </w:r>
          </w:p>
        </w:tc>
        <w:tc>
          <w:tcPr>
            <w:tcW w:w="16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6"/>
                <w:szCs w:val="16"/>
                <w:color w:val="auto"/>
              </w:rPr>
              <w:t>Impairment of intangible asset (a)</w:t>
            </w:r>
          </w:p>
        </w:tc>
        <w:tc>
          <w:tcPr>
            <w:tcW w:w="1680" w:type="dxa"/>
            <w:vAlign w:val="bottom"/>
          </w:tcPr>
          <w:p>
            <w:pPr>
              <w:jc w:val="right"/>
              <w:spacing w:after="0"/>
              <w:rPr>
                <w:sz w:val="20"/>
                <w:szCs w:val="20"/>
                <w:color w:val="auto"/>
              </w:rPr>
            </w:pPr>
            <w:r>
              <w:rPr>
                <w:rFonts w:ascii="Arial" w:cs="Arial" w:eastAsia="Arial" w:hAnsi="Arial"/>
                <w:sz w:val="16"/>
                <w:szCs w:val="16"/>
                <w:color w:val="auto"/>
              </w:rPr>
              <w:t>8,989</w:t>
            </w: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8,989</w:t>
            </w:r>
          </w:p>
        </w:tc>
        <w:tc>
          <w:tcPr>
            <w:tcW w:w="1480" w:type="dxa"/>
            <w:vAlign w:val="bottom"/>
          </w:tcPr>
          <w:p>
            <w:pPr>
              <w:spacing w:after="0"/>
              <w:rPr>
                <w:sz w:val="23"/>
                <w:szCs w:val="23"/>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6"/>
                <w:szCs w:val="16"/>
                <w:color w:val="auto"/>
              </w:rPr>
              <w:t>Impairment of fixed assets (b)</w:t>
            </w:r>
          </w:p>
        </w:tc>
        <w:tc>
          <w:tcPr>
            <w:tcW w:w="1680" w:type="dxa"/>
            <w:vAlign w:val="bottom"/>
          </w:tcPr>
          <w:p>
            <w:pPr>
              <w:jc w:val="right"/>
              <w:spacing w:after="0"/>
              <w:rPr>
                <w:sz w:val="20"/>
                <w:szCs w:val="20"/>
                <w:color w:val="auto"/>
              </w:rPr>
            </w:pPr>
            <w:r>
              <w:rPr>
                <w:rFonts w:ascii="Arial" w:cs="Arial" w:eastAsia="Arial" w:hAnsi="Arial"/>
                <w:sz w:val="16"/>
                <w:szCs w:val="16"/>
                <w:color w:val="auto"/>
              </w:rPr>
              <w:t>2,621</w:t>
            </w: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2,621</w:t>
            </w:r>
          </w:p>
        </w:tc>
        <w:tc>
          <w:tcPr>
            <w:tcW w:w="1480" w:type="dxa"/>
            <w:vAlign w:val="bottom"/>
          </w:tcPr>
          <w:p>
            <w:pPr>
              <w:spacing w:after="0"/>
              <w:rPr>
                <w:sz w:val="23"/>
                <w:szCs w:val="23"/>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6"/>
                <w:szCs w:val="16"/>
                <w:color w:val="auto"/>
              </w:rPr>
              <w:t>Severance costs (c)</w:t>
            </w:r>
          </w:p>
        </w:tc>
        <w:tc>
          <w:tcPr>
            <w:tcW w:w="168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4,117</w:t>
            </w:r>
          </w:p>
        </w:tc>
        <w:tc>
          <w:tcPr>
            <w:tcW w:w="1480" w:type="dxa"/>
            <w:vAlign w:val="bottom"/>
          </w:tcPr>
          <w:p>
            <w:pPr>
              <w:spacing w:after="0"/>
              <w:rPr>
                <w:sz w:val="23"/>
                <w:szCs w:val="23"/>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6"/>
                <w:szCs w:val="16"/>
                <w:color w:val="auto"/>
              </w:rPr>
              <w:t>Transition costs (d)</w:t>
            </w:r>
          </w:p>
        </w:tc>
        <w:tc>
          <w:tcPr>
            <w:tcW w:w="1680" w:type="dxa"/>
            <w:vAlign w:val="bottom"/>
          </w:tcPr>
          <w:p>
            <w:pPr>
              <w:jc w:val="right"/>
              <w:spacing w:after="0"/>
              <w:rPr>
                <w:sz w:val="20"/>
                <w:szCs w:val="20"/>
                <w:color w:val="auto"/>
              </w:rPr>
            </w:pPr>
            <w:r>
              <w:rPr>
                <w:rFonts w:ascii="Arial" w:cs="Arial" w:eastAsia="Arial" w:hAnsi="Arial"/>
                <w:sz w:val="16"/>
                <w:szCs w:val="16"/>
                <w:color w:val="auto"/>
              </w:rPr>
              <w:t>1,896</w:t>
            </w: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2,469</w:t>
            </w:r>
          </w:p>
        </w:tc>
        <w:tc>
          <w:tcPr>
            <w:tcW w:w="1480" w:type="dxa"/>
            <w:vAlign w:val="bottom"/>
          </w:tcPr>
          <w:p>
            <w:pPr>
              <w:spacing w:after="0"/>
              <w:rPr>
                <w:sz w:val="23"/>
                <w:szCs w:val="23"/>
                <w:color w:val="auto"/>
              </w:rPr>
            </w:pPr>
          </w:p>
        </w:tc>
      </w:tr>
      <w:tr>
        <w:trPr>
          <w:trHeight w:val="263"/>
        </w:trPr>
        <w:tc>
          <w:tcPr>
            <w:tcW w:w="4760" w:type="dxa"/>
            <w:vAlign w:val="bottom"/>
          </w:tcPr>
          <w:p>
            <w:pPr>
              <w:ind w:left="140"/>
              <w:spacing w:after="0"/>
              <w:rPr>
                <w:sz w:val="20"/>
                <w:szCs w:val="20"/>
                <w:color w:val="auto"/>
              </w:rPr>
            </w:pPr>
            <w:r>
              <w:rPr>
                <w:rFonts w:ascii="Arial" w:cs="Arial" w:eastAsia="Arial" w:hAnsi="Arial"/>
                <w:sz w:val="16"/>
                <w:szCs w:val="16"/>
                <w:color w:val="auto"/>
              </w:rPr>
              <w:t>Reversal of earnout liability (e)</w:t>
            </w:r>
          </w:p>
        </w:tc>
        <w:tc>
          <w:tcPr>
            <w:tcW w:w="1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w:t>
            </w:r>
          </w:p>
        </w:tc>
      </w:tr>
      <w:tr>
        <w:trPr>
          <w:trHeight w:val="264"/>
        </w:trPr>
        <w:tc>
          <w:tcPr>
            <w:tcW w:w="4760" w:type="dxa"/>
            <w:vAlign w:val="bottom"/>
          </w:tcPr>
          <w:p>
            <w:pPr>
              <w:ind w:left="280"/>
              <w:spacing w:after="0"/>
              <w:rPr>
                <w:sz w:val="20"/>
                <w:szCs w:val="20"/>
                <w:color w:val="auto"/>
              </w:rPr>
            </w:pPr>
            <w:r>
              <w:rPr>
                <w:rFonts w:ascii="Arial" w:cs="Arial" w:eastAsia="Arial" w:hAnsi="Arial"/>
                <w:sz w:val="16"/>
                <w:szCs w:val="16"/>
                <w:color w:val="auto"/>
              </w:rPr>
              <w:t>Adjusted EBITDA</w:t>
            </w:r>
          </w:p>
        </w:tc>
        <w:tc>
          <w:tcPr>
            <w:tcW w:w="1680" w:type="dxa"/>
            <w:vAlign w:val="bottom"/>
          </w:tcPr>
          <w:p>
            <w:pPr>
              <w:jc w:val="right"/>
              <w:spacing w:after="0"/>
              <w:rPr>
                <w:sz w:val="20"/>
                <w:szCs w:val="20"/>
                <w:color w:val="auto"/>
              </w:rPr>
            </w:pPr>
            <w:r>
              <w:rPr>
                <w:rFonts w:ascii="Arial" w:cs="Arial" w:eastAsia="Arial" w:hAnsi="Arial"/>
                <w:sz w:val="16"/>
                <w:szCs w:val="16"/>
                <w:color w:val="auto"/>
              </w:rPr>
              <w:t>$ 76,635</w:t>
            </w:r>
          </w:p>
        </w:tc>
        <w:tc>
          <w:tcPr>
            <w:tcW w:w="1840" w:type="dxa"/>
            <w:vAlign w:val="bottom"/>
            <w:gridSpan w:val="3"/>
          </w:tcPr>
          <w:p>
            <w:pPr>
              <w:jc w:val="right"/>
              <w:ind w:right="80"/>
              <w:spacing w:after="0"/>
              <w:rPr>
                <w:sz w:val="20"/>
                <w:szCs w:val="20"/>
                <w:color w:val="auto"/>
              </w:rPr>
            </w:pPr>
            <w:r>
              <w:rPr>
                <w:rFonts w:ascii="Arial" w:cs="Arial" w:eastAsia="Arial" w:hAnsi="Arial"/>
                <w:sz w:val="16"/>
                <w:szCs w:val="16"/>
                <w:color w:val="auto"/>
              </w:rPr>
              <w:t>$ 92,902</w:t>
            </w:r>
          </w:p>
        </w:tc>
        <w:tc>
          <w:tcPr>
            <w:tcW w:w="1420" w:type="dxa"/>
            <w:vAlign w:val="bottom"/>
          </w:tcPr>
          <w:p>
            <w:pPr>
              <w:jc w:val="right"/>
              <w:spacing w:after="0"/>
              <w:rPr>
                <w:sz w:val="20"/>
                <w:szCs w:val="20"/>
                <w:color w:val="auto"/>
              </w:rPr>
            </w:pPr>
            <w:r>
              <w:rPr>
                <w:rFonts w:ascii="Arial" w:cs="Arial" w:eastAsia="Arial" w:hAnsi="Arial"/>
                <w:sz w:val="16"/>
                <w:szCs w:val="16"/>
                <w:color w:val="auto"/>
              </w:rPr>
              <w:t>$ 169,548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$ 220,778</w:t>
            </w:r>
          </w:p>
        </w:tc>
      </w:tr>
      <w:tr>
        <w:trPr>
          <w:trHeight w:val="20"/>
        </w:trPr>
        <w:tc>
          <w:tcPr>
            <w:tcW w:w="47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00" w:firstLine="9"/>
        <w:spacing w:after="0" w:line="251"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impairment of an intangible asset in Australia. Due to the Spin-Off, and the resulting rebranding of the Company's Australian operations from The Mac to Civeo Australia, it was determined that the fair value of an intangible asset associated with The Mac brand was zero. The $9.0 million impairment ($7.7 million after-tax, or $0.07 per diluted share), which is related to our Australia segment, is included in Impairment expense on the unaudited statements of income.</w:t>
      </w:r>
    </w:p>
    <w:p>
      <w:pPr>
        <w:spacing w:after="0" w:line="337" w:lineRule="exact"/>
        <w:rPr>
          <w:rFonts w:ascii="Arial" w:cs="Arial" w:eastAsia="Arial" w:hAnsi="Arial"/>
          <w:sz w:val="16"/>
          <w:szCs w:val="16"/>
          <w:color w:val="auto"/>
        </w:rPr>
      </w:pPr>
    </w:p>
    <w:p>
      <w:pPr>
        <w:ind w:right="60" w:firstLine="9"/>
        <w:spacing w:after="0" w:line="253"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impairment of certain fixed assets which are not in our custody, and for which return has been determined to be uncertain. The $2.6 million impairment ($2.2 million after-tax, or $0.02 per diluted share), which is related to our U.S. segment, is included in Impairment expense on the unaudited statements of income.</w:t>
      </w:r>
    </w:p>
    <w:p>
      <w:pPr>
        <w:spacing w:after="0" w:line="336" w:lineRule="exact"/>
        <w:rPr>
          <w:rFonts w:ascii="Arial" w:cs="Arial" w:eastAsia="Arial" w:hAnsi="Arial"/>
          <w:sz w:val="16"/>
          <w:szCs w:val="16"/>
          <w:color w:val="auto"/>
        </w:rPr>
      </w:pPr>
    </w:p>
    <w:p>
      <w:pPr>
        <w:ind w:right="180" w:firstLine="9"/>
        <w:spacing w:after="0" w:line="260" w:lineRule="auto"/>
        <w:tabs>
          <w:tab w:leader="none" w:pos="23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an executive. The $4.1 million expense ($3.5 million after-tax, or $0.03 per diluted share), which is related to our Canadian segment, is included in Selling, general and administrative expenses on the unaudited statements of income.</w:t>
      </w:r>
    </w:p>
    <w:p>
      <w:pPr>
        <w:spacing w:after="0" w:line="330" w:lineRule="exact"/>
        <w:rPr>
          <w:rFonts w:ascii="Arial" w:cs="Arial" w:eastAsia="Arial" w:hAnsi="Arial"/>
          <w:sz w:val="16"/>
          <w:szCs w:val="16"/>
          <w:color w:val="auto"/>
        </w:rPr>
      </w:pPr>
    </w:p>
    <w:p>
      <w:pPr>
        <w:ind w:right="20" w:firstLine="9"/>
        <w:spacing w:after="0" w:line="253"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$1.9 million and $2.5 million in costs ($1.6 million and $2.1 million after-tax, or $0.02 per diluted share), which are primarily corporate in nature, are included in Spin-off and formation costs on the unaudited statements of income.</w:t>
      </w:r>
    </w:p>
    <w:p>
      <w:pPr>
        <w:spacing w:after="0" w:line="336" w:lineRule="exact"/>
        <w:rPr>
          <w:rFonts w:ascii="Arial" w:cs="Arial" w:eastAsia="Arial" w:hAnsi="Arial"/>
          <w:sz w:val="16"/>
          <w:szCs w:val="16"/>
          <w:color w:val="auto"/>
        </w:rPr>
      </w:pPr>
    </w:p>
    <w:p>
      <w:pPr>
        <w:ind w:right="280" w:firstLine="9"/>
        <w:spacing w:after="0" w:line="260"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reversal of an estimated earnout liability associated with a prior acquisition. The $4 million in income ($3.0 million after-tax, or $0.03 per diluted share), which is related to our U.S. segment is included in Other operating expense on the unaudited statements of income.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28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4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960" w:type="dxa"/>
            <w:vAlign w:val="bottom"/>
          </w:tcPr>
          <w:p>
            <w:pPr>
              <w:spacing w:after="0"/>
              <w:rPr>
                <w:sz w:val="18"/>
                <w:szCs w:val="18"/>
                <w:color w:val="auto"/>
              </w:rPr>
            </w:pPr>
          </w:p>
        </w:tc>
        <w:tc>
          <w:tcPr>
            <w:tcW w:w="1820" w:type="dxa"/>
            <w:vAlign w:val="bottom"/>
            <w:gridSpan w:val="3"/>
          </w:tcPr>
          <w:p>
            <w:pPr>
              <w:jc w:val="center"/>
              <w:ind w:left="87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r>
      <w:tr>
        <w:trPr>
          <w:trHeight w:val="263"/>
        </w:trPr>
        <w:tc>
          <w:tcPr>
            <w:tcW w:w="5960" w:type="dxa"/>
            <w:vAlign w:val="bottom"/>
          </w:tcPr>
          <w:p>
            <w:pPr>
              <w:spacing w:after="0"/>
              <w:rPr>
                <w:sz w:val="22"/>
                <w:szCs w:val="22"/>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r>
      <w:tr>
        <w:trPr>
          <w:trHeight w:val="541"/>
        </w:trPr>
        <w:tc>
          <w:tcPr>
            <w:tcW w:w="596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Revenues ($ in thousands)</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960" w:type="dxa"/>
            <w:vAlign w:val="bottom"/>
          </w:tcPr>
          <w:p>
            <w:pPr>
              <w:ind w:left="220"/>
              <w:spacing w:after="0"/>
              <w:rPr>
                <w:sz w:val="20"/>
                <w:szCs w:val="20"/>
                <w:color w:val="auto"/>
              </w:rPr>
            </w:pPr>
            <w:r>
              <w:rPr>
                <w:rFonts w:ascii="Arial" w:cs="Arial" w:eastAsia="Arial" w:hAnsi="Arial"/>
                <w:sz w:val="16"/>
                <w:szCs w:val="16"/>
                <w:color w:val="auto"/>
              </w:rPr>
              <w:t>Lodge revenues (1)</w:t>
            </w:r>
          </w:p>
        </w:tc>
        <w:tc>
          <w:tcPr>
            <w:tcW w:w="1340" w:type="dxa"/>
            <w:vAlign w:val="bottom"/>
          </w:tcPr>
          <w:p>
            <w:pPr>
              <w:jc w:val="right"/>
              <w:spacing w:after="0"/>
              <w:rPr>
                <w:sz w:val="20"/>
                <w:szCs w:val="20"/>
                <w:color w:val="auto"/>
              </w:rPr>
            </w:pPr>
            <w:r>
              <w:rPr>
                <w:rFonts w:ascii="Arial" w:cs="Arial" w:eastAsia="Arial" w:hAnsi="Arial"/>
                <w:sz w:val="16"/>
                <w:szCs w:val="16"/>
                <w:color w:val="auto"/>
              </w:rPr>
              <w:t>$ 122,709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$ 133,935</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$ 245,099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$ 277,805</w:t>
            </w:r>
          </w:p>
        </w:tc>
      </w:tr>
      <w:tr>
        <w:trPr>
          <w:trHeight w:val="263"/>
        </w:trPr>
        <w:tc>
          <w:tcPr>
            <w:tcW w:w="5960" w:type="dxa"/>
            <w:vAlign w:val="bottom"/>
          </w:tcPr>
          <w:p>
            <w:pPr>
              <w:ind w:left="220"/>
              <w:spacing w:after="0"/>
              <w:rPr>
                <w:sz w:val="20"/>
                <w:szCs w:val="20"/>
                <w:color w:val="auto"/>
              </w:rPr>
            </w:pPr>
            <w:r>
              <w:rPr>
                <w:rFonts w:ascii="Arial" w:cs="Arial" w:eastAsia="Arial" w:hAnsi="Arial"/>
                <w:sz w:val="16"/>
                <w:szCs w:val="16"/>
                <w:color w:val="auto"/>
              </w:rPr>
              <w:t>Mobile, open camp and product revenues</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33,770</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27,017</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91,704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90,798</w:t>
            </w:r>
          </w:p>
        </w:tc>
      </w:tr>
      <w:tr>
        <w:trPr>
          <w:trHeight w:val="271"/>
        </w:trPr>
        <w:tc>
          <w:tcPr>
            <w:tcW w:w="5960" w:type="dxa"/>
            <w:vAlign w:val="bottom"/>
          </w:tcPr>
          <w:p>
            <w:pPr>
              <w:ind w:left="280"/>
              <w:spacing w:after="0"/>
              <w:rPr>
                <w:sz w:val="20"/>
                <w:szCs w:val="20"/>
                <w:color w:val="auto"/>
              </w:rPr>
            </w:pPr>
            <w:r>
              <w:rPr>
                <w:rFonts w:ascii="Arial" w:cs="Arial" w:eastAsia="Arial" w:hAnsi="Arial"/>
                <w:sz w:val="16"/>
                <w:szCs w:val="16"/>
                <w:color w:val="auto"/>
              </w:rPr>
              <w:t>Total Canadian revenues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$ 156,479</w:t>
            </w: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$ 160,952</w:t>
            </w:r>
          </w:p>
        </w:tc>
        <w:tc>
          <w:tcPr>
            <w:tcW w:w="80" w:type="dxa"/>
            <w:vAlign w:val="bottom"/>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$ 336,803</w:t>
            </w:r>
          </w:p>
        </w:tc>
        <w:tc>
          <w:tcPr>
            <w:tcW w:w="8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$ 368,603</w:t>
            </w:r>
          </w:p>
        </w:tc>
      </w:tr>
      <w:tr>
        <w:trPr>
          <w:trHeight w:val="540"/>
        </w:trPr>
        <w:tc>
          <w:tcPr>
            <w:tcW w:w="5960" w:type="dxa"/>
            <w:vAlign w:val="bottom"/>
          </w:tcPr>
          <w:p>
            <w:pPr>
              <w:ind w:left="140"/>
              <w:spacing w:after="0"/>
              <w:rPr>
                <w:sz w:val="20"/>
                <w:szCs w:val="20"/>
                <w:color w:val="auto"/>
              </w:rPr>
            </w:pPr>
            <w:r>
              <w:rPr>
                <w:rFonts w:ascii="Arial" w:cs="Arial" w:eastAsia="Arial" w:hAnsi="Arial"/>
                <w:sz w:val="16"/>
                <w:szCs w:val="16"/>
                <w:color w:val="auto"/>
              </w:rPr>
              <w:t>Average available lodge rooms (2)</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12,296</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11,447</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12,082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11,373</w:t>
            </w:r>
          </w:p>
        </w:tc>
      </w:tr>
      <w:tr>
        <w:trPr>
          <w:trHeight w:val="540"/>
        </w:trPr>
        <w:tc>
          <w:tcPr>
            <w:tcW w:w="5960" w:type="dxa"/>
            <w:vAlign w:val="bottom"/>
          </w:tcPr>
          <w:p>
            <w:pPr>
              <w:ind w:left="140"/>
              <w:spacing w:after="0"/>
              <w:rPr>
                <w:sz w:val="20"/>
                <w:szCs w:val="20"/>
                <w:color w:val="auto"/>
              </w:rPr>
            </w:pPr>
            <w:r>
              <w:rPr>
                <w:rFonts w:ascii="Arial" w:cs="Arial" w:eastAsia="Arial" w:hAnsi="Arial"/>
                <w:sz w:val="16"/>
                <w:szCs w:val="16"/>
                <w:color w:val="auto"/>
              </w:rPr>
              <w:t>RevPAR for lodges (3)</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$ 110</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$ 129</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$ 112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$ 135</w:t>
            </w:r>
          </w:p>
        </w:tc>
      </w:tr>
      <w:tr>
        <w:trPr>
          <w:trHeight w:val="540"/>
        </w:trPr>
        <w:tc>
          <w:tcPr>
            <w:tcW w:w="5960" w:type="dxa"/>
            <w:vAlign w:val="bottom"/>
          </w:tcPr>
          <w:p>
            <w:pPr>
              <w:ind w:left="140"/>
              <w:spacing w:after="0"/>
              <w:rPr>
                <w:sz w:val="20"/>
                <w:szCs w:val="20"/>
                <w:color w:val="auto"/>
              </w:rPr>
            </w:pPr>
            <w:r>
              <w:rPr>
                <w:rFonts w:ascii="Arial" w:cs="Arial" w:eastAsia="Arial" w:hAnsi="Arial"/>
                <w:sz w:val="16"/>
                <w:szCs w:val="16"/>
                <w:color w:val="auto"/>
              </w:rPr>
              <w:t>Occupancy in lodges (4)</w:t>
            </w:r>
          </w:p>
        </w:tc>
        <w:tc>
          <w:tcPr>
            <w:tcW w:w="134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540"/>
        </w:trPr>
        <w:tc>
          <w:tcPr>
            <w:tcW w:w="5960" w:type="dxa"/>
            <w:vAlign w:val="bottom"/>
          </w:tcPr>
          <w:p>
            <w:pPr>
              <w:ind w:left="140"/>
              <w:spacing w:after="0"/>
              <w:rPr>
                <w:sz w:val="20"/>
                <w:szCs w:val="20"/>
                <w:color w:val="auto"/>
              </w:rPr>
            </w:pPr>
            <w:r>
              <w:rPr>
                <w:rFonts w:ascii="Arial" w:cs="Arial" w:eastAsia="Arial" w:hAnsi="Arial"/>
                <w:sz w:val="16"/>
                <w:szCs w:val="16"/>
                <w:color w:val="auto"/>
              </w:rPr>
              <w:t>Canadian dollar to U.S. dollar</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$ 0.917</w:t>
            </w:r>
          </w:p>
        </w:tc>
        <w:tc>
          <w:tcPr>
            <w:tcW w:w="4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$ 0.977</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$ 0.912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$ 0.985</w:t>
            </w:r>
          </w:p>
        </w:tc>
      </w:tr>
      <w:tr>
        <w:trPr>
          <w:trHeight w:val="810"/>
        </w:trPr>
        <w:tc>
          <w:tcPr>
            <w:tcW w:w="596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Revenues ($ in thousands)</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960" w:type="dxa"/>
            <w:vAlign w:val="bottom"/>
          </w:tcPr>
          <w:p>
            <w:pPr>
              <w:ind w:left="220"/>
              <w:spacing w:after="0"/>
              <w:rPr>
                <w:sz w:val="20"/>
                <w:szCs w:val="20"/>
                <w:color w:val="auto"/>
              </w:rPr>
            </w:pPr>
            <w:r>
              <w:rPr>
                <w:rFonts w:ascii="Arial" w:cs="Arial" w:eastAsia="Arial" w:hAnsi="Arial"/>
                <w:sz w:val="16"/>
                <w:szCs w:val="16"/>
                <w:color w:val="auto"/>
              </w:rPr>
              <w:t>Lodge revenues (1)</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$ 54,383</w:t>
            </w:r>
          </w:p>
        </w:tc>
        <w:tc>
          <w:tcPr>
            <w:tcW w:w="40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$ 64,043</w:t>
            </w:r>
          </w:p>
        </w:tc>
        <w:tc>
          <w:tcPr>
            <w:tcW w:w="1140" w:type="dxa"/>
            <w:vAlign w:val="bottom"/>
          </w:tcPr>
          <w:p>
            <w:pPr>
              <w:jc w:val="right"/>
              <w:spacing w:after="0"/>
              <w:rPr>
                <w:sz w:val="20"/>
                <w:szCs w:val="20"/>
                <w:color w:val="auto"/>
              </w:rPr>
            </w:pPr>
            <w:r>
              <w:rPr>
                <w:rFonts w:ascii="Arial" w:cs="Arial" w:eastAsia="Arial" w:hAnsi="Arial"/>
                <w:sz w:val="16"/>
                <w:szCs w:val="16"/>
                <w:color w:val="auto"/>
              </w:rPr>
              <w:t>$ 109,847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$ 131,772</w:t>
            </w:r>
          </w:p>
        </w:tc>
      </w:tr>
      <w:tr>
        <w:trPr>
          <w:trHeight w:val="540"/>
        </w:trPr>
        <w:tc>
          <w:tcPr>
            <w:tcW w:w="5960" w:type="dxa"/>
            <w:vAlign w:val="bottom"/>
          </w:tcPr>
          <w:p>
            <w:pPr>
              <w:ind w:left="140"/>
              <w:spacing w:after="0"/>
              <w:rPr>
                <w:sz w:val="20"/>
                <w:szCs w:val="20"/>
                <w:color w:val="auto"/>
              </w:rPr>
            </w:pPr>
            <w:r>
              <w:rPr>
                <w:rFonts w:ascii="Arial" w:cs="Arial" w:eastAsia="Arial" w:hAnsi="Arial"/>
                <w:sz w:val="16"/>
                <w:szCs w:val="16"/>
                <w:color w:val="auto"/>
              </w:rPr>
              <w:t>Average available lodge rooms (2)</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9,258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8,754</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9,260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8,733</w:t>
            </w:r>
          </w:p>
        </w:tc>
      </w:tr>
    </w:tbl>
    <w:p>
      <w:pPr>
        <w:sectPr>
          <w:pgSz w:w="11900" w:h="16838" w:orient="portrait"/>
          <w:cols w:equalWidth="0" w:num="1">
            <w:col w:w="11260"/>
          </w:cols>
          <w:pgMar w:left="320" w:top="439" w:right="319" w:bottom="55" w:gutter="0" w:footer="0" w:header="0"/>
        </w:sectPr>
      </w:pPr>
    </w:p>
    <w:bookmarkStart w:id="8" w:name="page9"/>
    <w:bookmarkEnd w:id="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RevPAR for lodges (3)</w:t>
            </w:r>
          </w:p>
        </w:tc>
        <w:tc>
          <w:tcPr>
            <w:tcW w:w="3220" w:type="dxa"/>
            <w:vAlign w:val="bottom"/>
          </w:tcPr>
          <w:p>
            <w:pPr>
              <w:jc w:val="right"/>
              <w:ind w:right="359"/>
              <w:spacing w:after="0"/>
              <w:rPr>
                <w:sz w:val="20"/>
                <w:szCs w:val="20"/>
                <w:color w:val="auto"/>
              </w:rPr>
            </w:pPr>
            <w:r>
              <w:rPr>
                <w:rFonts w:ascii="Arial" w:cs="Arial" w:eastAsia="Arial" w:hAnsi="Arial"/>
                <w:sz w:val="16"/>
                <w:szCs w:val="16"/>
                <w:color w:val="auto"/>
              </w:rPr>
              <w:t>$ 65</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$ 80</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$ 66</w:t>
            </w:r>
          </w:p>
        </w:tc>
        <w:tc>
          <w:tcPr>
            <w:tcW w:w="920" w:type="dxa"/>
            <w:vAlign w:val="bottom"/>
          </w:tcPr>
          <w:p>
            <w:pPr>
              <w:jc w:val="right"/>
              <w:spacing w:after="0"/>
              <w:rPr>
                <w:sz w:val="20"/>
                <w:szCs w:val="20"/>
                <w:color w:val="auto"/>
              </w:rPr>
            </w:pPr>
            <w:r>
              <w:rPr>
                <w:rFonts w:ascii="Arial" w:cs="Arial" w:eastAsia="Arial" w:hAnsi="Arial"/>
                <w:sz w:val="16"/>
                <w:szCs w:val="16"/>
                <w:color w:val="auto"/>
              </w:rPr>
              <w:t>$ 83</w:t>
            </w:r>
          </w:p>
        </w:tc>
      </w:tr>
      <w:tr>
        <w:trPr>
          <w:trHeight w:val="540"/>
        </w:trPr>
        <w:tc>
          <w:tcPr>
            <w:tcW w:w="4380" w:type="dxa"/>
            <w:vAlign w:val="bottom"/>
          </w:tcPr>
          <w:p>
            <w:pPr>
              <w:spacing w:after="0"/>
              <w:rPr>
                <w:sz w:val="20"/>
                <w:szCs w:val="20"/>
                <w:color w:val="auto"/>
              </w:rPr>
            </w:pPr>
            <w:r>
              <w:rPr>
                <w:rFonts w:ascii="Arial" w:cs="Arial" w:eastAsia="Arial" w:hAnsi="Arial"/>
                <w:sz w:val="16"/>
                <w:szCs w:val="16"/>
                <w:color w:val="auto"/>
              </w:rPr>
              <w:t>Occupancy in lodges (4)</w:t>
            </w:r>
          </w:p>
        </w:tc>
        <w:tc>
          <w:tcPr>
            <w:tcW w:w="3220" w:type="dxa"/>
            <w:vAlign w:val="bottom"/>
          </w:tcPr>
          <w:p>
            <w:pPr>
              <w:jc w:val="right"/>
              <w:ind w:right="35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84%</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71%</w:t>
            </w: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540"/>
        </w:trPr>
        <w:tc>
          <w:tcPr>
            <w:tcW w:w="4380" w:type="dxa"/>
            <w:vAlign w:val="bottom"/>
          </w:tcPr>
          <w:p>
            <w:pPr>
              <w:spacing w:after="0"/>
              <w:rPr>
                <w:sz w:val="20"/>
                <w:szCs w:val="20"/>
                <w:color w:val="auto"/>
              </w:rPr>
            </w:pPr>
            <w:r>
              <w:rPr>
                <w:rFonts w:ascii="Arial" w:cs="Arial" w:eastAsia="Arial" w:hAnsi="Arial"/>
                <w:sz w:val="16"/>
                <w:szCs w:val="16"/>
                <w:color w:val="auto"/>
              </w:rPr>
              <w:t>Australian dollar to U.S. dollar</w:t>
            </w:r>
          </w:p>
        </w:tc>
        <w:tc>
          <w:tcPr>
            <w:tcW w:w="3220" w:type="dxa"/>
            <w:vAlign w:val="bottom"/>
          </w:tcPr>
          <w:p>
            <w:pPr>
              <w:jc w:val="right"/>
              <w:ind w:right="359"/>
              <w:spacing w:after="0"/>
              <w:rPr>
                <w:sz w:val="20"/>
                <w:szCs w:val="20"/>
                <w:color w:val="auto"/>
              </w:rPr>
            </w:pPr>
            <w:r>
              <w:rPr>
                <w:rFonts w:ascii="Arial" w:cs="Arial" w:eastAsia="Arial" w:hAnsi="Arial"/>
                <w:sz w:val="16"/>
                <w:szCs w:val="16"/>
                <w:color w:val="auto"/>
              </w:rPr>
              <w:t>$ 0.933</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$ 0.991</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$ 0.915</w:t>
            </w:r>
          </w:p>
        </w:tc>
        <w:tc>
          <w:tcPr>
            <w:tcW w:w="920" w:type="dxa"/>
            <w:vAlign w:val="bottom"/>
          </w:tcPr>
          <w:p>
            <w:pPr>
              <w:jc w:val="right"/>
              <w:spacing w:after="0"/>
              <w:rPr>
                <w:sz w:val="20"/>
                <w:szCs w:val="20"/>
                <w:color w:val="auto"/>
              </w:rPr>
            </w:pPr>
            <w:r>
              <w:rPr>
                <w:rFonts w:ascii="Arial" w:cs="Arial" w:eastAsia="Arial" w:hAnsi="Arial"/>
                <w:sz w:val="16"/>
                <w:szCs w:val="16"/>
                <w:color w:val="auto"/>
              </w:rPr>
              <w:t>$ 1.015</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hanging="251"/>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20" w:hanging="231"/>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356" w:lineRule="exact"/>
        <w:rPr>
          <w:rFonts w:ascii="Arial" w:cs="Arial" w:eastAsia="Arial" w:hAnsi="Arial"/>
          <w:sz w:val="16"/>
          <w:szCs w:val="16"/>
          <w:color w:val="auto"/>
        </w:rPr>
      </w:pPr>
    </w:p>
    <w:p>
      <w:pPr>
        <w:ind w:left="80" w:right="60" w:firstLine="9"/>
        <w:spacing w:after="0" w:line="260"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40" w:hanging="251"/>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ind w:left="960"/>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40"/>
      </w:cols>
      <w:pgMar w:left="240" w:top="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2019-12-08T08:04:02Z</dcterms:created>
  <dcterms:modified xsi:type="dcterms:W3CDTF">2019-12-08T08:04:02Z</dcterms:modified>
</cp:coreProperties>
</file>