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July 29, 2025</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4400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jc w:val="both"/>
        <w:ind w:firstLine="365"/>
        <w:spacing w:after="0" w:line="263" w:lineRule="auto"/>
        <w:rPr>
          <w:sz w:val="20"/>
          <w:szCs w:val="20"/>
          <w:color w:val="auto"/>
        </w:rPr>
      </w:pPr>
      <w:r>
        <w:rPr>
          <w:rFonts w:ascii="Times New Roman" w:cs="Times New Roman" w:eastAsia="Times New Roman" w:hAnsi="Times New Roman"/>
          <w:sz w:val="22"/>
          <w:szCs w:val="22"/>
          <w:color w:val="auto"/>
        </w:rPr>
        <w:t>On July 29, 2025, Civeo Corporation (“Civeo”) issued a press release announcing its financial condition and results of operations as of and for the quarter ended June 30, 2025. A copy of the press release is furnished as Exhibit 99.1 to this report on Form 8-K, and is incorporated herein by reference.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ind w:left="700" w:hanging="476"/>
        <w:spacing w:after="0"/>
        <w:tabs>
          <w:tab w:leader="none" w:pos="7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7"/>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654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99.1</w:t>
            </w:r>
          </w:p>
        </w:tc>
        <w:tc>
          <w:tcPr>
            <w:tcW w:w="1020" w:type="dxa"/>
            <w:vAlign w:val="bottom"/>
          </w:tcPr>
          <w:p>
            <w:pPr>
              <w:spacing w:after="0"/>
              <w:rPr>
                <w:sz w:val="24"/>
                <w:szCs w:val="24"/>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Press Release dated July 29, 2025</w:t>
            </w:r>
          </w:p>
        </w:tc>
        <w:tc>
          <w:tcPr>
            <w:tcW w:w="6540" w:type="dxa"/>
            <w:vAlign w:val="bottom"/>
          </w:tcPr>
          <w:p>
            <w:pPr>
              <w:spacing w:after="0"/>
              <w:rPr>
                <w:sz w:val="24"/>
                <w:szCs w:val="24"/>
                <w:color w:val="auto"/>
              </w:rPr>
            </w:pPr>
          </w:p>
        </w:tc>
      </w:tr>
      <w:tr>
        <w:trPr>
          <w:trHeight w:val="4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Cover Page Interactive Data File (formatted as Inline XBRL and contained in Exhibit 101)</w:t>
            </w:r>
          </w:p>
        </w:tc>
      </w:tr>
      <w:tr>
        <w:trPr>
          <w:trHeight w:val="1385"/>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29, 2025</w:t>
      </w: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E. Collin Gerry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082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 Collin Gerry</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Chief Financial Officer and Treasurer</w:t>
      </w:r>
    </w:p>
    <w:p>
      <w:pPr>
        <w:sectPr>
          <w:pgSz w:w="11900" w:h="16838" w:orient="portrait"/>
          <w:cols w:equalWidth="0" w:num="1">
            <w:col w:w="11220"/>
          </w:cols>
          <w:pgMar w:left="320" w:top="1296" w:right="35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27"/>
          <w:szCs w:val="27"/>
          <w:b w:val="1"/>
          <w:bCs w:val="1"/>
          <w:color w:val="auto"/>
        </w:rPr>
        <w:t>Civeo Reports Second Quarter 2025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Highlights:</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revenues of $162.7 million, net loss of $3.3 million and Adjusted EBITDA of $25.0 million;</w:t>
      </w:r>
    </w:p>
    <w:p>
      <w:pPr>
        <w:spacing w:after="0" w:line="13" w:lineRule="exact"/>
        <w:rPr>
          <w:rFonts w:ascii="Arial" w:cs="Arial" w:eastAsia="Arial" w:hAnsi="Arial"/>
          <w:sz w:val="18"/>
          <w:szCs w:val="18"/>
          <w:color w:val="auto"/>
        </w:rPr>
      </w:pPr>
    </w:p>
    <w:p>
      <w:pPr>
        <w:ind w:left="660" w:right="22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Repurchased 883,000 common shares for $19.1 million at an average price of $21.64 per common share, or approximately 7% of Civeo's common shares outstanding as of March 31, 2025;</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the previously announced acquisition of four villages in the Australian Bowen Basin;</w:t>
      </w:r>
    </w:p>
    <w:p>
      <w:pPr>
        <w:ind w:left="660" w:right="4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Awarded a previously announced four-year contract at Civeo's owned-villages in the Bowen Basin with expected revenues of A$250 million; and</w:t>
      </w:r>
    </w:p>
    <w:p>
      <w:pPr>
        <w:spacing w:after="0" w:line="1" w:lineRule="exact"/>
        <w:rPr>
          <w:rFonts w:ascii="Arial" w:cs="Arial" w:eastAsia="Arial" w:hAnsi="Arial"/>
          <w:sz w:val="18"/>
          <w:szCs w:val="18"/>
          <w:color w:val="auto"/>
        </w:rPr>
      </w:pPr>
    </w:p>
    <w:p>
      <w:pPr>
        <w:ind w:left="660" w:right="5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Awarded a previously announced three-year integrated services contract in the Bowen Basin with expected revenues of A$64 million.</w:t>
      </w:r>
    </w:p>
    <w:p>
      <w:pPr>
        <w:spacing w:after="0" w:line="21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HOUSTON, July 29, 2025 (BUSINESS WIRE) -- Civeo Corporation (NYSE:CVEO) today reported financial and operating results for the second quarter ended June 30, 2025.</w:t>
      </w:r>
    </w:p>
    <w:p>
      <w:pPr>
        <w:spacing w:after="0" w:line="5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the second quarter we delivered revenues and Adjusted EBITDA consistent with our expectations while accelerating the return of capital to shareholders,” said Bradley J. Dodson, Civeo's President and Chief Executive Officer. “We continued to drive margin expansion in our integrated services business and positioned our Australian segment for continued success supported by multiple key contract awards and the accretive acquisition of four new owned-villages in the Bowen Basin. Our Canadian business continues to face similar macroeconomic headwinds as previously discussed. In addition, we experienced typical seasonality effects which contributed to a cash consumption in the quarter driven by working capital. We continue to right-size our Canadian business while simultaneously pursuing opportunities to diversify our business away from the oil sands region.”</w:t>
      </w:r>
    </w:p>
    <w:p>
      <w:pPr>
        <w:spacing w:after="0" w:line="212"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Mr. Dodson added, “We continued to deliver on our capital allocation framework, making significant progress in the second quarter toward our goal of repurchasing 20% of Civeo’s common shares outstanding. We repurchased 883,000 common shares, or approximately 7% of Civeo’s common shares outstanding as of March 31, 2025. We intend to continue opportunistically executing on our share repurchase authorization to complete the program.”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2025 Results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second quarter of 2025, Civeo generated revenues of $ 162.7 million and reported a net loss of $3.3 million, or $0.25 per diluted share. During the second quarter of 2025, Civeo generated negative operating cash flow of $2.3 million and positive Adjusted EBITDA of $25.0 million.</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By comparison, in the second quarter of 2024, Civeo generated revenues of $188.7 million and reported net income of $8.2 million, or $0.56 per diluted share. During the second quarter of 2024, Civeo produced operating cash flow of $32.4 million and Adjusted EBITDA of $31.9 million.</w:t>
      </w:r>
    </w:p>
    <w:p>
      <w:pPr>
        <w:spacing w:after="0" w:line="8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year-over-year decrease in Adjusted EBITDA was primarily driven by decreased billed rooms at the Canadian lodges due to ongoing customer spending reductions, including lower turnaround activity.</w:t>
      </w:r>
    </w:p>
    <w:p>
      <w:pPr>
        <w:spacing w:after="0" w:line="181"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year-over-year decrease in operating cash flow was exacerbated by approximately $ 9.4 million in one-time collection of holdbacks associated with the wind-down of LNG-related mobile camp activity in the second quarter of 2024 as well as Australian cash taxes in the second quarter of 2025 not incurred in the second quarter of 2024 of approximately $15.8 million, including a one-time $9.4 million payment related to the 2024 tax year.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4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(Unless otherwise noted, the following discussion compares the quarterly results for the second quarter of 2025 to the results for the second quarter of 2024.)</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5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During the second quarter of 2025, the Australian segment generated revenues of $112.7 million, operating income of $14.6 million and Adjusted EBITDA of $23.7 million, up from revenues of $108.6 million, operating income of $13.9 million and Adjusted EBITDA of $21.6 million in the second quarter of 2024. Results for the second quarter of 2025 include the impact of a weakened Australian dollar relative to the U.S. dollar, which negatively impacted revenues and Adjusted EBITDA by $3.2 million and $0.7 million, respectively.</w:t>
      </w:r>
    </w:p>
    <w:p>
      <w:pPr>
        <w:spacing w:after="0" w:line="190"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Revenue from the Australian segment increased 4% period-over-period and Adjusted EBITDA was up 10%. The year-over-year increase was primarily driven by the recently completed acquisition of four owned-villages, which</w:t>
      </w:r>
    </w:p>
    <w:p>
      <w:pPr>
        <w:sectPr>
          <w:pgSz w:w="11900" w:h="16838" w:orient="portrait"/>
          <w:cols w:equalWidth="0" w:num="1">
            <w:col w:w="11180"/>
          </w:cols>
          <w:pgMar w:left="320" w:top="889" w:right="399" w:bottom="1440" w:gutter="0" w:footer="0" w:header="0"/>
        </w:sectPr>
      </w:pPr>
    </w:p>
    <w:bookmarkStart w:id="5" w:name="page6"/>
    <w:bookmarkEnd w:id="5"/>
    <w:p>
      <w:pPr>
        <w:ind w:right="300"/>
        <w:spacing w:after="0" w:line="271" w:lineRule="auto"/>
        <w:rPr>
          <w:sz w:val="20"/>
          <w:szCs w:val="20"/>
          <w:color w:val="auto"/>
        </w:rPr>
      </w:pPr>
      <w:r>
        <w:rPr>
          <w:rFonts w:ascii="Arial" w:cs="Arial" w:eastAsia="Arial" w:hAnsi="Arial"/>
          <w:sz w:val="18"/>
          <w:szCs w:val="18"/>
          <w:color w:val="auto"/>
        </w:rPr>
        <w:t>contributed $4.9 million in revenues in the last two months of the second quarter of 2025 as well as margin improvement in the integrated services business.</w:t>
      </w:r>
    </w:p>
    <w:p>
      <w:pPr>
        <w:spacing w:after="0" w:line="181" w:lineRule="exact"/>
        <w:rPr>
          <w:sz w:val="20"/>
          <w:szCs w:val="20"/>
          <w:color w:val="auto"/>
        </w:rPr>
      </w:pPr>
    </w:p>
    <w:p>
      <w:pPr>
        <w:ind w:right="680"/>
        <w:spacing w:after="0" w:line="253" w:lineRule="auto"/>
        <w:rPr>
          <w:sz w:val="20"/>
          <w:szCs w:val="20"/>
          <w:color w:val="auto"/>
        </w:rPr>
      </w:pPr>
      <w:r>
        <w:rPr>
          <w:rFonts w:ascii="Arial" w:cs="Arial" w:eastAsia="Arial" w:hAnsi="Arial"/>
          <w:sz w:val="18"/>
          <w:szCs w:val="18"/>
          <w:color w:val="auto"/>
        </w:rPr>
        <w:t>On May 7, 2025, Civeo announced that it had completed the acquisition of four villages and associated take-or-pay contracts in the Australian Bowen Basin, strengthening Civeo’s presence and deepening relationships with metallurgical coal producers in the Basin. Approximately two months of results are included in Civeo’s second quarter 2025 results.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31"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During the second quarter of 2025, the Canadian segment generated revenues of $50.0 million, an operating loss of $1.9 million and Adjusted EBITDA of $7.5 million, compared to revenues of $79.5 million, operating income of $6.9 million and Adjusted EBITDA of $17.3 million in the second quarter of 2024.</w:t>
      </w:r>
    </w:p>
    <w:p>
      <w:pPr>
        <w:spacing w:after="0" w:line="20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Lodge occupancy in the Canadian oil sands region remains challenged as customers continue to reduce capital and operational spending. In the second quarter of 2025, the Canadian segment revenues declined 37% period-over-period driven by decreased billed rooms at the Canadian lodges as a result of ongoing customer spending reductions, including lower turnaround activity.</w:t>
      </w:r>
    </w:p>
    <w:p>
      <w:pPr>
        <w:spacing w:after="0" w:line="18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During the second quarter of 2025, the Canadian segment incurred implementation costs of approximately $0.5 million related to the cold-closure of two lodges, which are excluded from Adjusted EBITDA. In light of the macroeconomic factors influencing the global oil market, the Company is continuing to evaluate additional cost saving actions to right size its North American cost structure.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26"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As of June 30, 2025, Civeo had total liquidity of approximately $72.8 million. Civeo's total debt at June 30, 2025 was $168.7 million, a $81.3 million increase from March 31, 2025. Civeo's net debt at June 30, 2025 was $154.0 million, a $95.0 million increase since March 31, 2025 attributable to the recent acquisition and share repurchases, bringing Civeo's reported net leverage ratio to 2.0x as of June 30, 2025.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2025, Civeo repurchased approximately 883,000 shares for approximately $19.1 million at an average price of</w:t>
      </w:r>
    </w:p>
    <w:p>
      <w:pPr>
        <w:spacing w:after="0" w:line="1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$21.64 per share. As previously disclosed, the Board authorized an increase to the Company's share repurchase program and Civeo intends to use no less than 100% of its annual free cash flow to complete the program as market conditions allow.</w:t>
      </w:r>
    </w:p>
    <w:p>
      <w:pPr>
        <w:spacing w:after="0" w:line="19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During the second quarter of 2025, Civeo invested $4.5 million in capital expenditures compared to $5.3 million invested during the second quarter of 2024. Capital expenditures in both periods were primarily related to maintenance spending on the Company’s lodges and villages.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2025 Guidance</w:t>
      </w:r>
    </w:p>
    <w:p>
      <w:pPr>
        <w:spacing w:after="0" w:line="13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For the full year of 2025, Civeo is maintaining its revenue and Adjusted EBITDA guidance ranges of $640 million to $670 million and $86 million to $96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maintaining its full year 2025 capital expenditure guidance range of $20 million to $25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Civeo will host a conference call to discuss its second quarter 2025 financial results today at 8:30 a.m. Eastern time. This call is being</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webcast and can be accessed at Civeo's website at www.civeo.com. Participants may also join the conference call by dialing (877) 423-9813 in the United States or (201) 689-8573 internationally and asking for the Civeo call or using the conference ID 13755145#. A replay will be</w:t>
      </w:r>
    </w:p>
    <w:p>
      <w:pPr>
        <w:spacing w:after="0" w:line="2" w:lineRule="exact"/>
        <w:rPr>
          <w:sz w:val="20"/>
          <w:szCs w:val="20"/>
          <w:color w:val="auto"/>
        </w:rPr>
      </w:pPr>
    </w:p>
    <w:p>
      <w:pPr>
        <w:ind w:right="780"/>
        <w:spacing w:after="0" w:line="250" w:lineRule="auto"/>
        <w:rPr>
          <w:sz w:val="20"/>
          <w:szCs w:val="20"/>
          <w:color w:val="auto"/>
        </w:rPr>
      </w:pPr>
      <w:r>
        <w:rPr>
          <w:rFonts w:ascii="Arial" w:cs="Arial" w:eastAsia="Arial" w:hAnsi="Arial"/>
          <w:sz w:val="18"/>
          <w:szCs w:val="18"/>
          <w:color w:val="auto"/>
        </w:rPr>
        <w:t>available after the call by dialing (844) 512-2921 in the United States or (412) 317-6671 internationally and using the conference ID 13755145#.</w:t>
      </w:r>
    </w:p>
    <w:p>
      <w:pPr>
        <w:sectPr>
          <w:pgSz w:w="11900" w:h="16838" w:orient="portrait"/>
          <w:cols w:equalWidth="0" w:num="1">
            <w:col w:w="11200"/>
          </w:cols>
          <w:pgMar w:left="320" w:top="877"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About Civeo</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Australian natural resource regions and the Canadian oil sands.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owns and operates a total of 28 lodges and villages in Australia and North America with an aggregate of approximately 27,500 rooms. In addition, Civeo operates and provides hospitality services at 24 customer-owned locations with approximately 19,500 rooms. Civeo is publicly traded under the symbol CVEO on the New York Stock Exchange. For more information, please visit Civeo's website at www.civeo.com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58" w:lineRule="exact"/>
        <w:rPr>
          <w:sz w:val="20"/>
          <w:szCs w:val="20"/>
          <w:color w:val="auto"/>
        </w:rPr>
      </w:pPr>
    </w:p>
    <w:p>
      <w:pPr>
        <w:ind w:right="2000"/>
        <w:spacing w:after="0" w:line="255"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including the statements regarding Civeo’s future plans and outlook, strategic priorities, guidance, current trends,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expectations with respect to Adjusted EBITDA, capital expenditures, future revenues, share repurchases, free cash flow generation, cost reductions, integration of the Australian asset acquisition and liquidity needs,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coal, iron ore, oil, natural gas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inflation and volatility in the banking sector, risks associated with the company’s ability to integrate any future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geopolitical events, inflation, global weather conditions, natural disasters, including wildfires, global health concerns,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158" w:lineRule="exact"/>
        <w:rPr>
          <w:sz w:val="20"/>
          <w:szCs w:val="20"/>
          <w:color w:val="auto"/>
        </w:rPr>
      </w:pPr>
    </w:p>
    <w:p>
      <w:pPr>
        <w:ind w:right="2040"/>
        <w:spacing w:after="0" w:line="255" w:lineRule="auto"/>
        <w:rPr>
          <w:sz w:val="20"/>
          <w:szCs w:val="20"/>
          <w:color w:val="auto"/>
        </w:rPr>
      </w:pPr>
      <w:r>
        <w:rPr>
          <w:rFonts w:ascii="Arial" w:cs="Arial" w:eastAsia="Arial" w:hAnsi="Arial"/>
          <w:sz w:val="18"/>
          <w:szCs w:val="18"/>
          <w:color w:val="auto"/>
        </w:rPr>
        <w:t>EBITDA, Adjusted EBITDA, free cash flow, net debt, bank-adjusted EBITDA and net leverage ratio are non-GAAP financial measures. See “Non-GAAP Reconciliation” below for definitions and additional information concerning non-GAAP financial measures, including a reconciliation of the non-GAAP financial information presented in this 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 standardized, it may not be possible to compare these financial measures with other companies’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240"/>
          </w:cols>
          <w:pgMar w:left="320" w:top="1282"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7"/>
                <w:szCs w:val="17"/>
                <w:color w:val="auto"/>
              </w:rPr>
            </w:pPr>
          </w:p>
        </w:tc>
      </w:tr>
      <w:tr>
        <w:trPr>
          <w:trHeight w:val="262"/>
        </w:trPr>
        <w:tc>
          <w:tcPr>
            <w:tcW w:w="42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r>
      <w:tr>
        <w:trPr>
          <w:trHeight w:val="500"/>
        </w:trPr>
        <w:tc>
          <w:tcPr>
            <w:tcW w:w="4260" w:type="dxa"/>
            <w:vAlign w:val="bottom"/>
          </w:tcPr>
          <w:p>
            <w:pPr>
              <w:spacing w:after="0"/>
              <w:rPr>
                <w:sz w:val="20"/>
                <w:szCs w:val="20"/>
                <w:color w:val="auto"/>
              </w:rPr>
            </w:pPr>
            <w:r>
              <w:rPr>
                <w:rFonts w:ascii="Arial" w:cs="Arial" w:eastAsia="Arial" w:hAnsi="Arial"/>
                <w:sz w:val="14"/>
                <w:szCs w:val="14"/>
                <w:color w:val="auto"/>
              </w:rPr>
              <w:t>Revenues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162,694</w:t>
            </w:r>
          </w:p>
        </w:tc>
        <w:tc>
          <w:tcPr>
            <w:tcW w:w="2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188,713</w:t>
            </w:r>
          </w:p>
        </w:tc>
        <w:tc>
          <w:tcPr>
            <w:tcW w:w="2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306,738</w:t>
            </w:r>
          </w:p>
        </w:tc>
        <w:tc>
          <w:tcPr>
            <w:tcW w:w="2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354,833</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Costs and expenses: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121,531</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140,834</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236,146</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271,279</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20,470</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17,433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38,655</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36,073</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17,827</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17,059</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34,080</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33,829</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30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7,823</w:t>
            </w: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(Gain) loss on sale of McClelland Lake Lodge assets, net</w:t>
            </w:r>
          </w:p>
        </w:tc>
        <w:tc>
          <w:tcPr>
            <w:tcW w:w="30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(5,988)</w:t>
            </w:r>
          </w:p>
        </w:tc>
      </w:tr>
      <w:tr>
        <w:trPr>
          <w:trHeight w:val="261"/>
        </w:trPr>
        <w:tc>
          <w:tcPr>
            <w:tcW w:w="4260" w:type="dxa"/>
            <w:vAlign w:val="bottom"/>
          </w:tcPr>
          <w:p>
            <w:pPr>
              <w:ind w:left="120"/>
              <w:spacing w:after="0"/>
              <w:rPr>
                <w:sz w:val="20"/>
                <w:szCs w:val="20"/>
                <w:color w:val="auto"/>
              </w:rPr>
            </w:pPr>
            <w:r>
              <w:rPr>
                <w:rFonts w:ascii="Arial" w:cs="Arial" w:eastAsia="Arial" w:hAnsi="Arial"/>
                <w:sz w:val="14"/>
                <w:szCs w:val="14"/>
                <w:color w:val="auto"/>
              </w:rPr>
              <w:t>Other operating expense</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573</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486</w:t>
            </w:r>
          </w:p>
        </w:tc>
      </w:tr>
      <w:tr>
        <w:trPr>
          <w:trHeight w:val="237"/>
        </w:trPr>
        <w:tc>
          <w:tcPr>
            <w:tcW w:w="4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159,894</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175,601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309,454</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343,502</w:t>
            </w:r>
          </w:p>
        </w:tc>
      </w:tr>
      <w:tr>
        <w:trPr>
          <w:trHeight w:val="233"/>
        </w:trPr>
        <w:tc>
          <w:tcPr>
            <w:tcW w:w="4260" w:type="dxa"/>
            <w:vAlign w:val="bottom"/>
          </w:tcPr>
          <w:p>
            <w:pPr>
              <w:spacing w:after="0"/>
              <w:rPr>
                <w:sz w:val="20"/>
                <w:szCs w:val="20"/>
                <w:color w:val="auto"/>
              </w:rPr>
            </w:pPr>
            <w:r>
              <w:rPr>
                <w:rFonts w:ascii="Arial" w:cs="Arial" w:eastAsia="Arial" w:hAnsi="Arial"/>
                <w:sz w:val="14"/>
                <w:szCs w:val="14"/>
                <w:color w:val="auto"/>
              </w:rPr>
              <w:t>Operating income (loss)</w:t>
            </w:r>
          </w:p>
        </w:tc>
        <w:tc>
          <w:tcPr>
            <w:tcW w:w="3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2,800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13,112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(2,716)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11,331</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(2,699)</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(2,203)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(4,318)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(4,563)</w:t>
            </w:r>
          </w:p>
        </w:tc>
      </w:tr>
      <w:tr>
        <w:trPr>
          <w:trHeight w:val="257"/>
        </w:trPr>
        <w:tc>
          <w:tcPr>
            <w:tcW w:w="4260" w:type="dxa"/>
            <w:vAlign w:val="bottom"/>
          </w:tcPr>
          <w:p>
            <w:pPr>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97</w:t>
            </w:r>
          </w:p>
        </w:tc>
      </w:tr>
      <w:tr>
        <w:trPr>
          <w:trHeight w:val="261"/>
        </w:trPr>
        <w:tc>
          <w:tcPr>
            <w:tcW w:w="4260" w:type="dxa"/>
            <w:vAlign w:val="bottom"/>
          </w:tcPr>
          <w:p>
            <w:pPr>
              <w:spacing w:after="0"/>
              <w:rPr>
                <w:sz w:val="20"/>
                <w:szCs w:val="20"/>
                <w:color w:val="auto"/>
              </w:rPr>
            </w:pPr>
            <w:r>
              <w:rPr>
                <w:rFonts w:ascii="Arial" w:cs="Arial" w:eastAsia="Arial" w:hAnsi="Arial"/>
                <w:sz w:val="14"/>
                <w:szCs w:val="14"/>
                <w:color w:val="auto"/>
              </w:rPr>
              <w:t>Other income</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310</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466</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763</w:t>
            </w:r>
          </w:p>
        </w:tc>
      </w:tr>
      <w:tr>
        <w:trPr>
          <w:trHeight w:val="232"/>
        </w:trPr>
        <w:tc>
          <w:tcPr>
            <w:tcW w:w="426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c>
          <w:tcPr>
            <w:tcW w:w="3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295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11,273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(6,467)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7,628</w:t>
            </w:r>
          </w:p>
        </w:tc>
      </w:tr>
      <w:tr>
        <w:trPr>
          <w:trHeight w:val="261"/>
        </w:trPr>
        <w:tc>
          <w:tcPr>
            <w:tcW w:w="4260" w:type="dxa"/>
            <w:vAlign w:val="bottom"/>
          </w:tcPr>
          <w:p>
            <w:pPr>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(3,606)</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(3,786)</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(6,694)</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(5,337)</w:t>
            </w:r>
          </w:p>
        </w:tc>
      </w:tr>
      <w:tr>
        <w:trPr>
          <w:trHeight w:val="232"/>
        </w:trPr>
        <w:tc>
          <w:tcPr>
            <w:tcW w:w="4260" w:type="dxa"/>
            <w:vAlign w:val="bottom"/>
          </w:tcPr>
          <w:p>
            <w:pPr>
              <w:spacing w:after="0"/>
              <w:rPr>
                <w:sz w:val="20"/>
                <w:szCs w:val="20"/>
                <w:color w:val="auto"/>
              </w:rPr>
            </w:pPr>
            <w:r>
              <w:rPr>
                <w:rFonts w:ascii="Arial" w:cs="Arial" w:eastAsia="Arial" w:hAnsi="Arial"/>
                <w:sz w:val="14"/>
                <w:szCs w:val="14"/>
                <w:color w:val="auto"/>
              </w:rPr>
              <w:t>Net income (loss)</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(3,311)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7,487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(13,161)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2,291</w:t>
            </w:r>
          </w:p>
        </w:tc>
      </w:tr>
      <w:tr>
        <w:trPr>
          <w:trHeight w:val="261"/>
        </w:trPr>
        <w:tc>
          <w:tcPr>
            <w:tcW w:w="4260" w:type="dxa"/>
            <w:vAlign w:val="bottom"/>
          </w:tcPr>
          <w:p>
            <w:pPr>
              <w:ind w:left="120"/>
              <w:spacing w:after="0"/>
              <w:rPr>
                <w:sz w:val="20"/>
                <w:szCs w:val="20"/>
                <w:color w:val="auto"/>
              </w:rPr>
            </w:pPr>
            <w:r>
              <w:rPr>
                <w:rFonts w:ascii="Arial" w:cs="Arial" w:eastAsia="Arial" w:hAnsi="Arial"/>
                <w:sz w:val="14"/>
                <w:szCs w:val="14"/>
                <w:color w:val="auto"/>
              </w:rPr>
              <w:t>Less: Net income (loss) attributable to noncontrolling interest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w:t>
            </w:r>
          </w:p>
        </w:tc>
      </w:tr>
      <w:tr>
        <w:trPr>
          <w:trHeight w:val="213"/>
        </w:trPr>
        <w:tc>
          <w:tcPr>
            <w:tcW w:w="426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(3,314)</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8,227</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(13,156)</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3,094</w:t>
            </w:r>
          </w:p>
        </w:tc>
      </w:tr>
      <w:tr>
        <w:trPr>
          <w:trHeight w:val="21"/>
        </w:trPr>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71"/>
        </w:trPr>
        <w:tc>
          <w:tcPr>
            <w:tcW w:w="4560" w:type="dxa"/>
            <w:vAlign w:val="bottom"/>
            <w:gridSpan w:val="2"/>
          </w:tcPr>
          <w:p>
            <w:pPr>
              <w:spacing w:after="0"/>
              <w:rPr>
                <w:sz w:val="20"/>
                <w:szCs w:val="20"/>
                <w:color w:val="auto"/>
              </w:rPr>
            </w:pPr>
            <w:r>
              <w:rPr>
                <w:rFonts w:ascii="Arial" w:cs="Arial" w:eastAsia="Arial" w:hAnsi="Arial"/>
                <w:sz w:val="14"/>
                <w:szCs w:val="14"/>
                <w:color w:val="auto"/>
              </w:rPr>
              <w:t>Net income (loss) per share attributable to Civeo Corporation common</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4260" w:type="dxa"/>
            <w:vAlign w:val="bottom"/>
          </w:tcPr>
          <w:p>
            <w:pPr>
              <w:spacing w:after="0"/>
              <w:rPr>
                <w:sz w:val="20"/>
                <w:szCs w:val="20"/>
                <w:color w:val="auto"/>
              </w:rPr>
            </w:pPr>
            <w:r>
              <w:rPr>
                <w:rFonts w:ascii="Arial" w:cs="Arial" w:eastAsia="Arial" w:hAnsi="Arial"/>
                <w:sz w:val="14"/>
                <w:szCs w:val="14"/>
                <w:color w:val="auto"/>
              </w:rPr>
              <w:t>shareholders: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47"/>
        </w:trPr>
        <w:tc>
          <w:tcPr>
            <w:tcW w:w="426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(0.25)</w:t>
            </w:r>
          </w:p>
        </w:tc>
        <w:tc>
          <w:tcPr>
            <w:tcW w:w="2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0.57</w:t>
            </w:r>
          </w:p>
        </w:tc>
        <w:tc>
          <w:tcPr>
            <w:tcW w:w="24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(0.98)</w:t>
            </w:r>
          </w:p>
        </w:tc>
        <w:tc>
          <w:tcPr>
            <w:tcW w:w="2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0.21</w:t>
            </w: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(0.25)</w:t>
            </w:r>
          </w:p>
        </w:tc>
        <w:tc>
          <w:tcPr>
            <w:tcW w:w="2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0.56</w:t>
            </w:r>
          </w:p>
        </w:tc>
        <w:tc>
          <w:tcPr>
            <w:tcW w:w="24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(0.98)</w:t>
            </w:r>
          </w:p>
        </w:tc>
        <w:tc>
          <w:tcPr>
            <w:tcW w:w="2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0.21</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13,177</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14,518</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13,387</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14,586</w:t>
            </w: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13,177</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14,600</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13,387</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14,678</w:t>
            </w:r>
          </w:p>
        </w:tc>
      </w:tr>
    </w:tbl>
    <w:p>
      <w:pPr>
        <w:sectPr>
          <w:pgSz w:w="11900" w:h="16838" w:orient="portrait"/>
          <w:cols w:equalWidth="0" w:num="1">
            <w:col w:w="9180"/>
          </w:cols>
          <w:pgMar w:left="1360" w:top="1133" w:right="1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92" w:lineRule="exact"/>
        <w:rPr>
          <w:sz w:val="20"/>
          <w:szCs w:val="20"/>
          <w:color w:val="auto"/>
        </w:rPr>
      </w:pPr>
    </w:p>
    <w:tbl>
      <w:tblPr>
        <w:tblLayout w:type="fixed"/>
        <w:tblInd w:w="1020" w:type="dxa"/>
        <w:tblCellMar>
          <w:top w:w="0" w:type="dxa"/>
          <w:left w:w="0" w:type="dxa"/>
          <w:bottom w:w="0" w:type="dxa"/>
          <w:right w:w="0" w:type="dxa"/>
        </w:tblCellMar>
      </w:tblPr>
      <w:tr>
        <w:trPr>
          <w:trHeight w:val="217"/>
        </w:trPr>
        <w:tc>
          <w:tcPr>
            <w:tcW w:w="3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June 30, 2025</w:t>
            </w:r>
          </w:p>
        </w:tc>
        <w:tc>
          <w:tcPr>
            <w:tcW w:w="200" w:type="dxa"/>
            <w:vAlign w:val="bottom"/>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4"/>
        </w:trPr>
        <w:tc>
          <w:tcPr>
            <w:tcW w:w="3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14,638</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5,204</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104,491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89,038</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5,822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7,537</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14,258</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8,674</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139,209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110,453</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265,138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204,897</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Goodwill, net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7,411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7,001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73,441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66,502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14,575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9,401</w:t>
            </w:r>
          </w:p>
        </w:tc>
        <w:tc>
          <w:tcPr>
            <w:tcW w:w="0" w:type="dxa"/>
            <w:vAlign w:val="bottom"/>
          </w:tcPr>
          <w:p>
            <w:pPr>
              <w:spacing w:after="0"/>
              <w:rPr>
                <w:sz w:val="1"/>
                <w:szCs w:val="1"/>
                <w:color w:val="auto"/>
              </w:rPr>
            </w:pPr>
          </w:p>
        </w:tc>
      </w:tr>
      <w:tr>
        <w:trPr>
          <w:trHeight w:val="217"/>
        </w:trPr>
        <w:tc>
          <w:tcPr>
            <w:tcW w:w="3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9,065</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6,818</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508,839</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405,072</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3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44,702</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39,971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39,403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34,933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10,853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2,838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2,501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5,213</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4,388</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92,238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92,646</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168,672</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43,299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5,813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3,558</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11,066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6,655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21,612</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21,916</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299,401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168,074</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8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1,633,022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1,631,823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(1,020,236)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(980,720)</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(10,775)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(10,130)</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(392,573)</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(404,600)</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209,438</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236,373</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0"/>
        </w:trPr>
        <w:tc>
          <w:tcPr>
            <w:tcW w:w="37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209,438</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236,998</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508,839</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405,072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5"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Six Months Ended</w:t>
      </w:r>
    </w:p>
    <w:p>
      <w:pPr>
        <w:jc w:val="center"/>
        <w:ind w:left="5800"/>
        <w:spacing w:after="0"/>
        <w:rPr>
          <w:sz w:val="20"/>
          <w:szCs w:val="20"/>
          <w:color w:val="auto"/>
        </w:rPr>
      </w:pPr>
      <w:r>
        <w:rPr>
          <w:rFonts w:ascii="Arial" w:cs="Arial" w:eastAsia="Arial" w:hAnsi="Arial"/>
          <w:sz w:val="16"/>
          <w:szCs w:val="16"/>
          <w:b w:val="1"/>
          <w:bCs w:val="1"/>
          <w:color w:val="auto"/>
        </w:rPr>
        <w:t>June 30,</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r>
      <w:tr>
        <w:trPr>
          <w:trHeight w:val="491"/>
        </w:trPr>
        <w:tc>
          <w:tcPr>
            <w:tcW w:w="58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(13,161)</w:t>
            </w:r>
          </w:p>
        </w:tc>
        <w:tc>
          <w:tcPr>
            <w:tcW w:w="18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2,291</w:t>
            </w:r>
          </w:p>
        </w:tc>
      </w:tr>
      <w:tr>
        <w:trPr>
          <w:trHeight w:val="205"/>
        </w:trPr>
        <w:tc>
          <w:tcPr>
            <w:tcW w:w="5800" w:type="dxa"/>
            <w:vAlign w:val="bottom"/>
          </w:tcPr>
          <w:p>
            <w:pPr>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6"/>
                <w:szCs w:val="16"/>
                <w:color w:val="auto"/>
              </w:rPr>
              <w:t>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34,080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33,829</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7,823</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Deferred income tax benefit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(1,868)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(4,344)</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1,199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1,158</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Gains on disposals of assets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(6,104)</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Provision (benefit) for credit losses, net of recoveries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1,257</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(10,313)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15,229</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2,049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(1,525)</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(17,166)</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(13,089)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5,836</w:t>
            </w:r>
          </w:p>
        </w:tc>
      </w:tr>
      <w:tr>
        <w:trPr>
          <w:trHeight w:val="258"/>
        </w:trPr>
        <w:tc>
          <w:tcPr>
            <w:tcW w:w="5800" w:type="dxa"/>
            <w:vAlign w:val="bottom"/>
          </w:tcPr>
          <w:p>
            <w:pPr>
              <w:ind w:left="200"/>
              <w:spacing w:after="0"/>
              <w:rPr>
                <w:sz w:val="20"/>
                <w:szCs w:val="20"/>
                <w:color w:val="auto"/>
              </w:rPr>
            </w:pPr>
            <w:r>
              <w:rPr>
                <w:rFonts w:ascii="Arial" w:cs="Arial" w:eastAsia="Arial" w:hAnsi="Arial"/>
                <w:sz w:val="16"/>
                <w:szCs w:val="16"/>
                <w:color w:val="auto"/>
              </w:rPr>
              <w:t>Other current and noncurrent assets and liabilities, net</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(8,248)</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(used in) operating activities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(10,758)</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38,343</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(9,769)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(10,929)</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Acquisitions and related payments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(64,948)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Proceeds from dispositions of property, plant and equipment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10,617</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investing activities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(74,444)</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119,223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(15,825)</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(3,437)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(7,368)</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(22,474)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(9,852)</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(used in) financing activities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92,244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(34,112)</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2,392</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5"/>
        </w:trPr>
        <w:tc>
          <w:tcPr>
            <w:tcW w:w="58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9,434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4,112</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5,204</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3,323</w:t>
            </w:r>
          </w:p>
        </w:tc>
      </w:tr>
      <w:tr>
        <w:trPr>
          <w:trHeight w:val="22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14,638</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7,435</w:t>
            </w:r>
          </w:p>
        </w:tc>
      </w:tr>
      <w:tr>
        <w:trPr>
          <w:trHeight w:val="21"/>
        </w:trPr>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5"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SEGMENT DATA</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112,672</w:t>
            </w:r>
          </w:p>
        </w:tc>
        <w:tc>
          <w:tcPr>
            <w:tcW w:w="16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108,608</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216,318</w:t>
            </w:r>
          </w:p>
        </w:tc>
        <w:tc>
          <w:tcPr>
            <w:tcW w:w="18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200,345</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50,022</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79,527</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90,420</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146,687</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578</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7,801</w:t>
            </w:r>
          </w:p>
        </w:tc>
        <w:tc>
          <w:tcPr>
            <w:tcW w:w="0" w:type="dxa"/>
            <w:vAlign w:val="bottom"/>
          </w:tcPr>
          <w:p>
            <w:pPr>
              <w:spacing w:after="0"/>
              <w:rPr>
                <w:sz w:val="1"/>
                <w:szCs w:val="1"/>
                <w:color w:val="auto"/>
              </w:rPr>
            </w:pPr>
          </w:p>
        </w:tc>
      </w:tr>
      <w:tr>
        <w:trPr>
          <w:trHeight w:val="210"/>
        </w:trPr>
        <w:tc>
          <w:tcPr>
            <w:tcW w:w="336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162,694</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188,713</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306,738</w:t>
            </w: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354,833</w:t>
            </w:r>
          </w:p>
        </w:tc>
        <w:tc>
          <w:tcPr>
            <w:tcW w:w="0" w:type="dxa"/>
            <w:vAlign w:val="bottom"/>
          </w:tcPr>
          <w:p>
            <w:pPr>
              <w:spacing w:after="0"/>
              <w:rPr>
                <w:sz w:val="1"/>
                <w:szCs w:val="1"/>
                <w:color w:val="auto"/>
              </w:rPr>
            </w:pPr>
          </w:p>
        </w:tc>
      </w:tr>
      <w:tr>
        <w:trPr>
          <w:trHeight w:val="21"/>
        </w:trPr>
        <w:tc>
          <w:tcPr>
            <w:tcW w:w="33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23,612</w:t>
            </w:r>
          </w:p>
        </w:tc>
        <w:tc>
          <w:tcPr>
            <w:tcW w:w="16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21,551</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44,052</w:t>
            </w:r>
          </w:p>
        </w:tc>
        <w:tc>
          <w:tcPr>
            <w:tcW w:w="18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36,073</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6,963</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17,154</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5,708</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28,773</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(9,832)</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(7,484)</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(17,925)</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(18,120)</w:t>
            </w:r>
          </w:p>
        </w:tc>
        <w:tc>
          <w:tcPr>
            <w:tcW w:w="0" w:type="dxa"/>
            <w:vAlign w:val="bottom"/>
          </w:tcPr>
          <w:p>
            <w:pPr>
              <w:spacing w:after="0"/>
              <w:rPr>
                <w:sz w:val="1"/>
                <w:szCs w:val="1"/>
                <w:color w:val="auto"/>
              </w:rPr>
            </w:pPr>
          </w:p>
        </w:tc>
      </w:tr>
      <w:tr>
        <w:trPr>
          <w:trHeight w:val="211"/>
        </w:trPr>
        <w:tc>
          <w:tcPr>
            <w:tcW w:w="3360" w:type="dxa"/>
            <w:vAlign w:val="bottom"/>
          </w:tcPr>
          <w:p>
            <w:pPr>
              <w:ind w:left="44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20,743</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31,221</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31,835</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46,726</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23,663</w:t>
            </w:r>
          </w:p>
        </w:tc>
        <w:tc>
          <w:tcPr>
            <w:tcW w:w="16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21,605</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44,148</w:t>
            </w:r>
          </w:p>
        </w:tc>
        <w:tc>
          <w:tcPr>
            <w:tcW w:w="18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41,943</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7,452</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17,337</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7,224</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23,020</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(6,107)</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(7,025)</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(13,709)</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(15,244)</w:t>
            </w:r>
          </w:p>
        </w:tc>
        <w:tc>
          <w:tcPr>
            <w:tcW w:w="0" w:type="dxa"/>
            <w:vAlign w:val="bottom"/>
          </w:tcPr>
          <w:p>
            <w:pPr>
              <w:spacing w:after="0"/>
              <w:rPr>
                <w:sz w:val="1"/>
                <w:szCs w:val="1"/>
                <w:color w:val="auto"/>
              </w:rPr>
            </w:pPr>
          </w:p>
        </w:tc>
      </w:tr>
      <w:tr>
        <w:trPr>
          <w:trHeight w:val="211"/>
        </w:trPr>
        <w:tc>
          <w:tcPr>
            <w:tcW w:w="3360" w:type="dxa"/>
            <w:vAlign w:val="bottom"/>
          </w:tcPr>
          <w:p>
            <w:pPr>
              <w:ind w:left="44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25,008</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31,917</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37,663</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49,719</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14,573</w:t>
            </w:r>
          </w:p>
        </w:tc>
        <w:tc>
          <w:tcPr>
            <w:tcW w:w="16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13,856</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27,212</w:t>
            </w:r>
          </w:p>
        </w:tc>
        <w:tc>
          <w:tcPr>
            <w:tcW w:w="18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21,144</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(1,915)</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6,854</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(11,944)</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8,559</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(9,858)</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(7,598)</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(17,984)</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(18,372)</w:t>
            </w:r>
          </w:p>
        </w:tc>
        <w:tc>
          <w:tcPr>
            <w:tcW w:w="0" w:type="dxa"/>
            <w:vAlign w:val="bottom"/>
          </w:tcPr>
          <w:p>
            <w:pPr>
              <w:spacing w:after="0"/>
              <w:rPr>
                <w:sz w:val="1"/>
                <w:szCs w:val="1"/>
                <w:color w:val="auto"/>
              </w:rPr>
            </w:pPr>
          </w:p>
        </w:tc>
      </w:tr>
      <w:tr>
        <w:trPr>
          <w:trHeight w:val="210"/>
        </w:trPr>
        <w:tc>
          <w:tcPr>
            <w:tcW w:w="3360" w:type="dxa"/>
            <w:vAlign w:val="bottom"/>
          </w:tcPr>
          <w:p>
            <w:pPr>
              <w:ind w:left="44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2,800</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13,112</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11,331</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160"/>
          </w:cols>
          <w:pgMar w:left="1380" w:top="895" w:right="1359" w:bottom="1440" w:gutter="0" w:footer="0" w:header="0"/>
        </w:sectPr>
      </w:pPr>
    </w:p>
    <w:bookmarkStart w:id="11" w:name="page12"/>
    <w:bookmarkEnd w:id="11"/>
    <w:p>
      <w:pPr>
        <w:jc w:val="center"/>
        <w:ind w:right="-9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19"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(unaudited)</w:t>
      </w:r>
    </w:p>
    <w:p>
      <w:pPr>
        <w:spacing w:after="0" w:line="76" w:lineRule="exact"/>
        <w:rPr>
          <w:sz w:val="20"/>
          <w:szCs w:val="20"/>
          <w:color w:val="auto"/>
        </w:rPr>
      </w:pPr>
    </w:p>
    <w:tbl>
      <w:tblPr>
        <w:tblLayout w:type="fixed"/>
        <w:tblInd w:w="1352"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2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52,682</w:t>
            </w:r>
          </w:p>
        </w:tc>
        <w:tc>
          <w:tcPr>
            <w:tcW w:w="18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48,914</w:t>
            </w:r>
          </w:p>
        </w:tc>
        <w:tc>
          <w:tcPr>
            <w:tcW w:w="16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99,505</w:t>
            </w:r>
          </w:p>
        </w:tc>
        <w:tc>
          <w:tcPr>
            <w:tcW w:w="20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96,021</w:t>
            </w:r>
          </w:p>
        </w:tc>
        <w:tc>
          <w:tcPr>
            <w:tcW w:w="0" w:type="dxa"/>
            <w:vAlign w:val="bottom"/>
          </w:tcPr>
          <w:p>
            <w:pPr>
              <w:spacing w:after="0"/>
              <w:rPr>
                <w:sz w:val="1"/>
                <w:szCs w:val="1"/>
                <w:color w:val="auto"/>
              </w:rPr>
            </w:pPr>
          </w:p>
        </w:tc>
      </w:tr>
      <w:tr>
        <w:trPr>
          <w:trHeight w:val="258"/>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59,990</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59,694</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116,813</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104,324</w:t>
            </w:r>
          </w:p>
        </w:tc>
        <w:tc>
          <w:tcPr>
            <w:tcW w:w="0" w:type="dxa"/>
            <w:vAlign w:val="bottom"/>
          </w:tcPr>
          <w:p>
            <w:pPr>
              <w:spacing w:after="0"/>
              <w:rPr>
                <w:sz w:val="1"/>
                <w:szCs w:val="1"/>
                <w:color w:val="auto"/>
              </w:rPr>
            </w:pPr>
          </w:p>
        </w:tc>
      </w:tr>
      <w:tr>
        <w:trPr>
          <w:trHeight w:val="235"/>
        </w:trPr>
        <w:tc>
          <w:tcPr>
            <w:tcW w:w="358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112,672</w:t>
            </w:r>
          </w:p>
        </w:tc>
        <w:tc>
          <w:tcPr>
            <w:tcW w:w="18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108,608</w:t>
            </w:r>
          </w:p>
        </w:tc>
        <w:tc>
          <w:tcPr>
            <w:tcW w:w="16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216,318</w:t>
            </w:r>
          </w:p>
        </w:tc>
        <w:tc>
          <w:tcPr>
            <w:tcW w:w="2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200,345</w:t>
            </w:r>
          </w:p>
        </w:tc>
        <w:tc>
          <w:tcPr>
            <w:tcW w:w="0" w:type="dxa"/>
            <w:vAlign w:val="bottom"/>
          </w:tcPr>
          <w:p>
            <w:pPr>
              <w:spacing w:after="0"/>
              <w:rPr>
                <w:sz w:val="1"/>
                <w:szCs w:val="1"/>
                <w:color w:val="auto"/>
              </w:rPr>
            </w:pPr>
          </w:p>
        </w:tc>
      </w:tr>
      <w:tr>
        <w:trPr>
          <w:trHeight w:val="365"/>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25,890</w:t>
            </w:r>
          </w:p>
        </w:tc>
        <w:tc>
          <w:tcPr>
            <w:tcW w:w="18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23,613</w:t>
            </w:r>
          </w:p>
        </w:tc>
        <w:tc>
          <w:tcPr>
            <w:tcW w:w="16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48,961</w:t>
            </w:r>
          </w:p>
        </w:tc>
        <w:tc>
          <w:tcPr>
            <w:tcW w:w="20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46,207</w:t>
            </w:r>
          </w:p>
        </w:tc>
        <w:tc>
          <w:tcPr>
            <w:tcW w:w="0" w:type="dxa"/>
            <w:vAlign w:val="bottom"/>
          </w:tcPr>
          <w:p>
            <w:pPr>
              <w:spacing w:after="0"/>
              <w:rPr>
                <w:sz w:val="1"/>
                <w:szCs w:val="1"/>
                <w:color w:val="auto"/>
              </w:rPr>
            </w:pPr>
          </w:p>
        </w:tc>
      </w:tr>
      <w:tr>
        <w:trPr>
          <w:trHeight w:val="256"/>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53,163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54,527</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103,814</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95,431</w:t>
            </w:r>
          </w:p>
        </w:tc>
        <w:tc>
          <w:tcPr>
            <w:tcW w:w="0" w:type="dxa"/>
            <w:vAlign w:val="bottom"/>
          </w:tcPr>
          <w:p>
            <w:pPr>
              <w:spacing w:after="0"/>
              <w:rPr>
                <w:sz w:val="1"/>
                <w:szCs w:val="1"/>
                <w:color w:val="auto"/>
              </w:rPr>
            </w:pPr>
          </w:p>
        </w:tc>
      </w:tr>
      <w:tr>
        <w:trPr>
          <w:trHeight w:val="257"/>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3,424</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2,897</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6,422</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5,512</w:t>
            </w:r>
          </w:p>
        </w:tc>
        <w:tc>
          <w:tcPr>
            <w:tcW w:w="0" w:type="dxa"/>
            <w:vAlign w:val="bottom"/>
          </w:tcPr>
          <w:p>
            <w:pPr>
              <w:spacing w:after="0"/>
              <w:rPr>
                <w:sz w:val="1"/>
                <w:szCs w:val="1"/>
                <w:color w:val="auto"/>
              </w:rPr>
            </w:pPr>
          </w:p>
        </w:tc>
      </w:tr>
      <w:tr>
        <w:trPr>
          <w:trHeight w:val="144"/>
        </w:trPr>
        <w:tc>
          <w:tcPr>
            <w:tcW w:w="3580" w:type="dxa"/>
            <w:vAlign w:val="bottom"/>
          </w:tcPr>
          <w:p>
            <w:pPr>
              <w:ind w:left="660"/>
              <w:spacing w:after="0" w:line="144" w:lineRule="exact"/>
              <w:rPr>
                <w:sz w:val="20"/>
                <w:szCs w:val="20"/>
                <w:color w:val="auto"/>
              </w:rPr>
            </w:pPr>
            <w:r>
              <w:rPr>
                <w:rFonts w:ascii="Arial" w:cs="Arial" w:eastAsia="Arial" w:hAnsi="Arial"/>
                <w:sz w:val="16"/>
                <w:szCs w:val="16"/>
                <w:color w:val="auto"/>
              </w:rPr>
              <w:t>Total Australian cost of sales and</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82,477</w:t>
            </w:r>
          </w:p>
        </w:tc>
        <w:tc>
          <w:tcPr>
            <w:tcW w:w="180" w:type="dxa"/>
            <w:vAlign w:val="bottom"/>
          </w:tcPr>
          <w:p>
            <w:pPr>
              <w:spacing w:after="0"/>
              <w:rPr>
                <w:sz w:val="12"/>
                <w:szCs w:val="12"/>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81,037</w:t>
            </w:r>
          </w:p>
        </w:tc>
        <w:tc>
          <w:tcPr>
            <w:tcW w:w="160" w:type="dxa"/>
            <w:vAlign w:val="bottom"/>
          </w:tcPr>
          <w:p>
            <w:pPr>
              <w:spacing w:after="0"/>
              <w:rPr>
                <w:sz w:val="12"/>
                <w:szCs w:val="12"/>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159,197</w:t>
            </w:r>
          </w:p>
        </w:tc>
        <w:tc>
          <w:tcPr>
            <w:tcW w:w="20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147,150</w:t>
            </w:r>
          </w:p>
        </w:tc>
        <w:tc>
          <w:tcPr>
            <w:tcW w:w="0" w:type="dxa"/>
            <w:vAlign w:val="bottom"/>
          </w:tcPr>
          <w:p>
            <w:pPr>
              <w:spacing w:after="0"/>
              <w:rPr>
                <w:sz w:val="1"/>
                <w:szCs w:val="1"/>
                <w:color w:val="auto"/>
              </w:rPr>
            </w:pPr>
          </w:p>
        </w:tc>
      </w:tr>
      <w:tr>
        <w:trPr>
          <w:trHeight w:val="215"/>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6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64"/>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690,506</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625,353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1,316,142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1,239,289</w:t>
            </w:r>
          </w:p>
        </w:tc>
        <w:tc>
          <w:tcPr>
            <w:tcW w:w="0" w:type="dxa"/>
            <w:vAlign w:val="bottom"/>
          </w:tcPr>
          <w:p>
            <w:pPr>
              <w:spacing w:after="0"/>
              <w:rPr>
                <w:sz w:val="1"/>
                <w:szCs w:val="1"/>
                <w:color w:val="auto"/>
              </w:rPr>
            </w:pPr>
          </w:p>
        </w:tc>
      </w:tr>
      <w:tr>
        <w:trPr>
          <w:trHeight w:val="365"/>
        </w:trPr>
        <w:tc>
          <w:tcPr>
            <w:tcW w:w="358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0.641</w:t>
            </w:r>
          </w:p>
        </w:tc>
        <w:tc>
          <w:tcPr>
            <w:tcW w:w="1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0.659</w:t>
            </w:r>
          </w:p>
        </w:tc>
        <w:tc>
          <w:tcPr>
            <w:tcW w:w="16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0.634</w:t>
            </w:r>
          </w:p>
        </w:tc>
        <w:tc>
          <w:tcPr>
            <w:tcW w:w="2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0.658</w:t>
            </w:r>
          </w:p>
        </w:tc>
        <w:tc>
          <w:tcPr>
            <w:tcW w:w="0" w:type="dxa"/>
            <w:vAlign w:val="bottom"/>
          </w:tcPr>
          <w:p>
            <w:pPr>
              <w:spacing w:after="0"/>
              <w:rPr>
                <w:sz w:val="1"/>
                <w:szCs w:val="1"/>
                <w:color w:val="auto"/>
              </w:rPr>
            </w:pPr>
          </w:p>
        </w:tc>
      </w:tr>
      <w:tr>
        <w:trPr>
          <w:trHeight w:val="475"/>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42,590</w:t>
            </w:r>
          </w:p>
        </w:tc>
        <w:tc>
          <w:tcPr>
            <w:tcW w:w="18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72,259</w:t>
            </w:r>
          </w:p>
        </w:tc>
        <w:tc>
          <w:tcPr>
            <w:tcW w:w="16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76,026</w:t>
            </w:r>
          </w:p>
        </w:tc>
        <w:tc>
          <w:tcPr>
            <w:tcW w:w="20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132,046</w:t>
            </w:r>
          </w:p>
        </w:tc>
        <w:tc>
          <w:tcPr>
            <w:tcW w:w="0" w:type="dxa"/>
            <w:vAlign w:val="bottom"/>
          </w:tcPr>
          <w:p>
            <w:pPr>
              <w:spacing w:after="0"/>
              <w:rPr>
                <w:sz w:val="1"/>
                <w:szCs w:val="1"/>
                <w:color w:val="auto"/>
              </w:rPr>
            </w:pPr>
          </w:p>
        </w:tc>
      </w:tr>
      <w:tr>
        <w:trPr>
          <w:trHeight w:val="257"/>
        </w:trPr>
        <w:tc>
          <w:tcPr>
            <w:tcW w:w="358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356</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653</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58"/>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6,998</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6,912</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13,741</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13,291</w:t>
            </w:r>
          </w:p>
        </w:tc>
        <w:tc>
          <w:tcPr>
            <w:tcW w:w="0" w:type="dxa"/>
            <w:vAlign w:val="bottom"/>
          </w:tcPr>
          <w:p>
            <w:pPr>
              <w:spacing w:after="0"/>
              <w:rPr>
                <w:sz w:val="1"/>
                <w:szCs w:val="1"/>
                <w:color w:val="auto"/>
              </w:rPr>
            </w:pPr>
          </w:p>
        </w:tc>
      </w:tr>
      <w:tr>
        <w:trPr>
          <w:trHeight w:val="235"/>
        </w:trPr>
        <w:tc>
          <w:tcPr>
            <w:tcW w:w="358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50,022</w:t>
            </w:r>
          </w:p>
        </w:tc>
        <w:tc>
          <w:tcPr>
            <w:tcW w:w="18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79,527</w:t>
            </w:r>
          </w:p>
        </w:tc>
        <w:tc>
          <w:tcPr>
            <w:tcW w:w="16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90,420</w:t>
            </w:r>
          </w:p>
        </w:tc>
        <w:tc>
          <w:tcPr>
            <w:tcW w:w="2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146,687</w:t>
            </w:r>
          </w:p>
        </w:tc>
        <w:tc>
          <w:tcPr>
            <w:tcW w:w="0" w:type="dxa"/>
            <w:vAlign w:val="bottom"/>
          </w:tcPr>
          <w:p>
            <w:pPr>
              <w:spacing w:after="0"/>
              <w:rPr>
                <w:sz w:val="1"/>
                <w:szCs w:val="1"/>
                <w:color w:val="auto"/>
              </w:rPr>
            </w:pPr>
          </w:p>
        </w:tc>
      </w:tr>
      <w:tr>
        <w:trPr>
          <w:trHeight w:val="364"/>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30,618</w:t>
            </w:r>
          </w:p>
        </w:tc>
        <w:tc>
          <w:tcPr>
            <w:tcW w:w="18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48,197</w:t>
            </w:r>
          </w:p>
        </w:tc>
        <w:tc>
          <w:tcPr>
            <w:tcW w:w="16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59,483</w:t>
            </w:r>
          </w:p>
        </w:tc>
        <w:tc>
          <w:tcPr>
            <w:tcW w:w="20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93,917</w:t>
            </w:r>
          </w:p>
        </w:tc>
        <w:tc>
          <w:tcPr>
            <w:tcW w:w="0" w:type="dxa"/>
            <w:vAlign w:val="bottom"/>
          </w:tcPr>
          <w:p>
            <w:pPr>
              <w:spacing w:after="0"/>
              <w:rPr>
                <w:sz w:val="1"/>
                <w:szCs w:val="1"/>
                <w:color w:val="auto"/>
              </w:rPr>
            </w:pPr>
          </w:p>
        </w:tc>
      </w:tr>
      <w:tr>
        <w:trPr>
          <w:trHeight w:val="256"/>
        </w:trPr>
        <w:tc>
          <w:tcPr>
            <w:tcW w:w="358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1,401</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57"/>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6,237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6,314</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12,710</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12,454</w:t>
            </w:r>
          </w:p>
        </w:tc>
        <w:tc>
          <w:tcPr>
            <w:tcW w:w="0" w:type="dxa"/>
            <w:vAlign w:val="bottom"/>
          </w:tcPr>
          <w:p>
            <w:pPr>
              <w:spacing w:after="0"/>
              <w:rPr>
                <w:sz w:val="1"/>
                <w:szCs w:val="1"/>
                <w:color w:val="auto"/>
              </w:rPr>
            </w:pPr>
          </w:p>
        </w:tc>
      </w:tr>
      <w:tr>
        <w:trPr>
          <w:trHeight w:val="257"/>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2,047</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2,937</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4,354</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5,683</w:t>
            </w:r>
          </w:p>
        </w:tc>
        <w:tc>
          <w:tcPr>
            <w:tcW w:w="0" w:type="dxa"/>
            <w:vAlign w:val="bottom"/>
          </w:tcPr>
          <w:p>
            <w:pPr>
              <w:spacing w:after="0"/>
              <w:rPr>
                <w:sz w:val="1"/>
                <w:szCs w:val="1"/>
                <w:color w:val="auto"/>
              </w:rPr>
            </w:pPr>
          </w:p>
        </w:tc>
      </w:tr>
      <w:tr>
        <w:trPr>
          <w:trHeight w:val="144"/>
        </w:trPr>
        <w:tc>
          <w:tcPr>
            <w:tcW w:w="3580" w:type="dxa"/>
            <w:vAlign w:val="bottom"/>
          </w:tcPr>
          <w:p>
            <w:pPr>
              <w:ind w:left="660"/>
              <w:spacing w:after="0" w:line="144" w:lineRule="exact"/>
              <w:rPr>
                <w:sz w:val="20"/>
                <w:szCs w:val="20"/>
                <w:color w:val="auto"/>
              </w:rPr>
            </w:pPr>
            <w:r>
              <w:rPr>
                <w:rFonts w:ascii="Arial" w:cs="Arial" w:eastAsia="Arial" w:hAnsi="Arial"/>
                <w:sz w:val="16"/>
                <w:szCs w:val="16"/>
                <w:color w:val="auto"/>
              </w:rPr>
              <w:t>Total Canadian cost of sales and</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39,037</w:t>
            </w:r>
          </w:p>
        </w:tc>
        <w:tc>
          <w:tcPr>
            <w:tcW w:w="180" w:type="dxa"/>
            <w:vAlign w:val="bottom"/>
          </w:tcPr>
          <w:p>
            <w:pPr>
              <w:spacing w:after="0"/>
              <w:rPr>
                <w:sz w:val="12"/>
                <w:szCs w:val="12"/>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58,849</w:t>
            </w:r>
          </w:p>
        </w:tc>
        <w:tc>
          <w:tcPr>
            <w:tcW w:w="160" w:type="dxa"/>
            <w:vAlign w:val="bottom"/>
          </w:tcPr>
          <w:p>
            <w:pPr>
              <w:spacing w:after="0"/>
              <w:rPr>
                <w:sz w:val="12"/>
                <w:szCs w:val="12"/>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76,682</w:t>
            </w:r>
          </w:p>
        </w:tc>
        <w:tc>
          <w:tcPr>
            <w:tcW w:w="20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116,106</w:t>
            </w:r>
          </w:p>
        </w:tc>
        <w:tc>
          <w:tcPr>
            <w:tcW w:w="0" w:type="dxa"/>
            <w:vAlign w:val="bottom"/>
          </w:tcPr>
          <w:p>
            <w:pPr>
              <w:spacing w:after="0"/>
              <w:rPr>
                <w:sz w:val="1"/>
                <w:szCs w:val="1"/>
                <w:color w:val="auto"/>
              </w:rPr>
            </w:pPr>
          </w:p>
        </w:tc>
      </w:tr>
      <w:tr>
        <w:trPr>
          <w:trHeight w:val="215"/>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94</w:t>
            </w:r>
          </w:p>
        </w:tc>
        <w:tc>
          <w:tcPr>
            <w:tcW w:w="1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16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351"/>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449,970</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752,364</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808,667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1,362,396</w:t>
            </w:r>
          </w:p>
        </w:tc>
        <w:tc>
          <w:tcPr>
            <w:tcW w:w="0" w:type="dxa"/>
            <w:vAlign w:val="bottom"/>
          </w:tcPr>
          <w:p>
            <w:pPr>
              <w:spacing w:after="0"/>
              <w:rPr>
                <w:sz w:val="1"/>
                <w:szCs w:val="1"/>
                <w:color w:val="auto"/>
              </w:rPr>
            </w:pPr>
          </w:p>
        </w:tc>
      </w:tr>
      <w:tr>
        <w:trPr>
          <w:trHeight w:val="365"/>
        </w:trPr>
        <w:tc>
          <w:tcPr>
            <w:tcW w:w="358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0.723</w:t>
            </w:r>
          </w:p>
        </w:tc>
        <w:tc>
          <w:tcPr>
            <w:tcW w:w="1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0.731</w:t>
            </w:r>
          </w:p>
        </w:tc>
        <w:tc>
          <w:tcPr>
            <w:tcW w:w="16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0.710</w:t>
            </w:r>
          </w:p>
        </w:tc>
        <w:tc>
          <w:tcPr>
            <w:tcW w:w="2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0.736</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30"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mobile assets for the periods presented.</w:t>
      </w:r>
    </w:p>
    <w:p>
      <w:pPr>
        <w:spacing w:after="0" w:line="8"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food services,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14"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Billed rooms represents total billed days for owned assets for the periods presented.</w:t>
      </w:r>
    </w:p>
    <w:p>
      <w:pPr>
        <w:spacing w:after="0" w:line="200" w:lineRule="exact"/>
        <w:rPr>
          <w:sz w:val="20"/>
          <w:szCs w:val="20"/>
          <w:color w:val="auto"/>
        </w:rPr>
      </w:pPr>
    </w:p>
    <w:p>
      <w:pPr>
        <w:spacing w:after="0" w:line="279" w:lineRule="exact"/>
        <w:rPr>
          <w:sz w:val="20"/>
          <w:szCs w:val="20"/>
          <w:color w:val="auto"/>
        </w:rPr>
      </w:pPr>
    </w:p>
    <w:p>
      <w:pPr>
        <w:ind w:left="4732"/>
        <w:spacing w:after="0"/>
        <w:rPr>
          <w:sz w:val="20"/>
          <w:szCs w:val="20"/>
          <w:color w:val="auto"/>
        </w:rPr>
      </w:pPr>
      <w:r>
        <w:rPr>
          <w:rFonts w:ascii="Arial" w:cs="Arial" w:eastAsia="Arial" w:hAnsi="Arial"/>
          <w:sz w:val="16"/>
          <w:szCs w:val="16"/>
          <w:b w:val="1"/>
          <w:bCs w:val="1"/>
          <w:color w:val="auto"/>
        </w:rPr>
        <w:t>CIVEO CORPORATION</w:t>
      </w:r>
    </w:p>
    <w:p>
      <w:pPr>
        <w:spacing w:after="0" w:line="35" w:lineRule="exact"/>
        <w:rPr>
          <w:sz w:val="20"/>
          <w:szCs w:val="20"/>
          <w:color w:val="auto"/>
        </w:rPr>
      </w:pPr>
    </w:p>
    <w:p>
      <w:pPr>
        <w:ind w:left="2952"/>
        <w:spacing w:after="0"/>
        <w:rPr>
          <w:sz w:val="20"/>
          <w:szCs w:val="20"/>
          <w:color w:val="auto"/>
        </w:rPr>
      </w:pPr>
      <w:r>
        <w:rPr>
          <w:rFonts w:ascii="Arial" w:cs="Arial" w:eastAsia="Arial" w:hAnsi="Arial"/>
          <w:sz w:val="16"/>
          <w:szCs w:val="16"/>
          <w:b w:val="1"/>
          <w:bCs w:val="1"/>
          <w:color w:val="auto"/>
        </w:rPr>
        <w:t>SUPPLEMENTAL OPERATIONS BY SERVICE TYPE BY REGION DATA</w:t>
      </w:r>
    </w:p>
    <w:p>
      <w:pPr>
        <w:spacing w:after="0" w:line="5"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(U.S. dollars in thousands)</w:t>
      </w:r>
    </w:p>
    <w:p>
      <w:pPr>
        <w:spacing w:after="0" w:line="5"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(unaudited)</w:t>
      </w:r>
    </w:p>
    <w:p>
      <w:pPr>
        <w:sectPr>
          <w:pgSz w:w="11900" w:h="16838" w:orient="portrait"/>
          <w:cols w:equalWidth="0" w:num="1">
            <w:col w:w="11152"/>
          </w:cols>
          <w:pgMar w:left="328" w:top="895" w:right="419" w:bottom="1440" w:gutter="0" w:footer="0" w:header="0"/>
        </w:sectPr>
      </w:pPr>
    </w:p>
    <w:bookmarkStart w:id="12" w:name="page13"/>
    <w:bookmarkEnd w:id="12"/>
    <w:p>
      <w:pPr>
        <w:ind w:right="80"/>
        <w:spacing w:after="0" w:line="252" w:lineRule="auto"/>
        <w:rPr>
          <w:sz w:val="20"/>
          <w:szCs w:val="20"/>
          <w:color w:val="auto"/>
        </w:rPr>
      </w:pPr>
      <w:r>
        <w:rPr>
          <w:rFonts w:ascii="Arial" w:cs="Arial" w:eastAsia="Arial" w:hAnsi="Arial"/>
          <w:sz w:val="17"/>
          <w:szCs w:val="17"/>
          <w:color w:val="auto"/>
        </w:rPr>
        <w:t>The following table sets forth certain supplemental data for our Australia and Canada segment revenues attributable to the asset-light (“Catering and Facility Management”) portion of the Company’s business and the asset-intensive (“Accommodations and Infrastructure”) portion of the Company’s business. We provide Catering and Facility Management services to both customer-owned assets and Company-owned villages and lodges. When we provide Catering and Facility Management services to customer-owned assets, it is reflected in “Food and other services” in our Supplemental Quarterly Segment and Operating Data. However, when we provide those same services to customers at our owned villages and lodges, it is reflected in “Accommodation and other services”, which also includes the Accommodations</w:t>
      </w:r>
    </w:p>
    <w:p>
      <w:pPr>
        <w:spacing w:after="0" w:line="2" w:lineRule="exact"/>
        <w:rPr>
          <w:sz w:val="20"/>
          <w:szCs w:val="20"/>
          <w:color w:val="auto"/>
        </w:rPr>
      </w:pPr>
    </w:p>
    <w:p>
      <w:pPr>
        <w:ind w:right="600"/>
        <w:spacing w:after="0" w:line="263" w:lineRule="auto"/>
        <w:rPr>
          <w:sz w:val="20"/>
          <w:szCs w:val="20"/>
          <w:color w:val="auto"/>
        </w:rPr>
      </w:pPr>
      <w:r>
        <w:rPr>
          <w:rFonts w:ascii="Arial" w:cs="Arial" w:eastAsia="Arial" w:hAnsi="Arial"/>
          <w:sz w:val="17"/>
          <w:szCs w:val="17"/>
          <w:color w:val="auto"/>
        </w:rPr>
        <w:t>and Infrastructure component of our owned villages and lodges. This is because we bill our customers in one combined rate for both Accommodations and Infrastructure services and Catering and Facility Management services at Company-owned villages and lodges.</w:t>
      </w:r>
    </w:p>
    <w:p>
      <w:pPr>
        <w:spacing w:after="0" w:line="18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purpose of the disclosure below is to disaggregate the embedded Catering and Facility Management revenues from the “Accommodation and other services” revenues associated with our owned villages and lodges that is included in our Supplemental Quarterly Segment and Operating Data. To do so, we apply a margin that is equal to Civeo’s margin in similar services we provide to customer-owned assets to the cost of sales that are associated with Catering and Facility Management services within “Accommodation and other services” for our owned villages and lodges. This table provides investors a supplemental view of the services provided by the Company which could assist with their valuation analysis.</w:t>
      </w: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June 30, 2025</w:t>
            </w:r>
          </w:p>
        </w:tc>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June 30, 2024</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Australia</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Canada</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Australia</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Canada</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58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Revenues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82,633</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29,952</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112,585</w:t>
            </w:r>
          </w:p>
        </w:tc>
        <w:tc>
          <w:tcPr>
            <w:tcW w:w="2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80,697</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44,732</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125,429</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580" w:type="dxa"/>
            <w:vAlign w:val="bottom"/>
            <w:gridSpan w:val="2"/>
          </w:tcPr>
          <w:p>
            <w:pPr>
              <w:spacing w:after="0"/>
              <w:rPr>
                <w:sz w:val="20"/>
                <w:szCs w:val="20"/>
                <w:color w:val="auto"/>
              </w:rPr>
            </w:pPr>
            <w:r>
              <w:rPr>
                <w:rFonts w:ascii="Arial" w:cs="Arial" w:eastAsia="Arial" w:hAnsi="Arial"/>
                <w:sz w:val="14"/>
                <w:szCs w:val="14"/>
                <w:color w:val="auto"/>
              </w:rPr>
              <w:t>Asset Light: Catering and Facility management</w:t>
            </w:r>
          </w:p>
        </w:tc>
        <w:tc>
          <w:tcPr>
            <w:tcW w:w="1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580" w:type="dxa"/>
            <w:vAlign w:val="bottom"/>
            <w:gridSpan w:val="2"/>
          </w:tcPr>
          <w:p>
            <w:pPr>
              <w:spacing w:after="0"/>
              <w:rPr>
                <w:sz w:val="20"/>
                <w:szCs w:val="20"/>
                <w:color w:val="auto"/>
              </w:rPr>
            </w:pPr>
            <w:r>
              <w:rPr>
                <w:rFonts w:ascii="Arial" w:cs="Arial" w:eastAsia="Arial" w:hAnsi="Arial"/>
                <w:sz w:val="14"/>
                <w:szCs w:val="14"/>
                <w:color w:val="auto"/>
              </w:rPr>
              <w:t>Asset Intensive: Accommodations and Infrastructure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63,284</w:t>
            </w:r>
          </w:p>
        </w:tc>
        <w:tc>
          <w:tcPr>
            <w:tcW w:w="0" w:type="dxa"/>
            <w:vAlign w:val="bottom"/>
          </w:tcPr>
          <w:p>
            <w:pPr>
              <w:spacing w:after="0"/>
              <w:rPr>
                <w:sz w:val="1"/>
                <w:szCs w:val="1"/>
                <w:color w:val="auto"/>
              </w:rPr>
            </w:pPr>
          </w:p>
        </w:tc>
      </w:tr>
      <w:tr>
        <w:trPr>
          <w:trHeight w:val="213"/>
        </w:trPr>
        <w:tc>
          <w:tcPr>
            <w:tcW w:w="3580" w:type="dxa"/>
            <w:vAlign w:val="bottom"/>
            <w:gridSpan w:val="2"/>
          </w:tcPr>
          <w:p>
            <w:pPr>
              <w:spacing w:after="0"/>
              <w:rPr>
                <w:sz w:val="20"/>
                <w:szCs w:val="20"/>
                <w:color w:val="auto"/>
              </w:rPr>
            </w:pPr>
            <w:r>
              <w:rPr>
                <w:rFonts w:ascii="Arial" w:cs="Arial" w:eastAsia="Arial" w:hAnsi="Arial"/>
                <w:sz w:val="14"/>
                <w:szCs w:val="14"/>
                <w:color w:val="auto"/>
              </w:rPr>
              <w:t>Total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112,672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50,022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162,694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108,608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79,527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188,713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0"/>
        </w:trPr>
        <w:tc>
          <w:tcPr>
            <w:tcW w:w="6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9"/>
          </w:tcPr>
          <w:p>
            <w:pPr>
              <w:jc w:val="right"/>
              <w:ind w:right="19"/>
              <w:spacing w:after="0"/>
              <w:rPr>
                <w:sz w:val="20"/>
                <w:szCs w:val="20"/>
                <w:color w:val="auto"/>
              </w:rPr>
            </w:pPr>
            <w:r>
              <w:rPr>
                <w:rFonts w:ascii="Arial" w:cs="Arial" w:eastAsia="Arial" w:hAnsi="Arial"/>
                <w:sz w:val="14"/>
                <w:szCs w:val="14"/>
                <w:b w:val="1"/>
                <w:bCs w:val="1"/>
                <w:color w:val="auto"/>
              </w:rPr>
              <w:t>Six months ended June 30, 2025</w:t>
            </w: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9"/>
          </w:tcPr>
          <w:p>
            <w:pPr>
              <w:jc w:val="right"/>
              <w:ind w:right="39"/>
              <w:spacing w:after="0"/>
              <w:rPr>
                <w:sz w:val="20"/>
                <w:szCs w:val="20"/>
                <w:color w:val="auto"/>
              </w:rPr>
            </w:pPr>
            <w:r>
              <w:rPr>
                <w:rFonts w:ascii="Arial" w:cs="Arial" w:eastAsia="Arial" w:hAnsi="Arial"/>
                <w:sz w:val="14"/>
                <w:szCs w:val="14"/>
                <w:b w:val="1"/>
                <w:bCs w:val="1"/>
                <w:color w:val="auto"/>
              </w:rPr>
              <w:t>Six months ended June 30, 2024</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6"/>
              </w:rPr>
              <w:t>Australia</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Canada</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Australia</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Canada</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58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Revenues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159,292</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55,601</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214,893</w:t>
            </w:r>
          </w:p>
        </w:tc>
        <w:tc>
          <w:tcPr>
            <w:tcW w:w="2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145,026</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83,438</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229,013</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4"/>
                <w:szCs w:val="14"/>
                <w:color w:val="auto"/>
              </w:rPr>
              <w:t>Asset Light: Catering and Facility management</w:t>
            </w:r>
          </w:p>
        </w:tc>
        <w:tc>
          <w:tcPr>
            <w:tcW w:w="1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580" w:type="dxa"/>
            <w:vAlign w:val="bottom"/>
            <w:gridSpan w:val="2"/>
          </w:tcPr>
          <w:p>
            <w:pPr>
              <w:spacing w:after="0"/>
              <w:rPr>
                <w:sz w:val="20"/>
                <w:szCs w:val="20"/>
                <w:color w:val="auto"/>
              </w:rPr>
            </w:pPr>
            <w:r>
              <w:rPr>
                <w:rFonts w:ascii="Arial" w:cs="Arial" w:eastAsia="Arial" w:hAnsi="Arial"/>
                <w:sz w:val="14"/>
                <w:szCs w:val="14"/>
                <w:color w:val="auto"/>
              </w:rPr>
              <w:t>Asset Intensive: Accommodations and Infrastructure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125,820</w:t>
            </w:r>
          </w:p>
        </w:tc>
        <w:tc>
          <w:tcPr>
            <w:tcW w:w="0" w:type="dxa"/>
            <w:vAlign w:val="bottom"/>
          </w:tcPr>
          <w:p>
            <w:pPr>
              <w:spacing w:after="0"/>
              <w:rPr>
                <w:sz w:val="1"/>
                <w:szCs w:val="1"/>
                <w:color w:val="auto"/>
              </w:rPr>
            </w:pPr>
          </w:p>
        </w:tc>
      </w:tr>
      <w:tr>
        <w:trPr>
          <w:trHeight w:val="212"/>
        </w:trPr>
        <w:tc>
          <w:tcPr>
            <w:tcW w:w="3580" w:type="dxa"/>
            <w:vAlign w:val="bottom"/>
            <w:gridSpan w:val="2"/>
          </w:tcPr>
          <w:p>
            <w:pPr>
              <w:spacing w:after="0"/>
              <w:rPr>
                <w:sz w:val="20"/>
                <w:szCs w:val="20"/>
                <w:color w:val="auto"/>
              </w:rPr>
            </w:pPr>
            <w:r>
              <w:rPr>
                <w:rFonts w:ascii="Arial" w:cs="Arial" w:eastAsia="Arial" w:hAnsi="Arial"/>
                <w:sz w:val="14"/>
                <w:szCs w:val="14"/>
                <w:color w:val="auto"/>
              </w:rPr>
              <w:t>Total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216,318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90,420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306,738</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200,345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146,687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354,833</w:t>
            </w: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RECONCILIATIONS</w:t>
      </w:r>
    </w:p>
    <w:p>
      <w:pPr>
        <w:sectPr>
          <w:pgSz w:w="11900" w:h="16838" w:orient="portrait"/>
          <w:cols w:equalWidth="0" w:num="1">
            <w:col w:w="11240"/>
          </w:cols>
          <w:pgMar w:left="320" w:top="1120" w:right="339" w:bottom="1440" w:gutter="0" w:footer="0" w:header="0"/>
        </w:sectPr>
      </w:pPr>
    </w:p>
    <w:bookmarkStart w:id="13" w:name="page14"/>
    <w:bookmarkEnd w:id="13"/>
    <w:p>
      <w:pPr>
        <w:jc w:val="center"/>
        <w:ind w:right="-51"/>
        <w:spacing w:after="0"/>
        <w:rPr>
          <w:sz w:val="20"/>
          <w:szCs w:val="20"/>
          <w:color w:val="auto"/>
        </w:rPr>
      </w:pPr>
      <w:r>
        <w:rPr>
          <w:rFonts w:ascii="Arial" w:cs="Arial" w:eastAsia="Arial" w:hAnsi="Arial"/>
          <w:sz w:val="16"/>
          <w:szCs w:val="16"/>
          <w:b w:val="1"/>
          <w:bCs w:val="1"/>
          <w:color w:val="auto"/>
        </w:rPr>
        <w:t>(in thousands)</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5" w:lineRule="exact"/>
        <w:rPr>
          <w:sz w:val="20"/>
          <w:szCs w:val="20"/>
          <w:color w:val="auto"/>
        </w:rPr>
      </w:pPr>
    </w:p>
    <w:tbl>
      <w:tblPr>
        <w:tblLayout w:type="fixed"/>
        <w:tblInd w:w="1632"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260" w:type="dxa"/>
            <w:vAlign w:val="bottom"/>
            <w:gridSpan w:val="5"/>
          </w:tcPr>
          <w:p>
            <w:pPr>
              <w:ind w:left="24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6"/>
                <w:szCs w:val="16"/>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Twelve Months</w:t>
            </w:r>
          </w:p>
        </w:tc>
      </w:tr>
      <w:tr>
        <w:trPr>
          <w:trHeight w:val="223"/>
        </w:trPr>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Ended June 30,</w:t>
            </w:r>
          </w:p>
        </w:tc>
      </w:tr>
      <w:tr>
        <w:trPr>
          <w:trHeight w:val="263"/>
        </w:trPr>
        <w:tc>
          <w:tcPr>
            <w:tcW w:w="16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r>
      <w:tr>
        <w:trPr>
          <w:trHeight w:val="518"/>
        </w:trPr>
        <w:tc>
          <w:tcPr>
            <w:tcW w:w="168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20,743</w:t>
            </w:r>
          </w:p>
        </w:tc>
        <w:tc>
          <w:tcPr>
            <w:tcW w:w="18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31,221</w:t>
            </w:r>
          </w:p>
        </w:tc>
        <w:tc>
          <w:tcPr>
            <w:tcW w:w="16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31,835</w:t>
            </w:r>
          </w:p>
        </w:tc>
        <w:tc>
          <w:tcPr>
            <w:tcW w:w="16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46,726</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56,358</w:t>
            </w:r>
          </w:p>
        </w:tc>
      </w:tr>
      <w:tr>
        <w:trPr>
          <w:trHeight w:val="270"/>
        </w:trPr>
        <w:tc>
          <w:tcPr>
            <w:tcW w:w="168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25,008</w:t>
            </w:r>
          </w:p>
        </w:tc>
        <w:tc>
          <w:tcPr>
            <w:tcW w:w="18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31,917</w:t>
            </w:r>
          </w:p>
        </w:tc>
        <w:tc>
          <w:tcPr>
            <w:tcW w:w="16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37,663</w:t>
            </w:r>
          </w:p>
        </w:tc>
        <w:tc>
          <w:tcPr>
            <w:tcW w:w="16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49,719</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67,881</w:t>
            </w:r>
          </w:p>
        </w:tc>
      </w:tr>
      <w:tr>
        <w:trPr>
          <w:trHeight w:val="270"/>
        </w:trPr>
        <w:tc>
          <w:tcPr>
            <w:tcW w:w="1680" w:type="dxa"/>
            <w:vAlign w:val="bottom"/>
          </w:tcPr>
          <w:p>
            <w:pPr>
              <w:spacing w:after="0"/>
              <w:rPr>
                <w:sz w:val="20"/>
                <w:szCs w:val="20"/>
                <w:color w:val="auto"/>
              </w:rPr>
            </w:pPr>
            <w:r>
              <w:rPr>
                <w:rFonts w:ascii="Arial" w:cs="Arial" w:eastAsia="Arial" w:hAnsi="Arial"/>
                <w:sz w:val="16"/>
                <w:szCs w:val="16"/>
                <w:color w:val="auto"/>
              </w:rPr>
              <w:t>Net Leverage Ratio (2)</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2.0x</w:t>
            </w:r>
          </w:p>
        </w:tc>
      </w:tr>
    </w:tbl>
    <w:p>
      <w:pPr>
        <w:spacing w:after="0" w:line="312" w:lineRule="exact"/>
        <w:rPr>
          <w:sz w:val="20"/>
          <w:szCs w:val="20"/>
          <w:color w:val="auto"/>
        </w:rPr>
      </w:pPr>
    </w:p>
    <w:p>
      <w:pPr>
        <w:ind w:left="332" w:right="2240" w:hanging="332"/>
        <w:spacing w:after="0" w:line="256" w:lineRule="auto"/>
        <w:tabs>
          <w:tab w:leader="none" w:pos="3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 Adjusted EBITDA is a non-GAAP financial measure that is</w:t>
      </w:r>
    </w:p>
    <w:p>
      <w:pPr>
        <w:spacing w:after="0" w:line="1" w:lineRule="exact"/>
        <w:rPr>
          <w:rFonts w:ascii="Arial" w:cs="Arial" w:eastAsia="Arial" w:hAnsi="Arial"/>
          <w:sz w:val="16"/>
          <w:szCs w:val="16"/>
          <w:color w:val="auto"/>
        </w:rPr>
      </w:pPr>
    </w:p>
    <w:p>
      <w:pPr>
        <w:ind w:left="332" w:right="60"/>
        <w:spacing w:after="0"/>
        <w:rPr>
          <w:rFonts w:ascii="Arial" w:cs="Arial" w:eastAsia="Arial" w:hAnsi="Arial"/>
          <w:sz w:val="16"/>
          <w:szCs w:val="16"/>
          <w:color w:val="auto"/>
        </w:rPr>
      </w:pPr>
      <w:r>
        <w:rPr>
          <w:rFonts w:ascii="Arial" w:cs="Arial" w:eastAsia="Arial" w:hAnsi="Arial"/>
          <w:sz w:val="16"/>
          <w:szCs w:val="16"/>
          <w:color w:val="auto"/>
        </w:rPr>
        <w:t>defined as EBITDA adjusted to exclude certain other unusual or non-operating items.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18" w:lineRule="exact"/>
        <w:rPr>
          <w:rFonts w:ascii="Arial" w:cs="Arial" w:eastAsia="Arial" w:hAnsi="Arial"/>
          <w:sz w:val="16"/>
          <w:szCs w:val="16"/>
          <w:color w:val="auto"/>
        </w:rPr>
      </w:pPr>
    </w:p>
    <w:p>
      <w:pPr>
        <w:ind w:left="332" w:right="80"/>
        <w:spacing w:after="0" w:line="304"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390" w:lineRule="exact"/>
        <w:rPr>
          <w:sz w:val="20"/>
          <w:szCs w:val="20"/>
          <w:color w:val="auto"/>
        </w:rPr>
      </w:pPr>
    </w:p>
    <w:tbl>
      <w:tblPr>
        <w:tblLayout w:type="fixed"/>
        <w:tblInd w:w="792"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280" w:type="dxa"/>
            <w:vAlign w:val="bottom"/>
            <w:gridSpan w:val="5"/>
          </w:tcPr>
          <w:p>
            <w:pPr>
              <w:ind w:left="24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6"/>
                <w:szCs w:val="16"/>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Twelve Months</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rPr>
              <w:t>Ended June 30,</w:t>
            </w: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412"/>
        </w:trPr>
        <w:tc>
          <w:tcPr>
            <w:tcW w:w="3240" w:type="dxa"/>
            <w:vAlign w:val="bottom"/>
          </w:tcPr>
          <w:p>
            <w:pPr>
              <w:spacing w:after="0"/>
              <w:rPr>
                <w:sz w:val="20"/>
                <w:szCs w:val="20"/>
                <w:color w:val="auto"/>
              </w:rPr>
            </w:pPr>
            <w:r>
              <w:rPr>
                <w:rFonts w:ascii="Arial" w:cs="Arial" w:eastAsia="Arial" w:hAnsi="Arial"/>
                <w:sz w:val="16"/>
                <w:szCs w:val="16"/>
                <w:color w:val="auto"/>
              </w:rPr>
              <w:t>Net income (loss) attributable to Civeo</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(3,314)</w:t>
            </w:r>
          </w:p>
        </w:tc>
        <w:tc>
          <w:tcPr>
            <w:tcW w:w="160" w:type="dxa"/>
            <w:vAlign w:val="bottom"/>
          </w:tcPr>
          <w:p>
            <w:pPr>
              <w:spacing w:after="0"/>
              <w:rPr>
                <w:sz w:val="24"/>
                <w:szCs w:val="24"/>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8,227</w:t>
            </w:r>
          </w:p>
        </w:tc>
        <w:tc>
          <w:tcPr>
            <w:tcW w:w="160" w:type="dxa"/>
            <w:vAlign w:val="bottom"/>
          </w:tcPr>
          <w:p>
            <w:pPr>
              <w:spacing w:after="0"/>
              <w:rPr>
                <w:sz w:val="24"/>
                <w:szCs w:val="24"/>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(13,156)</w:t>
            </w:r>
          </w:p>
        </w:tc>
        <w:tc>
          <w:tcPr>
            <w:tcW w:w="160" w:type="dxa"/>
            <w:vAlign w:val="bottom"/>
          </w:tcPr>
          <w:p>
            <w:pPr>
              <w:spacing w:after="0"/>
              <w:rPr>
                <w:sz w:val="24"/>
                <w:szCs w:val="2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3,094</w:t>
            </w:r>
          </w:p>
        </w:tc>
        <w:tc>
          <w:tcPr>
            <w:tcW w:w="16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(33,317)</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20"/>
                <w:szCs w:val="20"/>
                <w:color w:val="auto"/>
              </w:rPr>
            </w:pPr>
            <w:r>
              <w:rPr>
                <w:rFonts w:ascii="Arial" w:cs="Arial" w:eastAsia="Arial" w:hAnsi="Arial"/>
                <w:sz w:val="16"/>
                <w:szCs w:val="16"/>
                <w:color w:val="auto"/>
              </w:rPr>
              <w:t>Corporation</w:t>
            </w: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240" w:type="dxa"/>
            <w:vAlign w:val="bottom"/>
          </w:tcPr>
          <w:p>
            <w:pPr>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3,606</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3,786</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6,694</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5,337</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13,849</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17,827</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17,059</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34,080</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33,829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68,289</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71"/>
        </w:trPr>
        <w:tc>
          <w:tcPr>
            <w:tcW w:w="324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w:t>
            </w:r>
          </w:p>
        </w:tc>
        <w:tc>
          <w:tcPr>
            <w:tcW w:w="1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2,203</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4,318</w:t>
            </w:r>
          </w:p>
        </w:tc>
        <w:tc>
          <w:tcPr>
            <w:tcW w:w="1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4,563</w:t>
            </w: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7,728</w:t>
            </w:r>
          </w:p>
        </w:tc>
        <w:tc>
          <w:tcPr>
            <w:tcW w:w="0" w:type="dxa"/>
            <w:vAlign w:val="bottom"/>
          </w:tcPr>
          <w:p>
            <w:pPr>
              <w:spacing w:after="0"/>
              <w:rPr>
                <w:sz w:val="1"/>
                <w:szCs w:val="1"/>
                <w:color w:val="auto"/>
              </w:rPr>
            </w:pPr>
          </w:p>
        </w:tc>
      </w:tr>
      <w:tr>
        <w:trPr>
          <w:trHeight w:val="249"/>
        </w:trPr>
        <w:tc>
          <w:tcPr>
            <w:tcW w:w="3240" w:type="dxa"/>
            <w:vAlign w:val="bottom"/>
          </w:tcPr>
          <w:p>
            <w:pPr>
              <w:spacing w:after="0"/>
              <w:rPr>
                <w:sz w:val="20"/>
                <w:szCs w:val="20"/>
                <w:color w:val="auto"/>
              </w:rPr>
            </w:pPr>
            <w:r>
              <w:rPr>
                <w:rFonts w:ascii="Arial" w:cs="Arial" w:eastAsia="Arial" w:hAnsi="Arial"/>
                <w:sz w:val="16"/>
                <w:szCs w:val="16"/>
                <w:color w:val="auto"/>
              </w:rPr>
              <w:t>EBITDA</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20,743</w:t>
            </w:r>
          </w:p>
        </w:tc>
        <w:tc>
          <w:tcPr>
            <w:tcW w:w="16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31,221</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31,835</w:t>
            </w:r>
          </w:p>
        </w:tc>
        <w:tc>
          <w:tcPr>
            <w:tcW w:w="16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46,726</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56,358</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0"/>
                <w:szCs w:val="20"/>
                <w:color w:val="auto"/>
              </w:rPr>
            </w:pPr>
            <w:r>
              <w:rPr>
                <w:rFonts w:ascii="Arial" w:cs="Arial" w:eastAsia="Arial" w:hAnsi="Arial"/>
                <w:sz w:val="16"/>
                <w:szCs w:val="16"/>
                <w:color w:val="auto"/>
              </w:rPr>
              <w:t>Adjustments to EBITDA</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20"/>
              <w:spacing w:after="0"/>
              <w:rPr>
                <w:sz w:val="20"/>
                <w:szCs w:val="20"/>
                <w:color w:val="auto"/>
              </w:rPr>
            </w:pPr>
            <w:r>
              <w:rPr>
                <w:rFonts w:ascii="Arial" w:cs="Arial" w:eastAsia="Arial" w:hAnsi="Arial"/>
                <w:sz w:val="16"/>
                <w:szCs w:val="16"/>
                <w:color w:val="auto"/>
              </w:rPr>
              <w:t>Impairment of long-lived assets (a)</w:t>
            </w:r>
          </w:p>
        </w:tc>
        <w:tc>
          <w:tcPr>
            <w:tcW w:w="24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7,823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3,758</w:t>
            </w:r>
          </w:p>
        </w:tc>
        <w:tc>
          <w:tcPr>
            <w:tcW w:w="0" w:type="dxa"/>
            <w:vAlign w:val="bottom"/>
          </w:tcPr>
          <w:p>
            <w:pPr>
              <w:spacing w:after="0"/>
              <w:rPr>
                <w:sz w:val="1"/>
                <w:szCs w:val="1"/>
                <w:color w:val="auto"/>
              </w:rPr>
            </w:pPr>
          </w:p>
        </w:tc>
      </w:tr>
      <w:tr>
        <w:trPr>
          <w:trHeight w:val="205"/>
        </w:trPr>
        <w:tc>
          <w:tcPr>
            <w:tcW w:w="3240" w:type="dxa"/>
            <w:vAlign w:val="bottom"/>
          </w:tcPr>
          <w:p>
            <w:pPr>
              <w:ind w:left="220"/>
              <w:spacing w:after="0"/>
              <w:rPr>
                <w:sz w:val="20"/>
                <w:szCs w:val="20"/>
                <w:color w:val="auto"/>
              </w:rPr>
            </w:pPr>
            <w:r>
              <w:rPr>
                <w:rFonts w:ascii="Arial" w:cs="Arial" w:eastAsia="Arial" w:hAnsi="Arial"/>
                <w:sz w:val="16"/>
                <w:szCs w:val="16"/>
                <w:color w:val="auto"/>
              </w:rPr>
              <w:t>Net (gain) loss on disposition of</w:t>
            </w:r>
          </w:p>
        </w:tc>
        <w:tc>
          <w:tcPr>
            <w:tcW w:w="240" w:type="dxa"/>
            <w:vAlign w:val="bottom"/>
          </w:tcPr>
          <w:p>
            <w:pPr>
              <w:spacing w:after="0"/>
              <w:rPr>
                <w:sz w:val="17"/>
                <w:szCs w:val="17"/>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(5,988)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5"/>
        </w:trPr>
        <w:tc>
          <w:tcPr>
            <w:tcW w:w="3240" w:type="dxa"/>
            <w:vAlign w:val="bottom"/>
          </w:tcPr>
          <w:p>
            <w:pPr>
              <w:ind w:left="220"/>
              <w:spacing w:after="0"/>
              <w:rPr>
                <w:sz w:val="20"/>
                <w:szCs w:val="20"/>
                <w:color w:val="auto"/>
              </w:rPr>
            </w:pPr>
            <w:r>
              <w:rPr>
                <w:rFonts w:ascii="Arial" w:cs="Arial" w:eastAsia="Arial" w:hAnsi="Arial"/>
                <w:sz w:val="16"/>
                <w:szCs w:val="16"/>
                <w:color w:val="auto"/>
              </w:rPr>
              <w:t>McClelland Lake Lodge assets (b)</w:t>
            </w: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240" w:type="dxa"/>
            <w:vAlign w:val="bottom"/>
          </w:tcPr>
          <w:p>
            <w:pPr>
              <w:ind w:left="220"/>
              <w:spacing w:after="0"/>
              <w:rPr>
                <w:sz w:val="20"/>
                <w:szCs w:val="20"/>
                <w:color w:val="auto"/>
              </w:rPr>
            </w:pPr>
            <w:r>
              <w:rPr>
                <w:rFonts w:ascii="Arial" w:cs="Arial" w:eastAsia="Arial" w:hAnsi="Arial"/>
                <w:sz w:val="16"/>
                <w:szCs w:val="16"/>
                <w:color w:val="auto"/>
              </w:rPr>
              <w:t>Cost saving initiatives (c)</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474</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1,438</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70"/>
        </w:trPr>
        <w:tc>
          <w:tcPr>
            <w:tcW w:w="3240" w:type="dxa"/>
            <w:vAlign w:val="bottom"/>
          </w:tcPr>
          <w:p>
            <w:pPr>
              <w:ind w:left="180"/>
              <w:spacing w:after="0"/>
              <w:rPr>
                <w:sz w:val="20"/>
                <w:szCs w:val="20"/>
                <w:color w:val="auto"/>
              </w:rPr>
            </w:pPr>
            <w:r>
              <w:rPr>
                <w:rFonts w:ascii="Arial" w:cs="Arial" w:eastAsia="Arial" w:hAnsi="Arial"/>
                <w:sz w:val="16"/>
                <w:szCs w:val="16"/>
                <w:color w:val="auto"/>
              </w:rPr>
              <w:t>Share-based compensation (d)</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601</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609</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1,200</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1,158</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2,893</w:t>
            </w:r>
          </w:p>
        </w:tc>
        <w:tc>
          <w:tcPr>
            <w:tcW w:w="0" w:type="dxa"/>
            <w:vAlign w:val="bottom"/>
          </w:tcPr>
          <w:p>
            <w:pPr>
              <w:spacing w:after="0"/>
              <w:rPr>
                <w:sz w:val="1"/>
                <w:szCs w:val="1"/>
                <w:color w:val="auto"/>
              </w:rPr>
            </w:pPr>
          </w:p>
        </w:tc>
      </w:tr>
      <w:tr>
        <w:trPr>
          <w:trHeight w:val="271"/>
        </w:trPr>
        <w:tc>
          <w:tcPr>
            <w:tcW w:w="3240" w:type="dxa"/>
            <w:vAlign w:val="bottom"/>
          </w:tcPr>
          <w:p>
            <w:pPr>
              <w:ind w:left="220"/>
              <w:spacing w:after="0"/>
              <w:rPr>
                <w:sz w:val="20"/>
                <w:szCs w:val="20"/>
                <w:color w:val="auto"/>
              </w:rPr>
            </w:pPr>
            <w:r>
              <w:rPr>
                <w:rFonts w:ascii="Arial" w:cs="Arial" w:eastAsia="Arial" w:hAnsi="Arial"/>
                <w:sz w:val="16"/>
                <w:szCs w:val="16"/>
                <w:color w:val="auto"/>
              </w:rPr>
              <w:t>Shareholder activist costs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3,190</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3,190</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3,190</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25,008</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31,917</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37,663</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49,719</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67,881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652" w:hanging="328"/>
        <w:spacing w:after="0" w:line="265" w:lineRule="auto"/>
        <w:tabs>
          <w:tab w:leader="none" w:pos="647"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asset impairments in the first and fourth quarters of 2024. In the fourth quarter of 2024, we recorded a pre-tax loss related to the impairment of long-lived assets in our Canadian segment of $3.2 million and a pre-tax loss related to the impairment of long-lived assets in the U.S. of $0.5 million. In the first quarter of 2024, we recorded a pre-tax loss related to the impairment of long-lived assets in our Australian segment of $5.7 million and a pre-tax loss related to the impairment of long-lived assets in the U.S. of $2.1 million.</w:t>
      </w:r>
    </w:p>
    <w:p>
      <w:pPr>
        <w:sectPr>
          <w:pgSz w:w="11900" w:h="16838" w:orient="portrait"/>
          <w:cols w:equalWidth="0" w:num="1">
            <w:col w:w="11192"/>
          </w:cols>
          <w:pgMar w:left="328" w:top="895" w:right="379" w:bottom="1440" w:gutter="0" w:footer="0" w:header="0"/>
        </w:sectPr>
      </w:pPr>
    </w:p>
    <w:bookmarkStart w:id="14" w:name="page15"/>
    <w:bookmarkEnd w:id="14"/>
    <w:p>
      <w:pPr>
        <w:ind w:left="652" w:hanging="328"/>
        <w:spacing w:after="0" w:line="265" w:lineRule="auto"/>
        <w:tabs>
          <w:tab w:leader="none" w:pos="647" w:val="left"/>
        </w:tabs>
        <w:numPr>
          <w:ilvl w:val="1"/>
          <w:numId w:val="7"/>
        </w:numPr>
        <w:rPr>
          <w:rFonts w:ascii="Arial" w:cs="Arial" w:eastAsia="Arial" w:hAnsi="Arial"/>
          <w:sz w:val="16"/>
          <w:szCs w:val="16"/>
          <w:color w:val="auto"/>
        </w:rPr>
      </w:pPr>
      <w:r>
        <w:rPr>
          <w:rFonts w:ascii="Arial" w:cs="Arial" w:eastAsia="Arial" w:hAnsi="Arial"/>
          <w:sz w:val="16"/>
          <w:szCs w:val="16"/>
          <w:color w:val="auto"/>
        </w:rPr>
        <w:t>Relates to proceeds received and expenses incurred associated with the dismantlement and sale of the McClelland Lake Lodge. In the fourth, third and second quarters of 2024, we recorded expenses associated with the sale of our McClelland Lake Lodge of $0.1 million, $0.2 million and $0.1 million, respectively, which are included in (Gain) loss on sale of McClelland Lake Lodge assets, net on the unaudited statements of operations. In the first quarter of 2024, we recorded gains associated with the sale of the McClelland Lake Lodge of $6.1 million, which are included in (Gain) loss on sale of McClelland Lake Lodge assets, net on the unaudited statements of operations.</w:t>
      </w:r>
    </w:p>
    <w:p>
      <w:pPr>
        <w:spacing w:after="0" w:line="199" w:lineRule="exact"/>
        <w:rPr>
          <w:rFonts w:ascii="Arial" w:cs="Arial" w:eastAsia="Arial" w:hAnsi="Arial"/>
          <w:sz w:val="16"/>
          <w:szCs w:val="16"/>
          <w:color w:val="auto"/>
        </w:rPr>
      </w:pPr>
    </w:p>
    <w:p>
      <w:pPr>
        <w:ind w:left="652" w:hanging="328"/>
        <w:spacing w:after="0"/>
        <w:tabs>
          <w:tab w:leader="none" w:pos="652" w:val="left"/>
        </w:tabs>
        <w:numPr>
          <w:ilvl w:val="1"/>
          <w:numId w:val="7"/>
        </w:numPr>
        <w:rPr>
          <w:rFonts w:ascii="Arial" w:cs="Arial" w:eastAsia="Arial" w:hAnsi="Arial"/>
          <w:sz w:val="16"/>
          <w:szCs w:val="16"/>
          <w:color w:val="auto"/>
        </w:rPr>
      </w:pPr>
      <w:r>
        <w:rPr>
          <w:rFonts w:ascii="Arial" w:cs="Arial" w:eastAsia="Arial" w:hAnsi="Arial"/>
          <w:sz w:val="16"/>
          <w:szCs w:val="16"/>
          <w:color w:val="auto"/>
        </w:rPr>
        <w:t>Represents implementation costs (primarily severance costs and real estate expense rationalization) incurred as part of cost savings initiatives.</w:t>
      </w:r>
    </w:p>
    <w:p>
      <w:pPr>
        <w:spacing w:after="0" w:line="248" w:lineRule="exact"/>
        <w:rPr>
          <w:rFonts w:ascii="Arial" w:cs="Arial" w:eastAsia="Arial" w:hAnsi="Arial"/>
          <w:sz w:val="16"/>
          <w:szCs w:val="16"/>
          <w:color w:val="auto"/>
        </w:rPr>
      </w:pPr>
    </w:p>
    <w:p>
      <w:pPr>
        <w:ind w:left="652" w:right="240" w:hanging="328"/>
        <w:spacing w:after="0" w:line="304" w:lineRule="auto"/>
        <w:tabs>
          <w:tab w:leader="none" w:pos="647" w:val="left"/>
        </w:tabs>
        <w:numPr>
          <w:ilvl w:val="1"/>
          <w:numId w:val="7"/>
        </w:numPr>
        <w:rPr>
          <w:rFonts w:ascii="Arial" w:cs="Arial" w:eastAsia="Arial" w:hAnsi="Arial"/>
          <w:sz w:val="16"/>
          <w:szCs w:val="16"/>
          <w:color w:val="auto"/>
        </w:rPr>
      </w:pPr>
      <w:r>
        <w:rPr>
          <w:rFonts w:ascii="Arial" w:cs="Arial" w:eastAsia="Arial" w:hAnsi="Arial"/>
          <w:sz w:val="16"/>
          <w:szCs w:val="16"/>
          <w:color w:val="auto"/>
        </w:rPr>
        <w:t>Represents share-based compensation expense associated with performance share awards, restricted share awards, restricted share units and deferred share awards.</w:t>
      </w:r>
    </w:p>
    <w:p>
      <w:pPr>
        <w:spacing w:after="0" w:line="168" w:lineRule="exact"/>
        <w:rPr>
          <w:rFonts w:ascii="Arial" w:cs="Arial" w:eastAsia="Arial" w:hAnsi="Arial"/>
          <w:sz w:val="16"/>
          <w:szCs w:val="16"/>
          <w:color w:val="auto"/>
        </w:rPr>
      </w:pPr>
    </w:p>
    <w:p>
      <w:pPr>
        <w:ind w:left="332" w:right="1940" w:hanging="332"/>
        <w:spacing w:after="0" w:line="258" w:lineRule="auto"/>
        <w:tabs>
          <w:tab w:leader="none" w:pos="32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pacing w:after="0" w:line="217" w:lineRule="exact"/>
        <w:rPr>
          <w:rFonts w:ascii="Arial" w:cs="Arial" w:eastAsia="Arial" w:hAnsi="Arial"/>
          <w:sz w:val="16"/>
          <w:szCs w:val="16"/>
          <w:color w:val="auto"/>
        </w:rPr>
      </w:pPr>
    </w:p>
    <w:p>
      <w:pPr>
        <w:ind w:left="332" w:right="26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net debt, bank-adjusted EBITDA and net leverage ratio to the most directly comparable measures of financial performance calculated under GAAP (in thousands) (unaudited):</w:t>
      </w:r>
    </w:p>
    <w:p>
      <w:pPr>
        <w:spacing w:after="0" w:line="223" w:lineRule="exact"/>
        <w:rPr>
          <w:sz w:val="20"/>
          <w:szCs w:val="20"/>
          <w:color w:val="auto"/>
        </w:rPr>
      </w:pPr>
    </w:p>
    <w:tbl>
      <w:tblPr>
        <w:tblLayout w:type="fixed"/>
        <w:tblInd w:w="352"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auto"/>
              </w:rPr>
              <w:t>As of June 30,</w:t>
            </w:r>
          </w:p>
        </w:tc>
      </w:tr>
      <w:tr>
        <w:trPr>
          <w:trHeight w:val="217"/>
        </w:trPr>
        <w:tc>
          <w:tcPr>
            <w:tcW w:w="6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r>
      <w:tr>
        <w:trPr>
          <w:trHeight w:val="464"/>
        </w:trPr>
        <w:tc>
          <w:tcPr>
            <w:tcW w:w="6260" w:type="dxa"/>
            <w:vAlign w:val="bottom"/>
          </w:tcPr>
          <w:p>
            <w:pPr>
              <w:spacing w:after="0"/>
              <w:rPr>
                <w:sz w:val="20"/>
                <w:szCs w:val="20"/>
                <w:color w:val="auto"/>
              </w:rPr>
            </w:pPr>
            <w:r>
              <w:rPr>
                <w:rFonts w:ascii="Arial" w:cs="Arial" w:eastAsia="Arial" w:hAnsi="Arial"/>
                <w:sz w:val="16"/>
                <w:szCs w:val="16"/>
                <w:color w:val="auto"/>
              </w:rPr>
              <w:t>Total debt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168,672</w:t>
            </w:r>
          </w:p>
        </w:tc>
      </w:tr>
      <w:tr>
        <w:trPr>
          <w:trHeight w:val="217"/>
        </w:trPr>
        <w:tc>
          <w:tcPr>
            <w:tcW w:w="6260" w:type="dxa"/>
            <w:vAlign w:val="bottom"/>
          </w:tcPr>
          <w:p>
            <w:pPr>
              <w:spacing w:after="0"/>
              <w:rPr>
                <w:sz w:val="20"/>
                <w:szCs w:val="20"/>
                <w:color w:val="auto"/>
              </w:rPr>
            </w:pPr>
            <w:r>
              <w:rPr>
                <w:rFonts w:ascii="Arial" w:cs="Arial" w:eastAsia="Arial" w:hAnsi="Arial"/>
                <w:sz w:val="16"/>
                <w:szCs w:val="16"/>
                <w:color w:val="auto"/>
              </w:rPr>
              <w:t>Less: Cash and cash equivalents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14,638</w:t>
            </w:r>
          </w:p>
        </w:tc>
      </w:tr>
      <w:tr>
        <w:trPr>
          <w:trHeight w:val="210"/>
        </w:trPr>
        <w:tc>
          <w:tcPr>
            <w:tcW w:w="6260" w:type="dxa"/>
            <w:vAlign w:val="bottom"/>
          </w:tcPr>
          <w:p>
            <w:pPr>
              <w:ind w:left="100"/>
              <w:spacing w:after="0"/>
              <w:rPr>
                <w:sz w:val="20"/>
                <w:szCs w:val="20"/>
                <w:color w:val="auto"/>
              </w:rPr>
            </w:pPr>
            <w:r>
              <w:rPr>
                <w:rFonts w:ascii="Arial" w:cs="Arial" w:eastAsia="Arial" w:hAnsi="Arial"/>
                <w:sz w:val="16"/>
                <w:szCs w:val="16"/>
                <w:color w:val="auto"/>
              </w:rPr>
              <w:t>Net debt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154,034</w:t>
            </w: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51"/>
        </w:trPr>
        <w:tc>
          <w:tcPr>
            <w:tcW w:w="6260" w:type="dxa"/>
            <w:vAlign w:val="bottom"/>
          </w:tcPr>
          <w:p>
            <w:pPr>
              <w:spacing w:after="0"/>
              <w:rPr>
                <w:sz w:val="20"/>
                <w:szCs w:val="20"/>
                <w:color w:val="auto"/>
              </w:rPr>
            </w:pPr>
            <w:r>
              <w:rPr>
                <w:rFonts w:ascii="Arial" w:cs="Arial" w:eastAsia="Arial" w:hAnsi="Arial"/>
                <w:sz w:val="16"/>
                <w:szCs w:val="16"/>
                <w:color w:val="auto"/>
              </w:rPr>
              <w:t>Adjusted EBITDA for the twelve months ended June 30, 2025 (a)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67,881</w:t>
            </w:r>
          </w:p>
        </w:tc>
      </w:tr>
      <w:tr>
        <w:trPr>
          <w:trHeight w:val="216"/>
        </w:trPr>
        <w:tc>
          <w:tcPr>
            <w:tcW w:w="6260" w:type="dxa"/>
            <w:vAlign w:val="bottom"/>
          </w:tcPr>
          <w:p>
            <w:pPr>
              <w:spacing w:after="0"/>
              <w:rPr>
                <w:sz w:val="20"/>
                <w:szCs w:val="20"/>
                <w:color w:val="auto"/>
              </w:rPr>
            </w:pPr>
            <w:r>
              <w:rPr>
                <w:rFonts w:ascii="Arial" w:cs="Arial" w:eastAsia="Arial" w:hAnsi="Arial"/>
                <w:sz w:val="16"/>
                <w:szCs w:val="16"/>
                <w:color w:val="auto"/>
              </w:rPr>
              <w:t>Adjustments to Adjusted EBITDA</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Acquisition pro-forma EBITDA</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12,460</w:t>
            </w: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Cost saving initiatives (b)</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(1,438)</w:t>
            </w:r>
          </w:p>
        </w:tc>
      </w:tr>
      <w:tr>
        <w:trPr>
          <w:trHeight w:val="217"/>
        </w:trPr>
        <w:tc>
          <w:tcPr>
            <w:tcW w:w="6260" w:type="dxa"/>
            <w:vAlign w:val="bottom"/>
          </w:tcPr>
          <w:p>
            <w:pPr>
              <w:ind w:left="100"/>
              <w:spacing w:after="0"/>
              <w:rPr>
                <w:sz w:val="20"/>
                <w:szCs w:val="20"/>
                <w:color w:val="auto"/>
              </w:rPr>
            </w:pPr>
            <w:r>
              <w:rPr>
                <w:rFonts w:ascii="Arial" w:cs="Arial" w:eastAsia="Arial" w:hAnsi="Arial"/>
                <w:sz w:val="16"/>
                <w:szCs w:val="16"/>
                <w:color w:val="auto"/>
              </w:rPr>
              <w:t>Shareholder activist costs (b)</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(3,190)</w:t>
            </w:r>
          </w:p>
        </w:tc>
      </w:tr>
      <w:tr>
        <w:trPr>
          <w:trHeight w:val="211"/>
        </w:trPr>
        <w:tc>
          <w:tcPr>
            <w:tcW w:w="6260" w:type="dxa"/>
            <w:vAlign w:val="bottom"/>
          </w:tcPr>
          <w:p>
            <w:pPr>
              <w:ind w:left="200"/>
              <w:spacing w:after="0"/>
              <w:rPr>
                <w:sz w:val="20"/>
                <w:szCs w:val="20"/>
                <w:color w:val="auto"/>
              </w:rPr>
            </w:pPr>
            <w:r>
              <w:rPr>
                <w:rFonts w:ascii="Arial" w:cs="Arial" w:eastAsia="Arial" w:hAnsi="Arial"/>
                <w:sz w:val="16"/>
                <w:szCs w:val="16"/>
                <w:color w:val="auto"/>
              </w:rPr>
              <w:t>Bank-adjusted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75,904</w:t>
            </w: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50"/>
        </w:trPr>
        <w:tc>
          <w:tcPr>
            <w:tcW w:w="6260" w:type="dxa"/>
            <w:vAlign w:val="bottom"/>
          </w:tcPr>
          <w:p>
            <w:pPr>
              <w:ind w:left="100"/>
              <w:spacing w:after="0"/>
              <w:rPr>
                <w:sz w:val="20"/>
                <w:szCs w:val="20"/>
                <w:color w:val="auto"/>
              </w:rPr>
            </w:pPr>
            <w:r>
              <w:rPr>
                <w:rFonts w:ascii="Arial" w:cs="Arial" w:eastAsia="Arial" w:hAnsi="Arial"/>
                <w:sz w:val="16"/>
                <w:szCs w:val="16"/>
                <w:color w:val="auto"/>
              </w:rPr>
              <w:t>Net leverage ratio (c)</w:t>
            </w: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2.0x</w:t>
            </w:r>
          </w:p>
        </w:tc>
      </w:tr>
    </w:tbl>
    <w:p>
      <w:pPr>
        <w:spacing w:after="0" w:line="200" w:lineRule="exact"/>
        <w:rPr>
          <w:sz w:val="20"/>
          <w:szCs w:val="20"/>
          <w:color w:val="auto"/>
        </w:rPr>
      </w:pPr>
    </w:p>
    <w:p>
      <w:pPr>
        <w:spacing w:after="0" w:line="220" w:lineRule="exact"/>
        <w:rPr>
          <w:sz w:val="20"/>
          <w:szCs w:val="20"/>
          <w:color w:val="auto"/>
        </w:rPr>
      </w:pPr>
    </w:p>
    <w:p>
      <w:pPr>
        <w:ind w:left="572" w:hanging="230"/>
        <w:spacing w:after="0"/>
        <w:tabs>
          <w:tab w:leader="none" w:pos="572"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footnote 1 above for reconciliation of Adjusted EBITDA to net loss attributable to Civeo Corporation</w:t>
      </w:r>
    </w:p>
    <w:p>
      <w:pPr>
        <w:spacing w:after="0" w:line="32" w:lineRule="exact"/>
        <w:rPr>
          <w:rFonts w:ascii="Arial" w:cs="Arial" w:eastAsia="Arial" w:hAnsi="Arial"/>
          <w:sz w:val="16"/>
          <w:szCs w:val="16"/>
          <w:color w:val="auto"/>
        </w:rPr>
      </w:pPr>
    </w:p>
    <w:p>
      <w:pPr>
        <w:ind w:left="592" w:hanging="250"/>
        <w:spacing w:after="0"/>
        <w:tabs>
          <w:tab w:leader="none" w:pos="592"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Adjustments to EBITDA not allowed to be adjusted by our credit facility</w:t>
      </w:r>
    </w:p>
    <w:p>
      <w:pPr>
        <w:spacing w:after="0" w:line="32" w:lineRule="exact"/>
        <w:rPr>
          <w:rFonts w:ascii="Arial" w:cs="Arial" w:eastAsia="Arial" w:hAnsi="Arial"/>
          <w:sz w:val="16"/>
          <w:szCs w:val="16"/>
          <w:color w:val="auto"/>
        </w:rPr>
      </w:pPr>
    </w:p>
    <w:p>
      <w:pPr>
        <w:ind w:left="572" w:hanging="230"/>
        <w:spacing w:after="0"/>
        <w:tabs>
          <w:tab w:leader="none" w:pos="572"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Calculated as net debt divided by bank-adjusted EBITDA</w:t>
      </w:r>
    </w:p>
    <w:p>
      <w:pPr>
        <w:sectPr>
          <w:pgSz w:w="11900" w:h="16838" w:orient="portrait"/>
          <w:cols w:equalWidth="0" w:num="1">
            <w:col w:w="11172"/>
          </w:cols>
          <w:pgMar w:left="328" w:top="1138" w:right="399" w:bottom="1440" w:gutter="0" w:footer="0" w:header="0"/>
        </w:sectPr>
      </w:pPr>
    </w:p>
    <w:bookmarkStart w:id="15" w:name="page16"/>
    <w:bookmarkEnd w:id="15"/>
    <w:p>
      <w:pPr>
        <w:jc w:val="center"/>
        <w:ind w:right="-23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231"/>
        <w:spacing w:after="0"/>
        <w:rPr>
          <w:sz w:val="20"/>
          <w:szCs w:val="20"/>
          <w:color w:val="auto"/>
        </w:rPr>
      </w:pPr>
      <w:r>
        <w:rPr>
          <w:rFonts w:ascii="Arial" w:cs="Arial" w:eastAsia="Arial" w:hAnsi="Arial"/>
          <w:sz w:val="16"/>
          <w:szCs w:val="16"/>
          <w:b w:val="1"/>
          <w:bCs w:val="1"/>
          <w:color w:val="auto"/>
        </w:rPr>
        <w:t>NON-GAAP RECONCILIATIONS - GUIDANCE</w:t>
      </w:r>
    </w:p>
    <w:p>
      <w:pPr>
        <w:spacing w:after="0" w:line="19"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286" w:lineRule="exact"/>
        <w:rPr>
          <w:sz w:val="20"/>
          <w:szCs w:val="20"/>
          <w:color w:val="auto"/>
        </w:rPr>
      </w:pPr>
    </w:p>
    <w:tbl>
      <w:tblPr>
        <w:tblLayout w:type="fixed"/>
        <w:tblInd w:w="2072" w:type="dxa"/>
        <w:tblCellMar>
          <w:top w:w="0" w:type="dxa"/>
          <w:left w:w="0" w:type="dxa"/>
          <w:bottom w:w="0" w:type="dxa"/>
          <w:right w:w="0" w:type="dxa"/>
        </w:tblCellMar>
      </w:tblPr>
      <w:tr>
        <w:trPr>
          <w:trHeight w:val="223"/>
        </w:trPr>
        <w:tc>
          <w:tcPr>
            <w:tcW w:w="3260" w:type="dxa"/>
            <w:vAlign w:val="bottom"/>
          </w:tcPr>
          <w:p>
            <w:pPr>
              <w:spacing w:after="0"/>
              <w:rPr>
                <w:sz w:val="19"/>
                <w:szCs w:val="19"/>
                <w:color w:val="auto"/>
              </w:rPr>
            </w:pPr>
          </w:p>
        </w:tc>
        <w:tc>
          <w:tcPr>
            <w:tcW w:w="378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Ending December 31, 2025</w:t>
            </w:r>
          </w:p>
        </w:tc>
      </w:tr>
      <w:tr>
        <w:trPr>
          <w:trHeight w:val="302"/>
        </w:trPr>
        <w:tc>
          <w:tcPr>
            <w:tcW w:w="3260" w:type="dxa"/>
            <w:vAlign w:val="bottom"/>
          </w:tcPr>
          <w:p>
            <w:pPr>
              <w:spacing w:after="0"/>
              <w:rPr>
                <w:sz w:val="20"/>
                <w:szCs w:val="20"/>
                <w:color w:val="auto"/>
              </w:rPr>
            </w:pPr>
            <w:r>
              <w:rPr>
                <w:rFonts w:ascii="Arial" w:cs="Arial" w:eastAsia="Arial" w:hAnsi="Arial"/>
                <w:sz w:val="16"/>
                <w:szCs w:val="16"/>
                <w:color w:val="auto"/>
              </w:rPr>
              <w:t>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78.3</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88.3</w:t>
            </w: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86.0</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96.0</w:t>
            </w:r>
          </w:p>
        </w:tc>
      </w:tr>
    </w:tbl>
    <w:p>
      <w:pPr>
        <w:spacing w:after="0" w:line="298" w:lineRule="exact"/>
        <w:rPr>
          <w:sz w:val="20"/>
          <w:szCs w:val="20"/>
          <w:color w:val="auto"/>
        </w:rPr>
      </w:pPr>
    </w:p>
    <w:p>
      <w:pPr>
        <w:ind w:left="332" w:hanging="332"/>
        <w:spacing w:after="0" w:line="286" w:lineRule="auto"/>
        <w:tabs>
          <w:tab w:leader="none" w:pos="32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and Adjusted EBITDA to estimated net loss, which is the most directly comparable measure of financial performance calculated under generally accepted accounting principles (in millions) (unaudited):</w:t>
      </w:r>
    </w:p>
    <w:p>
      <w:pPr>
        <w:spacing w:after="0" w:line="237" w:lineRule="exact"/>
        <w:rPr>
          <w:sz w:val="20"/>
          <w:szCs w:val="20"/>
          <w:color w:val="auto"/>
        </w:rPr>
      </w:pPr>
    </w:p>
    <w:tbl>
      <w:tblPr>
        <w:tblLayout w:type="fixed"/>
        <w:tblInd w:w="1872"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Ending December 31, 2025</w:t>
            </w:r>
          </w:p>
        </w:tc>
      </w:tr>
      <w:tr>
        <w:trPr>
          <w:trHeight w:val="223"/>
        </w:trPr>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(estimated)</w:t>
            </w:r>
          </w:p>
        </w:tc>
        <w:tc>
          <w:tcPr>
            <w:tcW w:w="700" w:type="dxa"/>
            <w:vAlign w:val="bottom"/>
          </w:tcPr>
          <w:p>
            <w:pPr>
              <w:spacing w:after="0"/>
              <w:rPr>
                <w:sz w:val="19"/>
                <w:szCs w:val="19"/>
                <w:color w:val="auto"/>
              </w:rPr>
            </w:pPr>
          </w:p>
        </w:tc>
      </w:tr>
      <w:tr>
        <w:trPr>
          <w:trHeight w:val="316"/>
        </w:trPr>
        <w:tc>
          <w:tcPr>
            <w:tcW w:w="48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24"/>
                <w:szCs w:val="24"/>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10"/>
        </w:trPr>
        <w:tc>
          <w:tcPr>
            <w:tcW w:w="4820" w:type="dxa"/>
            <w:vAlign w:val="bottom"/>
          </w:tcPr>
          <w:p>
            <w:pPr>
              <w:ind w:left="120"/>
              <w:spacing w:after="0"/>
              <w:rPr>
                <w:sz w:val="20"/>
                <w:szCs w:val="20"/>
                <w:color w:val="auto"/>
              </w:rPr>
            </w:pPr>
            <w:r>
              <w:rPr>
                <w:rFonts w:ascii="Arial" w:cs="Arial" w:eastAsia="Arial" w:hAnsi="Arial"/>
                <w:sz w:val="16"/>
                <w:szCs w:val="16"/>
                <w:color w:val="auto"/>
              </w:rPr>
              <w:t>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w:t>
            </w:r>
          </w:p>
        </w:tc>
      </w:tr>
      <w:tr>
        <w:trPr>
          <w:trHeight w:val="303"/>
        </w:trPr>
        <w:tc>
          <w:tcPr>
            <w:tcW w:w="4820" w:type="dxa"/>
            <w:vAlign w:val="bottom"/>
          </w:tcPr>
          <w:p>
            <w:pPr>
              <w:spacing w:after="0"/>
              <w:rPr>
                <w:sz w:val="20"/>
                <w:szCs w:val="20"/>
                <w:color w:val="auto"/>
              </w:rPr>
            </w:pPr>
            <w:r>
              <w:rPr>
                <w:rFonts w:ascii="Arial" w:cs="Arial" w:eastAsia="Arial" w:hAnsi="Arial"/>
                <w:sz w:val="16"/>
                <w:szCs w:val="16"/>
                <w:color w:val="auto"/>
              </w:rPr>
              <w:t>Adjustments to EBITDA</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6"/>
                <w:szCs w:val="16"/>
                <w:color w:val="auto"/>
              </w:rPr>
              <w:t>Shareholder activist costs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4820" w:type="dxa"/>
            <w:vAlign w:val="bottom"/>
          </w:tcPr>
          <w:p>
            <w:pPr>
              <w:ind w:left="120"/>
              <w:spacing w:after="0"/>
              <w:rPr>
                <w:sz w:val="20"/>
                <w:szCs w:val="20"/>
                <w:color w:val="auto"/>
              </w:rPr>
            </w:pPr>
            <w:r>
              <w:rPr>
                <w:rFonts w:ascii="Arial" w:cs="Arial" w:eastAsia="Arial" w:hAnsi="Arial"/>
                <w:sz w:val="16"/>
                <w:szCs w:val="16"/>
                <w:color w:val="auto"/>
              </w:rPr>
              <w:t>Cost saving initiatives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482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10"/>
        </w:trPr>
        <w:tc>
          <w:tcPr>
            <w:tcW w:w="482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r>
      <w:tr>
        <w:trPr>
          <w:trHeight w:val="21"/>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92"/>
          </w:cols>
          <w:pgMar w:left="328" w:top="895" w:right="579" w:bottom="1440" w:gutter="0" w:footer="0" w:header="0"/>
        </w:sectPr>
      </w:pPr>
    </w:p>
    <w:bookmarkStart w:id="16" w:name="page17"/>
    <w:bookmarkEnd w:id="16"/>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Regan Nielsen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Development &amp;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2"/>
    </w:lvl>
  </w:abstractNum>
  <w:abstractNum w:abstractNumId="7">
    <w:nsid w:val="5BD062C2"/>
    <w:multiLevelType w:val="hybridMultilevel"/>
    <w:lvl w:ilvl="0">
      <w:lvlJc w:val="left"/>
      <w:lvlText w:val="(%1)"/>
      <w:numFmt w:val="decimal"/>
      <w:start w:val="2"/>
    </w:lvl>
    <w:lvl w:ilvl="1">
      <w:lvlJc w:val="left"/>
      <w:lvlText w:val="%2"/>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2025-07-29T06:39:14Z</dcterms:created>
  <dcterms:modified xsi:type="dcterms:W3CDTF">2025-07-29T06:39:14Z</dcterms:modified>
</cp:coreProperties>
</file>