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Szalkowski Charles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Civeo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05/10/2018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05/10/2018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8"/>
                <w:szCs w:val="18"/>
                <w:color w:val="0000FF"/>
              </w:rPr>
              <w:t>37,879</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8"/>
                <w:szCs w:val="18"/>
                <w:color w:val="0000FF"/>
              </w:rPr>
              <w:t>181,205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Restricted common share award under the Amended and Restated 2014 Equity Participation Plan of Civeo Corporation that vests on the earlier of one year from May 10, 2018 or the next annual shareholders' meeting date.</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Bradley J. Dodson,</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05/11/2018</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5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2019-12-08T09:29:45Z</dcterms:created>
  <dcterms:modified xsi:type="dcterms:W3CDTF">2019-12-08T09:29:45Z</dcterms:modified>
</cp:coreProperties>
</file>