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26"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 PURSUANT TO SECTION 13 OR 15(d)</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April 4, 2022</w:t>
      </w:r>
    </w:p>
    <w:p>
      <w:pPr>
        <w:spacing w:after="0" w:line="4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auto"/>
        </w:rPr>
        <w:t>____________________</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Civeo Corporation</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20"/>
          </w:cols>
          <w:pgMar w:left="320" w:top="1384" w:right="359" w:bottom="1440" w:gutter="0" w:footer="0" w:header="0"/>
        </w:sectPr>
      </w:pPr>
    </w:p>
    <w:p>
      <w:pPr>
        <w:spacing w:after="0" w:line="259"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1-36246</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98-1253716</w:t>
      </w:r>
    </w:p>
    <w:p>
      <w:pPr>
        <w:spacing w:after="0" w:line="30" w:lineRule="exact"/>
        <w:rPr>
          <w:sz w:val="24"/>
          <w:szCs w:val="24"/>
          <w:color w:val="auto"/>
        </w:rPr>
      </w:pPr>
    </w:p>
    <w:p>
      <w:pPr>
        <w:sectPr>
          <w:pgSz w:w="11900" w:h="16838" w:orient="portrait"/>
          <w:cols w:equalWidth="0" w:num="3">
            <w:col w:w="4440" w:space="720"/>
            <w:col w:w="2620" w:space="720"/>
            <w:col w:w="2720"/>
          </w:cols>
          <w:pgMar w:left="320" w:top="1384" w:right="35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8"/>
          <w:szCs w:val="18"/>
          <w:color w:val="auto"/>
        </w:rPr>
        <w:t>(State or other jurisdiction</w:t>
      </w:r>
    </w:p>
    <w:p>
      <w:pPr>
        <w:jc w:val="center"/>
        <w:ind w:right="4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Times New Roman" w:cs="Times New Roman" w:eastAsia="Times New Roman" w:hAnsi="Times New Roman"/>
          <w:sz w:val="18"/>
          <w:szCs w:val="18"/>
          <w:color w:val="auto"/>
        </w:rPr>
        <w:t>(Commission File</w:t>
      </w:r>
    </w:p>
    <w:p>
      <w:pPr>
        <w:jc w:val="center"/>
        <w:ind w:right="1260"/>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49" w:lineRule="exact"/>
        <w:rPr>
          <w:sz w:val="24"/>
          <w:szCs w:val="24"/>
          <w:color w:val="auto"/>
        </w:rPr>
      </w:pPr>
    </w:p>
    <w:p>
      <w:pPr>
        <w:sectPr>
          <w:pgSz w:w="11900" w:h="16838" w:orient="portrait"/>
          <w:cols w:equalWidth="0" w:num="3">
            <w:col w:w="4160" w:space="720"/>
            <w:col w:w="2560" w:space="720"/>
            <w:col w:w="3060"/>
          </w:cols>
          <w:pgMar w:left="320" w:top="1384" w:right="359" w:bottom="1440" w:gutter="0" w:footer="0" w:header="0"/>
          <w:type w:val="continuous"/>
        </w:sectPr>
      </w:pPr>
    </w:p>
    <w:p>
      <w:pPr>
        <w:ind w:left="4640"/>
        <w:spacing w:after="0"/>
        <w:rPr>
          <w:sz w:val="20"/>
          <w:szCs w:val="20"/>
          <w:color w:val="auto"/>
        </w:rPr>
      </w:pPr>
      <w:r>
        <w:rPr>
          <w:rFonts w:ascii="Times New Roman" w:cs="Times New Roman" w:eastAsia="Times New Roman" w:hAnsi="Times New Roman"/>
          <w:sz w:val="22"/>
          <w:szCs w:val="22"/>
          <w:b w:val="1"/>
          <w:bCs w:val="1"/>
          <w:color w:val="auto"/>
        </w:rPr>
        <w:t>Three Allen Center</w:t>
      </w:r>
    </w:p>
    <w:p>
      <w:pPr>
        <w:spacing w:after="0" w:line="139"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333 Clay Street, Suite 4980</w:t>
      </w:r>
    </w:p>
    <w:p>
      <w:pPr>
        <w:sectPr>
          <w:pgSz w:w="11900" w:h="16838" w:orient="portrait"/>
          <w:cols w:equalWidth="0" w:num="1">
            <w:col w:w="11220"/>
          </w:cols>
          <w:pgMar w:left="320" w:top="1384" w:right="359" w:bottom="1440" w:gutter="0" w:footer="0" w:header="0"/>
          <w:type w:val="continuous"/>
        </w:sectPr>
      </w:pPr>
    </w:p>
    <w:p>
      <w:pPr>
        <w:spacing w:after="0" w:line="13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9"/>
          <w:szCs w:val="19"/>
          <w:b w:val="1"/>
          <w:bCs w:val="1"/>
          <w:color w:val="auto"/>
        </w:rPr>
        <w:t>Houston, Texas</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77002</w:t>
      </w:r>
    </w:p>
    <w:p>
      <w:pPr>
        <w:spacing w:after="0" w:line="45" w:lineRule="exact"/>
        <w:rPr>
          <w:sz w:val="24"/>
          <w:szCs w:val="24"/>
          <w:color w:val="auto"/>
        </w:rPr>
      </w:pPr>
    </w:p>
    <w:p>
      <w:pPr>
        <w:sectPr>
          <w:pgSz w:w="11900" w:h="16838" w:orient="portrait"/>
          <w:cols w:equalWidth="0" w:num="2">
            <w:col w:w="6080" w:space="360"/>
            <w:col w:w="4780"/>
          </w:cols>
          <w:pgMar w:left="320" w:top="1384"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(Address and zip code of principal executive offices)</w:t>
      </w:r>
    </w:p>
    <w:p>
      <w:pPr>
        <w:sectPr>
          <w:pgSz w:w="11900" w:h="16838" w:orient="portrait"/>
          <w:cols w:equalWidth="0" w:num="1">
            <w:col w:w="11220"/>
          </w:cols>
          <w:pgMar w:left="320" w:top="1384" w:right="359" w:bottom="1440" w:gutter="0" w:footer="0" w:header="0"/>
          <w:type w:val="continuous"/>
        </w:sectPr>
      </w:pPr>
    </w:p>
    <w:p>
      <w:pPr>
        <w:spacing w:after="0" w:line="3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(713) 510-2400</w:t>
      </w:r>
    </w:p>
    <w:p>
      <w:pPr>
        <w:spacing w:after="0" w:line="200" w:lineRule="exact"/>
        <w:rPr>
          <w:sz w:val="24"/>
          <w:szCs w:val="24"/>
          <w:color w:val="auto"/>
        </w:rPr>
      </w:pPr>
    </w:p>
    <w:p>
      <w:pPr>
        <w:spacing w:after="0" w:line="299"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417"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9"/>
        </w:trPr>
        <w:tc>
          <w:tcPr>
            <w:tcW w:w="37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62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84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r>
        <w:trPr>
          <w:trHeight w:val="228"/>
        </w:trPr>
        <w:tc>
          <w:tcPr>
            <w:tcW w:w="376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no par value</w:t>
            </w:r>
          </w:p>
        </w:tc>
        <w:tc>
          <w:tcPr>
            <w:tcW w:w="26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CVEO</w:t>
            </w:r>
          </w:p>
        </w:tc>
        <w:tc>
          <w:tcPr>
            <w:tcW w:w="48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bl>
    <w:p>
      <w:pPr>
        <w:spacing w:after="0" w:line="198"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778510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84" w:right="359" w:bottom="1440" w:gutter="0" w:footer="0" w:header="0"/>
          <w:type w:val="continuous"/>
        </w:sectPr>
      </w:pPr>
    </w:p>
    <w:bookmarkStart w:id="1" w:name="page2"/>
    <w:bookmarkEnd w:id="1"/>
    <w:p>
      <w:pPr>
        <w:spacing w:after="0" w:line="4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0"/>
          <w:szCs w:val="20"/>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1081405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 w:name="page3"/>
    <w:bookmarkEnd w:id="2"/>
    <w:p>
      <w:pPr>
        <w:ind w:right="30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7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8"/>
          <w:szCs w:val="18"/>
          <w:color w:val="auto"/>
        </w:rPr>
        <w:t>On April 4, 2022, the Compensation Committee of the Board of Directors of Civeo Corporation (the “Company”) approved an amendment to the Executive Change of Control Severance Agreement between the Company and Carolyn Stone, dated May 10, 2015 (the “Agreement”). The amendment increases the lump-sum severance amount payable to Ms. Stone if a qualified termination occurs during the 18-month period following a Change of Control (as defined in the Agreement) from 1.75x to 2.0x the sum of her base salary and target annual incentive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4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5, 2022</w:t>
      </w:r>
    </w:p>
    <w:p>
      <w:pPr>
        <w:spacing w:after="0" w:line="22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CIVEO CORPORATION</w:t>
      </w:r>
    </w:p>
    <w:p>
      <w:pPr>
        <w:spacing w:after="0" w:line="200" w:lineRule="exact"/>
        <w:rPr>
          <w:sz w:val="20"/>
          <w:szCs w:val="20"/>
          <w:color w:val="auto"/>
        </w:rPr>
      </w:pPr>
    </w:p>
    <w:p>
      <w:pPr>
        <w:spacing w:after="0" w:line="29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 xml:space="preserve">By: /s/ Bradley J. Dodson </w:t>
      </w:r>
      <w:r>
        <w:rPr>
          <w:rFonts w:ascii="Times New Roman" w:cs="Times New Roman" w:eastAsia="Times New Roman" w:hAnsi="Times New Roman"/>
          <w:sz w:val="18"/>
          <w:szCs w:val="18"/>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1153160</wp:posOffset>
            </wp:positionH>
            <wp:positionV relativeFrom="paragraph">
              <wp:posOffset>-7620</wp:posOffset>
            </wp:positionV>
            <wp:extent cx="1040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0765" cy="8890"/>
                    </a:xfrm>
                    <a:prstGeom prst="rect">
                      <a:avLst/>
                    </a:prstGeom>
                    <a:noFill/>
                  </pic:spPr>
                </pic:pic>
              </a:graphicData>
            </a:graphic>
          </wp:anchor>
        </w:drawing>
      </w:r>
    </w:p>
    <w:p>
      <w:pPr>
        <w:spacing w:after="0" w:line="7" w:lineRule="exact"/>
        <w:rPr>
          <w:sz w:val="20"/>
          <w:szCs w:val="20"/>
          <w:color w:val="auto"/>
        </w:rPr>
      </w:pPr>
    </w:p>
    <w:p>
      <w:pPr>
        <w:ind w:left="1560"/>
        <w:spacing w:after="0"/>
        <w:tabs>
          <w:tab w:leader="none" w:pos="22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Bradley J. Dodson</w:t>
      </w:r>
    </w:p>
    <w:p>
      <w:pPr>
        <w:spacing w:after="0" w:line="9" w:lineRule="exact"/>
        <w:rPr>
          <w:sz w:val="20"/>
          <w:szCs w:val="20"/>
          <w:color w:val="auto"/>
        </w:rPr>
      </w:pPr>
    </w:p>
    <w:p>
      <w:pPr>
        <w:jc w:val="center"/>
        <w:ind w:right="140"/>
        <w:spacing w:after="0"/>
        <w:tabs>
          <w:tab w:leader="none" w:pos="1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sectPr>
      <w:pgSz w:w="11900" w:h="16838" w:orient="portrait"/>
      <w:cols w:equalWidth="0" w:num="1">
        <w:col w:w="11240"/>
      </w:cols>
      <w:pgMar w:left="320" w:top="12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2022-04-05T15:38:03Z</dcterms:created>
  <dcterms:modified xsi:type="dcterms:W3CDTF">2022-04-05T15:38:03Z</dcterms:modified>
</cp:coreProperties>
</file>