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1)</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Under the Securities Exchange Act of 1934</w:t>
      </w:r>
    </w:p>
    <w:p>
      <w:pPr>
        <w:spacing w:after="0" w:line="200" w:lineRule="exact"/>
        <w:rPr>
          <w:sz w:val="24"/>
          <w:szCs w:val="24"/>
          <w:color w:val="auto"/>
        </w:rPr>
      </w:pPr>
    </w:p>
    <w:p>
      <w:pPr>
        <w:spacing w:after="0" w:line="241"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Civeo Corporation</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27"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Common stock, $0.01 par value</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27"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178787107</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27"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December 31, 2014</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following box to designate the rule pursuant to which the Schedule is filed:</w:t>
      </w:r>
    </w:p>
    <w:p>
      <w:pPr>
        <w:spacing w:after="0" w:line="225" w:lineRule="exact"/>
        <w:rPr>
          <w:sz w:val="24"/>
          <w:szCs w:val="24"/>
          <w:color w:val="auto"/>
        </w:rPr>
      </w:pPr>
    </w:p>
    <w:p>
      <w:pPr>
        <w:jc w:val="both"/>
        <w:ind w:left="340" w:right="9720" w:hanging="8"/>
        <w:spacing w:after="0" w:line="224" w:lineRule="exact"/>
        <w:tabs>
          <w:tab w:leader="none" w:pos="6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CUSIP No. 178787107</w:t>
      </w:r>
    </w:p>
    <w:p>
      <w:pPr>
        <w:spacing w:after="0" w:line="225" w:lineRule="exact"/>
        <w:rPr>
          <w:sz w:val="20"/>
          <w:szCs w:val="20"/>
          <w:color w:val="auto"/>
        </w:rPr>
      </w:pPr>
    </w:p>
    <w:p>
      <w:pPr>
        <w:ind w:left="700" w:hanging="462"/>
        <w:spacing w:after="0"/>
        <w:tabs>
          <w:tab w:leader="none" w:pos="7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7" w:lineRule="exact"/>
        <w:rPr>
          <w:rFonts w:ascii="Arial" w:cs="Arial" w:eastAsia="Arial" w:hAnsi="Arial"/>
          <w:sz w:val="18"/>
          <w:szCs w:val="18"/>
          <w:b w:val="1"/>
          <w:bCs w:val="1"/>
          <w:color w:val="auto"/>
        </w:rPr>
      </w:pPr>
    </w:p>
    <w:p>
      <w:pPr>
        <w:ind w:left="700" w:right="5199"/>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I.R.S. Identification Nos. of above persons (entities only) </w:t>
      </w:r>
      <w:r>
        <w:rPr>
          <w:rFonts w:ascii="Arial" w:cs="Arial" w:eastAsia="Arial" w:hAnsi="Arial"/>
          <w:sz w:val="18"/>
          <w:szCs w:val="18"/>
          <w:color w:val="auto"/>
        </w:rPr>
        <w:t>D. E. Shaw &amp; Co., L.P.</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13-3695715</w:t>
      </w:r>
    </w:p>
    <w:p>
      <w:pPr>
        <w:spacing w:after="0" w:line="207" w:lineRule="exact"/>
        <w:rPr>
          <w:sz w:val="20"/>
          <w:szCs w:val="20"/>
          <w:color w:val="auto"/>
        </w:rPr>
      </w:pPr>
    </w:p>
    <w:p>
      <w:pPr>
        <w:ind w:left="700" w:hanging="462"/>
        <w:spacing w:after="0"/>
        <w:tabs>
          <w:tab w:leader="none" w:pos="7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700"/>
        <w:spacing w:after="0" w:line="207" w:lineRule="exact"/>
        <w:tabs>
          <w:tab w:leader="none" w:pos="34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MS PGothic" w:cs="MS PGothic" w:eastAsia="MS PGothic" w:hAnsi="MS PGothic"/>
          <w:sz w:val="18"/>
          <w:szCs w:val="18"/>
          <w:color w:val="auto"/>
        </w:rPr>
        <w:t>☐</w:t>
      </w:r>
    </w:p>
    <w:p>
      <w:pPr>
        <w:spacing w:after="0" w:line="16" w:lineRule="exact"/>
        <w:rPr>
          <w:sz w:val="20"/>
          <w:szCs w:val="20"/>
          <w:color w:val="auto"/>
        </w:rPr>
      </w:pPr>
    </w:p>
    <w:p>
      <w:pPr>
        <w:ind w:left="700"/>
        <w:spacing w:after="0" w:line="207" w:lineRule="exact"/>
        <w:tabs>
          <w:tab w:leader="none" w:pos="342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MS PGothic" w:cs="MS PGothic" w:eastAsia="MS PGothic" w:hAnsi="MS PGothic"/>
          <w:sz w:val="18"/>
          <w:szCs w:val="18"/>
          <w:color w:val="auto"/>
        </w:rPr>
        <w:t>☐</w:t>
      </w:r>
    </w:p>
    <w:p>
      <w:pPr>
        <w:spacing w:after="0" w:line="205" w:lineRule="exact"/>
        <w:rPr>
          <w:sz w:val="20"/>
          <w:szCs w:val="20"/>
          <w:color w:val="auto"/>
        </w:rPr>
      </w:pPr>
    </w:p>
    <w:p>
      <w:pPr>
        <w:ind w:left="700" w:hanging="462"/>
        <w:spacing w:after="0"/>
        <w:tabs>
          <w:tab w:leader="none" w:pos="7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25" w:lineRule="exact"/>
        <w:rPr>
          <w:rFonts w:ascii="Arial" w:cs="Arial" w:eastAsia="Arial" w:hAnsi="Arial"/>
          <w:sz w:val="18"/>
          <w:szCs w:val="18"/>
          <w:b w:val="1"/>
          <w:bCs w:val="1"/>
          <w:color w:val="auto"/>
        </w:rPr>
      </w:pPr>
    </w:p>
    <w:p>
      <w:pPr>
        <w:ind w:left="700" w:right="6719" w:hanging="462"/>
        <w:spacing w:after="0" w:line="282" w:lineRule="auto"/>
        <w:tabs>
          <w:tab w:leader="none" w:pos="7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2000" w:type="dxa"/>
            <w:vAlign w:val="bottom"/>
          </w:tcPr>
          <w:p>
            <w:pPr>
              <w:jc w:val="right"/>
              <w:ind w:right="1230"/>
              <w:spacing w:after="0"/>
              <w:rPr>
                <w:sz w:val="20"/>
                <w:szCs w:val="20"/>
                <w:color w:val="auto"/>
              </w:rPr>
            </w:pPr>
            <w:r>
              <w:rPr>
                <w:rFonts w:ascii="Arial" w:cs="Arial" w:eastAsia="Arial" w:hAnsi="Arial"/>
                <w:sz w:val="18"/>
                <w:szCs w:val="18"/>
                <w:b w:val="1"/>
                <w:bCs w:val="1"/>
                <w:color w:val="auto"/>
              </w:rPr>
              <w:t>5.</w:t>
            </w:r>
          </w:p>
        </w:tc>
        <w:tc>
          <w:tcPr>
            <w:tcW w:w="3260" w:type="dxa"/>
            <w:vAlign w:val="bottom"/>
          </w:tcPr>
          <w:p>
            <w:pPr>
              <w:ind w:left="130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20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2000" w:type="dxa"/>
            <w:vAlign w:val="bottom"/>
          </w:tcPr>
          <w:p>
            <w:pPr>
              <w:spacing w:after="0"/>
              <w:rPr>
                <w:sz w:val="18"/>
                <w:szCs w:val="18"/>
                <w:color w:val="auto"/>
              </w:rPr>
            </w:pPr>
          </w:p>
        </w:tc>
        <w:tc>
          <w:tcPr>
            <w:tcW w:w="3260" w:type="dxa"/>
            <w:vAlign w:val="bottom"/>
          </w:tcPr>
          <w:p>
            <w:pPr>
              <w:ind w:left="1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20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20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20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20" w:type="dxa"/>
            <w:vAlign w:val="bottom"/>
          </w:tcPr>
          <w:p>
            <w:pPr>
              <w:spacing w:after="0"/>
              <w:rPr>
                <w:sz w:val="20"/>
                <w:szCs w:val="20"/>
                <w:color w:val="auto"/>
              </w:rPr>
            </w:pPr>
            <w:r>
              <w:rPr>
                <w:rFonts w:ascii="Arial" w:cs="Arial" w:eastAsia="Arial" w:hAnsi="Arial"/>
                <w:sz w:val="18"/>
                <w:szCs w:val="18"/>
                <w:b w:val="1"/>
                <w:bCs w:val="1"/>
                <w:color w:val="auto"/>
              </w:rPr>
              <w:t>Person With</w:t>
            </w:r>
          </w:p>
        </w:tc>
        <w:tc>
          <w:tcPr>
            <w:tcW w:w="2000" w:type="dxa"/>
            <w:vAlign w:val="bottom"/>
            <w:vMerge w:val="restart"/>
          </w:tcPr>
          <w:p>
            <w:pPr>
              <w:jc w:val="right"/>
              <w:ind w:right="1230"/>
              <w:spacing w:after="0"/>
              <w:rPr>
                <w:sz w:val="20"/>
                <w:szCs w:val="20"/>
                <w:color w:val="auto"/>
              </w:rPr>
            </w:pPr>
            <w:r>
              <w:rPr>
                <w:rFonts w:ascii="Arial" w:cs="Arial" w:eastAsia="Arial" w:hAnsi="Arial"/>
                <w:sz w:val="18"/>
                <w:szCs w:val="18"/>
                <w:b w:val="1"/>
                <w:bCs w:val="1"/>
                <w:color w:val="auto"/>
              </w:rPr>
              <w:t>6.</w:t>
            </w:r>
          </w:p>
        </w:tc>
        <w:tc>
          <w:tcPr>
            <w:tcW w:w="3260" w:type="dxa"/>
            <w:vAlign w:val="bottom"/>
            <w:vMerge w:val="restart"/>
          </w:tcPr>
          <w:p>
            <w:pPr>
              <w:ind w:left="13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02"/>
        </w:trPr>
        <w:tc>
          <w:tcPr>
            <w:tcW w:w="1520" w:type="dxa"/>
            <w:vAlign w:val="bottom"/>
          </w:tcPr>
          <w:p>
            <w:pPr>
              <w:spacing w:after="0"/>
              <w:rPr>
                <w:sz w:val="17"/>
                <w:szCs w:val="17"/>
                <w:color w:val="auto"/>
              </w:rPr>
            </w:pPr>
          </w:p>
        </w:tc>
        <w:tc>
          <w:tcPr>
            <w:tcW w:w="2000" w:type="dxa"/>
            <w:vAlign w:val="bottom"/>
            <w:vMerge w:val="continue"/>
          </w:tcPr>
          <w:p>
            <w:pPr>
              <w:spacing w:after="0"/>
              <w:rPr>
                <w:sz w:val="17"/>
                <w:szCs w:val="17"/>
                <w:color w:val="auto"/>
              </w:rPr>
            </w:pPr>
          </w:p>
        </w:tc>
        <w:tc>
          <w:tcPr>
            <w:tcW w:w="3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260" w:type="dxa"/>
            <w:vAlign w:val="bottom"/>
          </w:tcPr>
          <w:p>
            <w:pPr>
              <w:ind w:left="1300"/>
              <w:spacing w:after="0"/>
              <w:rPr>
                <w:sz w:val="20"/>
                <w:szCs w:val="20"/>
                <w:color w:val="auto"/>
              </w:rPr>
            </w:pPr>
            <w:r>
              <w:rPr>
                <w:rFonts w:ascii="Arial" w:cs="Arial" w:eastAsia="Arial" w:hAnsi="Arial"/>
                <w:sz w:val="18"/>
                <w:szCs w:val="18"/>
                <w:color w:val="auto"/>
              </w:rPr>
              <w:t>5,652,219</w:t>
            </w:r>
          </w:p>
        </w:tc>
        <w:tc>
          <w:tcPr>
            <w:tcW w:w="0" w:type="dxa"/>
            <w:vAlign w:val="bottom"/>
          </w:tcPr>
          <w:p>
            <w:pPr>
              <w:spacing w:after="0"/>
              <w:rPr>
                <w:sz w:val="1"/>
                <w:szCs w:val="1"/>
                <w:color w:val="auto"/>
              </w:rPr>
            </w:pPr>
          </w:p>
        </w:tc>
      </w:tr>
      <w:tr>
        <w:trPr>
          <w:trHeight w:val="418"/>
        </w:trPr>
        <w:tc>
          <w:tcPr>
            <w:tcW w:w="1520" w:type="dxa"/>
            <w:vAlign w:val="bottom"/>
          </w:tcPr>
          <w:p>
            <w:pPr>
              <w:spacing w:after="0"/>
              <w:rPr>
                <w:sz w:val="24"/>
                <w:szCs w:val="24"/>
                <w:color w:val="auto"/>
              </w:rPr>
            </w:pPr>
          </w:p>
        </w:tc>
        <w:tc>
          <w:tcPr>
            <w:tcW w:w="2000" w:type="dxa"/>
            <w:vAlign w:val="bottom"/>
          </w:tcPr>
          <w:p>
            <w:pPr>
              <w:jc w:val="right"/>
              <w:ind w:right="1230"/>
              <w:spacing w:after="0"/>
              <w:rPr>
                <w:sz w:val="20"/>
                <w:szCs w:val="20"/>
                <w:color w:val="auto"/>
              </w:rPr>
            </w:pPr>
            <w:r>
              <w:rPr>
                <w:rFonts w:ascii="Arial" w:cs="Arial" w:eastAsia="Arial" w:hAnsi="Arial"/>
                <w:sz w:val="18"/>
                <w:szCs w:val="18"/>
                <w:b w:val="1"/>
                <w:bCs w:val="1"/>
                <w:color w:val="auto"/>
              </w:rPr>
              <w:t>7.</w:t>
            </w:r>
          </w:p>
        </w:tc>
        <w:tc>
          <w:tcPr>
            <w:tcW w:w="3260" w:type="dxa"/>
            <w:vAlign w:val="bottom"/>
          </w:tcPr>
          <w:p>
            <w:pPr>
              <w:ind w:left="1300"/>
              <w:spacing w:after="0"/>
              <w:rPr>
                <w:sz w:val="20"/>
                <w:szCs w:val="20"/>
                <w:color w:val="auto"/>
              </w:rPr>
            </w:pPr>
            <w:r>
              <w:rPr>
                <w:rFonts w:ascii="Arial" w:cs="Arial" w:eastAsia="Arial" w:hAnsi="Arial"/>
                <w:sz w:val="18"/>
                <w:szCs w:val="18"/>
                <w:b w:val="1"/>
                <w:bCs w:val="1"/>
                <w:color w:val="auto"/>
                <w:w w:val="97"/>
              </w:rPr>
              <w:t>Sole Dispositive Power</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260" w:type="dxa"/>
            <w:vAlign w:val="bottom"/>
          </w:tcPr>
          <w:p>
            <w:pPr>
              <w:ind w:left="1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8"/>
        </w:trPr>
        <w:tc>
          <w:tcPr>
            <w:tcW w:w="1520" w:type="dxa"/>
            <w:vAlign w:val="bottom"/>
          </w:tcPr>
          <w:p>
            <w:pPr>
              <w:spacing w:after="0"/>
              <w:rPr>
                <w:sz w:val="24"/>
                <w:szCs w:val="24"/>
                <w:color w:val="auto"/>
              </w:rPr>
            </w:pPr>
          </w:p>
        </w:tc>
        <w:tc>
          <w:tcPr>
            <w:tcW w:w="2000" w:type="dxa"/>
            <w:vAlign w:val="bottom"/>
          </w:tcPr>
          <w:p>
            <w:pPr>
              <w:jc w:val="right"/>
              <w:ind w:right="1230"/>
              <w:spacing w:after="0"/>
              <w:rPr>
                <w:sz w:val="20"/>
                <w:szCs w:val="20"/>
                <w:color w:val="auto"/>
              </w:rPr>
            </w:pPr>
            <w:r>
              <w:rPr>
                <w:rFonts w:ascii="Arial" w:cs="Arial" w:eastAsia="Arial" w:hAnsi="Arial"/>
                <w:sz w:val="18"/>
                <w:szCs w:val="18"/>
                <w:b w:val="1"/>
                <w:bCs w:val="1"/>
                <w:color w:val="auto"/>
              </w:rPr>
              <w:t>8.</w:t>
            </w:r>
          </w:p>
        </w:tc>
        <w:tc>
          <w:tcPr>
            <w:tcW w:w="3260" w:type="dxa"/>
            <w:vAlign w:val="bottom"/>
          </w:tcPr>
          <w:p>
            <w:pPr>
              <w:ind w:left="1300"/>
              <w:spacing w:after="0"/>
              <w:rPr>
                <w:sz w:val="20"/>
                <w:szCs w:val="20"/>
                <w:color w:val="auto"/>
              </w:rPr>
            </w:pPr>
            <w:r>
              <w:rPr>
                <w:rFonts w:ascii="Arial" w:cs="Arial" w:eastAsia="Arial" w:hAnsi="Arial"/>
                <w:sz w:val="18"/>
                <w:szCs w:val="18"/>
                <w:b w:val="1"/>
                <w:bCs w:val="1"/>
                <w:color w:val="auto"/>
                <w:w w:val="87"/>
              </w:rPr>
              <w:t>Shared Dispositive Power</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260" w:type="dxa"/>
            <w:vAlign w:val="bottom"/>
          </w:tcPr>
          <w:p>
            <w:pPr>
              <w:ind w:left="1300"/>
              <w:spacing w:after="0"/>
              <w:rPr>
                <w:sz w:val="20"/>
                <w:szCs w:val="20"/>
                <w:color w:val="auto"/>
              </w:rPr>
            </w:pPr>
            <w:r>
              <w:rPr>
                <w:rFonts w:ascii="Arial" w:cs="Arial" w:eastAsia="Arial" w:hAnsi="Arial"/>
                <w:sz w:val="18"/>
                <w:szCs w:val="18"/>
                <w:color w:val="auto"/>
              </w:rPr>
              <w:t>5,692,222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00" w:right="4459" w:hanging="462"/>
        <w:spacing w:after="0" w:line="282" w:lineRule="auto"/>
        <w:tabs>
          <w:tab w:leader="none" w:pos="7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5,692,222</w:t>
      </w:r>
    </w:p>
    <w:p>
      <w:pPr>
        <w:spacing w:after="0" w:line="133" w:lineRule="exact"/>
        <w:rPr>
          <w:rFonts w:ascii="Arial" w:cs="Arial" w:eastAsia="Arial" w:hAnsi="Arial"/>
          <w:sz w:val="18"/>
          <w:szCs w:val="18"/>
          <w:b w:val="1"/>
          <w:bCs w:val="1"/>
          <w:color w:val="auto"/>
        </w:rPr>
      </w:pPr>
    </w:p>
    <w:p>
      <w:pPr>
        <w:ind w:left="700" w:hanging="462"/>
        <w:spacing w:after="0" w:line="184" w:lineRule="exact"/>
        <w:tabs>
          <w:tab w:leader="none" w:pos="70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Check if the Aggregate Amount in Row (9) Excludes Certain Shares (See Instructions) </w:t>
      </w:r>
      <w:r>
        <w:rPr>
          <w:rFonts w:ascii="MS PGothic" w:cs="MS PGothic" w:eastAsia="MS PGothic" w:hAnsi="MS PGothic"/>
          <w:sz w:val="16"/>
          <w:szCs w:val="16"/>
          <w:color w:val="auto"/>
          <w:highlight w:val="black"/>
        </w:rPr>
        <w:t>☐</w:t>
      </w:r>
    </w:p>
    <w:p>
      <w:pPr>
        <w:spacing w:after="0" w:line="276" w:lineRule="exact"/>
        <w:rPr>
          <w:rFonts w:ascii="Arial" w:cs="Arial" w:eastAsia="Arial" w:hAnsi="Arial"/>
          <w:sz w:val="16"/>
          <w:szCs w:val="16"/>
          <w:b w:val="1"/>
          <w:bCs w:val="1"/>
          <w:color w:val="auto"/>
        </w:rPr>
      </w:pPr>
    </w:p>
    <w:p>
      <w:pPr>
        <w:ind w:left="700" w:right="5539" w:hanging="462"/>
        <w:spacing w:after="0" w:line="282" w:lineRule="auto"/>
        <w:tabs>
          <w:tab w:leader="none" w:pos="7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5.3%</w:t>
      </w:r>
    </w:p>
    <w:p>
      <w:pPr>
        <w:spacing w:after="0" w:line="161" w:lineRule="exact"/>
        <w:rPr>
          <w:rFonts w:ascii="Arial" w:cs="Arial" w:eastAsia="Arial" w:hAnsi="Arial"/>
          <w:sz w:val="18"/>
          <w:szCs w:val="18"/>
          <w:b w:val="1"/>
          <w:bCs w:val="1"/>
          <w:color w:val="auto"/>
        </w:rPr>
      </w:pPr>
    </w:p>
    <w:p>
      <w:pPr>
        <w:ind w:left="700" w:right="6159" w:hanging="462"/>
        <w:spacing w:after="0" w:line="282" w:lineRule="auto"/>
        <w:tabs>
          <w:tab w:leader="none" w:pos="7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77"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CUSIP No. 178787107</w:t>
      </w:r>
    </w:p>
    <w:p>
      <w:pPr>
        <w:spacing w:after="0" w:line="225" w:lineRule="exact"/>
        <w:rPr>
          <w:sz w:val="20"/>
          <w:szCs w:val="20"/>
          <w:color w:val="auto"/>
        </w:rPr>
      </w:pPr>
    </w:p>
    <w:p>
      <w:pPr>
        <w:ind w:left="700" w:hanging="462"/>
        <w:spacing w:after="0"/>
        <w:tabs>
          <w:tab w:leader="none" w:pos="7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7" w:lineRule="exact"/>
        <w:rPr>
          <w:rFonts w:ascii="Arial" w:cs="Arial" w:eastAsia="Arial" w:hAnsi="Arial"/>
          <w:sz w:val="18"/>
          <w:szCs w:val="18"/>
          <w:b w:val="1"/>
          <w:bCs w:val="1"/>
          <w:color w:val="auto"/>
        </w:rPr>
      </w:pPr>
    </w:p>
    <w:p>
      <w:pPr>
        <w:ind w:left="700" w:right="5199"/>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I.R.S. Identification Nos. of above persons (entities only) </w:t>
      </w:r>
      <w:r>
        <w:rPr>
          <w:rFonts w:ascii="Arial" w:cs="Arial" w:eastAsia="Arial" w:hAnsi="Arial"/>
          <w:sz w:val="18"/>
          <w:szCs w:val="18"/>
          <w:color w:val="auto"/>
        </w:rPr>
        <w:t>David E. Shaw</w:t>
      </w:r>
    </w:p>
    <w:p>
      <w:pPr>
        <w:spacing w:after="0" w:line="179" w:lineRule="exact"/>
        <w:rPr>
          <w:rFonts w:ascii="Arial" w:cs="Arial" w:eastAsia="Arial" w:hAnsi="Arial"/>
          <w:sz w:val="18"/>
          <w:szCs w:val="18"/>
          <w:b w:val="1"/>
          <w:bCs w:val="1"/>
          <w:color w:val="auto"/>
        </w:rPr>
      </w:pPr>
    </w:p>
    <w:p>
      <w:pPr>
        <w:ind w:left="700" w:hanging="462"/>
        <w:spacing w:after="0"/>
        <w:tabs>
          <w:tab w:leader="none" w:pos="7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700"/>
        <w:spacing w:after="0" w:line="207" w:lineRule="exact"/>
        <w:tabs>
          <w:tab w:leader="none" w:pos="34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MS PGothic" w:cs="MS PGothic" w:eastAsia="MS PGothic" w:hAnsi="MS PGothic"/>
          <w:sz w:val="18"/>
          <w:szCs w:val="18"/>
          <w:color w:val="auto"/>
        </w:rPr>
        <w:t>☐</w:t>
      </w:r>
    </w:p>
    <w:p>
      <w:pPr>
        <w:spacing w:after="0" w:line="16" w:lineRule="exact"/>
        <w:rPr>
          <w:sz w:val="20"/>
          <w:szCs w:val="20"/>
          <w:color w:val="auto"/>
        </w:rPr>
      </w:pPr>
    </w:p>
    <w:p>
      <w:pPr>
        <w:ind w:left="700"/>
        <w:spacing w:after="0" w:line="207" w:lineRule="exact"/>
        <w:tabs>
          <w:tab w:leader="none" w:pos="342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MS PGothic" w:cs="MS PGothic" w:eastAsia="MS PGothic" w:hAnsi="MS PGothic"/>
          <w:sz w:val="18"/>
          <w:szCs w:val="18"/>
          <w:color w:val="auto"/>
        </w:rPr>
        <w:t>☐</w:t>
      </w:r>
    </w:p>
    <w:p>
      <w:pPr>
        <w:spacing w:after="0" w:line="205" w:lineRule="exact"/>
        <w:rPr>
          <w:sz w:val="20"/>
          <w:szCs w:val="20"/>
          <w:color w:val="auto"/>
        </w:rPr>
      </w:pPr>
    </w:p>
    <w:p>
      <w:pPr>
        <w:ind w:left="700" w:hanging="462"/>
        <w:spacing w:after="0"/>
        <w:tabs>
          <w:tab w:leader="none" w:pos="7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25" w:lineRule="exact"/>
        <w:rPr>
          <w:rFonts w:ascii="Arial" w:cs="Arial" w:eastAsia="Arial" w:hAnsi="Arial"/>
          <w:sz w:val="18"/>
          <w:szCs w:val="18"/>
          <w:b w:val="1"/>
          <w:bCs w:val="1"/>
          <w:color w:val="auto"/>
        </w:rPr>
      </w:pPr>
    </w:p>
    <w:p>
      <w:pPr>
        <w:ind w:left="700" w:right="6719" w:hanging="462"/>
        <w:spacing w:after="0" w:line="282" w:lineRule="auto"/>
        <w:tabs>
          <w:tab w:leader="none" w:pos="7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United States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2000" w:type="dxa"/>
            <w:vAlign w:val="bottom"/>
          </w:tcPr>
          <w:p>
            <w:pPr>
              <w:jc w:val="right"/>
              <w:ind w:right="1230"/>
              <w:spacing w:after="0"/>
              <w:rPr>
                <w:sz w:val="20"/>
                <w:szCs w:val="20"/>
                <w:color w:val="auto"/>
              </w:rPr>
            </w:pPr>
            <w:r>
              <w:rPr>
                <w:rFonts w:ascii="Arial" w:cs="Arial" w:eastAsia="Arial" w:hAnsi="Arial"/>
                <w:sz w:val="18"/>
                <w:szCs w:val="18"/>
                <w:b w:val="1"/>
                <w:bCs w:val="1"/>
                <w:color w:val="auto"/>
              </w:rPr>
              <w:t>5.</w:t>
            </w:r>
          </w:p>
        </w:tc>
        <w:tc>
          <w:tcPr>
            <w:tcW w:w="3260" w:type="dxa"/>
            <w:vAlign w:val="bottom"/>
          </w:tcPr>
          <w:p>
            <w:pPr>
              <w:ind w:left="130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20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2000" w:type="dxa"/>
            <w:vAlign w:val="bottom"/>
          </w:tcPr>
          <w:p>
            <w:pPr>
              <w:spacing w:after="0"/>
              <w:rPr>
                <w:sz w:val="18"/>
                <w:szCs w:val="18"/>
                <w:color w:val="auto"/>
              </w:rPr>
            </w:pPr>
          </w:p>
        </w:tc>
        <w:tc>
          <w:tcPr>
            <w:tcW w:w="3260" w:type="dxa"/>
            <w:vAlign w:val="bottom"/>
          </w:tcPr>
          <w:p>
            <w:pPr>
              <w:ind w:left="1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20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20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20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20" w:type="dxa"/>
            <w:vAlign w:val="bottom"/>
          </w:tcPr>
          <w:p>
            <w:pPr>
              <w:spacing w:after="0"/>
              <w:rPr>
                <w:sz w:val="20"/>
                <w:szCs w:val="20"/>
                <w:color w:val="auto"/>
              </w:rPr>
            </w:pPr>
            <w:r>
              <w:rPr>
                <w:rFonts w:ascii="Arial" w:cs="Arial" w:eastAsia="Arial" w:hAnsi="Arial"/>
                <w:sz w:val="18"/>
                <w:szCs w:val="18"/>
                <w:b w:val="1"/>
                <w:bCs w:val="1"/>
                <w:color w:val="auto"/>
              </w:rPr>
              <w:t>Person With</w:t>
            </w:r>
          </w:p>
        </w:tc>
        <w:tc>
          <w:tcPr>
            <w:tcW w:w="2000" w:type="dxa"/>
            <w:vAlign w:val="bottom"/>
            <w:vMerge w:val="restart"/>
          </w:tcPr>
          <w:p>
            <w:pPr>
              <w:jc w:val="right"/>
              <w:ind w:right="1230"/>
              <w:spacing w:after="0"/>
              <w:rPr>
                <w:sz w:val="20"/>
                <w:szCs w:val="20"/>
                <w:color w:val="auto"/>
              </w:rPr>
            </w:pPr>
            <w:r>
              <w:rPr>
                <w:rFonts w:ascii="Arial" w:cs="Arial" w:eastAsia="Arial" w:hAnsi="Arial"/>
                <w:sz w:val="18"/>
                <w:szCs w:val="18"/>
                <w:b w:val="1"/>
                <w:bCs w:val="1"/>
                <w:color w:val="auto"/>
              </w:rPr>
              <w:t>6.</w:t>
            </w:r>
          </w:p>
        </w:tc>
        <w:tc>
          <w:tcPr>
            <w:tcW w:w="3260" w:type="dxa"/>
            <w:vAlign w:val="bottom"/>
            <w:vMerge w:val="restart"/>
          </w:tcPr>
          <w:p>
            <w:pPr>
              <w:ind w:left="13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02"/>
        </w:trPr>
        <w:tc>
          <w:tcPr>
            <w:tcW w:w="1520" w:type="dxa"/>
            <w:vAlign w:val="bottom"/>
          </w:tcPr>
          <w:p>
            <w:pPr>
              <w:spacing w:after="0"/>
              <w:rPr>
                <w:sz w:val="17"/>
                <w:szCs w:val="17"/>
                <w:color w:val="auto"/>
              </w:rPr>
            </w:pPr>
          </w:p>
        </w:tc>
        <w:tc>
          <w:tcPr>
            <w:tcW w:w="2000" w:type="dxa"/>
            <w:vAlign w:val="bottom"/>
            <w:vMerge w:val="continue"/>
          </w:tcPr>
          <w:p>
            <w:pPr>
              <w:spacing w:after="0"/>
              <w:rPr>
                <w:sz w:val="17"/>
                <w:szCs w:val="17"/>
                <w:color w:val="auto"/>
              </w:rPr>
            </w:pPr>
          </w:p>
        </w:tc>
        <w:tc>
          <w:tcPr>
            <w:tcW w:w="3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260" w:type="dxa"/>
            <w:vAlign w:val="bottom"/>
          </w:tcPr>
          <w:p>
            <w:pPr>
              <w:ind w:left="1300"/>
              <w:spacing w:after="0"/>
              <w:rPr>
                <w:sz w:val="20"/>
                <w:szCs w:val="20"/>
                <w:color w:val="auto"/>
              </w:rPr>
            </w:pPr>
            <w:r>
              <w:rPr>
                <w:rFonts w:ascii="Arial" w:cs="Arial" w:eastAsia="Arial" w:hAnsi="Arial"/>
                <w:sz w:val="18"/>
                <w:szCs w:val="18"/>
                <w:color w:val="auto"/>
              </w:rPr>
              <w:t>5,652,219</w:t>
            </w:r>
          </w:p>
        </w:tc>
        <w:tc>
          <w:tcPr>
            <w:tcW w:w="0" w:type="dxa"/>
            <w:vAlign w:val="bottom"/>
          </w:tcPr>
          <w:p>
            <w:pPr>
              <w:spacing w:after="0"/>
              <w:rPr>
                <w:sz w:val="1"/>
                <w:szCs w:val="1"/>
                <w:color w:val="auto"/>
              </w:rPr>
            </w:pPr>
          </w:p>
        </w:tc>
      </w:tr>
      <w:tr>
        <w:trPr>
          <w:trHeight w:val="418"/>
        </w:trPr>
        <w:tc>
          <w:tcPr>
            <w:tcW w:w="1520" w:type="dxa"/>
            <w:vAlign w:val="bottom"/>
          </w:tcPr>
          <w:p>
            <w:pPr>
              <w:spacing w:after="0"/>
              <w:rPr>
                <w:sz w:val="24"/>
                <w:szCs w:val="24"/>
                <w:color w:val="auto"/>
              </w:rPr>
            </w:pPr>
          </w:p>
        </w:tc>
        <w:tc>
          <w:tcPr>
            <w:tcW w:w="2000" w:type="dxa"/>
            <w:vAlign w:val="bottom"/>
          </w:tcPr>
          <w:p>
            <w:pPr>
              <w:jc w:val="right"/>
              <w:ind w:right="1230"/>
              <w:spacing w:after="0"/>
              <w:rPr>
                <w:sz w:val="20"/>
                <w:szCs w:val="20"/>
                <w:color w:val="auto"/>
              </w:rPr>
            </w:pPr>
            <w:r>
              <w:rPr>
                <w:rFonts w:ascii="Arial" w:cs="Arial" w:eastAsia="Arial" w:hAnsi="Arial"/>
                <w:sz w:val="18"/>
                <w:szCs w:val="18"/>
                <w:b w:val="1"/>
                <w:bCs w:val="1"/>
                <w:color w:val="auto"/>
              </w:rPr>
              <w:t>7.</w:t>
            </w:r>
          </w:p>
        </w:tc>
        <w:tc>
          <w:tcPr>
            <w:tcW w:w="3260" w:type="dxa"/>
            <w:vAlign w:val="bottom"/>
          </w:tcPr>
          <w:p>
            <w:pPr>
              <w:ind w:left="1300"/>
              <w:spacing w:after="0"/>
              <w:rPr>
                <w:sz w:val="20"/>
                <w:szCs w:val="20"/>
                <w:color w:val="auto"/>
              </w:rPr>
            </w:pPr>
            <w:r>
              <w:rPr>
                <w:rFonts w:ascii="Arial" w:cs="Arial" w:eastAsia="Arial" w:hAnsi="Arial"/>
                <w:sz w:val="18"/>
                <w:szCs w:val="18"/>
                <w:b w:val="1"/>
                <w:bCs w:val="1"/>
                <w:color w:val="auto"/>
                <w:w w:val="97"/>
              </w:rPr>
              <w:t>Sole Dispositive Power</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260" w:type="dxa"/>
            <w:vAlign w:val="bottom"/>
          </w:tcPr>
          <w:p>
            <w:pPr>
              <w:ind w:left="1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8"/>
        </w:trPr>
        <w:tc>
          <w:tcPr>
            <w:tcW w:w="1520" w:type="dxa"/>
            <w:vAlign w:val="bottom"/>
          </w:tcPr>
          <w:p>
            <w:pPr>
              <w:spacing w:after="0"/>
              <w:rPr>
                <w:sz w:val="24"/>
                <w:szCs w:val="24"/>
                <w:color w:val="auto"/>
              </w:rPr>
            </w:pPr>
          </w:p>
        </w:tc>
        <w:tc>
          <w:tcPr>
            <w:tcW w:w="2000" w:type="dxa"/>
            <w:vAlign w:val="bottom"/>
          </w:tcPr>
          <w:p>
            <w:pPr>
              <w:jc w:val="right"/>
              <w:ind w:right="1230"/>
              <w:spacing w:after="0"/>
              <w:rPr>
                <w:sz w:val="20"/>
                <w:szCs w:val="20"/>
                <w:color w:val="auto"/>
              </w:rPr>
            </w:pPr>
            <w:r>
              <w:rPr>
                <w:rFonts w:ascii="Arial" w:cs="Arial" w:eastAsia="Arial" w:hAnsi="Arial"/>
                <w:sz w:val="18"/>
                <w:szCs w:val="18"/>
                <w:b w:val="1"/>
                <w:bCs w:val="1"/>
                <w:color w:val="auto"/>
              </w:rPr>
              <w:t>8.</w:t>
            </w:r>
          </w:p>
        </w:tc>
        <w:tc>
          <w:tcPr>
            <w:tcW w:w="3260" w:type="dxa"/>
            <w:vAlign w:val="bottom"/>
          </w:tcPr>
          <w:p>
            <w:pPr>
              <w:ind w:left="1300"/>
              <w:spacing w:after="0"/>
              <w:rPr>
                <w:sz w:val="20"/>
                <w:szCs w:val="20"/>
                <w:color w:val="auto"/>
              </w:rPr>
            </w:pPr>
            <w:r>
              <w:rPr>
                <w:rFonts w:ascii="Arial" w:cs="Arial" w:eastAsia="Arial" w:hAnsi="Arial"/>
                <w:sz w:val="18"/>
                <w:szCs w:val="18"/>
                <w:b w:val="1"/>
                <w:bCs w:val="1"/>
                <w:color w:val="auto"/>
                <w:w w:val="87"/>
              </w:rPr>
              <w:t>Shared Dispositive Power</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260" w:type="dxa"/>
            <w:vAlign w:val="bottom"/>
          </w:tcPr>
          <w:p>
            <w:pPr>
              <w:ind w:left="1300"/>
              <w:spacing w:after="0"/>
              <w:rPr>
                <w:sz w:val="20"/>
                <w:szCs w:val="20"/>
                <w:color w:val="auto"/>
              </w:rPr>
            </w:pPr>
            <w:r>
              <w:rPr>
                <w:rFonts w:ascii="Arial" w:cs="Arial" w:eastAsia="Arial" w:hAnsi="Arial"/>
                <w:sz w:val="18"/>
                <w:szCs w:val="18"/>
                <w:color w:val="auto"/>
              </w:rPr>
              <w:t>5,692,222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00" w:right="4459" w:hanging="462"/>
        <w:spacing w:after="0" w:line="282" w:lineRule="auto"/>
        <w:tabs>
          <w:tab w:leader="none" w:pos="7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5,692,222</w:t>
      </w:r>
    </w:p>
    <w:p>
      <w:pPr>
        <w:spacing w:after="0" w:line="133" w:lineRule="exact"/>
        <w:rPr>
          <w:rFonts w:ascii="Arial" w:cs="Arial" w:eastAsia="Arial" w:hAnsi="Arial"/>
          <w:sz w:val="18"/>
          <w:szCs w:val="18"/>
          <w:b w:val="1"/>
          <w:bCs w:val="1"/>
          <w:color w:val="auto"/>
        </w:rPr>
      </w:pPr>
    </w:p>
    <w:p>
      <w:pPr>
        <w:ind w:left="700" w:hanging="462"/>
        <w:spacing w:after="0" w:line="184" w:lineRule="exact"/>
        <w:tabs>
          <w:tab w:leader="none" w:pos="70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Check if the Aggregate Amount in Row (9) Excludes Certain Shares (See Instructions) </w:t>
      </w:r>
      <w:r>
        <w:rPr>
          <w:rFonts w:ascii="MS PGothic" w:cs="MS PGothic" w:eastAsia="MS PGothic" w:hAnsi="MS PGothic"/>
          <w:sz w:val="16"/>
          <w:szCs w:val="16"/>
          <w:color w:val="auto"/>
          <w:highlight w:val="black"/>
        </w:rPr>
        <w:t>☐</w:t>
      </w:r>
    </w:p>
    <w:p>
      <w:pPr>
        <w:spacing w:after="0" w:line="276" w:lineRule="exact"/>
        <w:rPr>
          <w:rFonts w:ascii="Arial" w:cs="Arial" w:eastAsia="Arial" w:hAnsi="Arial"/>
          <w:sz w:val="16"/>
          <w:szCs w:val="16"/>
          <w:b w:val="1"/>
          <w:bCs w:val="1"/>
          <w:color w:val="auto"/>
        </w:rPr>
      </w:pPr>
    </w:p>
    <w:p>
      <w:pPr>
        <w:ind w:left="700" w:right="5539" w:hanging="462"/>
        <w:spacing w:after="0" w:line="282" w:lineRule="auto"/>
        <w:tabs>
          <w:tab w:leader="none" w:pos="7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5.3%</w:t>
      </w:r>
    </w:p>
    <w:p>
      <w:pPr>
        <w:spacing w:after="0" w:line="161" w:lineRule="exact"/>
        <w:rPr>
          <w:rFonts w:ascii="Arial" w:cs="Arial" w:eastAsia="Arial" w:hAnsi="Arial"/>
          <w:sz w:val="18"/>
          <w:szCs w:val="18"/>
          <w:b w:val="1"/>
          <w:bCs w:val="1"/>
          <w:color w:val="auto"/>
        </w:rPr>
      </w:pPr>
    </w:p>
    <w:p>
      <w:pPr>
        <w:ind w:left="700" w:hanging="462"/>
        <w:spacing w:after="0"/>
        <w:tabs>
          <w:tab w:leader="none" w:pos="7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7"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61"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w:t>
      </w:r>
    </w:p>
    <w:p>
      <w:pPr>
        <w:spacing w:after="0" w:line="27" w:lineRule="exact"/>
        <w:rPr>
          <w:sz w:val="20"/>
          <w:szCs w:val="20"/>
          <w:color w:val="auto"/>
        </w:rPr>
      </w:pPr>
    </w:p>
    <w:p>
      <w:pPr>
        <w:ind w:left="1120" w:right="8960" w:hanging="788"/>
        <w:spacing w:after="0" w:line="323" w:lineRule="auto"/>
        <w:tabs>
          <w:tab w:leader="none" w:pos="103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 of Issuer </w:t>
      </w:r>
      <w:r>
        <w:rPr>
          <w:rFonts w:ascii="Arial" w:cs="Arial" w:eastAsia="Arial" w:hAnsi="Arial"/>
          <w:sz w:val="16"/>
          <w:szCs w:val="16"/>
          <w:color w:val="auto"/>
        </w:rPr>
        <w:t>Civeo Corporation</w:t>
      </w:r>
    </w:p>
    <w:p>
      <w:pPr>
        <w:spacing w:after="0" w:line="134" w:lineRule="exact"/>
        <w:rPr>
          <w:rFonts w:ascii="Arial" w:cs="Arial" w:eastAsia="Arial" w:hAnsi="Arial"/>
          <w:sz w:val="16"/>
          <w:szCs w:val="16"/>
          <w:b w:val="1"/>
          <w:bCs w:val="1"/>
          <w:color w:val="auto"/>
        </w:rPr>
      </w:pPr>
    </w:p>
    <w:p>
      <w:pPr>
        <w:ind w:left="1120" w:right="6800" w:hanging="788"/>
        <w:spacing w:after="0" w:line="266" w:lineRule="auto"/>
        <w:tabs>
          <w:tab w:leader="none" w:pos="103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Address of Issuer's Principal Executive Offices </w:t>
      </w:r>
      <w:r>
        <w:rPr>
          <w:rFonts w:ascii="Arial" w:cs="Arial" w:eastAsia="Arial" w:hAnsi="Arial"/>
          <w:sz w:val="18"/>
          <w:szCs w:val="18"/>
          <w:color w:val="auto"/>
        </w:rPr>
        <w:t>Three Allen Center, 333 Clay Street, Suite 4980 Houston, Texas 77002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7" w:lineRule="exact"/>
        <w:rPr>
          <w:sz w:val="20"/>
          <w:szCs w:val="20"/>
          <w:color w:val="auto"/>
        </w:rPr>
      </w:pPr>
    </w:p>
    <w:p>
      <w:pPr>
        <w:ind w:left="1120" w:right="8620" w:hanging="788"/>
        <w:spacing w:after="0" w:line="302" w:lineRule="auto"/>
        <w:tabs>
          <w:tab w:leader="none" w:pos="103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 of Person Filing </w:t>
      </w:r>
      <w:r>
        <w:rPr>
          <w:rFonts w:ascii="Arial" w:cs="Arial" w:eastAsia="Arial" w:hAnsi="Arial"/>
          <w:sz w:val="16"/>
          <w:szCs w:val="16"/>
          <w:color w:val="auto"/>
        </w:rPr>
        <w:t>D. E. Shaw &amp; Co., L.P. David E. Shaw</w:t>
      </w:r>
    </w:p>
    <w:p>
      <w:pPr>
        <w:spacing w:after="0" w:line="151" w:lineRule="exact"/>
        <w:rPr>
          <w:rFonts w:ascii="Arial" w:cs="Arial" w:eastAsia="Arial" w:hAnsi="Arial"/>
          <w:sz w:val="16"/>
          <w:szCs w:val="16"/>
          <w:b w:val="1"/>
          <w:bCs w:val="1"/>
          <w:color w:val="auto"/>
        </w:rPr>
      </w:pPr>
    </w:p>
    <w:p>
      <w:pPr>
        <w:ind w:left="1120" w:right="5920" w:hanging="788"/>
        <w:spacing w:after="0" w:line="313" w:lineRule="auto"/>
        <w:tabs>
          <w:tab w:leader="none" w:pos="1030"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Address of Principal Business Office or, if none, Residence </w:t>
      </w:r>
      <w:r>
        <w:rPr>
          <w:rFonts w:ascii="Arial" w:cs="Arial" w:eastAsia="Arial" w:hAnsi="Arial"/>
          <w:sz w:val="15"/>
          <w:szCs w:val="15"/>
          <w:color w:val="auto"/>
        </w:rPr>
        <w:t>The business address for each reporting person is:</w:t>
      </w:r>
    </w:p>
    <w:p>
      <w:pPr>
        <w:ind w:left="1120"/>
        <w:spacing w:after="0" w:line="180" w:lineRule="auto"/>
        <w:rPr>
          <w:sz w:val="20"/>
          <w:szCs w:val="20"/>
          <w:color w:val="auto"/>
        </w:rPr>
      </w:pPr>
      <w:r>
        <w:rPr>
          <w:rFonts w:ascii="Arial" w:cs="Arial" w:eastAsia="Arial" w:hAnsi="Arial"/>
          <w:sz w:val="18"/>
          <w:szCs w:val="18"/>
          <w:color w:val="auto"/>
        </w:rPr>
        <w:t>1166 Avenue of the Americas,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ind w:left="1120"/>
        <w:spacing w:after="0"/>
        <w:rPr>
          <w:sz w:val="20"/>
          <w:szCs w:val="20"/>
          <w:color w:val="auto"/>
        </w:rPr>
      </w:pPr>
      <w:r>
        <w:rPr>
          <w:rFonts w:ascii="Arial" w:cs="Arial" w:eastAsia="Arial" w:hAnsi="Arial"/>
          <w:sz w:val="18"/>
          <w:szCs w:val="18"/>
          <w:color w:val="auto"/>
        </w:rPr>
        <w:t>New York, NY 10036</w:t>
      </w:r>
    </w:p>
    <w:p>
      <w:pPr>
        <w:spacing w:after="0" w:line="205" w:lineRule="exact"/>
        <w:rPr>
          <w:sz w:val="20"/>
          <w:szCs w:val="20"/>
          <w:color w:val="auto"/>
        </w:rPr>
      </w:pPr>
    </w:p>
    <w:p>
      <w:pPr>
        <w:ind w:left="1040" w:hanging="708"/>
        <w:spacing w:after="0"/>
        <w:tabs>
          <w:tab w:leader="none" w:pos="10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27" w:lineRule="exact"/>
        <w:rPr>
          <w:rFonts w:ascii="Arial" w:cs="Arial" w:eastAsia="Arial" w:hAnsi="Arial"/>
          <w:sz w:val="18"/>
          <w:szCs w:val="18"/>
          <w:b w:val="1"/>
          <w:bCs w:val="1"/>
          <w:color w:val="auto"/>
        </w:rPr>
      </w:pPr>
    </w:p>
    <w:p>
      <w:pPr>
        <w:ind w:left="1120" w:right="32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D. E. Shaw &amp; Co., L.P. is a limited partnership organized under the laws of the state of Delaware. David E. Shaw is a citizen of the United States of America.</w:t>
      </w:r>
    </w:p>
    <w:p>
      <w:pPr>
        <w:spacing w:after="0" w:line="179" w:lineRule="exact"/>
        <w:rPr>
          <w:rFonts w:ascii="Arial" w:cs="Arial" w:eastAsia="Arial" w:hAnsi="Arial"/>
          <w:sz w:val="18"/>
          <w:szCs w:val="18"/>
          <w:b w:val="1"/>
          <w:bCs w:val="1"/>
          <w:color w:val="auto"/>
        </w:rPr>
      </w:pPr>
    </w:p>
    <w:p>
      <w:pPr>
        <w:ind w:left="1040" w:hanging="708"/>
        <w:spacing w:after="0"/>
        <w:tabs>
          <w:tab w:leader="none" w:pos="10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2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Common stock, $0.01 par value</w:t>
      </w:r>
    </w:p>
    <w:p>
      <w:pPr>
        <w:spacing w:after="0" w:line="207" w:lineRule="exact"/>
        <w:rPr>
          <w:sz w:val="20"/>
          <w:szCs w:val="20"/>
          <w:color w:val="auto"/>
        </w:rPr>
      </w:pPr>
    </w:p>
    <w:p>
      <w:pPr>
        <w:ind w:left="1120" w:right="9160" w:hanging="788"/>
        <w:spacing w:after="0" w:line="313" w:lineRule="auto"/>
        <w:tabs>
          <w:tab w:leader="none" w:pos="103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178787107</w:t>
      </w:r>
    </w:p>
    <w:p>
      <w:pPr>
        <w:spacing w:after="0" w:line="13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3320" w:type="dxa"/>
            <w:vAlign w:val="bottom"/>
          </w:tcPr>
          <w:p>
            <w:pPr>
              <w:ind w:left="220"/>
              <w:spacing w:after="0"/>
              <w:rPr>
                <w:sz w:val="20"/>
                <w:szCs w:val="20"/>
                <w:color w:val="auto"/>
              </w:rPr>
            </w:pPr>
            <w:r>
              <w:rPr>
                <w:rFonts w:ascii="Arial" w:cs="Arial" w:eastAsia="Arial" w:hAnsi="Arial"/>
                <w:sz w:val="18"/>
                <w:szCs w:val="18"/>
                <w:b w:val="1"/>
                <w:bCs w:val="1"/>
                <w:color w:val="auto"/>
              </w:rPr>
              <w:t>Ownership</w:t>
            </w:r>
          </w:p>
        </w:tc>
        <w:tc>
          <w:tcPr>
            <w:tcW w:w="7340" w:type="dxa"/>
            <w:vAlign w:val="bottom"/>
          </w:tcPr>
          <w:p>
            <w:pPr>
              <w:spacing w:after="0"/>
              <w:rPr>
                <w:sz w:val="20"/>
                <w:szCs w:val="20"/>
                <w:color w:val="auto"/>
              </w:rPr>
            </w:pPr>
          </w:p>
        </w:tc>
      </w:tr>
      <w:tr>
        <w:trPr>
          <w:trHeight w:val="432"/>
        </w:trPr>
        <w:tc>
          <w:tcPr>
            <w:tcW w:w="4080" w:type="dxa"/>
            <w:vAlign w:val="bottom"/>
            <w:gridSpan w:val="2"/>
          </w:tcPr>
          <w:p>
            <w:pPr>
              <w:spacing w:after="0"/>
              <w:rPr>
                <w:sz w:val="20"/>
                <w:szCs w:val="20"/>
                <w:color w:val="auto"/>
              </w:rPr>
            </w:pPr>
            <w:r>
              <w:rPr>
                <w:rFonts w:ascii="Arial" w:cs="Arial" w:eastAsia="Arial" w:hAnsi="Arial"/>
                <w:sz w:val="18"/>
                <w:szCs w:val="18"/>
                <w:color w:val="auto"/>
              </w:rPr>
              <w:t>As of December 31, 2014:</w:t>
            </w:r>
          </w:p>
        </w:tc>
        <w:tc>
          <w:tcPr>
            <w:tcW w:w="7340" w:type="dxa"/>
            <w:vAlign w:val="bottom"/>
          </w:tcPr>
          <w:p>
            <w:pPr>
              <w:spacing w:after="0"/>
              <w:rPr>
                <w:sz w:val="24"/>
                <w:szCs w:val="24"/>
                <w:color w:val="auto"/>
              </w:rPr>
            </w:pPr>
          </w:p>
        </w:tc>
      </w:tr>
      <w:tr>
        <w:trPr>
          <w:trHeight w:val="432"/>
        </w:trPr>
        <w:tc>
          <w:tcPr>
            <w:tcW w:w="4080" w:type="dxa"/>
            <w:vAlign w:val="bottom"/>
            <w:gridSpan w:val="2"/>
          </w:tcPr>
          <w:p>
            <w:pPr>
              <w:spacing w:after="0"/>
              <w:rPr>
                <w:sz w:val="20"/>
                <w:szCs w:val="20"/>
                <w:color w:val="auto"/>
              </w:rPr>
            </w:pPr>
            <w:r>
              <w:rPr>
                <w:rFonts w:ascii="Arial" w:cs="Arial" w:eastAsia="Arial" w:hAnsi="Arial"/>
                <w:sz w:val="18"/>
                <w:szCs w:val="18"/>
                <w:color w:val="auto"/>
              </w:rPr>
              <w:t>(a) Amount beneficially owned:</w:t>
            </w:r>
          </w:p>
        </w:tc>
        <w:tc>
          <w:tcPr>
            <w:tcW w:w="7340" w:type="dxa"/>
            <w:vAlign w:val="bottom"/>
          </w:tcPr>
          <w:p>
            <w:pPr>
              <w:spacing w:after="0"/>
              <w:rPr>
                <w:sz w:val="24"/>
                <w:szCs w:val="24"/>
                <w:color w:val="auto"/>
              </w:rPr>
            </w:pPr>
          </w:p>
        </w:tc>
      </w:tr>
      <w:tr>
        <w:trPr>
          <w:trHeight w:val="418"/>
        </w:trPr>
        <w:tc>
          <w:tcPr>
            <w:tcW w:w="4080" w:type="dxa"/>
            <w:vAlign w:val="bottom"/>
            <w:gridSpan w:val="2"/>
          </w:tcPr>
          <w:p>
            <w:pPr>
              <w:ind w:left="340"/>
              <w:spacing w:after="0"/>
              <w:rPr>
                <w:sz w:val="20"/>
                <w:szCs w:val="20"/>
                <w:color w:val="auto"/>
              </w:rPr>
            </w:pPr>
            <w:r>
              <w:rPr>
                <w:rFonts w:ascii="Arial" w:cs="Arial" w:eastAsia="Arial" w:hAnsi="Arial"/>
                <w:sz w:val="18"/>
                <w:szCs w:val="18"/>
                <w:color w:val="auto"/>
              </w:rPr>
              <w:t>D. E. Shaw &amp; Co., L.P.:</w:t>
            </w:r>
          </w:p>
        </w:tc>
        <w:tc>
          <w:tcPr>
            <w:tcW w:w="7340" w:type="dxa"/>
            <w:vAlign w:val="bottom"/>
          </w:tcPr>
          <w:p>
            <w:pPr>
              <w:ind w:left="1740"/>
              <w:spacing w:after="0"/>
              <w:rPr>
                <w:sz w:val="20"/>
                <w:szCs w:val="20"/>
                <w:color w:val="auto"/>
              </w:rPr>
            </w:pPr>
            <w:r>
              <w:rPr>
                <w:rFonts w:ascii="Arial" w:cs="Arial" w:eastAsia="Arial" w:hAnsi="Arial"/>
                <w:sz w:val="18"/>
                <w:szCs w:val="18"/>
                <w:color w:val="auto"/>
              </w:rPr>
              <w:t>5,692,222 shares</w:t>
            </w:r>
          </w:p>
        </w:tc>
      </w:tr>
      <w:tr>
        <w:trPr>
          <w:trHeight w:val="216"/>
        </w:trPr>
        <w:tc>
          <w:tcPr>
            <w:tcW w:w="7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340" w:type="dxa"/>
            <w:vAlign w:val="bottom"/>
          </w:tcPr>
          <w:p>
            <w:pPr>
              <w:ind w:left="1740"/>
              <w:spacing w:after="0"/>
              <w:rPr>
                <w:sz w:val="20"/>
                <w:szCs w:val="20"/>
                <w:color w:val="auto"/>
              </w:rPr>
            </w:pPr>
            <w:r>
              <w:rPr>
                <w:rFonts w:ascii="Arial" w:cs="Arial" w:eastAsia="Arial" w:hAnsi="Arial"/>
                <w:sz w:val="18"/>
                <w:szCs w:val="18"/>
                <w:color w:val="auto"/>
                <w:w w:val="94"/>
              </w:rPr>
              <w:t>This is composed of (i) 3,055,000 shares in the name of D. E. Shaw Kalon</w:t>
            </w:r>
          </w:p>
        </w:tc>
      </w:tr>
      <w:tr>
        <w:trPr>
          <w:trHeight w:val="216"/>
        </w:trPr>
        <w:tc>
          <w:tcPr>
            <w:tcW w:w="7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340" w:type="dxa"/>
            <w:vAlign w:val="bottom"/>
          </w:tcPr>
          <w:p>
            <w:pPr>
              <w:ind w:left="1740"/>
              <w:spacing w:after="0"/>
              <w:rPr>
                <w:sz w:val="20"/>
                <w:szCs w:val="20"/>
                <w:color w:val="auto"/>
              </w:rPr>
            </w:pPr>
            <w:r>
              <w:rPr>
                <w:rFonts w:ascii="Arial" w:cs="Arial" w:eastAsia="Arial" w:hAnsi="Arial"/>
                <w:sz w:val="18"/>
                <w:szCs w:val="18"/>
                <w:color w:val="auto"/>
                <w:w w:val="94"/>
              </w:rPr>
              <w:t>Portfolios, L.L.C., (ii) 1,839,044 shares in the name of D. E. Shaw Valence</w:t>
            </w:r>
          </w:p>
        </w:tc>
      </w:tr>
      <w:tr>
        <w:trPr>
          <w:trHeight w:val="216"/>
        </w:trPr>
        <w:tc>
          <w:tcPr>
            <w:tcW w:w="7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340" w:type="dxa"/>
            <w:vAlign w:val="bottom"/>
          </w:tcPr>
          <w:p>
            <w:pPr>
              <w:ind w:left="1740"/>
              <w:spacing w:after="0"/>
              <w:rPr>
                <w:sz w:val="20"/>
                <w:szCs w:val="20"/>
                <w:color w:val="auto"/>
              </w:rPr>
            </w:pPr>
            <w:r>
              <w:rPr>
                <w:rFonts w:ascii="Arial" w:cs="Arial" w:eastAsia="Arial" w:hAnsi="Arial"/>
                <w:sz w:val="18"/>
                <w:szCs w:val="18"/>
                <w:color w:val="auto"/>
                <w:w w:val="97"/>
              </w:rPr>
              <w:t>Portfolios, L.L.C., (iii) 579,239 shares in the name of D. E. Shaw Oculus</w:t>
            </w:r>
          </w:p>
        </w:tc>
      </w:tr>
      <w:tr>
        <w:trPr>
          <w:trHeight w:val="216"/>
        </w:trPr>
        <w:tc>
          <w:tcPr>
            <w:tcW w:w="7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340" w:type="dxa"/>
            <w:vAlign w:val="bottom"/>
          </w:tcPr>
          <w:p>
            <w:pPr>
              <w:ind w:left="1740"/>
              <w:spacing w:after="0"/>
              <w:rPr>
                <w:sz w:val="20"/>
                <w:szCs w:val="20"/>
                <w:color w:val="auto"/>
              </w:rPr>
            </w:pPr>
            <w:r>
              <w:rPr>
                <w:rFonts w:ascii="Arial" w:cs="Arial" w:eastAsia="Arial" w:hAnsi="Arial"/>
                <w:sz w:val="18"/>
                <w:szCs w:val="18"/>
                <w:color w:val="auto"/>
              </w:rPr>
              <w:t>Portfolios, L.L.C., (iv) 70 shares in the name of D. E. Shaw Asymptote</w:t>
            </w:r>
          </w:p>
        </w:tc>
      </w:tr>
      <w:tr>
        <w:trPr>
          <w:trHeight w:val="216"/>
        </w:trPr>
        <w:tc>
          <w:tcPr>
            <w:tcW w:w="7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340" w:type="dxa"/>
            <w:vAlign w:val="bottom"/>
          </w:tcPr>
          <w:p>
            <w:pPr>
              <w:ind w:left="1740"/>
              <w:spacing w:after="0"/>
              <w:rPr>
                <w:sz w:val="20"/>
                <w:szCs w:val="20"/>
                <w:color w:val="auto"/>
              </w:rPr>
            </w:pPr>
            <w:r>
              <w:rPr>
                <w:rFonts w:ascii="Arial" w:cs="Arial" w:eastAsia="Arial" w:hAnsi="Arial"/>
                <w:sz w:val="18"/>
                <w:szCs w:val="18"/>
                <w:color w:val="auto"/>
              </w:rPr>
              <w:t>Portfolios, L.L.C., and (v) 218,869 shares under the management of</w:t>
            </w:r>
          </w:p>
        </w:tc>
      </w:tr>
      <w:tr>
        <w:trPr>
          <w:trHeight w:val="230"/>
        </w:trPr>
        <w:tc>
          <w:tcPr>
            <w:tcW w:w="7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7340" w:type="dxa"/>
            <w:vAlign w:val="bottom"/>
          </w:tcPr>
          <w:p>
            <w:pPr>
              <w:ind w:left="1740"/>
              <w:spacing w:after="0"/>
              <w:rPr>
                <w:sz w:val="20"/>
                <w:szCs w:val="20"/>
                <w:color w:val="auto"/>
              </w:rPr>
            </w:pPr>
            <w:r>
              <w:rPr>
                <w:rFonts w:ascii="Arial" w:cs="Arial" w:eastAsia="Arial" w:hAnsi="Arial"/>
                <w:sz w:val="18"/>
                <w:szCs w:val="18"/>
                <w:color w:val="auto"/>
              </w:rPr>
              <w:t>D. E. Shaw Investment Management, L.L.C.</w:t>
            </w:r>
          </w:p>
        </w:tc>
      </w:tr>
      <w:tr>
        <w:trPr>
          <w:trHeight w:val="418"/>
        </w:trPr>
        <w:tc>
          <w:tcPr>
            <w:tcW w:w="4080" w:type="dxa"/>
            <w:vAlign w:val="bottom"/>
            <w:gridSpan w:val="2"/>
          </w:tcPr>
          <w:p>
            <w:pPr>
              <w:ind w:left="340"/>
              <w:spacing w:after="0"/>
              <w:rPr>
                <w:sz w:val="20"/>
                <w:szCs w:val="20"/>
                <w:color w:val="auto"/>
              </w:rPr>
            </w:pPr>
            <w:r>
              <w:rPr>
                <w:rFonts w:ascii="Arial" w:cs="Arial" w:eastAsia="Arial" w:hAnsi="Arial"/>
                <w:sz w:val="18"/>
                <w:szCs w:val="18"/>
                <w:color w:val="auto"/>
              </w:rPr>
              <w:t>David E. Shaw:</w:t>
            </w:r>
          </w:p>
        </w:tc>
        <w:tc>
          <w:tcPr>
            <w:tcW w:w="7340" w:type="dxa"/>
            <w:vAlign w:val="bottom"/>
          </w:tcPr>
          <w:p>
            <w:pPr>
              <w:ind w:left="1740"/>
              <w:spacing w:after="0"/>
              <w:rPr>
                <w:sz w:val="20"/>
                <w:szCs w:val="20"/>
                <w:color w:val="auto"/>
              </w:rPr>
            </w:pPr>
            <w:r>
              <w:rPr>
                <w:rFonts w:ascii="Arial" w:cs="Arial" w:eastAsia="Arial" w:hAnsi="Arial"/>
                <w:sz w:val="18"/>
                <w:szCs w:val="18"/>
                <w:color w:val="auto"/>
              </w:rPr>
              <w:t>5,692,222 shares</w:t>
            </w:r>
          </w:p>
        </w:tc>
      </w:tr>
      <w:tr>
        <w:trPr>
          <w:trHeight w:val="216"/>
        </w:trPr>
        <w:tc>
          <w:tcPr>
            <w:tcW w:w="7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340" w:type="dxa"/>
            <w:vAlign w:val="bottom"/>
          </w:tcPr>
          <w:p>
            <w:pPr>
              <w:ind w:left="1740"/>
              <w:spacing w:after="0"/>
              <w:rPr>
                <w:sz w:val="20"/>
                <w:szCs w:val="20"/>
                <w:color w:val="auto"/>
              </w:rPr>
            </w:pPr>
            <w:r>
              <w:rPr>
                <w:rFonts w:ascii="Arial" w:cs="Arial" w:eastAsia="Arial" w:hAnsi="Arial"/>
                <w:sz w:val="18"/>
                <w:szCs w:val="18"/>
                <w:color w:val="auto"/>
                <w:w w:val="94"/>
              </w:rPr>
              <w:t>This is composed of (i) 3,055,000 shares in the name of D. E. Shaw Kalon</w:t>
            </w:r>
          </w:p>
        </w:tc>
      </w:tr>
      <w:tr>
        <w:trPr>
          <w:trHeight w:val="216"/>
        </w:trPr>
        <w:tc>
          <w:tcPr>
            <w:tcW w:w="7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340" w:type="dxa"/>
            <w:vAlign w:val="bottom"/>
          </w:tcPr>
          <w:p>
            <w:pPr>
              <w:ind w:left="1740"/>
              <w:spacing w:after="0"/>
              <w:rPr>
                <w:sz w:val="20"/>
                <w:szCs w:val="20"/>
                <w:color w:val="auto"/>
              </w:rPr>
            </w:pPr>
            <w:r>
              <w:rPr>
                <w:rFonts w:ascii="Arial" w:cs="Arial" w:eastAsia="Arial" w:hAnsi="Arial"/>
                <w:sz w:val="18"/>
                <w:szCs w:val="18"/>
                <w:color w:val="auto"/>
                <w:w w:val="94"/>
              </w:rPr>
              <w:t>Portfolios, L.L.C., (ii) 1,839,044 shares in the name of D. E. Shaw Valence</w:t>
            </w:r>
          </w:p>
        </w:tc>
      </w:tr>
      <w:tr>
        <w:trPr>
          <w:trHeight w:val="216"/>
        </w:trPr>
        <w:tc>
          <w:tcPr>
            <w:tcW w:w="7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340" w:type="dxa"/>
            <w:vAlign w:val="bottom"/>
          </w:tcPr>
          <w:p>
            <w:pPr>
              <w:ind w:left="1740"/>
              <w:spacing w:after="0"/>
              <w:rPr>
                <w:sz w:val="20"/>
                <w:szCs w:val="20"/>
                <w:color w:val="auto"/>
              </w:rPr>
            </w:pPr>
            <w:r>
              <w:rPr>
                <w:rFonts w:ascii="Arial" w:cs="Arial" w:eastAsia="Arial" w:hAnsi="Arial"/>
                <w:sz w:val="18"/>
                <w:szCs w:val="18"/>
                <w:color w:val="auto"/>
                <w:w w:val="97"/>
              </w:rPr>
              <w:t>Portfolios, L.L.C., (iii) 579,239 shares in the name of D. E. Shaw Oculus</w:t>
            </w:r>
          </w:p>
        </w:tc>
      </w:tr>
      <w:tr>
        <w:trPr>
          <w:trHeight w:val="216"/>
        </w:trPr>
        <w:tc>
          <w:tcPr>
            <w:tcW w:w="7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340" w:type="dxa"/>
            <w:vAlign w:val="bottom"/>
          </w:tcPr>
          <w:p>
            <w:pPr>
              <w:ind w:left="1740"/>
              <w:spacing w:after="0"/>
              <w:rPr>
                <w:sz w:val="20"/>
                <w:szCs w:val="20"/>
                <w:color w:val="auto"/>
              </w:rPr>
            </w:pPr>
            <w:r>
              <w:rPr>
                <w:rFonts w:ascii="Arial" w:cs="Arial" w:eastAsia="Arial" w:hAnsi="Arial"/>
                <w:sz w:val="18"/>
                <w:szCs w:val="18"/>
                <w:color w:val="auto"/>
              </w:rPr>
              <w:t>Portfolios, L.L.C., (iv) 70 shares in the name of D. E. Shaw Asymptote</w:t>
            </w:r>
          </w:p>
        </w:tc>
      </w:tr>
      <w:tr>
        <w:trPr>
          <w:trHeight w:val="216"/>
        </w:trPr>
        <w:tc>
          <w:tcPr>
            <w:tcW w:w="7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340" w:type="dxa"/>
            <w:vAlign w:val="bottom"/>
          </w:tcPr>
          <w:p>
            <w:pPr>
              <w:ind w:left="1740"/>
              <w:spacing w:after="0"/>
              <w:rPr>
                <w:sz w:val="20"/>
                <w:szCs w:val="20"/>
                <w:color w:val="auto"/>
              </w:rPr>
            </w:pPr>
            <w:r>
              <w:rPr>
                <w:rFonts w:ascii="Arial" w:cs="Arial" w:eastAsia="Arial" w:hAnsi="Arial"/>
                <w:sz w:val="18"/>
                <w:szCs w:val="18"/>
                <w:color w:val="auto"/>
              </w:rPr>
              <w:t>Portfolios, L.L.C., and (v) 218,869 shares under the management of</w:t>
            </w:r>
          </w:p>
        </w:tc>
      </w:tr>
      <w:tr>
        <w:trPr>
          <w:trHeight w:val="230"/>
        </w:trPr>
        <w:tc>
          <w:tcPr>
            <w:tcW w:w="7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7340" w:type="dxa"/>
            <w:vAlign w:val="bottom"/>
          </w:tcPr>
          <w:p>
            <w:pPr>
              <w:ind w:left="1740"/>
              <w:spacing w:after="0"/>
              <w:rPr>
                <w:sz w:val="20"/>
                <w:szCs w:val="20"/>
                <w:color w:val="auto"/>
              </w:rPr>
            </w:pPr>
            <w:r>
              <w:rPr>
                <w:rFonts w:ascii="Arial" w:cs="Arial" w:eastAsia="Arial" w:hAnsi="Arial"/>
                <w:sz w:val="18"/>
                <w:szCs w:val="18"/>
                <w:color w:val="auto"/>
              </w:rPr>
              <w:t>D. E. Shaw Investment Management, L.L.C.</w:t>
            </w:r>
          </w:p>
        </w:tc>
      </w:tr>
      <w:tr>
        <w:trPr>
          <w:trHeight w:val="418"/>
        </w:trPr>
        <w:tc>
          <w:tcPr>
            <w:tcW w:w="4080" w:type="dxa"/>
            <w:vAlign w:val="bottom"/>
            <w:gridSpan w:val="2"/>
          </w:tcPr>
          <w:p>
            <w:pPr>
              <w:spacing w:after="0"/>
              <w:rPr>
                <w:sz w:val="20"/>
                <w:szCs w:val="20"/>
                <w:color w:val="auto"/>
              </w:rPr>
            </w:pPr>
            <w:r>
              <w:rPr>
                <w:rFonts w:ascii="Arial" w:cs="Arial" w:eastAsia="Arial" w:hAnsi="Arial"/>
                <w:sz w:val="18"/>
                <w:szCs w:val="18"/>
                <w:color w:val="auto"/>
              </w:rPr>
              <w:t>(b) Percent of class:</w:t>
            </w:r>
          </w:p>
        </w:tc>
        <w:tc>
          <w:tcPr>
            <w:tcW w:w="7340" w:type="dxa"/>
            <w:vAlign w:val="bottom"/>
          </w:tcPr>
          <w:p>
            <w:pPr>
              <w:spacing w:after="0"/>
              <w:rPr>
                <w:sz w:val="24"/>
                <w:szCs w:val="24"/>
                <w:color w:val="auto"/>
              </w:rPr>
            </w:pPr>
          </w:p>
        </w:tc>
      </w:tr>
      <w:tr>
        <w:trPr>
          <w:trHeight w:val="216"/>
        </w:trPr>
        <w:tc>
          <w:tcPr>
            <w:tcW w:w="4080" w:type="dxa"/>
            <w:vAlign w:val="bottom"/>
            <w:gridSpan w:val="2"/>
          </w:tcPr>
          <w:p>
            <w:pPr>
              <w:ind w:left="340"/>
              <w:spacing w:after="0"/>
              <w:rPr>
                <w:sz w:val="20"/>
                <w:szCs w:val="20"/>
                <w:color w:val="auto"/>
              </w:rPr>
            </w:pPr>
            <w:r>
              <w:rPr>
                <w:rFonts w:ascii="Arial" w:cs="Arial" w:eastAsia="Arial" w:hAnsi="Arial"/>
                <w:sz w:val="18"/>
                <w:szCs w:val="18"/>
                <w:color w:val="auto"/>
              </w:rPr>
              <w:t>D. E. Shaw &amp; Co., L.P.:</w:t>
            </w:r>
          </w:p>
        </w:tc>
        <w:tc>
          <w:tcPr>
            <w:tcW w:w="7340" w:type="dxa"/>
            <w:vAlign w:val="bottom"/>
          </w:tcPr>
          <w:p>
            <w:pPr>
              <w:ind w:left="1740"/>
              <w:spacing w:after="0"/>
              <w:rPr>
                <w:sz w:val="20"/>
                <w:szCs w:val="20"/>
                <w:color w:val="auto"/>
              </w:rPr>
            </w:pPr>
            <w:r>
              <w:rPr>
                <w:rFonts w:ascii="Arial" w:cs="Arial" w:eastAsia="Arial" w:hAnsi="Arial"/>
                <w:sz w:val="18"/>
                <w:szCs w:val="18"/>
                <w:color w:val="auto"/>
              </w:rPr>
              <w:t>5.3%</w:t>
            </w:r>
          </w:p>
        </w:tc>
      </w:tr>
      <w:tr>
        <w:trPr>
          <w:trHeight w:val="230"/>
        </w:trPr>
        <w:tc>
          <w:tcPr>
            <w:tcW w:w="4080" w:type="dxa"/>
            <w:vAlign w:val="bottom"/>
            <w:gridSpan w:val="2"/>
          </w:tcPr>
          <w:p>
            <w:pPr>
              <w:ind w:left="340"/>
              <w:spacing w:after="0"/>
              <w:rPr>
                <w:sz w:val="20"/>
                <w:szCs w:val="20"/>
                <w:color w:val="auto"/>
              </w:rPr>
            </w:pPr>
            <w:r>
              <w:rPr>
                <w:rFonts w:ascii="Arial" w:cs="Arial" w:eastAsia="Arial" w:hAnsi="Arial"/>
                <w:sz w:val="18"/>
                <w:szCs w:val="18"/>
                <w:color w:val="auto"/>
              </w:rPr>
              <w:t>David E. Shaw:</w:t>
            </w:r>
          </w:p>
        </w:tc>
        <w:tc>
          <w:tcPr>
            <w:tcW w:w="7340" w:type="dxa"/>
            <w:vAlign w:val="bottom"/>
          </w:tcPr>
          <w:p>
            <w:pPr>
              <w:ind w:left="1740"/>
              <w:spacing w:after="0"/>
              <w:rPr>
                <w:sz w:val="20"/>
                <w:szCs w:val="20"/>
                <w:color w:val="auto"/>
              </w:rPr>
            </w:pPr>
            <w:r>
              <w:rPr>
                <w:rFonts w:ascii="Arial" w:cs="Arial" w:eastAsia="Arial" w:hAnsi="Arial"/>
                <w:sz w:val="18"/>
                <w:szCs w:val="18"/>
                <w:color w:val="auto"/>
              </w:rPr>
              <w:t>5.3%</w:t>
            </w:r>
          </w:p>
        </w:tc>
      </w:tr>
      <w:tr>
        <w:trPr>
          <w:trHeight w:val="648"/>
        </w:trPr>
        <w:tc>
          <w:tcPr>
            <w:tcW w:w="7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4" w:name="page5"/>
    <w:bookmarkEnd w:id="4"/>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to which the person has:</w:t>
      </w:r>
    </w:p>
    <w:p>
      <w:pPr>
        <w:spacing w:after="0" w:line="23" w:lineRule="exact"/>
        <w:rPr>
          <w:rFonts w:ascii="Arial" w:cs="Arial" w:eastAsia="Arial" w:hAnsi="Arial"/>
          <w:sz w:val="18"/>
          <w:szCs w:val="18"/>
          <w:color w:val="auto"/>
        </w:rPr>
      </w:pPr>
    </w:p>
    <w:p>
      <w:pPr>
        <w:ind w:left="1160" w:hanging="893"/>
        <w:spacing w:after="0"/>
        <w:tabs>
          <w:tab w:leader="none" w:pos="11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Sole power to vote or to direct the vote:</w:t>
      </w:r>
    </w:p>
    <w:p>
      <w:pPr>
        <w:sectPr>
          <w:pgSz w:w="11900" w:h="16838" w:orient="portrait"/>
          <w:cols w:equalWidth="0" w:num="1">
            <w:col w:w="11400"/>
          </w:cols>
          <w:pgMar w:left="240" w:top="881" w:right="259" w:bottom="1440" w:gutter="0" w:footer="0" w:header="0"/>
        </w:sectPr>
      </w:pPr>
    </w:p>
    <w:p>
      <w:pPr>
        <w:spacing w:after="0" w:line="3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D. E. Shaw &amp; Co., L.P.:</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David E. Shaw:</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-0- shares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-0- shares</w:t>
      </w:r>
    </w:p>
    <w:p>
      <w:pPr>
        <w:spacing w:after="0" w:line="234" w:lineRule="exact"/>
        <w:rPr>
          <w:sz w:val="20"/>
          <w:szCs w:val="20"/>
          <w:color w:val="auto"/>
        </w:rPr>
      </w:pPr>
    </w:p>
    <w:p>
      <w:pPr>
        <w:sectPr>
          <w:pgSz w:w="11900" w:h="16838" w:orient="portrait"/>
          <w:cols w:equalWidth="0" w:num="2">
            <w:col w:w="5680" w:space="720"/>
            <w:col w:w="5000"/>
          </w:cols>
          <w:pgMar w:left="240" w:top="881" w:right="259" w:bottom="1440" w:gutter="0" w:footer="0" w:header="0"/>
          <w:type w:val="continuous"/>
        </w:sectPr>
      </w:pPr>
    </w:p>
    <w:p>
      <w:pPr>
        <w:spacing w:after="0" w:line="11" w:lineRule="exact"/>
        <w:rPr>
          <w:sz w:val="20"/>
          <w:szCs w:val="20"/>
          <w:color w:val="auto"/>
        </w:rPr>
      </w:pPr>
    </w:p>
    <w:p>
      <w:pPr>
        <w:ind w:left="1160" w:hanging="893"/>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Shared power to vote or to direct the vote:</w:t>
      </w:r>
    </w:p>
    <w:p>
      <w:pPr>
        <w:sectPr>
          <w:pgSz w:w="11900" w:h="16838" w:orient="portrait"/>
          <w:cols w:equalWidth="0" w:num="1">
            <w:col w:w="11400"/>
          </w:cols>
          <w:pgMar w:left="240" w:top="881" w:right="259" w:bottom="1440" w:gutter="0" w:footer="0" w:header="0"/>
          <w:type w:val="continuous"/>
        </w:sectPr>
      </w:pPr>
    </w:p>
    <w:p>
      <w:pPr>
        <w:spacing w:after="0" w:line="4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D. E. Shaw &amp; Co., L.P.:</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David E. Shaw:</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5,652,219 shares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5,652,219 shares</w:t>
      </w:r>
    </w:p>
    <w:p>
      <w:pPr>
        <w:spacing w:after="0" w:line="234" w:lineRule="exact"/>
        <w:rPr>
          <w:sz w:val="20"/>
          <w:szCs w:val="20"/>
          <w:color w:val="auto"/>
        </w:rPr>
      </w:pPr>
    </w:p>
    <w:p>
      <w:pPr>
        <w:sectPr>
          <w:pgSz w:w="11900" w:h="16838" w:orient="portrait"/>
          <w:cols w:equalWidth="0" w:num="2">
            <w:col w:w="5680" w:space="720"/>
            <w:col w:w="5000"/>
          </w:cols>
          <w:pgMar w:left="240" w:top="881" w:right="259" w:bottom="1440" w:gutter="0" w:footer="0" w:header="0"/>
          <w:type w:val="continuous"/>
        </w:sectPr>
      </w:pPr>
    </w:p>
    <w:p>
      <w:pPr>
        <w:spacing w:after="0" w:line="11" w:lineRule="exact"/>
        <w:rPr>
          <w:sz w:val="20"/>
          <w:szCs w:val="20"/>
          <w:color w:val="auto"/>
        </w:rPr>
      </w:pPr>
    </w:p>
    <w:p>
      <w:pPr>
        <w:ind w:left="1160" w:hanging="893"/>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w:t>
      </w:r>
    </w:p>
    <w:p>
      <w:pPr>
        <w:sectPr>
          <w:pgSz w:w="11900" w:h="16838" w:orient="portrait"/>
          <w:cols w:equalWidth="0" w:num="1">
            <w:col w:w="11400"/>
          </w:cols>
          <w:pgMar w:left="240" w:top="881" w:right="259" w:bottom="1440" w:gutter="0" w:footer="0" w:header="0"/>
          <w:type w:val="continuous"/>
        </w:sectPr>
      </w:pPr>
    </w:p>
    <w:p>
      <w:pPr>
        <w:spacing w:after="0" w:line="4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D. E. Shaw &amp; Co., L.P.:</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David E. Shaw:</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-0- shares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-0- shares</w:t>
      </w:r>
    </w:p>
    <w:p>
      <w:pPr>
        <w:spacing w:after="0" w:line="234" w:lineRule="exact"/>
        <w:rPr>
          <w:sz w:val="20"/>
          <w:szCs w:val="20"/>
          <w:color w:val="auto"/>
        </w:rPr>
      </w:pPr>
    </w:p>
    <w:p>
      <w:pPr>
        <w:sectPr>
          <w:pgSz w:w="11900" w:h="16838" w:orient="portrait"/>
          <w:cols w:equalWidth="0" w:num="2">
            <w:col w:w="5680" w:space="720"/>
            <w:col w:w="5000"/>
          </w:cols>
          <w:pgMar w:left="240" w:top="881" w:right="259" w:bottom="1440" w:gutter="0" w:footer="0" w:header="0"/>
          <w:type w:val="continuous"/>
        </w:sectPr>
      </w:pPr>
    </w:p>
    <w:p>
      <w:pPr>
        <w:spacing w:after="0" w:line="11" w:lineRule="exact"/>
        <w:rPr>
          <w:sz w:val="20"/>
          <w:szCs w:val="20"/>
          <w:color w:val="auto"/>
        </w:rPr>
      </w:pPr>
    </w:p>
    <w:p>
      <w:pPr>
        <w:ind w:left="1160" w:hanging="893"/>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w:t>
      </w:r>
    </w:p>
    <w:p>
      <w:pPr>
        <w:sectPr>
          <w:pgSz w:w="11900" w:h="16838" w:orient="portrait"/>
          <w:cols w:equalWidth="0" w:num="1">
            <w:col w:w="11400"/>
          </w:cols>
          <w:pgMar w:left="240" w:top="881" w:right="259" w:bottom="1440" w:gutter="0" w:footer="0" w:header="0"/>
          <w:type w:val="continuous"/>
        </w:sectPr>
      </w:pPr>
    </w:p>
    <w:p>
      <w:pPr>
        <w:spacing w:after="0" w:line="4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D. E. Shaw &amp; Co., L.P.:</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David E. Shaw:</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5,692,222 shares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5,692,222 shares</w:t>
      </w:r>
    </w:p>
    <w:p>
      <w:pPr>
        <w:spacing w:after="0" w:line="234" w:lineRule="exact"/>
        <w:rPr>
          <w:sz w:val="20"/>
          <w:szCs w:val="20"/>
          <w:color w:val="auto"/>
        </w:rPr>
      </w:pPr>
    </w:p>
    <w:p>
      <w:pPr>
        <w:sectPr>
          <w:pgSz w:w="11900" w:h="16838" w:orient="portrait"/>
          <w:cols w:equalWidth="0" w:num="2">
            <w:col w:w="5680" w:space="720"/>
            <w:col w:w="5000"/>
          </w:cols>
          <w:pgMar w:left="240" w:top="881" w:right="259" w:bottom="1440" w:gutter="0" w:footer="0" w:header="0"/>
          <w:type w:val="continuous"/>
        </w:sectPr>
      </w:pPr>
    </w:p>
    <w:p>
      <w:pPr>
        <w:spacing w:after="0" w:line="1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David E. Shaw does not own any shares directly. By virtue of David E. Shaw’s position as President and sole shareholder of D. E. Shaw &amp; Co., Inc., which is the general partner of D. E. Shaw &amp; Co., L.P., which in turn is the manager and investment adviser of D. E. Shaw Valence Portfolios, L.L.C., the investment adviser of D. E. Shaw Oculus Portfolios, L.L.C., and the managing member of (i) D. E. Shaw Investment Management, L.L.C., (ii) D. E. Shaw Heliant Adviser, L.L.C., which in turn is the investment adviser of D. E. Shaw Kalon Portfolios, L.L.C., and (iii) D. E. Shaw Adviser, L.L.C., which in turn is the investment adviser of D. E. Shaw Asymptote Portfolios, L.L.C., and by virtue of David E. Shaw’s position as President and sole shareholder of D. E. Shaw &amp; Co. II, Inc., which is the managing member of D. E. Shaw &amp; Co., L.L.C., which in turn is the manager of D. E. Shaw Oculus Portfolios, L.L.C. and the managing member of (i) D. E. Shaw Heliant Manager, L.L.C., which in turn is the manager of D. E. Shaw Kalon Portfolios, L.L.C., and (ii) D. E. Shaw Manager, L.L.C., which in turn is the manager of D. E. Shaw Asymptote Portfolios, L.L.C., David E. Shaw may be deemed to have the shared power to vote or direct the vote of 5,652,219 shares, and the shared power to dispose or direct the disposition of 5,692,222 shares, the 5,692,222 shares as described above constituting 5.3% of the outstanding shares and, therefore, David E. Shaw may be deemed to be the beneficial owner of such shares. David E. Shaw disclaims beneficial ownership of such 5,692,222 shares.</w:t>
      </w:r>
    </w:p>
    <w:p>
      <w:pPr>
        <w:spacing w:after="0" w:line="1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ind w:left="980" w:hanging="971"/>
        <w:spacing w:after="0" w:line="261"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7" w:lineRule="exact"/>
        <w:rPr>
          <w:sz w:val="20"/>
          <w:szCs w:val="20"/>
          <w:color w:val="auto"/>
        </w:rPr>
      </w:pPr>
    </w:p>
    <w:p>
      <w:pPr>
        <w:jc w:val="both"/>
        <w:ind w:right="140"/>
        <w:spacing w:after="0" w:line="277" w:lineRule="auto"/>
        <w:rPr>
          <w:sz w:val="20"/>
          <w:szCs w:val="20"/>
          <w:color w:val="auto"/>
        </w:rPr>
      </w:pPr>
      <w:r>
        <w:rPr>
          <w:rFonts w:ascii="Arial" w:cs="Arial" w:eastAsia="Arial" w:hAnsi="Arial"/>
          <w:sz w:val="17"/>
          <w:szCs w:val="17"/>
          <w:color w:val="auto"/>
        </w:rPr>
        <w:t>By signing below, each of D. E. Shaw &amp; Co., L.P. and David E. Shaw certify that, to the best of such reporting person’s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such purposes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After reasonable inquiry and to the best of their knowledge and belief, the undersigned certify that the information set forth in this statement is true, complete and correct. A Power of Attorney, dated December 16, 2014, granted by David E. Shaw in favor of Nathan Thomas, is attached hereto.</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17, 2015</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 E. Shaw &amp; Co., L.P.</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Nathan Thomas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Nathan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Compliance Officer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David E. Shaw</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Nathan Thomas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Nathan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Attorney-in-Fact for David E.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77" w:right="31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18"/>
          <w:szCs w:val="18"/>
          <w:b w:val="1"/>
          <w:bCs w:val="1"/>
          <w:u w:val="single" w:color="auto"/>
          <w:color w:val="auto"/>
        </w:rPr>
        <w:t>Exhibit 1</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 CERTAIN REGULATORY FILINGS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INCLUDING CERTAIN FILINGS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AND THE INVESTMENT ADVISERS ACT OF 1940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E. Shaw, hereby make, constitute, and appoint each 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Anne Dinning,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Julius Gaudio,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John Liftin,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Maximilian Stone,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Nathan Thomas,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Eric Wepsic,</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acting individually, as my agent and attorney-in-fact, with full power of substitution, for the purpose of, from time to time, (i) executing in my name and/or my capacity as President of D. E. Shaw &amp; Co., Inc. (acting for itself or as the general partner of D. E. Shaw &amp; Co., L.P. and general partner, managing member, or manager of other entities, any of which in turn may be acting for itself or other entities) all documents, certificates, instruments, statements, other filings, and amendments to the foregoing (collectively, “documents”) determined by such person to be necessary or appropriate to comply with any registration or regulatory disclosure requirements and/or ownership or control-person reporting requirements imposed by any United States or non-United States governmental or regulatory authority, including without limitation Form ADV, Forms 3, 4, 5, and 13F, and Schedules 13D and 13G required to be filed with the United States Securities and Exchange Commission, and (ii) delivering, furnishing, or filing any such documents to or with the appropriate governmental or regulatory authority. Any such determination shall be conclusively evidenced by such person’s execution, delivery, furnishing, and/or filing of the applicable document.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This power of attorney shall be valid from the date hereof and replaces the power granted on June 22, 2012, which is hereby cancelled.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HEREOF, I have executed this instrument as of the date set forth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16,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E. SHAW, as President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 E. Shaw &amp; 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 David E. Shaw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60"/>
      </w:cols>
      <w:pgMar w:left="240" w:top="36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2"/>
    </w:lvl>
  </w:abstractNum>
  <w:abstractNum w:abstractNumId="3">
    <w:nsid w:val="4DB127F8"/>
    <w:multiLevelType w:val="hybridMultilevel"/>
    <w:lvl w:ilvl="0">
      <w:lvlJc w:val="left"/>
      <w:lvlText w:val="%1."/>
      <w:numFmt w:val="decimal"/>
      <w:start w:val="3"/>
    </w:lvl>
  </w:abstractNum>
  <w:abstractNum w:abstractNumId="4">
    <w:nsid w:val="216231B"/>
    <w:multiLevelType w:val="hybridMultilevel"/>
    <w:lvl w:ilvl="0">
      <w:lvlJc w:val="left"/>
      <w:lvlText w:val="%1."/>
      <w:numFmt w:val="decimal"/>
      <w:start w:val="9"/>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3"/>
    </w:lvl>
  </w:abstractNum>
  <w:abstractNum w:abstractNumId="7">
    <w:nsid w:val="66EF438D"/>
    <w:multiLevelType w:val="hybridMultilevel"/>
    <w:lvl w:ilvl="0">
      <w:lvlJc w:val="left"/>
      <w:lvlText w:val="%1."/>
      <w:numFmt w:val="decimal"/>
      <w:start w:val="9"/>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3"/>
    </w:lvl>
    <w:lvl w:ilvl="1">
      <w:lvlJc w:val="left"/>
      <w:lvlText w:val="%2"/>
      <w:numFmt w:val="upperLetter"/>
      <w:start w:val="1"/>
    </w:lvl>
  </w:abstractNum>
  <w:abstractNum w:abstractNumId="11">
    <w:nsid w:val="DED7263"/>
    <w:multiLevelType w:val="hybridMultilevel"/>
    <w:lvl w:ilvl="0">
      <w:lvlJc w:val="left"/>
      <w:lvlText w:val="(%1)"/>
      <w:numFmt w:val="lowerLetter"/>
      <w:start w:val="5"/>
    </w:lvl>
  </w:abstractNum>
  <w:abstractNum w:abstractNumId="12">
    <w:nsid w:val="7FDCC233"/>
    <w:multiLevelType w:val="hybridMultilevel"/>
    <w:lvl w:ilvl="0">
      <w:lvlJc w:val="left"/>
      <w:lvlText w:val="(%1)"/>
      <w:numFmt w:val="lowerLetter"/>
      <w:start w:val="3"/>
    </w:lvl>
    <w:lvl w:ilvl="1">
      <w:lvlJc w:val="left"/>
      <w:lvlText w:val="(%2)"/>
      <w:numFmt w:val="lowerLetter"/>
      <w:start w:val="9"/>
    </w:lvl>
  </w:abstractNum>
  <w:abstractNum w:abstractNumId="13">
    <w:nsid w:val="1BEFD79F"/>
    <w:multiLevelType w:val="hybridMultilevel"/>
    <w:lvl w:ilvl="0">
      <w:lvlJc w:val="left"/>
      <w:lvlText w:val="(%1)"/>
      <w:numFmt w:val="lowerRoman"/>
      <w:start w:val="2"/>
    </w:lvl>
  </w:abstractNum>
  <w:abstractNum w:abstractNumId="14">
    <w:nsid w:val="41A7C4C9"/>
    <w:multiLevelType w:val="hybridMultilevel"/>
    <w:lvl w:ilvl="0">
      <w:lvlJc w:val="left"/>
      <w:lvlText w:val="(%1)"/>
      <w:numFmt w:val="lowerRoman"/>
      <w:start w:val="3"/>
    </w:lvl>
  </w:abstractNum>
  <w:abstractNum w:abstractNumId="15">
    <w:nsid w:val="6B68079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2019-12-17T07:20:04Z</dcterms:created>
  <dcterms:modified xsi:type="dcterms:W3CDTF">2019-12-17T07:20:04Z</dcterms:modified>
</cp:coreProperties>
</file>