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479" w:hanging="9"/>
        <w:spacing w:after="0" w:line="536" w:lineRule="auto"/>
        <w:tabs>
          <w:tab w:leader="none" w:pos="13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17878Y108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Horizon Kinetics LLC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238" w:lineRule="auto"/>
        <w:rPr>
          <w:sz w:val="20"/>
          <w:szCs w:val="20"/>
          <w:color w:val="auto"/>
        </w:rPr>
      </w:pPr>
      <w:r>
        <w:rPr>
          <w:rFonts w:ascii="Courier New" w:cs="Courier New" w:eastAsia="Courier New" w:hAnsi="Courier New"/>
          <w:sz w:val="18"/>
          <w:szCs w:val="18"/>
          <w:color w:val="auto"/>
        </w:rPr>
        <w:t>Owned by Each Reporting Person With:</w:t>
      </w:r>
    </w:p>
    <w:p>
      <w:pPr>
        <w:spacing w:after="0" w:line="202" w:lineRule="exact"/>
        <w:rPr>
          <w:sz w:val="24"/>
          <w:szCs w:val="24"/>
          <w:color w:val="auto"/>
        </w:rPr>
      </w:pPr>
    </w:p>
    <w:p>
      <w:pPr>
        <w:ind w:left="860"/>
        <w:spacing w:after="0"/>
        <w:tabs>
          <w:tab w:leader="none" w:pos="3360" w:val="left"/>
        </w:tabs>
        <w:rPr>
          <w:sz w:val="20"/>
          <w:szCs w:val="20"/>
          <w:color w:val="auto"/>
        </w:rPr>
      </w:pP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6"/>
          <w:szCs w:val="16"/>
          <w:color w:val="auto"/>
        </w:rPr>
        <w:t>14,684,389</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 Shared Voting Power: 0</w:t>
      </w:r>
    </w:p>
    <w:p>
      <w:pPr>
        <w:spacing w:after="0" w:line="201" w:lineRule="exact"/>
        <w:rPr>
          <w:sz w:val="24"/>
          <w:szCs w:val="24"/>
          <w:color w:val="auto"/>
        </w:rPr>
      </w:pPr>
    </w:p>
    <w:p>
      <w:pPr>
        <w:ind w:left="860"/>
        <w:spacing w:after="0"/>
        <w:tabs>
          <w:tab w:leader="none" w:pos="388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14,684,389</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220"/>
        <w:spacing w:after="0" w:line="238" w:lineRule="auto"/>
        <w:rPr>
          <w:sz w:val="20"/>
          <w:szCs w:val="20"/>
          <w:color w:val="auto"/>
        </w:rPr>
      </w:pPr>
      <w:r>
        <w:rPr>
          <w:rFonts w:ascii="Courier New" w:cs="Courier New" w:eastAsia="Courier New" w:hAnsi="Courier New"/>
          <w:sz w:val="18"/>
          <w:szCs w:val="18"/>
          <w:color w:val="auto"/>
        </w:rPr>
        <w:t>14,684,389</w:t>
      </w:r>
    </w:p>
    <w:p>
      <w:pPr>
        <w:spacing w:after="0" w:line="207"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11.1%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HC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Horizon Asset Management LLC</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238" w:lineRule="auto"/>
        <w:rPr>
          <w:sz w:val="20"/>
          <w:szCs w:val="20"/>
          <w:color w:val="auto"/>
        </w:rPr>
      </w:pPr>
      <w:r>
        <w:rPr>
          <w:rFonts w:ascii="Courier New" w:cs="Courier New" w:eastAsia="Courier New" w:hAnsi="Courier New"/>
          <w:sz w:val="18"/>
          <w:szCs w:val="18"/>
          <w:color w:val="auto"/>
        </w:rPr>
        <w:t>Owned by Each Reporting Person With:</w:t>
      </w:r>
    </w:p>
    <w:p>
      <w:pPr>
        <w:spacing w:after="0" w:line="202" w:lineRule="exact"/>
        <w:rPr>
          <w:sz w:val="20"/>
          <w:szCs w:val="20"/>
          <w:color w:val="auto"/>
        </w:rPr>
      </w:pP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6"/>
          <w:szCs w:val="16"/>
          <w:color w:val="auto"/>
        </w:rPr>
        <w:t>12,631,728</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 Shared Voting Power: 0</w:t>
      </w:r>
    </w:p>
    <w:p>
      <w:pPr>
        <w:spacing w:after="0" w:line="201" w:lineRule="exact"/>
        <w:rPr>
          <w:sz w:val="20"/>
          <w:szCs w:val="20"/>
          <w:color w:val="auto"/>
        </w:rPr>
      </w:pPr>
    </w:p>
    <w:p>
      <w:pPr>
        <w:ind w:left="860"/>
        <w:spacing w:after="0"/>
        <w:tabs>
          <w:tab w:leader="none" w:pos="378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12,631,728</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220"/>
        <w:spacing w:after="0" w:line="238" w:lineRule="auto"/>
        <w:rPr>
          <w:sz w:val="20"/>
          <w:szCs w:val="20"/>
          <w:color w:val="auto"/>
        </w:rPr>
      </w:pPr>
      <w:r>
        <w:rPr>
          <w:rFonts w:ascii="Courier New" w:cs="Courier New" w:eastAsia="Courier New" w:hAnsi="Courier New"/>
          <w:sz w:val="18"/>
          <w:szCs w:val="18"/>
          <w:color w:val="auto"/>
        </w:rPr>
        <w:t>12,631,728</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CIVEO CORPORATION</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860"/>
        <w:spacing w:after="0" w:line="238" w:lineRule="auto"/>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rPr>
          <w:sz w:val="20"/>
          <w:szCs w:val="20"/>
          <w:color w:val="auto"/>
        </w:rPr>
      </w:pPr>
      <w:r>
        <w:rPr>
          <w:rFonts w:ascii="Courier New" w:cs="Courier New" w:eastAsia="Courier New" w:hAnsi="Courier New"/>
          <w:sz w:val="18"/>
          <w:szCs w:val="18"/>
          <w:color w:val="auto"/>
        </w:rPr>
        <w:t>Item 2.</w:t>
      </w:r>
    </w:p>
    <w:p>
      <w:pPr>
        <w:spacing w:after="0" w:line="3" w:lineRule="exact"/>
        <w:rPr>
          <w:sz w:val="20"/>
          <w:szCs w:val="20"/>
          <w:color w:val="auto"/>
        </w:rPr>
      </w:pPr>
    </w:p>
    <w:p>
      <w:pPr>
        <w:ind w:left="860" w:right="6419" w:hanging="852"/>
        <w:spacing w:after="0" w:line="279"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Persons Filing: Horizon Kinetics LLC Horizon Asset Management LLC</w:t>
      </w:r>
    </w:p>
    <w:p>
      <w:pPr>
        <w:spacing w:after="0" w:line="178" w:lineRule="exact"/>
        <w:rPr>
          <w:rFonts w:ascii="Courier New" w:cs="Courier New" w:eastAsia="Courier New" w:hAnsi="Courier New"/>
          <w:sz w:val="16"/>
          <w:szCs w:val="16"/>
          <w:color w:val="auto"/>
        </w:rPr>
      </w:pPr>
    </w:p>
    <w:p>
      <w:pPr>
        <w:ind w:left="860" w:right="3039" w:hanging="852"/>
        <w:spacing w:after="0" w:line="290"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470 Park Avenue South, 4th Floor South, NY, NY, 10016</w:t>
      </w:r>
    </w:p>
    <w:p>
      <w:pPr>
        <w:spacing w:after="0" w:line="169" w:lineRule="exact"/>
        <w:rPr>
          <w:rFonts w:ascii="Courier New" w:cs="Courier New" w:eastAsia="Courier New" w:hAnsi="Courier New"/>
          <w:sz w:val="16"/>
          <w:szCs w:val="16"/>
          <w:color w:val="auto"/>
        </w:rPr>
      </w:pPr>
    </w:p>
    <w:p>
      <w:pPr>
        <w:ind w:left="860" w:right="8099" w:hanging="852"/>
        <w:spacing w:after="0" w:line="290"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spacing w:after="0" w:line="169" w:lineRule="exact"/>
        <w:rPr>
          <w:rFonts w:ascii="Courier New" w:cs="Courier New" w:eastAsia="Courier New" w:hAnsi="Courier New"/>
          <w:sz w:val="16"/>
          <w:szCs w:val="16"/>
          <w:color w:val="auto"/>
        </w:rPr>
      </w:pPr>
    </w:p>
    <w:p>
      <w:pPr>
        <w:ind w:left="860" w:right="619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Stock</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No.:17878Y108</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right="29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14,684,389</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14,684,389</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14,684,389</w:t>
      </w:r>
    </w:p>
    <w:p>
      <w:pPr>
        <w:spacing w:after="0" w:line="16" w:lineRule="exact"/>
        <w:rPr>
          <w:rFonts w:ascii="Courier New" w:cs="Courier New" w:eastAsia="Courier New" w:hAnsi="Courier New"/>
          <w:sz w:val="16"/>
          <w:szCs w:val="16"/>
          <w:color w:val="auto"/>
        </w:rPr>
      </w:pP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Five Percent or Less of a Class.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is being filed to report the fact that as of</w:t>
            </w:r>
          </w:p>
        </w:tc>
      </w:tr>
      <w:tr>
        <w:trPr>
          <w:trHeight w:val="203"/>
        </w:trPr>
        <w:tc>
          <w:tcPr>
            <w:tcW w:w="6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the date hereof the reporting person has ceased to be the</w:t>
            </w:r>
          </w:p>
        </w:tc>
      </w:tr>
      <w:tr>
        <w:trPr>
          <w:trHeight w:val="203"/>
        </w:trPr>
        <w:tc>
          <w:tcPr>
            <w:tcW w:w="6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beneficial owner of more than five percent of the class of</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securities, check</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following [</w:t>
            </w:r>
          </w:p>
        </w:tc>
        <w:tc>
          <w:tcPr>
            <w:tcW w:w="316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of more than Five Percent on Behalf of Another</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18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60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Identification and classification of the subsidiary which</w:t>
            </w:r>
          </w:p>
        </w:tc>
      </w:tr>
    </w:tbl>
    <w:p>
      <w:pPr>
        <w:sectPr>
          <w:pgSz w:w="11900" w:h="16838" w:orient="portrait"/>
          <w:cols w:equalWidth="0" w:num="1">
            <w:col w:w="10219"/>
          </w:cols>
          <w:pgMar w:left="240" w:top="339" w:right="1440" w:bottom="0" w:gutter="0" w:footer="0" w:header="0"/>
        </w:sectPr>
      </w:pPr>
    </w:p>
    <w:bookmarkStart w:id="2" w:name="page3"/>
    <w:bookmarkEnd w:id="2"/>
    <w:p>
      <w:pPr>
        <w:ind w:right="377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 or control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9, 2017</w:t>
      </w:r>
    </w:p>
    <w:p>
      <w:pPr>
        <w:spacing w:after="0" w:line="238" w:lineRule="auto"/>
        <w:rPr>
          <w:sz w:val="20"/>
          <w:szCs w:val="20"/>
          <w:color w:val="auto"/>
        </w:rPr>
      </w:pPr>
      <w:r>
        <w:rPr>
          <w:rFonts w:ascii="Courier New" w:cs="Courier New" w:eastAsia="Courier New" w:hAnsi="Courier New"/>
          <w:sz w:val="18"/>
          <w:szCs w:val="18"/>
          <w:color w:val="auto"/>
        </w:rPr>
        <w:t>Signature: Jay Kesslen</w:t>
      </w:r>
    </w:p>
    <w:p>
      <w:pPr>
        <w:spacing w:after="0"/>
        <w:rPr>
          <w:sz w:val="20"/>
          <w:szCs w:val="20"/>
          <w:color w:val="auto"/>
        </w:rPr>
      </w:pPr>
      <w:r>
        <w:rPr>
          <w:rFonts w:ascii="Courier New" w:cs="Courier New" w:eastAsia="Courier New" w:hAnsi="Courier New"/>
          <w:sz w:val="18"/>
          <w:szCs w:val="18"/>
          <w:color w:val="auto"/>
        </w:rPr>
        <w:t>Jay Kesslen</w:t>
      </w:r>
    </w:p>
    <w:p>
      <w:pPr>
        <w:spacing w:after="0" w:line="237"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instructions in Item 7 of Schedule 13G,</w:t>
      </w:r>
    </w:p>
    <w:p>
      <w:pPr>
        <w:spacing w:after="0" w:line="4" w:lineRule="exact"/>
        <w:rPr>
          <w:sz w:val="20"/>
          <w:szCs w:val="20"/>
          <w:color w:val="auto"/>
        </w:rPr>
      </w:pPr>
    </w:p>
    <w:p>
      <w:pPr>
        <w:jc w:val="both"/>
        <w:ind w:right="3039"/>
        <w:spacing w:after="0" w:line="236" w:lineRule="auto"/>
        <w:rPr>
          <w:sz w:val="20"/>
          <w:szCs w:val="20"/>
          <w:color w:val="auto"/>
        </w:rPr>
      </w:pPr>
      <w:r>
        <w:rPr>
          <w:rFonts w:ascii="Courier New" w:cs="Courier New" w:eastAsia="Courier New" w:hAnsi="Courier New"/>
          <w:sz w:val="18"/>
          <w:szCs w:val="18"/>
          <w:color w:val="auto"/>
        </w:rPr>
        <w:t>the following table lists the identity and Item 3 classification, if applicable, of each relevant entity that beneficially owns shares of the security class being reported on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Item 3 Classification:</w:t>
      </w:r>
    </w:p>
    <w:p>
      <w:pPr>
        <w:spacing w:after="0" w:line="238" w:lineRule="auto"/>
        <w:rPr>
          <w:sz w:val="20"/>
          <w:szCs w:val="20"/>
          <w:color w:val="auto"/>
        </w:rPr>
      </w:pPr>
      <w:r>
        <w:rPr>
          <w:rFonts w:ascii="Courier New" w:cs="Courier New" w:eastAsia="Courier New" w:hAnsi="Courier New"/>
          <w:sz w:val="18"/>
          <w:szCs w:val="18"/>
          <w:color w:val="auto"/>
        </w:rPr>
        <w:t>Horizon Asset Management LLC*, IA</w:t>
      </w:r>
    </w:p>
    <w:p>
      <w:pPr>
        <w:spacing w:after="0"/>
        <w:rPr>
          <w:sz w:val="20"/>
          <w:szCs w:val="20"/>
          <w:color w:val="auto"/>
        </w:rPr>
      </w:pPr>
      <w:r>
        <w:rPr>
          <w:rFonts w:ascii="Courier New" w:cs="Courier New" w:eastAsia="Courier New" w:hAnsi="Courier New"/>
          <w:sz w:val="18"/>
          <w:szCs w:val="18"/>
          <w:color w:val="auto"/>
        </w:rPr>
        <w:t>Kinetics Asset Management LLC, IA</w:t>
      </w:r>
    </w:p>
    <w:p>
      <w:pPr>
        <w:spacing w:after="0" w:line="237" w:lineRule="auto"/>
        <w:rPr>
          <w:sz w:val="20"/>
          <w:szCs w:val="20"/>
          <w:color w:val="auto"/>
        </w:rPr>
      </w:pPr>
      <w:r>
        <w:rPr>
          <w:rFonts w:ascii="Courier New" w:cs="Courier New" w:eastAsia="Courier New" w:hAnsi="Courier New"/>
          <w:sz w:val="18"/>
          <w:szCs w:val="18"/>
          <w:color w:val="auto"/>
        </w:rPr>
        <w:t>Kinetics Advisers, LLC, IA</w:t>
      </w:r>
    </w:p>
    <w:p>
      <w:pPr>
        <w:spacing w:after="0" w:line="207"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This joint filing agreement dated June 9, 2017 is by and among Horizon Kinetics LLC, Horizon Asset Management, LLC, Kinetics Asset Management, LLC and Kinetics Advisers, LLC ("the Filing Persons").</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Each of the filing persons may be required to file with the United States Securities and Exchange Commission a statement on Schedule 13G with respect to the common stock beneficially owned by them from time to time.</w:t>
      </w:r>
    </w:p>
    <w:p>
      <w:pPr>
        <w:spacing w:after="0" w:line="207"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Pursuant to and in accordance with Rule 13d-1(k) promulgated under the Securities Exchange Act of 1934, as amended, the Filing Persons hereby agree to file a single statement on Schedule 13G</w:t>
      </w:r>
    </w:p>
    <w:p>
      <w:pPr>
        <w:spacing w:after="0" w:line="1"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and any amendments thereto on behalf of each such parties, and hereby further agree to file this Joint Filing Agreement as an exhibit to such statement, as required by such rule.</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This joint filing agreement may be terminated by any of filers upon one week's written notice or such lesser period of notice as the Filing Persons many mutually agree.</w:t>
      </w:r>
    </w:p>
    <w:p>
      <w:pPr>
        <w:spacing w:after="0" w:line="209"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Horizon Kinetics LLC, Horizon Asset Management,LLC, Kinetics Asset Management, LLC and Kinetics Advisers,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Jay Kesslen</w:t>
      </w:r>
    </w:p>
    <w:p>
      <w:pPr>
        <w:spacing w:after="0" w:line="238" w:lineRule="auto"/>
        <w:rPr>
          <w:sz w:val="20"/>
          <w:szCs w:val="20"/>
          <w:color w:val="auto"/>
        </w:rPr>
      </w:pPr>
      <w:r>
        <w:rPr>
          <w:rFonts w:ascii="Courier New" w:cs="Courier New" w:eastAsia="Courier New" w:hAnsi="Courier New"/>
          <w:sz w:val="18"/>
          <w:szCs w:val="18"/>
          <w:color w:val="auto"/>
        </w:rPr>
        <w:t>General Counsel of each.</w:t>
      </w:r>
    </w:p>
    <w:sectPr>
      <w:pgSz w:w="11900" w:h="16838" w:orient="portrait"/>
      <w:cols w:equalWidth="0" w:num="1">
        <w:col w:w="10219"/>
      </w:cols>
      <w:pgMar w:left="240" w:top="142"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2019-12-21T03:35:16Z</dcterms:created>
  <dcterms:modified xsi:type="dcterms:W3CDTF">2019-12-21T03:35:16Z</dcterms:modified>
</cp:coreProperties>
</file>