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4862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86219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Dodson Bradley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02/22/2023</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97"/>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264"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00" w:type="dxa"/>
            <w:vAlign w:val="bottom"/>
            <w:gridSpan w:val="6"/>
            <w:vMerge w:val="restart"/>
          </w:tcPr>
          <w:p>
            <w:pPr>
              <w:jc w:val="center"/>
              <w:ind w:right="37"/>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gridSpan w:val="6"/>
            <w:vMerge w:val="continue"/>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77002</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40" w:type="dxa"/>
            <w:vAlign w:val="bottom"/>
            <w:gridSpan w:val="10"/>
          </w:tcPr>
          <w:p>
            <w:pPr>
              <w:ind w:left="4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2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02/22/2023</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ind w:left="260"/>
              <w:spacing w:after="0"/>
              <w:rPr>
                <w:sz w:val="20"/>
                <w:szCs w:val="20"/>
                <w:color w:val="auto"/>
              </w:rPr>
            </w:pPr>
            <w:r>
              <w:rPr>
                <w:rFonts w:ascii="Times New Roman" w:cs="Times New Roman" w:eastAsia="Times New Roman" w:hAnsi="Times New Roman"/>
                <w:sz w:val="17"/>
                <w:szCs w:val="17"/>
                <w:color w:val="0000FF"/>
                <w:w w:val="94"/>
              </w:rPr>
              <w:t>21,149</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211,267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02/22/2023</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ind w:left="260"/>
              <w:spacing w:after="0"/>
              <w:rPr>
                <w:sz w:val="20"/>
                <w:szCs w:val="20"/>
                <w:color w:val="auto"/>
              </w:rPr>
            </w:pPr>
            <w:r>
              <w:rPr>
                <w:rFonts w:ascii="Times New Roman" w:cs="Times New Roman" w:eastAsia="Times New Roman" w:hAnsi="Times New Roman"/>
                <w:sz w:val="17"/>
                <w:szCs w:val="17"/>
                <w:color w:val="0000FF"/>
                <w:w w:val="94"/>
              </w:rPr>
              <w:t>21,149</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32.02</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190,118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56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5"/>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5"/>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20"/>
                <w:szCs w:val="20"/>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02/22/2023</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21,149</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21,149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104,766</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Each phantom share was the economic equivalent of one Civeo common share payable in cash. the phantom shares vest at various times based on grant date. 21,149 shares vested on February 22, 2023.</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02/23/2023</w:t>
            </w:r>
          </w:p>
        </w:tc>
      </w:tr>
      <w:tr>
        <w:trPr>
          <w:trHeight w:val="20"/>
        </w:trPr>
        <w:tc>
          <w:tcPr>
            <w:tcW w:w="14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397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2023-02-23T18:51:38Z</dcterms:created>
  <dcterms:modified xsi:type="dcterms:W3CDTF">2023-02-23T18:51:38Z</dcterms:modified>
</cp:coreProperties>
</file>