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4"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11, 2017</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u w:val="single" w:color="auto"/>
          <w:color w:val="auto"/>
        </w:rPr>
        <w:t>____________________</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3360" w:type="dxa"/>
            <w:vAlign w:val="bottom"/>
          </w:tcPr>
          <w:p>
            <w:pPr>
              <w:jc w:val="center"/>
              <w:ind w:right="930"/>
              <w:spacing w:after="0"/>
              <w:rPr>
                <w:sz w:val="20"/>
                <w:szCs w:val="20"/>
                <w:color w:val="auto"/>
              </w:rPr>
            </w:pPr>
            <w:r>
              <w:rPr>
                <w:rFonts w:ascii="Arial" w:cs="Arial" w:eastAsia="Arial" w:hAnsi="Arial"/>
                <w:sz w:val="18"/>
                <w:szCs w:val="18"/>
                <w:b w:val="1"/>
                <w:bCs w:val="1"/>
                <w:color w:val="auto"/>
                <w:w w:val="92"/>
              </w:rPr>
              <w:t>British Columbia, Canada</w:t>
            </w:r>
          </w:p>
        </w:tc>
        <w:tc>
          <w:tcPr>
            <w:tcW w:w="3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1-36246</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336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w:t>
            </w:r>
          </w:p>
        </w:tc>
        <w:tc>
          <w:tcPr>
            <w:tcW w:w="3540" w:type="dxa"/>
            <w:vAlign w:val="bottom"/>
          </w:tcPr>
          <w:p>
            <w:pPr>
              <w:jc w:val="center"/>
              <w:ind w:right="170"/>
              <w:spacing w:after="0"/>
              <w:rPr>
                <w:sz w:val="20"/>
                <w:szCs w:val="20"/>
                <w:color w:val="auto"/>
              </w:rPr>
            </w:pPr>
            <w:r>
              <w:rPr>
                <w:rFonts w:ascii="Arial" w:cs="Arial" w:eastAsia="Arial" w:hAnsi="Arial"/>
                <w:sz w:val="18"/>
                <w:szCs w:val="18"/>
                <w:color w:val="auto"/>
                <w:w w:val="92"/>
              </w:rPr>
              <w:t>(Commission File</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910"/>
              <w:spacing w:after="0"/>
              <w:rPr>
                <w:sz w:val="20"/>
                <w:szCs w:val="20"/>
                <w:color w:val="auto"/>
              </w:rPr>
            </w:pPr>
            <w:r>
              <w:rPr>
                <w:rFonts w:ascii="Arial" w:cs="Arial" w:eastAsia="Arial" w:hAnsi="Arial"/>
                <w:sz w:val="18"/>
                <w:szCs w:val="18"/>
                <w:color w:val="auto"/>
                <w:w w:val="92"/>
              </w:rPr>
              <w:t>of incorporation or organization)</w:t>
            </w:r>
          </w:p>
        </w:tc>
        <w:tc>
          <w:tcPr>
            <w:tcW w:w="3540" w:type="dxa"/>
            <w:vAlign w:val="bottom"/>
          </w:tcPr>
          <w:p>
            <w:pPr>
              <w:jc w:val="center"/>
              <w:ind w:right="170"/>
              <w:spacing w:after="0"/>
              <w:rPr>
                <w:sz w:val="20"/>
                <w:szCs w:val="20"/>
                <w:color w:val="auto"/>
              </w:rPr>
            </w:pPr>
            <w:r>
              <w:rPr>
                <w:rFonts w:ascii="Arial" w:cs="Arial" w:eastAsia="Arial" w:hAnsi="Arial"/>
                <w:sz w:val="18"/>
                <w:szCs w:val="18"/>
                <w:color w:val="auto"/>
                <w:w w:val="91"/>
              </w:rPr>
              <w:t>Number)</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68"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654685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2017 Annual General Meeting of Shareholders held on May 11, 2017, the shareholders of Civeo Corporation (“Civeo”): (1) elected two Class</w:t>
      </w:r>
    </w:p>
    <w:p>
      <w:pPr>
        <w:spacing w:after="0" w:line="46" w:lineRule="exact"/>
        <w:rPr>
          <w:sz w:val="20"/>
          <w:szCs w:val="20"/>
          <w:color w:val="auto"/>
        </w:rPr>
      </w:pPr>
    </w:p>
    <w:p>
      <w:pPr>
        <w:ind w:right="80" w:firstLine="8"/>
        <w:spacing w:after="0" w:line="253" w:lineRule="auto"/>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nominees to Civeo’s Board of Directors (the “Board”); (2) ratified the appointment of Ernst &amp; Young LLP as Civeo’s auditor and independent registered public accounting firm for 2017 and until the next annual general meeting of shareholders and authorized the Board to determine the remuneration to be paid to Ernst &amp; Young LLP for 2017; and (3) voted, on an advisory basis, in favor of the compensation of the persons listed as named executive officers in Civeo’s proxy statement for the meeting. The proposals related to each matter are described in detail in Civeo’s proxy statement filed with the Securities and Exchange Commission on April 10, 2017. The voting results for each proposal are as follows: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Proposal 1 - To elect the two Class III nominees to the Board:</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6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Withheld</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82,784,981</w:t>
            </w: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833,558</w:t>
            </w:r>
          </w:p>
        </w:tc>
        <w:tc>
          <w:tcPr>
            <w:tcW w:w="18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28,369,744</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Timothy O. Wall</w:t>
            </w: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82,769,801</w:t>
            </w:r>
          </w:p>
        </w:tc>
        <w:tc>
          <w:tcPr>
            <w:tcW w:w="24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848,738</w:t>
            </w:r>
          </w:p>
        </w:tc>
        <w:tc>
          <w:tcPr>
            <w:tcW w:w="2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28,369,744</w:t>
            </w:r>
          </w:p>
        </w:tc>
      </w:tr>
    </w:tbl>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Proposal 2 - To ratify the appointment of Ernst &amp; Young LLP as Civeo’s auditor and independent registered public accounting firm for 2017 and until the next annual general meeting of shareholders and authorize the Board to determine the remuneration to be paid to Ernst &amp; Young LLP for 2017:</w:t>
      </w:r>
    </w:p>
    <w:p>
      <w:pPr>
        <w:spacing w:after="0" w:line="143"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Withheld</w:t>
            </w:r>
          </w:p>
        </w:tc>
        <w:tc>
          <w:tcPr>
            <w:tcW w:w="3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2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Invalid</w:t>
            </w:r>
          </w:p>
        </w:tc>
      </w:tr>
      <w:tr>
        <w:trPr>
          <w:trHeight w:val="210"/>
        </w:trPr>
        <w:tc>
          <w:tcPr>
            <w:tcW w:w="20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111,780,137</w:t>
            </w: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208,146</w:t>
            </w:r>
          </w:p>
        </w:tc>
        <w:tc>
          <w:tcPr>
            <w:tcW w:w="3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3 - To approve, on an advisory basis, the compensation of the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60" w:type="dxa"/>
            <w:vAlign w:val="bottom"/>
          </w:tcPr>
          <w:p>
            <w:pPr>
              <w:spacing w:after="0"/>
              <w:rPr>
                <w:sz w:val="20"/>
                <w:szCs w:val="20"/>
                <w:color w:val="auto"/>
              </w:rPr>
            </w:pPr>
          </w:p>
        </w:tc>
        <w:tc>
          <w:tcPr>
            <w:tcW w:w="264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Against</w:t>
            </w:r>
          </w:p>
        </w:tc>
        <w:tc>
          <w:tcPr>
            <w:tcW w:w="440" w:type="dxa"/>
            <w:vAlign w:val="bottom"/>
          </w:tcPr>
          <w:p>
            <w:pPr>
              <w:spacing w:after="0"/>
              <w:rPr>
                <w:sz w:val="20"/>
                <w:szCs w:val="20"/>
                <w:color w:val="auto"/>
              </w:rPr>
            </w:pPr>
          </w:p>
        </w:tc>
        <w:tc>
          <w:tcPr>
            <w:tcW w:w="21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Abstain</w:t>
            </w:r>
          </w:p>
        </w:tc>
        <w:tc>
          <w:tcPr>
            <w:tcW w:w="29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0"/>
              </w:rPr>
              <w:t>Broker Non-Votes</w:t>
            </w:r>
          </w:p>
        </w:tc>
        <w:tc>
          <w:tcPr>
            <w:tcW w:w="44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2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82,793,602</w:t>
            </w:r>
          </w:p>
        </w:tc>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695,355</w:t>
            </w:r>
          </w:p>
        </w:tc>
        <w:tc>
          <w:tcPr>
            <w:tcW w:w="440" w:type="dxa"/>
            <w:vAlign w:val="bottom"/>
            <w:shd w:val="clear" w:color="auto" w:fill="CCEEFF"/>
          </w:tcPr>
          <w:p>
            <w:pPr>
              <w:spacing w:after="0"/>
              <w:rPr>
                <w:sz w:val="18"/>
                <w:szCs w:val="18"/>
                <w:color w:val="auto"/>
              </w:rPr>
            </w:pPr>
          </w:p>
        </w:tc>
        <w:tc>
          <w:tcPr>
            <w:tcW w:w="2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129,582</w:t>
            </w:r>
          </w:p>
        </w:tc>
        <w:tc>
          <w:tcPr>
            <w:tcW w:w="29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28,369,744</w:t>
            </w:r>
          </w:p>
        </w:tc>
        <w:tc>
          <w:tcPr>
            <w:tcW w:w="440" w:type="dxa"/>
            <w:vAlign w:val="bottom"/>
          </w:tcPr>
          <w:p>
            <w:pPr>
              <w:spacing w:after="0"/>
              <w:rPr>
                <w:sz w:val="18"/>
                <w:szCs w:val="18"/>
                <w:color w:val="auto"/>
              </w:rPr>
            </w:pPr>
          </w:p>
        </w:tc>
      </w:tr>
      <w:tr>
        <w:trPr>
          <w:trHeight w:val="1212"/>
        </w:trPr>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1"/>
        </w:trPr>
        <w:tc>
          <w:tcPr>
            <w:tcW w:w="420" w:type="dxa"/>
            <w:vAlign w:val="bottom"/>
            <w:shd w:val="clear" w:color="auto" w:fill="808080"/>
          </w:tcPr>
          <w:p>
            <w:pPr>
              <w:spacing w:after="0"/>
              <w:rPr>
                <w:sz w:val="5"/>
                <w:szCs w:val="5"/>
                <w:color w:val="auto"/>
              </w:rPr>
            </w:pPr>
          </w:p>
        </w:tc>
        <w:tc>
          <w:tcPr>
            <w:tcW w:w="20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29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C. Steininger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Frank C. Steininger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6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2019-12-07T21:27:44Z</dcterms:created>
  <dcterms:modified xsi:type="dcterms:W3CDTF">2019-12-07T21:27:44Z</dcterms:modified>
</cp:coreProperties>
</file>