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866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6613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3"/>
        <w:spacing w:after="0"/>
        <w:rPr>
          <w:sz w:val="20"/>
          <w:szCs w:val="20"/>
          <w:color w:val="auto"/>
        </w:rPr>
      </w:pPr>
      <w:r>
        <w:rPr>
          <w:rFonts w:ascii="Arial" w:cs="Arial" w:eastAsia="Arial" w:hAnsi="Arial"/>
          <w:sz w:val="17"/>
          <w:szCs w:val="17"/>
          <w:color w:val="0000FF"/>
        </w:rPr>
        <w:t>VP, Controller &amp; Corporate Sec</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8"/>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  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5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8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vMerge w:val="restart"/>
          </w:tcPr>
          <w:p>
            <w:pPr>
              <w:jc w:val="right"/>
              <w:ind w:right="122"/>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6"/>
              <w:spacing w:after="0"/>
              <w:rPr>
                <w:sz w:val="20"/>
                <w:szCs w:val="20"/>
                <w:color w:val="auto"/>
              </w:rPr>
            </w:pPr>
            <w:r>
              <w:rPr>
                <w:rFonts w:ascii="Arial" w:cs="Arial" w:eastAsia="Arial" w:hAnsi="Arial"/>
                <w:sz w:val="13"/>
                <w:szCs w:val="13"/>
                <w:color w:val="0000FF"/>
              </w:rPr>
              <w:t>M</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91"/>
              </w:rPr>
              <w:t>104,168</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49"/>
              <w:spacing w:after="0"/>
              <w:rPr>
                <w:sz w:val="20"/>
                <w:szCs w:val="20"/>
                <w:color w:val="auto"/>
              </w:rPr>
            </w:pPr>
            <w:r>
              <w:rPr>
                <w:rFonts w:ascii="Arial" w:cs="Arial" w:eastAsia="Arial" w:hAnsi="Arial"/>
                <w:sz w:val="11"/>
                <w:szCs w:val="11"/>
                <w:color w:val="008000"/>
                <w:w w:val="96"/>
              </w:rPr>
              <w:t>(1)(2)</w:t>
            </w:r>
          </w:p>
        </w:tc>
        <w:tc>
          <w:tcPr>
            <w:tcW w:w="40" w:type="dxa"/>
            <w:vAlign w:val="bottom"/>
          </w:tcPr>
          <w:p>
            <w:pPr>
              <w:spacing w:after="0"/>
              <w:rPr>
                <w:sz w:val="23"/>
                <w:szCs w:val="23"/>
                <w:color w:val="auto"/>
              </w:rPr>
            </w:pPr>
          </w:p>
        </w:tc>
        <w:tc>
          <w:tcPr>
            <w:tcW w:w="1340" w:type="dxa"/>
            <w:vAlign w:val="bottom"/>
            <w:gridSpan w:val="3"/>
          </w:tcPr>
          <w:p>
            <w:pPr>
              <w:jc w:val="right"/>
              <w:ind w:right="278"/>
              <w:spacing w:after="0"/>
              <w:rPr>
                <w:sz w:val="20"/>
                <w:szCs w:val="20"/>
                <w:color w:val="auto"/>
              </w:rPr>
            </w:pPr>
            <w:r>
              <w:rPr>
                <w:rFonts w:ascii="Arial" w:cs="Arial" w:eastAsia="Arial" w:hAnsi="Arial"/>
                <w:sz w:val="17"/>
                <w:szCs w:val="17"/>
                <w:color w:val="0000FF"/>
              </w:rPr>
              <w:t>232,586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6"/>
              <w:spacing w:after="0"/>
              <w:rPr>
                <w:sz w:val="20"/>
                <w:szCs w:val="20"/>
                <w:color w:val="auto"/>
              </w:rPr>
            </w:pPr>
            <w:r>
              <w:rPr>
                <w:rFonts w:ascii="Arial" w:cs="Arial" w:eastAsia="Arial" w:hAnsi="Arial"/>
                <w:sz w:val="13"/>
                <w:szCs w:val="13"/>
                <w:color w:val="0000FF"/>
              </w:rPr>
              <w:t>D</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91"/>
              </w:rPr>
              <w:t>104,168</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9"/>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2.62</w:t>
            </w:r>
          </w:p>
        </w:tc>
        <w:tc>
          <w:tcPr>
            <w:tcW w:w="1340" w:type="dxa"/>
            <w:vAlign w:val="bottom"/>
            <w:gridSpan w:val="3"/>
          </w:tcPr>
          <w:p>
            <w:pPr>
              <w:jc w:val="right"/>
              <w:ind w:right="278"/>
              <w:spacing w:after="0"/>
              <w:rPr>
                <w:sz w:val="20"/>
                <w:szCs w:val="20"/>
                <w:color w:val="auto"/>
              </w:rPr>
            </w:pPr>
            <w:r>
              <w:rPr>
                <w:rFonts w:ascii="Arial" w:cs="Arial" w:eastAsia="Arial" w:hAnsi="Arial"/>
                <w:sz w:val="17"/>
                <w:szCs w:val="17"/>
                <w:color w:val="0000FF"/>
              </w:rPr>
              <w:t>128,418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208,334</w:t>
            </w:r>
            <w:r>
              <w:rPr>
                <w:rFonts w:ascii="Arial" w:cs="Arial" w:eastAsia="Arial" w:hAnsi="Arial"/>
                <w:sz w:val="22"/>
                <w:szCs w:val="22"/>
                <w:color w:val="008000"/>
                <w:w w:val="88"/>
                <w:vertAlign w:val="superscript"/>
              </w:rPr>
              <w:t>(3)</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7"/>
                <w:szCs w:val="17"/>
                <w:color w:val="0000FF"/>
              </w:rPr>
              <w:t>336,752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91"/>
              <w:spacing w:after="0"/>
              <w:rPr>
                <w:sz w:val="20"/>
                <w:szCs w:val="20"/>
                <w:color w:val="auto"/>
              </w:rPr>
            </w:pPr>
            <w:r>
              <w:rPr>
                <w:rFonts w:ascii="Arial" w:cs="Arial" w:eastAsia="Arial" w:hAnsi="Arial"/>
                <w:sz w:val="17"/>
                <w:szCs w:val="17"/>
                <w:color w:val="0000FF"/>
                <w:w w:val="92"/>
              </w:rPr>
              <w:t>81,979</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9"/>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2.62</w:t>
            </w:r>
          </w:p>
        </w:tc>
        <w:tc>
          <w:tcPr>
            <w:tcW w:w="1340" w:type="dxa"/>
            <w:vAlign w:val="bottom"/>
            <w:gridSpan w:val="3"/>
          </w:tcPr>
          <w:p>
            <w:pPr>
              <w:jc w:val="right"/>
              <w:ind w:right="278"/>
              <w:spacing w:after="0"/>
              <w:rPr>
                <w:sz w:val="20"/>
                <w:szCs w:val="20"/>
                <w:color w:val="auto"/>
              </w:rPr>
            </w:pPr>
            <w:r>
              <w:rPr>
                <w:rFonts w:ascii="Arial" w:cs="Arial" w:eastAsia="Arial" w:hAnsi="Arial"/>
                <w:sz w:val="17"/>
                <w:szCs w:val="17"/>
                <w:color w:val="0000FF"/>
              </w:rPr>
              <w:t>254,773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8"/>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8"/>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91"/>
              <w:spacing w:after="0" w:line="134" w:lineRule="exact"/>
              <w:rPr>
                <w:sz w:val="20"/>
                <w:szCs w:val="20"/>
                <w:color w:val="auto"/>
              </w:rPr>
            </w:pPr>
            <w:r>
              <w:rPr>
                <w:rFonts w:ascii="Arial" w:cs="Arial" w:eastAsia="Arial" w:hAnsi="Arial"/>
                <w:sz w:val="12"/>
                <w:szCs w:val="12"/>
                <w:b w:val="1"/>
                <w:bCs w:val="1"/>
                <w:color w:val="auto"/>
                <w:w w:val="98"/>
              </w:rPr>
              <w:t>Expiration</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02/23/2019</w:t>
            </w:r>
          </w:p>
        </w:tc>
        <w:tc>
          <w:tcPr>
            <w:tcW w:w="118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tcPr>
          <w:p>
            <w:pPr>
              <w:ind w:left="500"/>
              <w:spacing w:after="0"/>
              <w:rPr>
                <w:sz w:val="20"/>
                <w:szCs w:val="20"/>
                <w:color w:val="auto"/>
              </w:rPr>
            </w:pPr>
            <w:r>
              <w:rPr>
                <w:rFonts w:ascii="Arial" w:cs="Arial" w:eastAsia="Arial" w:hAnsi="Arial"/>
                <w:sz w:val="13"/>
                <w:szCs w:val="13"/>
                <w:color w:val="0000FF"/>
              </w:rPr>
              <w:t>52,084</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1"/>
              <w:spacing w:after="0"/>
              <w:rPr>
                <w:sz w:val="20"/>
                <w:szCs w:val="20"/>
                <w:color w:val="auto"/>
              </w:rPr>
            </w:pPr>
            <w:r>
              <w:rPr>
                <w:rFonts w:ascii="Arial" w:cs="Arial" w:eastAsia="Arial" w:hAnsi="Arial"/>
                <w:sz w:val="11"/>
                <w:szCs w:val="11"/>
                <w:color w:val="008000"/>
                <w:w w:val="88"/>
              </w:rPr>
              <w:t>(1)</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52,084</w:t>
            </w:r>
          </w:p>
        </w:tc>
        <w:tc>
          <w:tcPr>
            <w:tcW w:w="40" w:type="dxa"/>
            <w:vAlign w:val="bottom"/>
          </w:tcPr>
          <w:p>
            <w:pPr>
              <w:spacing w:after="0"/>
              <w:rPr>
                <w:sz w:val="22"/>
                <w:szCs w:val="22"/>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2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8" w:lineRule="exact"/>
              <w:rPr>
                <w:sz w:val="20"/>
                <w:szCs w:val="20"/>
                <w:color w:val="auto"/>
              </w:rPr>
            </w:pPr>
            <w:r>
              <w:rPr>
                <w:rFonts w:ascii="Arial" w:cs="Arial" w:eastAsia="Arial" w:hAnsi="Arial"/>
                <w:sz w:val="13"/>
                <w:szCs w:val="13"/>
                <w:color w:val="0000FF"/>
              </w:rPr>
              <w:t>Shares</w:t>
            </w: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gridSpan w:val="2"/>
          </w:tcPr>
          <w:p>
            <w:pPr>
              <w:jc w:val="right"/>
              <w:ind w:right="122"/>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ind w:right="71"/>
              <w:spacing w:after="0"/>
              <w:rPr>
                <w:sz w:val="20"/>
                <w:szCs w:val="20"/>
                <w:color w:val="auto"/>
              </w:rPr>
            </w:pPr>
            <w:r>
              <w:rPr>
                <w:rFonts w:ascii="Arial" w:cs="Arial" w:eastAsia="Arial" w:hAnsi="Arial"/>
                <w:sz w:val="11"/>
                <w:szCs w:val="11"/>
                <w:color w:val="008000"/>
                <w:w w:val="88"/>
              </w:rPr>
              <w:t>(2)</w:t>
            </w:r>
          </w:p>
        </w:tc>
        <w:tc>
          <w:tcPr>
            <w:tcW w:w="64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52,084</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jc w:val="right"/>
              <w:ind w:right="137"/>
              <w:spacing w:after="0" w:line="132" w:lineRule="exact"/>
              <w:rPr>
                <w:sz w:val="20"/>
                <w:szCs w:val="20"/>
                <w:color w:val="auto"/>
              </w:rPr>
            </w:pPr>
            <w:r>
              <w:rPr>
                <w:rFonts w:ascii="Arial" w:cs="Arial" w:eastAsia="Arial" w:hAnsi="Arial"/>
                <w:sz w:val="13"/>
                <w:szCs w:val="13"/>
                <w:color w:val="0000FF"/>
              </w:rPr>
              <w:t>02/23/2019</w:t>
            </w:r>
          </w:p>
        </w:tc>
        <w:tc>
          <w:tcPr>
            <w:tcW w:w="1180" w:type="dxa"/>
            <w:vAlign w:val="bottom"/>
          </w:tcPr>
          <w:p>
            <w:pPr>
              <w:spacing w:after="0"/>
              <w:rPr>
                <w:sz w:val="11"/>
                <w:szCs w:val="11"/>
                <w:color w:val="auto"/>
              </w:rPr>
            </w:pPr>
          </w:p>
        </w:tc>
        <w:tc>
          <w:tcPr>
            <w:tcW w:w="74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32" w:lineRule="exact"/>
              <w:rPr>
                <w:sz w:val="20"/>
                <w:szCs w:val="20"/>
                <w:color w:val="auto"/>
              </w:rPr>
            </w:pPr>
            <w:r>
              <w:rPr>
                <w:rFonts w:ascii="Arial" w:cs="Arial" w:eastAsia="Arial" w:hAnsi="Arial"/>
                <w:sz w:val="13"/>
                <w:szCs w:val="13"/>
                <w:color w:val="0000FF"/>
              </w:rPr>
              <w:t>52,084</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tcPr>
          <w:p>
            <w:pPr>
              <w:ind w:left="40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122"/>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Civeo common share and is payable in cash. The phantom shares vest at various times based on the grant date. 52,084 shares vested on February 23, 2019.</w:t>
      </w:r>
    </w:p>
    <w:p>
      <w:pPr>
        <w:spacing w:after="0" w:line="63" w:lineRule="exact"/>
        <w:rPr>
          <w:rFonts w:ascii="Arial" w:cs="Arial" w:eastAsia="Arial" w:hAnsi="Arial"/>
          <w:sz w:val="12"/>
          <w:szCs w:val="12"/>
          <w:color w:val="008000"/>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the economic equivalent of one Civeo common share and is payable in cash. The restricted stock units vest at various times based on the grant date. 52,084 units vested on February 23, 2019.</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a 200% level on the third anniversary of February 23,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ind w:left="6860"/>
        <w:spacing w:after="0" w:line="190" w:lineRule="auto"/>
        <w:rPr>
          <w:sz w:val="20"/>
          <w:szCs w:val="20"/>
          <w:color w:val="auto"/>
        </w:rPr>
      </w:pPr>
      <w:r>
        <w:rPr>
          <w:rFonts w:ascii="Arial" w:cs="Arial" w:eastAsia="Arial" w:hAnsi="Arial"/>
          <w:sz w:val="17"/>
          <w:szCs w:val="17"/>
          <w:color w:val="0000FF"/>
        </w:rPr>
        <w:t xml:space="preserve">/s/ Carolyn Stone, by Bradley J. </w:t>
      </w:r>
      <w:r>
        <w:rPr>
          <w:rFonts w:ascii="Arial" w:cs="Arial" w:eastAsia="Arial" w:hAnsi="Arial"/>
          <w:sz w:val="34"/>
          <w:szCs w:val="34"/>
          <w:color w:val="0000FF"/>
          <w:vertAlign w:val="subscript"/>
        </w:rPr>
        <w:t>02/26/2019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20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014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2019-12-24T08:35:23Z</dcterms:created>
  <dcterms:modified xsi:type="dcterms:W3CDTF">2019-12-24T08:35:23Z</dcterms:modified>
</cp:coreProperties>
</file>