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April 26, 2019</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April 26, 2019, Civeo Corporation (“Civeo”) issued a press release announcing its financial condition and results of operations as of and for the quarter ended March 31, 2019. A copy of the press release is furnished as Exhibit 99.1 to this report on Form 8-K, and is incorporated herein by reference.</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020" w:hanging="427"/>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Number Description of Document</w:t>
      </w:r>
    </w:p>
    <w:p>
      <w:pPr>
        <w:spacing w:after="0" w:line="292" w:lineRule="exact"/>
        <w:rPr>
          <w:sz w:val="20"/>
          <w:szCs w:val="20"/>
          <w:color w:val="auto"/>
        </w:rPr>
      </w:pPr>
    </w:p>
    <w:p>
      <w:pPr>
        <w:ind w:left="20"/>
        <w:spacing w:after="0"/>
        <w:tabs>
          <w:tab w:leader="none" w:pos="7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dated April 26,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340" w:type="dxa"/>
            <w:vAlign w:val="bottom"/>
            <w:gridSpan w:val="3"/>
          </w:tcPr>
          <w:p>
            <w:pPr>
              <w:ind w:left="202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April 26, 2019</w:t>
            </w:r>
          </w:p>
        </w:tc>
        <w:tc>
          <w:tcPr>
            <w:tcW w:w="5340" w:type="dxa"/>
            <w:vAlign w:val="bottom"/>
            <w:gridSpan w:val="3"/>
          </w:tcPr>
          <w:p>
            <w:pPr>
              <w:ind w:left="2020"/>
              <w:spacing w:after="0"/>
              <w:rPr>
                <w:sz w:val="20"/>
                <w:szCs w:val="20"/>
                <w:color w:val="auto"/>
              </w:rPr>
            </w:pPr>
            <w:r>
              <w:rPr>
                <w:rFonts w:ascii="Arial" w:cs="Arial" w:eastAsia="Arial" w:hAnsi="Arial"/>
                <w:sz w:val="18"/>
                <w:szCs w:val="18"/>
                <w:color w:val="auto"/>
              </w:rPr>
              <w:t>By: /s/ Frank C. Steininger</w:t>
            </w:r>
          </w:p>
        </w:tc>
      </w:tr>
      <w:tr>
        <w:trPr>
          <w:trHeight w:val="222"/>
        </w:trPr>
        <w:tc>
          <w:tcPr>
            <w:tcW w:w="3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960" w:type="dxa"/>
            <w:vAlign w:val="bottom"/>
          </w:tcPr>
          <w:p>
            <w:pPr>
              <w:spacing w:after="0"/>
              <w:rPr>
                <w:sz w:val="19"/>
                <w:szCs w:val="19"/>
                <w:color w:val="auto"/>
              </w:rPr>
            </w:pPr>
          </w:p>
        </w:tc>
      </w:tr>
      <w:tr>
        <w:trPr>
          <w:trHeight w:val="216"/>
        </w:trPr>
        <w:tc>
          <w:tcPr>
            <w:tcW w:w="3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90"/>
              </w:rPr>
              <w:t>Executive Vice President, Chief Financial</w:t>
            </w:r>
          </w:p>
        </w:tc>
      </w:tr>
      <w:tr>
        <w:trPr>
          <w:trHeight w:val="230"/>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Officer and Treasurer</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Reports First Quarter 2019 Results</w:t>
      </w:r>
    </w:p>
    <w:p>
      <w:pPr>
        <w:spacing w:after="0" w:line="227"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HOUSTON and CALGARY, Alberta, April 26, 2019 (GLOBE NEWSWIRE) -- Civeo Corporation (NYSE:CVEO) today reported financial and operating results for the first quarter ended March 31, 2019.</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Delivered first quarter revenues of $108.6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Reported first quarter net loss of $17.5 million and Adjusted EBITDA of $15.9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Generated $6.3 million in operating cash flow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Significantly improved year-over-year results from the U.S.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60"/>
        <w:spacing w:after="0" w:line="251" w:lineRule="auto"/>
        <w:rPr>
          <w:sz w:val="20"/>
          <w:szCs w:val="20"/>
          <w:color w:val="auto"/>
        </w:rPr>
      </w:pPr>
      <w:r>
        <w:rPr>
          <w:rFonts w:ascii="Arial" w:cs="Arial" w:eastAsia="Arial" w:hAnsi="Arial"/>
          <w:sz w:val="22"/>
          <w:szCs w:val="22"/>
          <w:color w:val="auto"/>
        </w:rPr>
        <w:t>Expanded our Sitka Lodge in British Columbia to 754 rooms during the quarter with 1,100 total rooms expected to be on site by 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“Despite recent macroeconomic headwinds and winter seasonality, we are pleased to deliver first quarter revenue and Adjusted EBITDA in-line with our expectations. Our U.S. business generated significantly improved year-over-year results as our efforts to relocate well site assets into the Permian and Mid-Con regions over the past eighteen months produced materially improved utilization of those assets. Our Australia business also produced improved year-over-year revenues and Adjusted EBITDA as Bowen Basin activity increased with conducive metallurgical coal prices. Our first quarter Canadian Adjusted EBITDA was up year-over-year, primarily due to proceeds from an insurance claim, a full quarter of contribution from the Noralta acquisition and the impact of British Columbia LNG activity, partially offset by lower activity in our core oil sands lodges. We will continue to remain vigilant in adapting to dynamic market conditions in a way that maximizes the value of our company for our shareholders,” stated Bradley J. Dodson, Civeo's President and Chief Executive Officer.</w:t>
      </w:r>
    </w:p>
    <w:p>
      <w:pPr>
        <w:spacing w:after="0" w:line="15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Mr. Dodson added, “We expect a sequentially improved second quarter as increased turnaround and maintenance activity in Canada and Australia start up for the year coupled with growing contributions from LNG-related work at our Sitka Lodge in British Columbia. Looking forward, we seek to continue delivering on our strategic priorities: generating free cash flow, managing our balance sheet, investing in attractive growth opportunities in key end markets and continuing our best-in-class service offerings to customers.”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 Quarter 2019 Results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In the first quarter of 2019, Civeo generated revenues of $108.6 million and reported a net loss of $17.5 million, or $0.11 per share.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During the first quarter of 2019, Civeo produced operating cash flow of $6.3 million and Adjusted EBITDA of $15.9 million.</w:t>
      </w:r>
    </w:p>
    <w:p>
      <w:pPr>
        <w:spacing w:after="0" w:line="200"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The first quarter of 2019 was in-line with the Company's expectations as a result of solid operational execution in the U.S. and Australia.</w:t>
      </w:r>
    </w:p>
    <w:p>
      <w:pPr>
        <w:spacing w:after="0" w:line="173"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By comparison, in the first quarter of 2018, Civeo generated revenues of $101.5 million and reported a net loss of $55.5 million, or $0.42 per share. The net loss included a pre-tax $28.7 million impairment charge and $1.0 million in costs associated with Civeo’s acquisition of Noralta. During the first quarter of 2018, Civeo generated operating cash flow of $2.8 million and Adjusted EBITDA of $10.0 million.</w:t>
      </w:r>
    </w:p>
    <w:p>
      <w:pPr>
        <w:spacing w:after="0" w:line="185"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color w:val="auto"/>
        </w:rPr>
        <w:t>(EBITDA is a non-GAAP financial measure that is defined as net income plus interest, taxes, depreciation and amortization, and Adjusted EBITDA is defined as EBITDA adjusted to exclude impairment charges and certain costs associated with Civeo's acquisition of Noralta. Please see the reconciliations to GAAP measures at the end of this news release.)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(Unless otherwise noted, the following discussion compares the quarterly results for the first quarter of 2019 to the results for the first quarter of 2018. The Adjusted EBITDA amounts discussed below exclude the fixed asset impairment and Noralta-related expenses in the first quarter of 2018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During the first quarter of 2019, the Canadian segment generated revenues of $66.8 million, operating loss of $11.6 million and Adjusted EBITDA of $10.2 million, compared to revenues of $63.4 million, operating loss of $40.3 million and Adjusted EBITDA of $8.9 million in the first quarter of 2018. The first quarter of 2019 results reflect the impact of a weakened Canadian dollar relative to the U.S. dollar, which decreased revenues by $3.4 million. Included in first quarter 2019 Adjusted EBITDA for the Canadian segment is $1.5 million of other income for proceeds from an insurance claim related to the closure of a lodge in 2018 for maintenance-related operational issues.</w:t>
      </w:r>
    </w:p>
    <w:p>
      <w:pPr>
        <w:sectPr>
          <w:pgSz w:w="11900" w:h="16838" w:orient="portrait"/>
          <w:cols w:equalWidth="0" w:num="1">
            <w:col w:w="11420"/>
          </w:cols>
          <w:pgMar w:left="240" w:top="112" w:right="239" w:bottom="192" w:gutter="0" w:footer="0" w:header="0"/>
        </w:sectPr>
      </w:pPr>
    </w:p>
    <w:bookmarkStart w:id="4" w:name="page5"/>
    <w:bookmarkEnd w:id="4"/>
    <w:p>
      <w:pPr>
        <w:spacing w:after="0" w:line="20"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Canadian segment saw softening room demand from major customers in the core oil sands lodges related to extended holiday downtime and the continued impact of provincially imposed oil production curtailments. These headwinds were partially offset by the inclusion of the Noralta assets, improving contribution of LNG-related occupancy in British Columbia and a recently announced food service contract.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During the first quarter of 2019, the Australian segment generated revenues of $28.4 million, operating loss of $0.4 million and Adjusted EBITDA of $9.9 million, compared to revenues of $27.9 million, operating loss of $3.2 million and Adjusted EBITDA of $9.1 million in the first quarter of 2018.</w:t>
      </w:r>
    </w:p>
    <w:p>
      <w:pPr>
        <w:spacing w:after="0" w:line="186"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The first quarter of 2019 results reflect the impact of a weakened Australian dollar relative to the U.S. dollar, which decreased revenues by $2.9 million. On a constant currency basis, the Australian segment experienced a 2% period-over-period increase in revenues driven by strong occupancy with billed rooms up 12% year-over-year primarily due to continued improvement in metallurgical coal activity across our Bowen Basin villages.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The U.S. segment generated revenues of $13.4 million, operating loss of $1.0 million and Adjusted EBITDA of $2.8 million in the first quarter of 2019, compared to revenues of $10.2 million, operating loss of $3.3 million and an Adjusted EBITDA loss of $0.7 million in the first quarter of 2018. The year-over-year revenue improvement was primarily driven by increased drilling and completion activity in the Permian Basin and Mid-Con regions. The significant year-over-year Adjusted EBITDA improvement in the first quarter of 2019 is also due to lower year-over-year relocation expenses for the well site business, which was spent most of 2018 moving well site assets out of legacy northern markets into the Permian and Mid-Con regions.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Civeo recognized an income tax benefit of $4.5 million, which resulted in an effective tax rate of 20.8%, in the first quarter of 2019. During the first quarter of 2018, Civeo recognized an income tax benefit of $0.7 million, which resulted in an effective tax rate of 1%.</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As of March 31, 2019, Civeo had total liquidity of approximately $66.0 million, consisting of $58.0 million available under its revolving credit facilities and $8.0 million of cash on hand.</w:t>
      </w:r>
    </w:p>
    <w:p>
      <w:pPr>
        <w:spacing w:after="0" w:line="173"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Civeo’s total debt outstanding on March 31, 2019 was $383.5 million, a $4.3 million increase since December 31, 2018. The increase resulted primarily from a negative foreign currency translation impact of $7.5 million, partially offset by debt repayments of $3.2 million made during the quarter.</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During the first quarter of 2019, Civeo invested $9.7 million in capital expenditures, up from $2.7 million during first quarter of 2018. The increase was primarily related to the expansion of its Sitka lodge in Canada to support LNG Canada related contracts, as well as selected room reactivations in Australia in anticipation of increased customer demand in the second half of 2019 going into 2020.</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Second Quarter and Full Year 2019 Guidance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For the second quarter of 2019, Civeo expects revenues of $113.0 million to $118.0 million and Adjusted EBITDA of $21.0 million to $23.5 million. For the full year of 2019, Civeo expects revenues of $475.0 million to $485.0 million and Adjusted EBITDA of $95.0 million to $101.0 million.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Civeo will host a conference call to discuss its first quarter 2019 financial results today at 11:00 a.m. Eastern time. This call is being webcast and can be accessed at Civeo's website at www.civeo.com. Participants may also join the conference call by dialing (800)-289-0438 in the United States or (323)-794-2423 internationally and using the conference ID 9872605#. A replay will be available after the call by dialing (844) 512-2921 in the United States or (412) 317-6671 internationally and using the conference ID 9872605#.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33 lodges and villages in operation in Canada and Australia, with an aggregate of approximately 33,000 rooms. Civeo is publicly traded under the symbol CVEO on the New York Stock Exchange. For more information, please visit Civeo's website at www.civeo.com.</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ectPr>
          <w:pgSz w:w="11900" w:h="16859" w:orient="portrait"/>
          <w:cols w:equalWidth="0" w:num="1">
            <w:col w:w="11400"/>
          </w:cols>
          <w:pgMar w:left="240" w:top="118" w:right="259" w:bottom="0" w:gutter="0" w:footer="0" w:header="0"/>
        </w:sectPr>
      </w:pPr>
    </w:p>
    <w:bookmarkStart w:id="5" w:name="page6"/>
    <w:bookmarkEnd w:id="5"/>
    <w:p>
      <w:pPr>
        <w:ind w:right="160"/>
        <w:spacing w:after="0" w:line="270"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 this news release include the statements regarding Civeo’s future plans, priorities, contracted revenues and borrowing needs; growth opportunities and ability to adapt to market conditions; expectations about activity, market demand and commodity price environment in 2019; expected benefits of the agreement with LNG Canada and LNG-related activity and second quarter and full year 2019 guidance.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and developments in the Canadian oil sands, the level of demand for coal and other natural resources from Australia, and fluctuations in the current and future prices of oil, coal, iron ore and other minerals, risks associated with currency exchange rates, risks associated with the Noralta acquisition, risks associated with the development of new projects, including whether such projects will continue in the future, and other factors discussed in the "Management’s Discussion and Analysis of Financial Condition and Results of Operations" and "Risk Factors" sections of Civeo’s annual report on Form 10-K for the year ended December 31, 2018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 Financial Schedules Follow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CONSOLIDATED STATEMENTS OF OPERATIONS</w:t>
      </w:r>
    </w:p>
    <w:p>
      <w:pPr>
        <w:jc w:val="center"/>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196" w:lineRule="exact"/>
        <w:rPr>
          <w:sz w:val="20"/>
          <w:szCs w:val="20"/>
          <w:color w:val="auto"/>
        </w:rPr>
      </w:pPr>
    </w:p>
    <w:p>
      <w:pPr>
        <w:jc w:val="center"/>
        <w:ind w:left="840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840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83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2019</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530"/>
        </w:trPr>
        <w:tc>
          <w:tcPr>
            <w:tcW w:w="8380" w:type="dxa"/>
            <w:vAlign w:val="bottom"/>
          </w:tcPr>
          <w:p>
            <w:pPr>
              <w:spacing w:after="0"/>
              <w:rPr>
                <w:sz w:val="20"/>
                <w:szCs w:val="20"/>
                <w:color w:val="auto"/>
              </w:rPr>
            </w:pPr>
            <w:r>
              <w:rPr>
                <w:rFonts w:ascii="Arial" w:cs="Arial" w:eastAsia="Arial" w:hAnsi="Arial"/>
                <w:sz w:val="22"/>
                <w:szCs w:val="22"/>
                <w:color w:val="auto"/>
              </w:rPr>
              <w:t>Revenues</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108,550</w:t>
            </w:r>
          </w:p>
        </w:tc>
        <w:tc>
          <w:tcPr>
            <w:tcW w:w="12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101,504</w:t>
            </w:r>
          </w:p>
        </w:tc>
        <w:tc>
          <w:tcPr>
            <w:tcW w:w="0" w:type="dxa"/>
            <w:vAlign w:val="bottom"/>
          </w:tcPr>
          <w:p>
            <w:pPr>
              <w:spacing w:after="0"/>
              <w:rPr>
                <w:sz w:val="1"/>
                <w:szCs w:val="1"/>
                <w:color w:val="auto"/>
              </w:rPr>
            </w:pPr>
          </w:p>
        </w:tc>
      </w:tr>
      <w:tr>
        <w:trPr>
          <w:trHeight w:val="536"/>
        </w:trPr>
        <w:tc>
          <w:tcPr>
            <w:tcW w:w="8380" w:type="dxa"/>
            <w:vAlign w:val="bottom"/>
          </w:tcPr>
          <w:p>
            <w:pPr>
              <w:spacing w:after="0"/>
              <w:rPr>
                <w:sz w:val="20"/>
                <w:szCs w:val="20"/>
                <w:color w:val="auto"/>
              </w:rPr>
            </w:pPr>
            <w:r>
              <w:rPr>
                <w:rFonts w:ascii="Arial" w:cs="Arial" w:eastAsia="Arial" w:hAnsi="Arial"/>
                <w:sz w:val="22"/>
                <w:szCs w:val="22"/>
                <w:color w:val="auto"/>
              </w:rPr>
              <w:t>Costs and expenses: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Cost of sales and services</w:t>
            </w:r>
          </w:p>
        </w:tc>
        <w:tc>
          <w:tcPr>
            <w:tcW w:w="3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79,630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77,701</w:t>
            </w:r>
          </w:p>
        </w:tc>
        <w:tc>
          <w:tcPr>
            <w:tcW w:w="0" w:type="dxa"/>
            <w:vAlign w:val="bottom"/>
          </w:tcPr>
          <w:p>
            <w:pPr>
              <w:spacing w:after="0"/>
              <w:rPr>
                <w:sz w:val="1"/>
                <w:szCs w:val="1"/>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Selling, general and administrative expenses</w:t>
            </w:r>
          </w:p>
        </w:tc>
        <w:tc>
          <w:tcPr>
            <w:tcW w:w="3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16,096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16,514</w:t>
            </w:r>
          </w:p>
        </w:tc>
        <w:tc>
          <w:tcPr>
            <w:tcW w:w="0" w:type="dxa"/>
            <w:vAlign w:val="bottom"/>
          </w:tcPr>
          <w:p>
            <w:pPr>
              <w:spacing w:after="0"/>
              <w:rPr>
                <w:sz w:val="1"/>
                <w:szCs w:val="1"/>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Depreciation and amortization expense</w:t>
            </w:r>
          </w:p>
        </w:tc>
        <w:tc>
          <w:tcPr>
            <w:tcW w:w="3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30,782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30,764</w:t>
            </w:r>
          </w:p>
        </w:tc>
        <w:tc>
          <w:tcPr>
            <w:tcW w:w="0" w:type="dxa"/>
            <w:vAlign w:val="bottom"/>
          </w:tcPr>
          <w:p>
            <w:pPr>
              <w:spacing w:after="0"/>
              <w:rPr>
                <w:sz w:val="1"/>
                <w:szCs w:val="1"/>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Impairment expense</w:t>
            </w:r>
          </w:p>
        </w:tc>
        <w:tc>
          <w:tcPr>
            <w:tcW w:w="32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28,661</w:t>
            </w:r>
          </w:p>
        </w:tc>
        <w:tc>
          <w:tcPr>
            <w:tcW w:w="0" w:type="dxa"/>
            <w:vAlign w:val="bottom"/>
          </w:tcPr>
          <w:p>
            <w:pPr>
              <w:spacing w:after="0"/>
              <w:rPr>
                <w:sz w:val="1"/>
                <w:szCs w:val="1"/>
                <w:color w:val="auto"/>
              </w:rPr>
            </w:pPr>
          </w:p>
        </w:tc>
      </w:tr>
      <w:tr>
        <w:trPr>
          <w:trHeight w:val="276"/>
        </w:trPr>
        <w:tc>
          <w:tcPr>
            <w:tcW w:w="8380" w:type="dxa"/>
            <w:vAlign w:val="bottom"/>
          </w:tcPr>
          <w:p>
            <w:pPr>
              <w:ind w:left="120"/>
              <w:spacing w:after="0"/>
              <w:rPr>
                <w:sz w:val="20"/>
                <w:szCs w:val="20"/>
                <w:color w:val="auto"/>
              </w:rPr>
            </w:pPr>
            <w:r>
              <w:rPr>
                <w:rFonts w:ascii="Arial" w:cs="Arial" w:eastAsia="Arial" w:hAnsi="Arial"/>
                <w:sz w:val="22"/>
                <w:szCs w:val="22"/>
                <w:color w:val="auto"/>
              </w:rPr>
              <w:t>Other operating expense (income)</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379</w:t>
            </w:r>
          </w:p>
        </w:tc>
        <w:tc>
          <w:tcPr>
            <w:tcW w:w="0" w:type="dxa"/>
            <w:vAlign w:val="bottom"/>
          </w:tcPr>
          <w:p>
            <w:pPr>
              <w:spacing w:after="0"/>
              <w:rPr>
                <w:sz w:val="1"/>
                <w:szCs w:val="1"/>
                <w:color w:val="auto"/>
              </w:rPr>
            </w:pPr>
          </w:p>
        </w:tc>
      </w:tr>
      <w:tr>
        <w:trPr>
          <w:trHeight w:val="265"/>
        </w:trPr>
        <w:tc>
          <w:tcPr>
            <w:tcW w:w="83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126,443</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154,019</w:t>
            </w:r>
          </w:p>
        </w:tc>
        <w:tc>
          <w:tcPr>
            <w:tcW w:w="0" w:type="dxa"/>
            <w:vAlign w:val="bottom"/>
          </w:tcPr>
          <w:p>
            <w:pPr>
              <w:spacing w:after="0"/>
              <w:rPr>
                <w:sz w:val="1"/>
                <w:szCs w:val="1"/>
                <w:color w:val="auto"/>
              </w:rPr>
            </w:pPr>
          </w:p>
        </w:tc>
      </w:tr>
      <w:tr>
        <w:trPr>
          <w:trHeight w:val="268"/>
        </w:trPr>
        <w:tc>
          <w:tcPr>
            <w:tcW w:w="8380" w:type="dxa"/>
            <w:vAlign w:val="bottom"/>
          </w:tcPr>
          <w:p>
            <w:pPr>
              <w:spacing w:after="0"/>
              <w:rPr>
                <w:sz w:val="20"/>
                <w:szCs w:val="20"/>
                <w:color w:val="auto"/>
              </w:rPr>
            </w:pPr>
            <w:r>
              <w:rPr>
                <w:rFonts w:ascii="Arial" w:cs="Arial" w:eastAsia="Arial" w:hAnsi="Arial"/>
                <w:sz w:val="22"/>
                <w:szCs w:val="22"/>
                <w:color w:val="auto"/>
              </w:rPr>
              <w:t>Operating loss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(17,893)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(52,515)</w:t>
            </w:r>
          </w:p>
        </w:tc>
        <w:tc>
          <w:tcPr>
            <w:tcW w:w="0" w:type="dxa"/>
            <w:vAlign w:val="bottom"/>
          </w:tcPr>
          <w:p>
            <w:pPr>
              <w:spacing w:after="0"/>
              <w:rPr>
                <w:sz w:val="1"/>
                <w:szCs w:val="1"/>
                <w:color w:val="auto"/>
              </w:rPr>
            </w:pPr>
          </w:p>
        </w:tc>
      </w:tr>
      <w:tr>
        <w:trPr>
          <w:trHeight w:val="528"/>
        </w:trPr>
        <w:tc>
          <w:tcPr>
            <w:tcW w:w="8380" w:type="dxa"/>
            <w:vAlign w:val="bottom"/>
          </w:tcPr>
          <w:p>
            <w:pPr>
              <w:spacing w:after="0"/>
              <w:rPr>
                <w:sz w:val="20"/>
                <w:szCs w:val="20"/>
                <w:color w:val="auto"/>
              </w:rPr>
            </w:pPr>
            <w:r>
              <w:rPr>
                <w:rFonts w:ascii="Arial" w:cs="Arial" w:eastAsia="Arial" w:hAnsi="Arial"/>
                <w:sz w:val="22"/>
                <w:szCs w:val="22"/>
                <w:color w:val="auto"/>
              </w:rPr>
              <w:t>Interest expense</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(6,635)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(5,822)</w:t>
            </w:r>
          </w:p>
        </w:tc>
        <w:tc>
          <w:tcPr>
            <w:tcW w:w="0" w:type="dxa"/>
            <w:vAlign w:val="bottom"/>
          </w:tcPr>
          <w:p>
            <w:pPr>
              <w:spacing w:after="0"/>
              <w:rPr>
                <w:sz w:val="1"/>
                <w:szCs w:val="1"/>
                <w:color w:val="auto"/>
              </w:rPr>
            </w:pPr>
          </w:p>
        </w:tc>
      </w:tr>
      <w:tr>
        <w:trPr>
          <w:trHeight w:val="270"/>
        </w:trPr>
        <w:tc>
          <w:tcPr>
            <w:tcW w:w="8380" w:type="dxa"/>
            <w:vAlign w:val="bottom"/>
          </w:tcPr>
          <w:p>
            <w:pPr>
              <w:spacing w:after="0"/>
              <w:rPr>
                <w:sz w:val="20"/>
                <w:szCs w:val="20"/>
                <w:color w:val="auto"/>
              </w:rPr>
            </w:pPr>
            <w:r>
              <w:rPr>
                <w:rFonts w:ascii="Arial" w:cs="Arial" w:eastAsia="Arial" w:hAnsi="Arial"/>
                <w:sz w:val="22"/>
                <w:szCs w:val="22"/>
                <w:color w:val="auto"/>
              </w:rPr>
              <w:t>Interest income</w:t>
            </w:r>
          </w:p>
        </w:tc>
        <w:tc>
          <w:tcPr>
            <w:tcW w:w="3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75"/>
        </w:trPr>
        <w:tc>
          <w:tcPr>
            <w:tcW w:w="8380" w:type="dxa"/>
            <w:vAlign w:val="bottom"/>
          </w:tcPr>
          <w:p>
            <w:pPr>
              <w:spacing w:after="0"/>
              <w:rPr>
                <w:sz w:val="20"/>
                <w:szCs w:val="20"/>
                <w:color w:val="auto"/>
              </w:rPr>
            </w:pPr>
            <w:r>
              <w:rPr>
                <w:rFonts w:ascii="Arial" w:cs="Arial" w:eastAsia="Arial" w:hAnsi="Arial"/>
                <w:sz w:val="22"/>
                <w:szCs w:val="22"/>
                <w:color w:val="auto"/>
              </w:rPr>
              <w:t>Other income</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2,978</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2,259</w:t>
            </w:r>
          </w:p>
        </w:tc>
        <w:tc>
          <w:tcPr>
            <w:tcW w:w="0" w:type="dxa"/>
            <w:vAlign w:val="bottom"/>
          </w:tcPr>
          <w:p>
            <w:pPr>
              <w:spacing w:after="0"/>
              <w:rPr>
                <w:sz w:val="1"/>
                <w:szCs w:val="1"/>
                <w:color w:val="auto"/>
              </w:rPr>
            </w:pPr>
          </w:p>
        </w:tc>
      </w:tr>
      <w:tr>
        <w:trPr>
          <w:trHeight w:val="259"/>
        </w:trPr>
        <w:tc>
          <w:tcPr>
            <w:tcW w:w="8380" w:type="dxa"/>
            <w:vAlign w:val="bottom"/>
          </w:tcPr>
          <w:p>
            <w:pPr>
              <w:ind w:left="120"/>
              <w:spacing w:after="0"/>
              <w:rPr>
                <w:sz w:val="20"/>
                <w:szCs w:val="20"/>
                <w:color w:val="auto"/>
              </w:rPr>
            </w:pPr>
            <w:r>
              <w:rPr>
                <w:rFonts w:ascii="Arial" w:cs="Arial" w:eastAsia="Arial" w:hAnsi="Arial"/>
                <w:sz w:val="22"/>
                <w:szCs w:val="22"/>
                <w:color w:val="auto"/>
              </w:rPr>
              <w:t>Loss before income taxes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(21,523)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(56,020)</w:t>
            </w:r>
          </w:p>
        </w:tc>
        <w:tc>
          <w:tcPr>
            <w:tcW w:w="0" w:type="dxa"/>
            <w:vAlign w:val="bottom"/>
          </w:tcPr>
          <w:p>
            <w:pPr>
              <w:spacing w:after="0"/>
              <w:rPr>
                <w:sz w:val="1"/>
                <w:szCs w:val="1"/>
                <w:color w:val="auto"/>
              </w:rPr>
            </w:pPr>
          </w:p>
        </w:tc>
      </w:tr>
      <w:tr>
        <w:trPr>
          <w:trHeight w:val="275"/>
        </w:trPr>
        <w:tc>
          <w:tcPr>
            <w:tcW w:w="8380" w:type="dxa"/>
            <w:vAlign w:val="bottom"/>
          </w:tcPr>
          <w:p>
            <w:pPr>
              <w:spacing w:after="0"/>
              <w:rPr>
                <w:sz w:val="20"/>
                <w:szCs w:val="20"/>
                <w:color w:val="auto"/>
              </w:rPr>
            </w:pPr>
            <w:r>
              <w:rPr>
                <w:rFonts w:ascii="Arial" w:cs="Arial" w:eastAsia="Arial" w:hAnsi="Arial"/>
                <w:sz w:val="22"/>
                <w:szCs w:val="22"/>
                <w:color w:val="auto"/>
              </w:rPr>
              <w:t>Income tax benefit</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4,484</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685</w:t>
            </w:r>
          </w:p>
        </w:tc>
        <w:tc>
          <w:tcPr>
            <w:tcW w:w="0" w:type="dxa"/>
            <w:vAlign w:val="bottom"/>
          </w:tcPr>
          <w:p>
            <w:pPr>
              <w:spacing w:after="0"/>
              <w:rPr>
                <w:sz w:val="1"/>
                <w:szCs w:val="1"/>
                <w:color w:val="auto"/>
              </w:rPr>
            </w:pPr>
          </w:p>
        </w:tc>
      </w:tr>
      <w:tr>
        <w:trPr>
          <w:trHeight w:val="259"/>
        </w:trPr>
        <w:tc>
          <w:tcPr>
            <w:tcW w:w="8380" w:type="dxa"/>
            <w:vAlign w:val="bottom"/>
          </w:tcPr>
          <w:p>
            <w:pPr>
              <w:spacing w:after="0"/>
              <w:rPr>
                <w:sz w:val="20"/>
                <w:szCs w:val="20"/>
                <w:color w:val="auto"/>
              </w:rPr>
            </w:pPr>
            <w:r>
              <w:rPr>
                <w:rFonts w:ascii="Arial" w:cs="Arial" w:eastAsia="Arial" w:hAnsi="Arial"/>
                <w:sz w:val="22"/>
                <w:szCs w:val="22"/>
                <w:color w:val="auto"/>
              </w:rPr>
              <w:t>Net loss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(17,039)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(55,335)</w:t>
            </w:r>
          </w:p>
        </w:tc>
        <w:tc>
          <w:tcPr>
            <w:tcW w:w="0" w:type="dxa"/>
            <w:vAlign w:val="bottom"/>
          </w:tcPr>
          <w:p>
            <w:pPr>
              <w:spacing w:after="0"/>
              <w:rPr>
                <w:sz w:val="1"/>
                <w:szCs w:val="1"/>
                <w:color w:val="auto"/>
              </w:rPr>
            </w:pPr>
          </w:p>
        </w:tc>
      </w:tr>
      <w:tr>
        <w:trPr>
          <w:trHeight w:val="275"/>
        </w:trPr>
        <w:tc>
          <w:tcPr>
            <w:tcW w:w="8380" w:type="dxa"/>
            <w:vAlign w:val="bottom"/>
          </w:tcPr>
          <w:p>
            <w:pPr>
              <w:ind w:left="120"/>
              <w:spacing w:after="0"/>
              <w:rPr>
                <w:sz w:val="20"/>
                <w:szCs w:val="20"/>
                <w:color w:val="auto"/>
              </w:rPr>
            </w:pPr>
            <w:r>
              <w:rPr>
                <w:rFonts w:ascii="Arial" w:cs="Arial" w:eastAsia="Arial" w:hAnsi="Arial"/>
                <w:sz w:val="22"/>
                <w:szCs w:val="22"/>
                <w:color w:val="auto"/>
              </w:rPr>
              <w:t>Less: Net income attributable to noncontrolling interest</w:t>
            </w:r>
          </w:p>
        </w:tc>
        <w:tc>
          <w:tcPr>
            <w:tcW w:w="32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122</w:t>
            </w:r>
          </w:p>
        </w:tc>
        <w:tc>
          <w:tcPr>
            <w:tcW w:w="0" w:type="dxa"/>
            <w:vAlign w:val="bottom"/>
          </w:tcPr>
          <w:p>
            <w:pPr>
              <w:spacing w:after="0"/>
              <w:rPr>
                <w:sz w:val="1"/>
                <w:szCs w:val="1"/>
                <w:color w:val="auto"/>
              </w:rPr>
            </w:pPr>
          </w:p>
        </w:tc>
      </w:tr>
      <w:tr>
        <w:trPr>
          <w:trHeight w:val="259"/>
        </w:trPr>
        <w:tc>
          <w:tcPr>
            <w:tcW w:w="8380" w:type="dxa"/>
            <w:vAlign w:val="bottom"/>
          </w:tcPr>
          <w:p>
            <w:pPr>
              <w:spacing w:after="0"/>
              <w:rPr>
                <w:sz w:val="20"/>
                <w:szCs w:val="20"/>
                <w:color w:val="auto"/>
              </w:rPr>
            </w:pPr>
            <w:r>
              <w:rPr>
                <w:rFonts w:ascii="Arial" w:cs="Arial" w:eastAsia="Arial" w:hAnsi="Arial"/>
                <w:sz w:val="22"/>
                <w:szCs w:val="22"/>
                <w:color w:val="auto"/>
              </w:rPr>
              <w:t>Net loss attributable to Civeo Corporation</w:t>
            </w: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(17,039)</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(55,457)</w:t>
            </w:r>
          </w:p>
        </w:tc>
        <w:tc>
          <w:tcPr>
            <w:tcW w:w="0" w:type="dxa"/>
            <w:vAlign w:val="bottom"/>
          </w:tcPr>
          <w:p>
            <w:pPr>
              <w:spacing w:after="0"/>
              <w:rPr>
                <w:sz w:val="1"/>
                <w:szCs w:val="1"/>
                <w:color w:val="auto"/>
              </w:rPr>
            </w:pPr>
          </w:p>
        </w:tc>
      </w:tr>
      <w:tr>
        <w:trPr>
          <w:trHeight w:val="276"/>
        </w:trPr>
        <w:tc>
          <w:tcPr>
            <w:tcW w:w="8380" w:type="dxa"/>
            <w:vAlign w:val="bottom"/>
          </w:tcPr>
          <w:p>
            <w:pPr>
              <w:ind w:left="120"/>
              <w:spacing w:after="0"/>
              <w:rPr>
                <w:sz w:val="20"/>
                <w:szCs w:val="20"/>
                <w:color w:val="auto"/>
              </w:rPr>
            </w:pPr>
            <w:r>
              <w:rPr>
                <w:rFonts w:ascii="Arial" w:cs="Arial" w:eastAsia="Arial" w:hAnsi="Arial"/>
                <w:sz w:val="22"/>
                <w:szCs w:val="22"/>
                <w:color w:val="auto"/>
              </w:rPr>
              <w:t>Less: Dividends attributable to Class A preferred shares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459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5"/>
        </w:trPr>
        <w:tc>
          <w:tcPr>
            <w:tcW w:w="8380" w:type="dxa"/>
            <w:vAlign w:val="bottom"/>
          </w:tcPr>
          <w:p>
            <w:pPr>
              <w:spacing w:after="0"/>
              <w:rPr>
                <w:sz w:val="20"/>
                <w:szCs w:val="20"/>
                <w:color w:val="auto"/>
              </w:rPr>
            </w:pPr>
            <w:r>
              <w:rPr>
                <w:rFonts w:ascii="Arial" w:cs="Arial" w:eastAsia="Arial" w:hAnsi="Arial"/>
                <w:sz w:val="22"/>
                <w:szCs w:val="22"/>
                <w:color w:val="auto"/>
              </w:rPr>
              <w:t>Net loss attributable to Civeo Corporation common shareholders</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(17,498)</w:t>
            </w: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(55,457)</w:t>
            </w:r>
          </w:p>
        </w:tc>
        <w:tc>
          <w:tcPr>
            <w:tcW w:w="0" w:type="dxa"/>
            <w:vAlign w:val="bottom"/>
          </w:tcPr>
          <w:p>
            <w:pPr>
              <w:spacing w:after="0"/>
              <w:rPr>
                <w:sz w:val="1"/>
                <w:szCs w:val="1"/>
                <w:color w:val="auto"/>
              </w:rPr>
            </w:pPr>
          </w:p>
        </w:tc>
      </w:tr>
      <w:tr>
        <w:trPr>
          <w:trHeight w:val="21"/>
        </w:trPr>
        <w:tc>
          <w:tcPr>
            <w:tcW w:w="8380" w:type="dxa"/>
            <w:vAlign w:val="bottom"/>
            <w:vMerge w:val="restart"/>
          </w:tcPr>
          <w:p>
            <w:pPr>
              <w:spacing w:after="0"/>
              <w:rPr>
                <w:sz w:val="20"/>
                <w:szCs w:val="20"/>
                <w:color w:val="auto"/>
              </w:rPr>
            </w:pPr>
            <w:r>
              <w:rPr>
                <w:rFonts w:ascii="Arial" w:cs="Arial" w:eastAsia="Arial" w:hAnsi="Arial"/>
                <w:sz w:val="22"/>
                <w:szCs w:val="22"/>
                <w:color w:val="auto"/>
              </w:rPr>
              <w:t>Net loss per share attributable to Civeo Corporation common shareholders: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8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Basic</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(0.11)</w:t>
            </w:r>
          </w:p>
        </w:tc>
        <w:tc>
          <w:tcPr>
            <w:tcW w:w="1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(0.42)</w:t>
            </w:r>
          </w:p>
        </w:tc>
        <w:tc>
          <w:tcPr>
            <w:tcW w:w="0" w:type="dxa"/>
            <w:vAlign w:val="bottom"/>
          </w:tcPr>
          <w:p>
            <w:pPr>
              <w:spacing w:after="0"/>
              <w:rPr>
                <w:sz w:val="1"/>
                <w:szCs w:val="1"/>
                <w:color w:val="auto"/>
              </w:rPr>
            </w:pPr>
          </w:p>
        </w:tc>
      </w:tr>
      <w:tr>
        <w:trPr>
          <w:trHeight w:val="275"/>
        </w:trPr>
        <w:tc>
          <w:tcPr>
            <w:tcW w:w="8380" w:type="dxa"/>
            <w:vAlign w:val="bottom"/>
          </w:tcPr>
          <w:p>
            <w:pPr>
              <w:ind w:left="120"/>
              <w:spacing w:after="0"/>
              <w:rPr>
                <w:sz w:val="20"/>
                <w:szCs w:val="20"/>
                <w:color w:val="auto"/>
              </w:rPr>
            </w:pPr>
            <w:r>
              <w:rPr>
                <w:rFonts w:ascii="Arial" w:cs="Arial" w:eastAsia="Arial" w:hAnsi="Arial"/>
                <w:sz w:val="22"/>
                <w:szCs w:val="22"/>
                <w:color w:val="auto"/>
              </w:rPr>
              <w:t>Diluted</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(0.11)</w:t>
            </w:r>
          </w:p>
        </w:tc>
        <w:tc>
          <w:tcPr>
            <w:tcW w:w="1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(0.42)</w:t>
            </w:r>
          </w:p>
        </w:tc>
        <w:tc>
          <w:tcPr>
            <w:tcW w:w="0" w:type="dxa"/>
            <w:vAlign w:val="bottom"/>
          </w:tcPr>
          <w:p>
            <w:pPr>
              <w:spacing w:after="0"/>
              <w:rPr>
                <w:sz w:val="1"/>
                <w:szCs w:val="1"/>
                <w:color w:val="auto"/>
              </w:rPr>
            </w:pPr>
          </w:p>
        </w:tc>
      </w:tr>
      <w:tr>
        <w:trPr>
          <w:trHeight w:val="536"/>
        </w:trPr>
        <w:tc>
          <w:tcPr>
            <w:tcW w:w="8380" w:type="dxa"/>
            <w:vAlign w:val="bottom"/>
          </w:tcPr>
          <w:p>
            <w:pPr>
              <w:spacing w:after="0"/>
              <w:rPr>
                <w:sz w:val="20"/>
                <w:szCs w:val="20"/>
                <w:color w:val="auto"/>
              </w:rPr>
            </w:pPr>
            <w:r>
              <w:rPr>
                <w:rFonts w:ascii="Arial" w:cs="Arial" w:eastAsia="Arial" w:hAnsi="Arial"/>
                <w:sz w:val="22"/>
                <w:szCs w:val="22"/>
                <w:color w:val="auto"/>
              </w:rPr>
              <w:t>Weighted average number of common shares outstanding: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80" w:type="dxa"/>
            <w:vAlign w:val="bottom"/>
          </w:tcPr>
          <w:p>
            <w:pPr>
              <w:ind w:left="120"/>
              <w:spacing w:after="0"/>
              <w:rPr>
                <w:sz w:val="20"/>
                <w:szCs w:val="20"/>
                <w:color w:val="auto"/>
              </w:rPr>
            </w:pPr>
            <w:r>
              <w:rPr>
                <w:rFonts w:ascii="Arial" w:cs="Arial" w:eastAsia="Arial" w:hAnsi="Arial"/>
                <w:sz w:val="22"/>
                <w:szCs w:val="22"/>
                <w:color w:val="auto"/>
              </w:rPr>
              <w:t>Basic</w:t>
            </w:r>
          </w:p>
        </w:tc>
        <w:tc>
          <w:tcPr>
            <w:tcW w:w="3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165,330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131,631</w:t>
            </w:r>
          </w:p>
        </w:tc>
        <w:tc>
          <w:tcPr>
            <w:tcW w:w="0" w:type="dxa"/>
            <w:vAlign w:val="bottom"/>
          </w:tcPr>
          <w:p>
            <w:pPr>
              <w:spacing w:after="0"/>
              <w:rPr>
                <w:sz w:val="1"/>
                <w:szCs w:val="1"/>
                <w:color w:val="auto"/>
              </w:rPr>
            </w:pPr>
          </w:p>
        </w:tc>
      </w:tr>
      <w:tr>
        <w:trPr>
          <w:trHeight w:val="275"/>
        </w:trPr>
        <w:tc>
          <w:tcPr>
            <w:tcW w:w="8380" w:type="dxa"/>
            <w:vAlign w:val="bottom"/>
          </w:tcPr>
          <w:p>
            <w:pPr>
              <w:ind w:left="120"/>
              <w:spacing w:after="0"/>
              <w:rPr>
                <w:sz w:val="20"/>
                <w:szCs w:val="20"/>
                <w:color w:val="auto"/>
              </w:rPr>
            </w:pPr>
            <w:r>
              <w:rPr>
                <w:rFonts w:ascii="Arial" w:cs="Arial" w:eastAsia="Arial" w:hAnsi="Arial"/>
                <w:sz w:val="22"/>
                <w:szCs w:val="22"/>
                <w:color w:val="auto"/>
              </w:rPr>
              <w:t>Diluted</w:t>
            </w:r>
          </w:p>
        </w:tc>
        <w:tc>
          <w:tcPr>
            <w:tcW w:w="3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165,330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131,631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404" w:gutter="0" w:footer="0" w:header="0"/>
        </w:sectPr>
      </w:pPr>
    </w:p>
    <w:bookmarkStart w:id="6" w:name="page7"/>
    <w:bookmarkEnd w:id="6"/>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w:t>
      </w:r>
    </w:p>
    <w:p>
      <w:pPr>
        <w:jc w:val="center"/>
        <w:ind w:right="20"/>
        <w:spacing w:after="0"/>
        <w:rPr>
          <w:sz w:val="20"/>
          <w:szCs w:val="20"/>
          <w:color w:val="auto"/>
        </w:rPr>
      </w:pPr>
      <w:r>
        <w:rPr>
          <w:rFonts w:ascii="Arial" w:cs="Arial" w:eastAsia="Arial" w:hAnsi="Arial"/>
          <w:sz w:val="22"/>
          <w:szCs w:val="22"/>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392"/>
              <w:spacing w:after="0"/>
              <w:rPr>
                <w:sz w:val="20"/>
                <w:szCs w:val="20"/>
                <w:color w:val="auto"/>
              </w:rPr>
            </w:pPr>
            <w:r>
              <w:rPr>
                <w:rFonts w:ascii="Arial" w:cs="Arial" w:eastAsia="Arial" w:hAnsi="Arial"/>
                <w:sz w:val="22"/>
                <w:szCs w:val="22"/>
                <w:b w:val="1"/>
                <w:bCs w:val="1"/>
                <w:color w:val="auto"/>
                <w:w w:val="96"/>
              </w:rPr>
              <w:t>December 31,</w:t>
            </w:r>
          </w:p>
        </w:tc>
        <w:tc>
          <w:tcPr>
            <w:tcW w:w="0" w:type="dxa"/>
            <w:vAlign w:val="bottom"/>
          </w:tcPr>
          <w:p>
            <w:pPr>
              <w:spacing w:after="0"/>
              <w:rPr>
                <w:sz w:val="1"/>
                <w:szCs w:val="1"/>
                <w:color w:val="auto"/>
              </w:rPr>
            </w:pPr>
          </w:p>
        </w:tc>
      </w:tr>
      <w:tr>
        <w:trPr>
          <w:trHeight w:val="281"/>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2"/>
          </w:tcPr>
          <w:p>
            <w:pPr>
              <w:ind w:left="180"/>
              <w:spacing w:after="0"/>
              <w:rPr>
                <w:sz w:val="20"/>
                <w:szCs w:val="20"/>
                <w:color w:val="auto"/>
              </w:rPr>
            </w:pPr>
            <w:r>
              <w:rPr>
                <w:rFonts w:ascii="Arial" w:cs="Arial" w:eastAsia="Arial" w:hAnsi="Arial"/>
                <w:sz w:val="22"/>
                <w:szCs w:val="22"/>
                <w:b w:val="1"/>
                <w:bCs w:val="1"/>
                <w:color w:val="auto"/>
              </w:rPr>
              <w:t>March 31, 2019</w:t>
            </w:r>
          </w:p>
        </w:tc>
        <w:tc>
          <w:tcPr>
            <w:tcW w:w="280" w:type="dxa"/>
            <w:vAlign w:val="bottom"/>
          </w:tcPr>
          <w:p>
            <w:pPr>
              <w:spacing w:after="0"/>
              <w:rPr>
                <w:sz w:val="24"/>
                <w:szCs w:val="24"/>
                <w:color w:val="auto"/>
              </w:rPr>
            </w:pPr>
          </w:p>
        </w:tc>
        <w:tc>
          <w:tcPr>
            <w:tcW w:w="1900" w:type="dxa"/>
            <w:vAlign w:val="bottom"/>
          </w:tcPr>
          <w:p>
            <w:pPr>
              <w:jc w:val="right"/>
              <w:ind w:right="77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278"/>
        </w:trPr>
        <w:tc>
          <w:tcPr>
            <w:tcW w:w="6740" w:type="dxa"/>
            <w:vAlign w:val="bottom"/>
            <w:vMerge w:val="restart"/>
          </w:tcPr>
          <w:p>
            <w:pPr>
              <w:spacing w:after="0"/>
              <w:rPr>
                <w:sz w:val="20"/>
                <w:szCs w:val="20"/>
                <w:color w:val="auto"/>
              </w:rPr>
            </w:pPr>
            <w:r>
              <w:rPr>
                <w:rFonts w:ascii="Arial" w:cs="Arial" w:eastAsia="Arial" w:hAnsi="Arial"/>
                <w:sz w:val="22"/>
                <w:szCs w:val="22"/>
                <w:color w:val="auto"/>
              </w:rPr>
              <w:t>Current assets:</w:t>
            </w:r>
          </w:p>
        </w:tc>
        <w:tc>
          <w:tcPr>
            <w:tcW w:w="28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(UNAUDITED)</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7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Cash and cash equivalents</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7,992</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12,372</w:t>
            </w: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Accounts receivable, net</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73,513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70,223</w:t>
            </w: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Inventories</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4,276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4,313</w:t>
            </w: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Assets held for sale</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8,058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10,297</w:t>
            </w:r>
          </w:p>
        </w:tc>
        <w:tc>
          <w:tcPr>
            <w:tcW w:w="0" w:type="dxa"/>
            <w:vAlign w:val="bottom"/>
          </w:tcPr>
          <w:p>
            <w:pPr>
              <w:spacing w:after="0"/>
              <w:rPr>
                <w:sz w:val="1"/>
                <w:szCs w:val="1"/>
                <w:color w:val="auto"/>
              </w:rPr>
            </w:pPr>
          </w:p>
        </w:tc>
      </w:tr>
      <w:tr>
        <w:trPr>
          <w:trHeight w:val="275"/>
        </w:trPr>
        <w:tc>
          <w:tcPr>
            <w:tcW w:w="6740" w:type="dxa"/>
            <w:vAlign w:val="bottom"/>
          </w:tcPr>
          <w:p>
            <w:pPr>
              <w:ind w:left="120"/>
              <w:spacing w:after="0"/>
              <w:rPr>
                <w:sz w:val="20"/>
                <w:szCs w:val="20"/>
                <w:color w:val="auto"/>
              </w:rPr>
            </w:pPr>
            <w:r>
              <w:rPr>
                <w:rFonts w:ascii="Arial" w:cs="Arial" w:eastAsia="Arial" w:hAnsi="Arial"/>
                <w:sz w:val="22"/>
                <w:szCs w:val="22"/>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9,267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10,592</w:t>
            </w:r>
          </w:p>
        </w:tc>
        <w:tc>
          <w:tcPr>
            <w:tcW w:w="0" w:type="dxa"/>
            <w:vAlign w:val="bottom"/>
          </w:tcPr>
          <w:p>
            <w:pPr>
              <w:spacing w:after="0"/>
              <w:rPr>
                <w:sz w:val="1"/>
                <w:szCs w:val="1"/>
                <w:color w:val="auto"/>
              </w:rPr>
            </w:pPr>
          </w:p>
        </w:tc>
      </w:tr>
      <w:tr>
        <w:trPr>
          <w:trHeight w:val="272"/>
        </w:trPr>
        <w:tc>
          <w:tcPr>
            <w:tcW w:w="6740" w:type="dxa"/>
            <w:vAlign w:val="bottom"/>
          </w:tcPr>
          <w:p>
            <w:pPr>
              <w:ind w:left="260"/>
              <w:spacing w:after="0"/>
              <w:rPr>
                <w:sz w:val="20"/>
                <w:szCs w:val="20"/>
                <w:color w:val="auto"/>
              </w:rPr>
            </w:pPr>
            <w:r>
              <w:rPr>
                <w:rFonts w:ascii="Arial" w:cs="Arial" w:eastAsia="Arial" w:hAnsi="Arial"/>
                <w:sz w:val="22"/>
                <w:szCs w:val="22"/>
                <w:color w:val="auto"/>
              </w:rPr>
              <w:t>Total current assets</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103,106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107,797</w:t>
            </w:r>
          </w:p>
        </w:tc>
        <w:tc>
          <w:tcPr>
            <w:tcW w:w="0" w:type="dxa"/>
            <w:vAlign w:val="bottom"/>
          </w:tcPr>
          <w:p>
            <w:pPr>
              <w:spacing w:after="0"/>
              <w:rPr>
                <w:sz w:val="1"/>
                <w:szCs w:val="1"/>
                <w:color w:val="auto"/>
              </w:rPr>
            </w:pPr>
          </w:p>
        </w:tc>
      </w:tr>
      <w:tr>
        <w:trPr>
          <w:trHeight w:val="528"/>
        </w:trPr>
        <w:tc>
          <w:tcPr>
            <w:tcW w:w="674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280" w:type="dxa"/>
            <w:vAlign w:val="bottom"/>
          </w:tcPr>
          <w:p>
            <w:pPr>
              <w:spacing w:after="0"/>
              <w:rPr>
                <w:sz w:val="24"/>
                <w:szCs w:val="24"/>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650,919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658,905</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22"/>
                <w:szCs w:val="22"/>
                <w:color w:val="auto"/>
              </w:rPr>
              <w:t>Goodwill, net</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119,158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114,207</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111,542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119,409</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22"/>
                <w:szCs w:val="22"/>
                <w:color w:val="auto"/>
              </w:rPr>
              <w:t>Operating lease right-of-use assets</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22,225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6"/>
        </w:trPr>
        <w:tc>
          <w:tcPr>
            <w:tcW w:w="674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1,048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1,359</w:t>
            </w:r>
          </w:p>
        </w:tc>
        <w:tc>
          <w:tcPr>
            <w:tcW w:w="0" w:type="dxa"/>
            <w:vAlign w:val="bottom"/>
          </w:tcPr>
          <w:p>
            <w:pPr>
              <w:spacing w:after="0"/>
              <w:rPr>
                <w:sz w:val="1"/>
                <w:szCs w:val="1"/>
                <w:color w:val="auto"/>
              </w:rPr>
            </w:pPr>
          </w:p>
        </w:tc>
      </w:tr>
      <w:tr>
        <w:trPr>
          <w:trHeight w:val="265"/>
        </w:trPr>
        <w:tc>
          <w:tcPr>
            <w:tcW w:w="6740" w:type="dxa"/>
            <w:vAlign w:val="bottom"/>
          </w:tcPr>
          <w:p>
            <w:pPr>
              <w:ind w:left="260"/>
              <w:spacing w:after="0"/>
              <w:rPr>
                <w:sz w:val="20"/>
                <w:szCs w:val="20"/>
                <w:color w:val="auto"/>
              </w:rPr>
            </w:pPr>
            <w:r>
              <w:rPr>
                <w:rFonts w:ascii="Arial" w:cs="Arial" w:eastAsia="Arial" w:hAnsi="Arial"/>
                <w:sz w:val="22"/>
                <w:szCs w:val="22"/>
                <w:color w:val="auto"/>
              </w:rPr>
              <w:t>Total assets</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20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1,007,998</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1,001,677</w:t>
            </w:r>
          </w:p>
        </w:tc>
        <w:tc>
          <w:tcPr>
            <w:tcW w:w="0" w:type="dxa"/>
            <w:vAlign w:val="bottom"/>
          </w:tcPr>
          <w:p>
            <w:pPr>
              <w:spacing w:after="0"/>
              <w:rPr>
                <w:sz w:val="1"/>
                <w:szCs w:val="1"/>
                <w:color w:val="auto"/>
              </w:rPr>
            </w:pPr>
          </w:p>
        </w:tc>
      </w:tr>
      <w:tr>
        <w:trPr>
          <w:trHeight w:val="21"/>
        </w:trPr>
        <w:tc>
          <w:tcPr>
            <w:tcW w:w="674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Accounts payable</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30,053</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28,334</w:t>
            </w: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Accrued liabilities</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13,371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15,956</w:t>
            </w: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Income taxes</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572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310</w:t>
            </w: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Current portion of long-term debt</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34,068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33,329</w:t>
            </w: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Deferred revenue</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3,598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3,035</w:t>
            </w:r>
          </w:p>
        </w:tc>
        <w:tc>
          <w:tcPr>
            <w:tcW w:w="0" w:type="dxa"/>
            <w:vAlign w:val="bottom"/>
          </w:tcPr>
          <w:p>
            <w:pPr>
              <w:spacing w:after="0"/>
              <w:rPr>
                <w:sz w:val="1"/>
                <w:szCs w:val="1"/>
                <w:color w:val="auto"/>
              </w:rPr>
            </w:pPr>
          </w:p>
        </w:tc>
      </w:tr>
      <w:tr>
        <w:trPr>
          <w:trHeight w:val="275"/>
        </w:trPr>
        <w:tc>
          <w:tcPr>
            <w:tcW w:w="6740" w:type="dxa"/>
            <w:vAlign w:val="bottom"/>
          </w:tcPr>
          <w:p>
            <w:pPr>
              <w:ind w:left="120"/>
              <w:spacing w:after="0"/>
              <w:rPr>
                <w:sz w:val="20"/>
                <w:szCs w:val="20"/>
                <w:color w:val="auto"/>
              </w:rPr>
            </w:pPr>
            <w:r>
              <w:rPr>
                <w:rFonts w:ascii="Arial" w:cs="Arial" w:eastAsia="Arial" w:hAnsi="Arial"/>
                <w:sz w:val="22"/>
                <w:szCs w:val="22"/>
                <w:color w:val="auto"/>
              </w:rPr>
              <w:t>Other current liabilities</w:t>
            </w:r>
          </w:p>
        </w:tc>
        <w:tc>
          <w:tcPr>
            <w:tcW w:w="2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9,407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5,719</w:t>
            </w:r>
          </w:p>
        </w:tc>
        <w:tc>
          <w:tcPr>
            <w:tcW w:w="0" w:type="dxa"/>
            <w:vAlign w:val="bottom"/>
          </w:tcPr>
          <w:p>
            <w:pPr>
              <w:spacing w:after="0"/>
              <w:rPr>
                <w:sz w:val="1"/>
                <w:szCs w:val="1"/>
                <w:color w:val="auto"/>
              </w:rPr>
            </w:pPr>
          </w:p>
        </w:tc>
      </w:tr>
      <w:tr>
        <w:trPr>
          <w:trHeight w:val="272"/>
        </w:trPr>
        <w:tc>
          <w:tcPr>
            <w:tcW w:w="6740" w:type="dxa"/>
            <w:vAlign w:val="bottom"/>
          </w:tcPr>
          <w:p>
            <w:pPr>
              <w:ind w:left="260"/>
              <w:spacing w:after="0"/>
              <w:rPr>
                <w:sz w:val="20"/>
                <w:szCs w:val="20"/>
                <w:color w:val="auto"/>
              </w:rPr>
            </w:pPr>
            <w:r>
              <w:rPr>
                <w:rFonts w:ascii="Arial" w:cs="Arial" w:eastAsia="Arial" w:hAnsi="Arial"/>
                <w:sz w:val="22"/>
                <w:szCs w:val="22"/>
                <w:color w:val="auto"/>
              </w:rPr>
              <w:t>Total current liabilities</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91,069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86,683</w:t>
            </w:r>
          </w:p>
        </w:tc>
        <w:tc>
          <w:tcPr>
            <w:tcW w:w="0" w:type="dxa"/>
            <w:vAlign w:val="bottom"/>
          </w:tcPr>
          <w:p>
            <w:pPr>
              <w:spacing w:after="0"/>
              <w:rPr>
                <w:sz w:val="1"/>
                <w:szCs w:val="1"/>
                <w:color w:val="auto"/>
              </w:rPr>
            </w:pPr>
          </w:p>
        </w:tc>
      </w:tr>
      <w:tr>
        <w:trPr>
          <w:trHeight w:val="528"/>
        </w:trPr>
        <w:tc>
          <w:tcPr>
            <w:tcW w:w="6740" w:type="dxa"/>
            <w:vAlign w:val="bottom"/>
          </w:tcPr>
          <w:p>
            <w:pPr>
              <w:spacing w:after="0"/>
              <w:rPr>
                <w:sz w:val="20"/>
                <w:szCs w:val="20"/>
                <w:color w:val="auto"/>
              </w:rPr>
            </w:pPr>
            <w:r>
              <w:rPr>
                <w:rFonts w:ascii="Arial" w:cs="Arial" w:eastAsia="Arial" w:hAnsi="Arial"/>
                <w:sz w:val="22"/>
                <w:szCs w:val="22"/>
                <w:color w:val="auto"/>
              </w:rPr>
              <w:t>Long-term debt</w:t>
            </w:r>
          </w:p>
        </w:tc>
        <w:tc>
          <w:tcPr>
            <w:tcW w:w="280" w:type="dxa"/>
            <w:vAlign w:val="bottom"/>
          </w:tcPr>
          <w:p>
            <w:pPr>
              <w:spacing w:after="0"/>
              <w:rPr>
                <w:sz w:val="24"/>
                <w:szCs w:val="24"/>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346,841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342,908</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22"/>
                <w:szCs w:val="22"/>
                <w:color w:val="auto"/>
              </w:rPr>
              <w:t>Deferred income taxes</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13,838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18,442</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22"/>
                <w:szCs w:val="22"/>
                <w:color w:val="auto"/>
              </w:rPr>
              <w:t>Operating lease liabilities</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18,529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674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2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16,404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18,220</w:t>
            </w:r>
          </w:p>
        </w:tc>
        <w:tc>
          <w:tcPr>
            <w:tcW w:w="0" w:type="dxa"/>
            <w:vAlign w:val="bottom"/>
          </w:tcPr>
          <w:p>
            <w:pPr>
              <w:spacing w:after="0"/>
              <w:rPr>
                <w:sz w:val="1"/>
                <w:szCs w:val="1"/>
                <w:color w:val="auto"/>
              </w:rPr>
            </w:pPr>
          </w:p>
        </w:tc>
      </w:tr>
      <w:tr>
        <w:trPr>
          <w:trHeight w:val="272"/>
        </w:trPr>
        <w:tc>
          <w:tcPr>
            <w:tcW w:w="6740" w:type="dxa"/>
            <w:vAlign w:val="bottom"/>
          </w:tcPr>
          <w:p>
            <w:pPr>
              <w:ind w:left="260"/>
              <w:spacing w:after="0"/>
              <w:rPr>
                <w:sz w:val="20"/>
                <w:szCs w:val="20"/>
                <w:color w:val="auto"/>
              </w:rPr>
            </w:pPr>
            <w:r>
              <w:rPr>
                <w:rFonts w:ascii="Arial" w:cs="Arial" w:eastAsia="Arial" w:hAnsi="Arial"/>
                <w:sz w:val="22"/>
                <w:szCs w:val="22"/>
                <w:color w:val="auto"/>
              </w:rPr>
              <w:t>Total liabilities</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486,681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466,253</w:t>
            </w:r>
          </w:p>
        </w:tc>
        <w:tc>
          <w:tcPr>
            <w:tcW w:w="0" w:type="dxa"/>
            <w:vAlign w:val="bottom"/>
          </w:tcPr>
          <w:p>
            <w:pPr>
              <w:spacing w:after="0"/>
              <w:rPr>
                <w:sz w:val="1"/>
                <w:szCs w:val="1"/>
                <w:color w:val="auto"/>
              </w:rPr>
            </w:pPr>
          </w:p>
        </w:tc>
      </w:tr>
      <w:tr>
        <w:trPr>
          <w:trHeight w:val="528"/>
        </w:trPr>
        <w:tc>
          <w:tcPr>
            <w:tcW w:w="6740" w:type="dxa"/>
            <w:vAlign w:val="bottom"/>
          </w:tcPr>
          <w:p>
            <w:pPr>
              <w:spacing w:after="0"/>
              <w:rPr>
                <w:sz w:val="20"/>
                <w:szCs w:val="20"/>
                <w:color w:val="auto"/>
              </w:rPr>
            </w:pPr>
            <w:r>
              <w:rPr>
                <w:rFonts w:ascii="Arial" w:cs="Arial" w:eastAsia="Arial" w:hAnsi="Arial"/>
                <w:sz w:val="22"/>
                <w:szCs w:val="22"/>
                <w:color w:val="auto"/>
              </w:rPr>
              <w:t>Shareholders' equity:</w:t>
            </w: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Preferred shares</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56,739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56,280</w:t>
            </w: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Common shares</w:t>
            </w:r>
          </w:p>
        </w:tc>
        <w:tc>
          <w:tcPr>
            <w:tcW w:w="280" w:type="dxa"/>
            <w:vAlign w:val="bottom"/>
          </w:tcPr>
          <w:p>
            <w:pPr>
              <w:spacing w:after="0"/>
              <w:rPr>
                <w:sz w:val="23"/>
                <w:szCs w:val="23"/>
                <w:color w:val="auto"/>
              </w:rPr>
            </w:pPr>
          </w:p>
        </w:tc>
        <w:tc>
          <w:tcPr>
            <w:tcW w:w="220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Additional paid-in capital</w:t>
            </w:r>
          </w:p>
        </w:tc>
        <w:tc>
          <w:tcPr>
            <w:tcW w:w="28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1,564,667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132"/>
              <w:spacing w:after="0"/>
              <w:rPr>
                <w:sz w:val="20"/>
                <w:szCs w:val="20"/>
                <w:color w:val="auto"/>
              </w:rPr>
            </w:pPr>
            <w:r>
              <w:rPr>
                <w:rFonts w:ascii="Arial" w:cs="Arial" w:eastAsia="Arial" w:hAnsi="Arial"/>
                <w:sz w:val="22"/>
                <w:szCs w:val="22"/>
                <w:color w:val="auto"/>
              </w:rPr>
              <w:t>1,562,133</w:t>
            </w: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Accumulated deficit</w:t>
            </w:r>
          </w:p>
        </w:tc>
        <w:tc>
          <w:tcPr>
            <w:tcW w:w="280" w:type="dxa"/>
            <w:vAlign w:val="bottom"/>
          </w:tcPr>
          <w:p>
            <w:pPr>
              <w:spacing w:after="0"/>
              <w:rPr>
                <w:sz w:val="23"/>
                <w:szCs w:val="23"/>
                <w:color w:val="auto"/>
              </w:rPr>
            </w:pPr>
          </w:p>
        </w:tc>
        <w:tc>
          <w:tcPr>
            <w:tcW w:w="2080" w:type="dxa"/>
            <w:vAlign w:val="bottom"/>
          </w:tcPr>
          <w:p>
            <w:pPr>
              <w:jc w:val="right"/>
              <w:ind w:right="52"/>
              <w:spacing w:after="0"/>
              <w:rPr>
                <w:sz w:val="20"/>
                <w:szCs w:val="20"/>
                <w:color w:val="auto"/>
              </w:rPr>
            </w:pPr>
            <w:r>
              <w:rPr>
                <w:rFonts w:ascii="Arial" w:cs="Arial" w:eastAsia="Arial" w:hAnsi="Arial"/>
                <w:sz w:val="22"/>
                <w:szCs w:val="22"/>
                <w:color w:val="auto"/>
              </w:rPr>
              <w:t>(728,748)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32"/>
              <w:spacing w:after="0"/>
              <w:rPr>
                <w:sz w:val="20"/>
                <w:szCs w:val="20"/>
                <w:color w:val="auto"/>
              </w:rPr>
            </w:pPr>
            <w:r>
              <w:rPr>
                <w:rFonts w:ascii="Arial" w:cs="Arial" w:eastAsia="Arial" w:hAnsi="Arial"/>
                <w:sz w:val="22"/>
                <w:szCs w:val="22"/>
                <w:color w:val="auto"/>
              </w:rPr>
              <w:t>(710,551)</w:t>
            </w:r>
          </w:p>
        </w:tc>
        <w:tc>
          <w:tcPr>
            <w:tcW w:w="0" w:type="dxa"/>
            <w:vAlign w:val="bottom"/>
          </w:tcPr>
          <w:p>
            <w:pPr>
              <w:spacing w:after="0"/>
              <w:rPr>
                <w:sz w:val="1"/>
                <w:szCs w:val="1"/>
                <w:color w:val="auto"/>
              </w:rPr>
            </w:pPr>
          </w:p>
        </w:tc>
      </w:tr>
      <w:tr>
        <w:trPr>
          <w:trHeight w:val="270"/>
        </w:trPr>
        <w:tc>
          <w:tcPr>
            <w:tcW w:w="6740" w:type="dxa"/>
            <w:vAlign w:val="bottom"/>
          </w:tcPr>
          <w:p>
            <w:pPr>
              <w:ind w:left="120"/>
              <w:spacing w:after="0"/>
              <w:rPr>
                <w:sz w:val="20"/>
                <w:szCs w:val="20"/>
                <w:color w:val="auto"/>
              </w:rPr>
            </w:pPr>
            <w:r>
              <w:rPr>
                <w:rFonts w:ascii="Arial" w:cs="Arial" w:eastAsia="Arial" w:hAnsi="Arial"/>
                <w:sz w:val="22"/>
                <w:szCs w:val="22"/>
                <w:color w:val="auto"/>
              </w:rPr>
              <w:t>Treasury stock</w:t>
            </w:r>
          </w:p>
        </w:tc>
        <w:tc>
          <w:tcPr>
            <w:tcW w:w="280" w:type="dxa"/>
            <w:vAlign w:val="bottom"/>
          </w:tcPr>
          <w:p>
            <w:pPr>
              <w:spacing w:after="0"/>
              <w:rPr>
                <w:sz w:val="23"/>
                <w:szCs w:val="23"/>
                <w:color w:val="auto"/>
              </w:rPr>
            </w:pPr>
          </w:p>
        </w:tc>
        <w:tc>
          <w:tcPr>
            <w:tcW w:w="2080" w:type="dxa"/>
            <w:vAlign w:val="bottom"/>
          </w:tcPr>
          <w:p>
            <w:pPr>
              <w:jc w:val="right"/>
              <w:ind w:right="52"/>
              <w:spacing w:after="0"/>
              <w:rPr>
                <w:sz w:val="20"/>
                <w:szCs w:val="20"/>
                <w:color w:val="auto"/>
              </w:rPr>
            </w:pPr>
            <w:r>
              <w:rPr>
                <w:rFonts w:ascii="Arial" w:cs="Arial" w:eastAsia="Arial" w:hAnsi="Arial"/>
                <w:sz w:val="22"/>
                <w:szCs w:val="22"/>
                <w:color w:val="auto"/>
              </w:rPr>
              <w:t>(5,471)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32"/>
              <w:spacing w:after="0"/>
              <w:rPr>
                <w:sz w:val="20"/>
                <w:szCs w:val="20"/>
                <w:color w:val="auto"/>
              </w:rPr>
            </w:pPr>
            <w:r>
              <w:rPr>
                <w:rFonts w:ascii="Arial" w:cs="Arial" w:eastAsia="Arial" w:hAnsi="Arial"/>
                <w:sz w:val="22"/>
                <w:szCs w:val="22"/>
                <w:color w:val="auto"/>
              </w:rPr>
              <w:t>(1,189)</w:t>
            </w:r>
          </w:p>
        </w:tc>
        <w:tc>
          <w:tcPr>
            <w:tcW w:w="0" w:type="dxa"/>
            <w:vAlign w:val="bottom"/>
          </w:tcPr>
          <w:p>
            <w:pPr>
              <w:spacing w:after="0"/>
              <w:rPr>
                <w:sz w:val="1"/>
                <w:szCs w:val="1"/>
                <w:color w:val="auto"/>
              </w:rPr>
            </w:pPr>
          </w:p>
        </w:tc>
      </w:tr>
      <w:tr>
        <w:trPr>
          <w:trHeight w:val="275"/>
        </w:trPr>
        <w:tc>
          <w:tcPr>
            <w:tcW w:w="6740" w:type="dxa"/>
            <w:vAlign w:val="bottom"/>
          </w:tcPr>
          <w:p>
            <w:pPr>
              <w:ind w:left="120"/>
              <w:spacing w:after="0"/>
              <w:rPr>
                <w:sz w:val="20"/>
                <w:szCs w:val="20"/>
                <w:color w:val="auto"/>
              </w:rPr>
            </w:pPr>
            <w:r>
              <w:rPr>
                <w:rFonts w:ascii="Arial" w:cs="Arial" w:eastAsia="Arial" w:hAnsi="Arial"/>
                <w:sz w:val="22"/>
                <w:szCs w:val="22"/>
                <w:color w:val="auto"/>
              </w:rPr>
              <w:t>Accumulated other comprehensive loss</w:t>
            </w:r>
          </w:p>
        </w:tc>
        <w:tc>
          <w:tcPr>
            <w:tcW w:w="2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(365,870)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(371,249)</w:t>
            </w:r>
          </w:p>
        </w:tc>
        <w:tc>
          <w:tcPr>
            <w:tcW w:w="0" w:type="dxa"/>
            <w:vAlign w:val="bottom"/>
          </w:tcPr>
          <w:p>
            <w:pPr>
              <w:spacing w:after="0"/>
              <w:rPr>
                <w:sz w:val="1"/>
                <w:szCs w:val="1"/>
                <w:color w:val="auto"/>
              </w:rPr>
            </w:pPr>
          </w:p>
        </w:tc>
      </w:tr>
      <w:tr>
        <w:trPr>
          <w:trHeight w:val="267"/>
        </w:trPr>
        <w:tc>
          <w:tcPr>
            <w:tcW w:w="6740" w:type="dxa"/>
            <w:vAlign w:val="bottom"/>
          </w:tcPr>
          <w:p>
            <w:pPr>
              <w:ind w:left="260"/>
              <w:spacing w:after="0"/>
              <w:rPr>
                <w:sz w:val="20"/>
                <w:szCs w:val="20"/>
                <w:color w:val="auto"/>
              </w:rPr>
            </w:pPr>
            <w:r>
              <w:rPr>
                <w:rFonts w:ascii="Arial" w:cs="Arial" w:eastAsia="Arial" w:hAnsi="Arial"/>
                <w:sz w:val="22"/>
                <w:szCs w:val="22"/>
                <w:color w:val="auto"/>
              </w:rPr>
              <w:t>Total Civeo Corporation shareholders' equity</w:t>
            </w:r>
          </w:p>
        </w:tc>
        <w:tc>
          <w:tcPr>
            <w:tcW w:w="2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521,317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535,424</w:t>
            </w: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2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120"/>
              <w:spacing w:after="0"/>
              <w:rPr>
                <w:sz w:val="20"/>
                <w:szCs w:val="20"/>
                <w:color w:val="auto"/>
              </w:rPr>
            </w:pPr>
            <w:r>
              <w:rPr>
                <w:rFonts w:ascii="Arial" w:cs="Arial" w:eastAsia="Arial" w:hAnsi="Arial"/>
                <w:sz w:val="22"/>
                <w:szCs w:val="22"/>
                <w:color w:val="auto"/>
              </w:rPr>
              <w:t>Total shareholders' equity</w:t>
            </w:r>
          </w:p>
        </w:tc>
        <w:tc>
          <w:tcPr>
            <w:tcW w:w="2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521,317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535,424</w:t>
            </w:r>
          </w:p>
        </w:tc>
        <w:tc>
          <w:tcPr>
            <w:tcW w:w="0" w:type="dxa"/>
            <w:vAlign w:val="bottom"/>
          </w:tcPr>
          <w:p>
            <w:pPr>
              <w:spacing w:after="0"/>
              <w:rPr>
                <w:sz w:val="1"/>
                <w:szCs w:val="1"/>
                <w:color w:val="auto"/>
              </w:rPr>
            </w:pPr>
          </w:p>
        </w:tc>
      </w:tr>
      <w:tr>
        <w:trPr>
          <w:trHeight w:val="264"/>
        </w:trPr>
        <w:tc>
          <w:tcPr>
            <w:tcW w:w="6740" w:type="dxa"/>
            <w:vAlign w:val="bottom"/>
          </w:tcPr>
          <w:p>
            <w:pPr>
              <w:ind w:left="260"/>
              <w:spacing w:after="0"/>
              <w:rPr>
                <w:sz w:val="20"/>
                <w:szCs w:val="20"/>
                <w:color w:val="auto"/>
              </w:rPr>
            </w:pPr>
            <w:r>
              <w:rPr>
                <w:rFonts w:ascii="Arial" w:cs="Arial" w:eastAsia="Arial" w:hAnsi="Arial"/>
                <w:sz w:val="22"/>
                <w:szCs w:val="22"/>
                <w:color w:val="auto"/>
              </w:rPr>
              <w:t>Total liabilities and shareholders' equity</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20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1,007,998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1,001,677</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 CONSOLIDATED STATEMENTS OF CASH FLOWS</w:t>
      </w:r>
    </w:p>
    <w:p>
      <w:pPr>
        <w:jc w:val="center"/>
        <w:ind w:right="20"/>
        <w:spacing w:after="0"/>
        <w:rPr>
          <w:sz w:val="20"/>
          <w:szCs w:val="20"/>
          <w:color w:val="auto"/>
        </w:rPr>
      </w:pPr>
      <w:r>
        <w:rPr>
          <w:rFonts w:ascii="Arial" w:cs="Arial" w:eastAsia="Arial" w:hAnsi="Arial"/>
          <w:sz w:val="22"/>
          <w:szCs w:val="22"/>
          <w:b w:val="1"/>
          <w:bCs w:val="1"/>
          <w:color w:val="auto"/>
        </w:rPr>
        <w:t>(in thousands)</w:t>
      </w:r>
    </w:p>
    <w:p>
      <w:pPr>
        <w:spacing w:after="0" w:line="196" w:lineRule="exact"/>
        <w:rPr>
          <w:sz w:val="20"/>
          <w:szCs w:val="20"/>
          <w:color w:val="auto"/>
        </w:rPr>
      </w:pPr>
    </w:p>
    <w:p>
      <w:pPr>
        <w:jc w:val="center"/>
        <w:ind w:left="882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882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800" w:type="dxa"/>
            <w:vAlign w:val="bottom"/>
          </w:tcPr>
          <w:p>
            <w:pPr>
              <w:spacing w:after="0"/>
              <w:rPr>
                <w:sz w:val="23"/>
                <w:szCs w:val="23"/>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22"/>
                <w:szCs w:val="22"/>
                <w:b w:val="1"/>
                <w:bCs w:val="1"/>
                <w:color w:val="auto"/>
              </w:rPr>
              <w:t>2018</w:t>
            </w:r>
          </w:p>
        </w:tc>
      </w:tr>
      <w:tr>
        <w:trPr>
          <w:trHeight w:val="526"/>
        </w:trPr>
        <w:tc>
          <w:tcPr>
            <w:tcW w:w="880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5"/>
        </w:trPr>
        <w:tc>
          <w:tcPr>
            <w:tcW w:w="8800" w:type="dxa"/>
            <w:vAlign w:val="bottom"/>
          </w:tcPr>
          <w:p>
            <w:pPr>
              <w:spacing w:after="0"/>
              <w:rPr>
                <w:sz w:val="20"/>
                <w:szCs w:val="20"/>
                <w:color w:val="auto"/>
              </w:rPr>
            </w:pPr>
            <w:r>
              <w:rPr>
                <w:rFonts w:ascii="Arial" w:cs="Arial" w:eastAsia="Arial" w:hAnsi="Arial"/>
                <w:sz w:val="22"/>
                <w:szCs w:val="22"/>
                <w:color w:val="auto"/>
              </w:rPr>
              <w:t>Net loss</w:t>
            </w:r>
          </w:p>
        </w:tc>
        <w:tc>
          <w:tcPr>
            <w:tcW w:w="1200" w:type="dxa"/>
            <w:vAlign w:val="bottom"/>
          </w:tcPr>
          <w:p>
            <w:pPr>
              <w:jc w:val="right"/>
              <w:spacing w:after="0"/>
              <w:rPr>
                <w:sz w:val="20"/>
                <w:szCs w:val="20"/>
                <w:color w:val="auto"/>
              </w:rPr>
            </w:pPr>
            <w:r>
              <w:rPr>
                <w:rFonts w:ascii="Arial" w:cs="Arial" w:eastAsia="Arial" w:hAnsi="Arial"/>
                <w:sz w:val="22"/>
                <w:szCs w:val="22"/>
                <w:color w:val="auto"/>
              </w:rPr>
              <w:t>$   (17,039)</w:t>
            </w:r>
          </w:p>
        </w:tc>
        <w:tc>
          <w:tcPr>
            <w:tcW w:w="10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20" w:type="dxa"/>
            <w:vAlign w:val="bottom"/>
          </w:tcPr>
          <w:p>
            <w:pPr>
              <w:ind w:left="160"/>
              <w:spacing w:after="0"/>
              <w:rPr>
                <w:sz w:val="20"/>
                <w:szCs w:val="20"/>
                <w:color w:val="auto"/>
              </w:rPr>
            </w:pPr>
            <w:r>
              <w:rPr>
                <w:rFonts w:ascii="Arial" w:cs="Arial" w:eastAsia="Arial" w:hAnsi="Arial"/>
                <w:sz w:val="22"/>
                <w:szCs w:val="22"/>
                <w:color w:val="auto"/>
              </w:rPr>
              <w:t>(55,335)</w:t>
            </w:r>
          </w:p>
        </w:tc>
      </w:tr>
    </w:tbl>
    <w:p>
      <w:pPr>
        <w:sectPr>
          <w:pgSz w:w="11900" w:h="16867" w:orient="portrait"/>
          <w:cols w:equalWidth="0" w:num="1">
            <w:col w:w="11400"/>
          </w:cols>
          <w:pgMar w:left="260" w:top="11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800" w:type="dxa"/>
            <w:vAlign w:val="bottom"/>
          </w:tcPr>
          <w:p>
            <w:pPr>
              <w:spacing w:after="0"/>
              <w:rPr>
                <w:sz w:val="20"/>
                <w:szCs w:val="20"/>
                <w:color w:val="auto"/>
              </w:rPr>
            </w:pPr>
            <w:r>
              <w:rPr>
                <w:rFonts w:ascii="Arial" w:cs="Arial" w:eastAsia="Arial" w:hAnsi="Arial"/>
                <w:sz w:val="22"/>
                <w:szCs w:val="22"/>
                <w:color w:val="auto"/>
              </w:rPr>
              <w:t>Adjustments to reconcile net loss to net cash provided by operating activities:</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30,782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30,764</w:t>
            </w: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Impairment charges</w:t>
            </w:r>
          </w:p>
        </w:tc>
        <w:tc>
          <w:tcPr>
            <w:tcW w:w="3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28,661</w:t>
            </w: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Deferred income tax provision (benefit)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(4,745)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2</w:t>
            </w: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Non-cash compensation charge</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2,534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2,200</w:t>
            </w: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Gain on disposals of assets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(1,452)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(2,147)</w:t>
            </w: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Provision for loss on receivables, net of recoveries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Other, net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2,047</w:t>
            </w: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Changes in operating assets and liabilities:</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800" w:type="dxa"/>
            <w:vAlign w:val="bottom"/>
          </w:tcPr>
          <w:p>
            <w:pPr>
              <w:ind w:left="260"/>
              <w:spacing w:after="0"/>
              <w:rPr>
                <w:sz w:val="20"/>
                <w:szCs w:val="20"/>
                <w:color w:val="auto"/>
              </w:rPr>
            </w:pPr>
            <w:r>
              <w:rPr>
                <w:rFonts w:ascii="Arial" w:cs="Arial" w:eastAsia="Arial" w:hAnsi="Arial"/>
                <w:sz w:val="22"/>
                <w:szCs w:val="22"/>
                <w:color w:val="auto"/>
              </w:rPr>
              <w:t>Accounts receivable</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(2,377)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4,837</w:t>
            </w:r>
          </w:p>
        </w:tc>
      </w:tr>
      <w:tr>
        <w:trPr>
          <w:trHeight w:val="270"/>
        </w:trPr>
        <w:tc>
          <w:tcPr>
            <w:tcW w:w="8800" w:type="dxa"/>
            <w:vAlign w:val="bottom"/>
          </w:tcPr>
          <w:p>
            <w:pPr>
              <w:ind w:left="260"/>
              <w:spacing w:after="0"/>
              <w:rPr>
                <w:sz w:val="20"/>
                <w:szCs w:val="20"/>
                <w:color w:val="auto"/>
              </w:rPr>
            </w:pPr>
            <w:r>
              <w:rPr>
                <w:rFonts w:ascii="Arial" w:cs="Arial" w:eastAsia="Arial" w:hAnsi="Arial"/>
                <w:sz w:val="22"/>
                <w:szCs w:val="22"/>
                <w:color w:val="auto"/>
              </w:rPr>
              <w:t>Inventories</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2,190</w:t>
            </w:r>
          </w:p>
        </w:tc>
      </w:tr>
      <w:tr>
        <w:trPr>
          <w:trHeight w:val="270"/>
        </w:trPr>
        <w:tc>
          <w:tcPr>
            <w:tcW w:w="8800" w:type="dxa"/>
            <w:vAlign w:val="bottom"/>
          </w:tcPr>
          <w:p>
            <w:pPr>
              <w:ind w:left="260"/>
              <w:spacing w:after="0"/>
              <w:rPr>
                <w:sz w:val="20"/>
                <w:szCs w:val="20"/>
                <w:color w:val="auto"/>
              </w:rPr>
            </w:pPr>
            <w:r>
              <w:rPr>
                <w:rFonts w:ascii="Arial" w:cs="Arial" w:eastAsia="Arial" w:hAnsi="Arial"/>
                <w:sz w:val="22"/>
                <w:szCs w:val="22"/>
                <w:color w:val="auto"/>
              </w:rPr>
              <w:t>Accounts payable and accrued liabilities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(1,417)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(10,352)</w:t>
            </w:r>
          </w:p>
        </w:tc>
      </w:tr>
      <w:tr>
        <w:trPr>
          <w:trHeight w:val="270"/>
        </w:trPr>
        <w:tc>
          <w:tcPr>
            <w:tcW w:w="8800" w:type="dxa"/>
            <w:vAlign w:val="bottom"/>
          </w:tcPr>
          <w:p>
            <w:pPr>
              <w:ind w:left="260"/>
              <w:spacing w:after="0"/>
              <w:rPr>
                <w:sz w:val="20"/>
                <w:szCs w:val="20"/>
                <w:color w:val="auto"/>
              </w:rPr>
            </w:pPr>
            <w:r>
              <w:rPr>
                <w:rFonts w:ascii="Arial" w:cs="Arial" w:eastAsia="Arial" w:hAnsi="Arial"/>
                <w:sz w:val="22"/>
                <w:szCs w:val="22"/>
                <w:color w:val="auto"/>
              </w:rPr>
              <w:t>Taxes payable</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262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(1,358)</w:t>
            </w:r>
          </w:p>
        </w:tc>
      </w:tr>
      <w:tr>
        <w:trPr>
          <w:trHeight w:val="275"/>
        </w:trPr>
        <w:tc>
          <w:tcPr>
            <w:tcW w:w="8800" w:type="dxa"/>
            <w:vAlign w:val="bottom"/>
          </w:tcPr>
          <w:p>
            <w:pPr>
              <w:ind w:left="260"/>
              <w:spacing w:after="0"/>
              <w:rPr>
                <w:sz w:val="20"/>
                <w:szCs w:val="20"/>
                <w:color w:val="auto"/>
              </w:rPr>
            </w:pPr>
            <w:r>
              <w:rPr>
                <w:rFonts w:ascii="Arial" w:cs="Arial" w:eastAsia="Arial" w:hAnsi="Arial"/>
                <w:sz w:val="22"/>
                <w:szCs w:val="22"/>
                <w:color w:val="auto"/>
              </w:rPr>
              <w:t>Other current assets and liabilities, net</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148</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1,364</w:t>
            </w:r>
          </w:p>
        </w:tc>
      </w:tr>
      <w:tr>
        <w:trPr>
          <w:trHeight w:val="272"/>
        </w:trPr>
        <w:tc>
          <w:tcPr>
            <w:tcW w:w="8800" w:type="dxa"/>
            <w:vAlign w:val="bottom"/>
          </w:tcPr>
          <w:p>
            <w:pPr>
              <w:ind w:left="400"/>
              <w:spacing w:after="0"/>
              <w:rPr>
                <w:sz w:val="20"/>
                <w:szCs w:val="20"/>
                <w:color w:val="auto"/>
              </w:rPr>
            </w:pPr>
            <w:r>
              <w:rPr>
                <w:rFonts w:ascii="Arial" w:cs="Arial" w:eastAsia="Arial" w:hAnsi="Arial"/>
                <w:sz w:val="22"/>
                <w:szCs w:val="22"/>
                <w:color w:val="auto"/>
              </w:rPr>
              <w:t>Net cash flows provided by operating activities</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6,341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2,838</w:t>
            </w:r>
          </w:p>
        </w:tc>
      </w:tr>
      <w:tr>
        <w:trPr>
          <w:trHeight w:val="528"/>
        </w:trPr>
        <w:tc>
          <w:tcPr>
            <w:tcW w:w="8800" w:type="dxa"/>
            <w:vAlign w:val="bottom"/>
          </w:tcPr>
          <w:p>
            <w:pPr>
              <w:spacing w:after="0"/>
              <w:rPr>
                <w:sz w:val="20"/>
                <w:szCs w:val="20"/>
                <w:color w:val="auto"/>
              </w:rPr>
            </w:pPr>
            <w:r>
              <w:rPr>
                <w:rFonts w:ascii="Arial" w:cs="Arial" w:eastAsia="Arial" w:hAnsi="Arial"/>
                <w:sz w:val="22"/>
                <w:szCs w:val="22"/>
                <w:color w:val="auto"/>
              </w:rPr>
              <w:t>Cash flows from investing activities: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Capital expenditures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(9,679)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(2,696)</w:t>
            </w: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Payments related to acquisitions, net of cash acquired</w:t>
            </w:r>
          </w:p>
        </w:tc>
        <w:tc>
          <w:tcPr>
            <w:tcW w:w="3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(23,771)</w:t>
            </w: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Proceeds from disposition of property, plant and equipment</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4,457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2,718</w:t>
            </w:r>
          </w:p>
        </w:tc>
      </w:tr>
      <w:tr>
        <w:trPr>
          <w:trHeight w:val="275"/>
        </w:trPr>
        <w:tc>
          <w:tcPr>
            <w:tcW w:w="8800" w:type="dxa"/>
            <w:vAlign w:val="bottom"/>
          </w:tcPr>
          <w:p>
            <w:pPr>
              <w:ind w:left="120"/>
              <w:spacing w:after="0"/>
              <w:rPr>
                <w:sz w:val="20"/>
                <w:szCs w:val="20"/>
                <w:color w:val="auto"/>
              </w:rPr>
            </w:pPr>
            <w:r>
              <w:rPr>
                <w:rFonts w:ascii="Arial" w:cs="Arial" w:eastAsia="Arial" w:hAnsi="Arial"/>
                <w:sz w:val="22"/>
                <w:szCs w:val="22"/>
                <w:color w:val="auto"/>
              </w:rPr>
              <w:t>Other, net</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1,518</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110</w:t>
            </w:r>
          </w:p>
        </w:tc>
      </w:tr>
      <w:tr>
        <w:trPr>
          <w:trHeight w:val="272"/>
        </w:trPr>
        <w:tc>
          <w:tcPr>
            <w:tcW w:w="8800" w:type="dxa"/>
            <w:vAlign w:val="bottom"/>
          </w:tcPr>
          <w:p>
            <w:pPr>
              <w:ind w:left="400"/>
              <w:spacing w:after="0"/>
              <w:rPr>
                <w:sz w:val="20"/>
                <w:szCs w:val="20"/>
                <w:color w:val="auto"/>
              </w:rPr>
            </w:pPr>
            <w:r>
              <w:rPr>
                <w:rFonts w:ascii="Arial" w:cs="Arial" w:eastAsia="Arial" w:hAnsi="Arial"/>
                <w:sz w:val="22"/>
                <w:szCs w:val="22"/>
                <w:color w:val="auto"/>
              </w:rPr>
              <w:t>Net cash flows used in investing activities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(3,704)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(23,639)</w:t>
            </w:r>
          </w:p>
        </w:tc>
      </w:tr>
      <w:tr>
        <w:trPr>
          <w:trHeight w:val="528"/>
        </w:trPr>
        <w:tc>
          <w:tcPr>
            <w:tcW w:w="880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Term loan repayments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(8,608)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(4,079)</w:t>
            </w:r>
          </w:p>
        </w:tc>
      </w:tr>
      <w:tr>
        <w:trPr>
          <w:trHeight w:val="270"/>
        </w:trPr>
        <w:tc>
          <w:tcPr>
            <w:tcW w:w="8800" w:type="dxa"/>
            <w:vAlign w:val="bottom"/>
          </w:tcPr>
          <w:p>
            <w:pPr>
              <w:ind w:left="120"/>
              <w:spacing w:after="0"/>
              <w:rPr>
                <w:sz w:val="20"/>
                <w:szCs w:val="20"/>
                <w:color w:val="auto"/>
              </w:rPr>
            </w:pPr>
            <w:r>
              <w:rPr>
                <w:rFonts w:ascii="Arial" w:cs="Arial" w:eastAsia="Arial" w:hAnsi="Arial"/>
                <w:sz w:val="22"/>
                <w:szCs w:val="22"/>
                <w:color w:val="auto"/>
              </w:rPr>
              <w:t>Revolving credit borrowings (repayments), net</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22"/>
                <w:szCs w:val="22"/>
                <w:color w:val="auto"/>
              </w:rPr>
              <w:t>5,396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35,641</w:t>
            </w:r>
          </w:p>
        </w:tc>
      </w:tr>
      <w:tr>
        <w:trPr>
          <w:trHeight w:val="275"/>
        </w:trPr>
        <w:tc>
          <w:tcPr>
            <w:tcW w:w="8800" w:type="dxa"/>
            <w:vAlign w:val="bottom"/>
          </w:tcPr>
          <w:p>
            <w:pPr>
              <w:ind w:left="120"/>
              <w:spacing w:after="0"/>
              <w:rPr>
                <w:sz w:val="20"/>
                <w:szCs w:val="20"/>
                <w:color w:val="auto"/>
              </w:rPr>
            </w:pPr>
            <w:r>
              <w:rPr>
                <w:rFonts w:ascii="Arial" w:cs="Arial" w:eastAsia="Arial" w:hAnsi="Arial"/>
                <w:sz w:val="22"/>
                <w:szCs w:val="22"/>
                <w:color w:val="auto"/>
              </w:rPr>
              <w:t>Taxes paid on vested shares</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(4,282)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(594)</w:t>
            </w:r>
          </w:p>
        </w:tc>
      </w:tr>
      <w:tr>
        <w:trPr>
          <w:trHeight w:val="272"/>
        </w:trPr>
        <w:tc>
          <w:tcPr>
            <w:tcW w:w="8800" w:type="dxa"/>
            <w:vAlign w:val="bottom"/>
          </w:tcPr>
          <w:p>
            <w:pPr>
              <w:ind w:left="400"/>
              <w:spacing w:after="0"/>
              <w:rPr>
                <w:sz w:val="20"/>
                <w:szCs w:val="20"/>
                <w:color w:val="auto"/>
              </w:rPr>
            </w:pPr>
            <w:r>
              <w:rPr>
                <w:rFonts w:ascii="Arial" w:cs="Arial" w:eastAsia="Arial" w:hAnsi="Arial"/>
                <w:sz w:val="22"/>
                <w:szCs w:val="22"/>
                <w:color w:val="auto"/>
              </w:rPr>
              <w:t>Net cash flows provided by (used in) financing activities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(7,494)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30,968</w:t>
            </w:r>
          </w:p>
        </w:tc>
      </w:tr>
      <w:tr>
        <w:trPr>
          <w:trHeight w:val="532"/>
        </w:trPr>
        <w:tc>
          <w:tcPr>
            <w:tcW w:w="880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(837)</w:t>
            </w:r>
          </w:p>
        </w:tc>
      </w:tr>
      <w:tr>
        <w:trPr>
          <w:trHeight w:val="272"/>
        </w:trPr>
        <w:tc>
          <w:tcPr>
            <w:tcW w:w="880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(4,380)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9,330</w:t>
            </w:r>
          </w:p>
        </w:tc>
      </w:tr>
      <w:tr>
        <w:trPr>
          <w:trHeight w:val="534"/>
        </w:trPr>
        <w:tc>
          <w:tcPr>
            <w:tcW w:w="880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12,372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32,647</w:t>
            </w:r>
          </w:p>
        </w:tc>
      </w:tr>
      <w:tr>
        <w:trPr>
          <w:trHeight w:val="265"/>
        </w:trPr>
        <w:tc>
          <w:tcPr>
            <w:tcW w:w="8800" w:type="dxa"/>
            <w:vAlign w:val="bottom"/>
          </w:tcPr>
          <w:p>
            <w:pPr>
              <w:spacing w:after="0"/>
              <w:rPr>
                <w:sz w:val="20"/>
                <w:szCs w:val="20"/>
                <w:color w:val="auto"/>
              </w:rPr>
            </w:pPr>
            <w:r>
              <w:rPr>
                <w:rFonts w:ascii="Arial" w:cs="Arial" w:eastAsia="Arial" w:hAnsi="Arial"/>
                <w:sz w:val="22"/>
                <w:szCs w:val="22"/>
                <w:color w:val="auto"/>
              </w:rPr>
              <w:t>Cash and cash equivalents, end of period</w:t>
            </w: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7,992</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41,977</w:t>
            </w:r>
          </w:p>
        </w:tc>
      </w:tr>
      <w:tr>
        <w:trPr>
          <w:trHeight w:val="21"/>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SEGMENT DATA</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196" w:lineRule="exact"/>
        <w:rPr>
          <w:sz w:val="20"/>
          <w:szCs w:val="20"/>
          <w:color w:val="auto"/>
        </w:rPr>
      </w:pPr>
    </w:p>
    <w:p>
      <w:pPr>
        <w:jc w:val="center"/>
        <w:ind w:left="638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638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36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2019</w:t>
            </w:r>
          </w:p>
        </w:tc>
        <w:tc>
          <w:tcPr>
            <w:tcW w:w="98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89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0"/>
                <w:szCs w:val="20"/>
                <w:color w:val="auto"/>
              </w:rPr>
            </w:pPr>
            <w:r>
              <w:rPr>
                <w:rFonts w:ascii="Arial" w:cs="Arial" w:eastAsia="Arial" w:hAnsi="Arial"/>
                <w:sz w:val="22"/>
                <w:szCs w:val="22"/>
                <w:color w:val="auto"/>
              </w:rPr>
              <w:t>Revenues</w:t>
            </w:r>
          </w:p>
        </w:tc>
        <w:tc>
          <w:tcPr>
            <w:tcW w:w="1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00"/>
              <w:spacing w:after="0"/>
              <w:rPr>
                <w:sz w:val="20"/>
                <w:szCs w:val="20"/>
                <w:color w:val="auto"/>
              </w:rPr>
            </w:pPr>
            <w:r>
              <w:rPr>
                <w:rFonts w:ascii="Arial" w:cs="Arial" w:eastAsia="Arial" w:hAnsi="Arial"/>
                <w:sz w:val="22"/>
                <w:szCs w:val="22"/>
                <w:color w:val="auto"/>
              </w:rPr>
              <w:t>Canada</w:t>
            </w:r>
          </w:p>
        </w:tc>
        <w:tc>
          <w:tcPr>
            <w:tcW w:w="1420" w:type="dxa"/>
            <w:vAlign w:val="bottom"/>
          </w:tcPr>
          <w:p>
            <w:pPr>
              <w:jc w:val="right"/>
              <w:ind w:right="119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72"/>
              <w:spacing w:after="0"/>
              <w:rPr>
                <w:sz w:val="20"/>
                <w:szCs w:val="20"/>
                <w:color w:val="auto"/>
              </w:rPr>
            </w:pPr>
            <w:r>
              <w:rPr>
                <w:rFonts w:ascii="Arial" w:cs="Arial" w:eastAsia="Arial" w:hAnsi="Arial"/>
                <w:sz w:val="22"/>
                <w:szCs w:val="22"/>
                <w:color w:val="auto"/>
              </w:rPr>
              <w:t>66,770</w:t>
            </w:r>
          </w:p>
        </w:tc>
        <w:tc>
          <w:tcPr>
            <w:tcW w:w="200" w:type="dxa"/>
            <w:vAlign w:val="bottom"/>
          </w:tcPr>
          <w:p>
            <w:pPr>
              <w:spacing w:after="0"/>
              <w:rPr>
                <w:sz w:val="23"/>
                <w:szCs w:val="23"/>
                <w:color w:val="auto"/>
              </w:rPr>
            </w:pPr>
          </w:p>
        </w:tc>
        <w:tc>
          <w:tcPr>
            <w:tcW w:w="560" w:type="dxa"/>
            <w:vAlign w:val="bottom"/>
          </w:tcPr>
          <w:p>
            <w:pPr>
              <w:jc w:val="right"/>
              <w:ind w:right="312"/>
              <w:spacing w:after="0"/>
              <w:rPr>
                <w:sz w:val="20"/>
                <w:szCs w:val="20"/>
                <w:color w:val="auto"/>
              </w:rPr>
            </w:pPr>
            <w:r>
              <w:rPr>
                <w:rFonts w:ascii="Arial" w:cs="Arial" w:eastAsia="Arial" w:hAnsi="Arial"/>
                <w:sz w:val="22"/>
                <w:szCs w:val="22"/>
                <w:color w:val="auto"/>
                <w:w w:val="97"/>
              </w:rPr>
              <w:t>$</w:t>
            </w:r>
          </w:p>
        </w:tc>
        <w:tc>
          <w:tcPr>
            <w:tcW w:w="1880" w:type="dxa"/>
            <w:vAlign w:val="bottom"/>
          </w:tcPr>
          <w:p>
            <w:pPr>
              <w:jc w:val="right"/>
              <w:ind w:right="172"/>
              <w:spacing w:after="0"/>
              <w:rPr>
                <w:sz w:val="20"/>
                <w:szCs w:val="20"/>
                <w:color w:val="auto"/>
              </w:rPr>
            </w:pPr>
            <w:r>
              <w:rPr>
                <w:rFonts w:ascii="Arial" w:cs="Arial" w:eastAsia="Arial" w:hAnsi="Arial"/>
                <w:sz w:val="22"/>
                <w:szCs w:val="22"/>
                <w:color w:val="auto"/>
              </w:rPr>
              <w:t>63,390</w:t>
            </w:r>
          </w:p>
        </w:tc>
        <w:tc>
          <w:tcPr>
            <w:tcW w:w="0" w:type="dxa"/>
            <w:vAlign w:val="bottom"/>
          </w:tcPr>
          <w:p>
            <w:pPr>
              <w:spacing w:after="0"/>
              <w:rPr>
                <w:sz w:val="1"/>
                <w:szCs w:val="1"/>
                <w:color w:val="auto"/>
              </w:rPr>
            </w:pPr>
          </w:p>
        </w:tc>
      </w:tr>
      <w:tr>
        <w:trPr>
          <w:trHeight w:val="270"/>
        </w:trPr>
        <w:tc>
          <w:tcPr>
            <w:tcW w:w="636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1420" w:type="dxa"/>
            <w:vAlign w:val="bottom"/>
          </w:tcPr>
          <w:p>
            <w:pPr>
              <w:spacing w:after="0"/>
              <w:rPr>
                <w:sz w:val="23"/>
                <w:szCs w:val="23"/>
                <w:color w:val="auto"/>
              </w:rPr>
            </w:pPr>
          </w:p>
        </w:tc>
        <w:tc>
          <w:tcPr>
            <w:tcW w:w="980" w:type="dxa"/>
            <w:vAlign w:val="bottom"/>
          </w:tcPr>
          <w:p>
            <w:pPr>
              <w:jc w:val="right"/>
              <w:ind w:right="172"/>
              <w:spacing w:after="0"/>
              <w:rPr>
                <w:sz w:val="20"/>
                <w:szCs w:val="20"/>
                <w:color w:val="auto"/>
              </w:rPr>
            </w:pPr>
            <w:r>
              <w:rPr>
                <w:rFonts w:ascii="Arial" w:cs="Arial" w:eastAsia="Arial" w:hAnsi="Arial"/>
                <w:sz w:val="22"/>
                <w:szCs w:val="22"/>
                <w:color w:val="auto"/>
              </w:rPr>
              <w:t>28,421</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tcPr>
          <w:p>
            <w:pPr>
              <w:jc w:val="right"/>
              <w:ind w:right="172"/>
              <w:spacing w:after="0"/>
              <w:rPr>
                <w:sz w:val="20"/>
                <w:szCs w:val="20"/>
                <w:color w:val="auto"/>
              </w:rPr>
            </w:pPr>
            <w:r>
              <w:rPr>
                <w:rFonts w:ascii="Arial" w:cs="Arial" w:eastAsia="Arial" w:hAnsi="Arial"/>
                <w:sz w:val="22"/>
                <w:szCs w:val="22"/>
                <w:color w:val="auto"/>
              </w:rPr>
              <w:t>27,875</w:t>
            </w:r>
          </w:p>
        </w:tc>
        <w:tc>
          <w:tcPr>
            <w:tcW w:w="0" w:type="dxa"/>
            <w:vAlign w:val="bottom"/>
          </w:tcPr>
          <w:p>
            <w:pPr>
              <w:spacing w:after="0"/>
              <w:rPr>
                <w:sz w:val="1"/>
                <w:szCs w:val="1"/>
                <w:color w:val="auto"/>
              </w:rPr>
            </w:pPr>
          </w:p>
        </w:tc>
      </w:tr>
      <w:tr>
        <w:trPr>
          <w:trHeight w:val="275"/>
        </w:trPr>
        <w:tc>
          <w:tcPr>
            <w:tcW w:w="636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1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13,359</w:t>
            </w:r>
          </w:p>
        </w:tc>
        <w:tc>
          <w:tcPr>
            <w:tcW w:w="2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10,239</w:t>
            </w:r>
          </w:p>
        </w:tc>
        <w:tc>
          <w:tcPr>
            <w:tcW w:w="0" w:type="dxa"/>
            <w:vAlign w:val="bottom"/>
          </w:tcPr>
          <w:p>
            <w:pPr>
              <w:spacing w:after="0"/>
              <w:rPr>
                <w:sz w:val="1"/>
                <w:szCs w:val="1"/>
                <w:color w:val="auto"/>
              </w:rPr>
            </w:pPr>
          </w:p>
        </w:tc>
      </w:tr>
      <w:tr>
        <w:trPr>
          <w:trHeight w:val="267"/>
        </w:trPr>
        <w:tc>
          <w:tcPr>
            <w:tcW w:w="6360" w:type="dxa"/>
            <w:vAlign w:val="bottom"/>
          </w:tcPr>
          <w:p>
            <w:pPr>
              <w:ind w:left="240"/>
              <w:spacing w:after="0"/>
              <w:rPr>
                <w:sz w:val="20"/>
                <w:szCs w:val="20"/>
                <w:color w:val="auto"/>
              </w:rPr>
            </w:pPr>
            <w:r>
              <w:rPr>
                <w:rFonts w:ascii="Arial" w:cs="Arial" w:eastAsia="Arial" w:hAnsi="Arial"/>
                <w:sz w:val="22"/>
                <w:szCs w:val="22"/>
                <w:color w:val="auto"/>
              </w:rPr>
              <w:t>Total revenues</w:t>
            </w:r>
          </w:p>
        </w:tc>
        <w:tc>
          <w:tcPr>
            <w:tcW w:w="1420" w:type="dxa"/>
            <w:vAlign w:val="bottom"/>
            <w:tcBorders>
              <w:bottom w:val="single" w:sz="8" w:color="auto"/>
            </w:tcBorders>
          </w:tcPr>
          <w:p>
            <w:pPr>
              <w:jc w:val="right"/>
              <w:ind w:right="119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85"/>
              </w:rPr>
              <w:t>108,550</w:t>
            </w:r>
          </w:p>
        </w:tc>
        <w:tc>
          <w:tcPr>
            <w:tcW w:w="200" w:type="dxa"/>
            <w:vAlign w:val="bottom"/>
          </w:tcPr>
          <w:p>
            <w:pPr>
              <w:spacing w:after="0"/>
              <w:rPr>
                <w:sz w:val="23"/>
                <w:szCs w:val="23"/>
                <w:color w:val="auto"/>
              </w:rPr>
            </w:pPr>
          </w:p>
        </w:tc>
        <w:tc>
          <w:tcPr>
            <w:tcW w:w="5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97"/>
              </w:rPr>
              <w:t>$</w:t>
            </w:r>
          </w:p>
        </w:tc>
        <w:tc>
          <w:tcPr>
            <w:tcW w:w="188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101,504</w:t>
            </w:r>
          </w:p>
        </w:tc>
        <w:tc>
          <w:tcPr>
            <w:tcW w:w="0" w:type="dxa"/>
            <w:vAlign w:val="bottom"/>
          </w:tcPr>
          <w:p>
            <w:pPr>
              <w:spacing w:after="0"/>
              <w:rPr>
                <w:sz w:val="1"/>
                <w:szCs w:val="1"/>
                <w:color w:val="auto"/>
              </w:rPr>
            </w:pPr>
          </w:p>
        </w:tc>
      </w:tr>
      <w:tr>
        <w:trPr>
          <w:trHeight w:val="21"/>
        </w:trPr>
        <w:tc>
          <w:tcPr>
            <w:tcW w:w="636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1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3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00"/>
              <w:spacing w:after="0"/>
              <w:rPr>
                <w:sz w:val="20"/>
                <w:szCs w:val="20"/>
                <w:color w:val="auto"/>
              </w:rPr>
            </w:pPr>
            <w:r>
              <w:rPr>
                <w:rFonts w:ascii="Arial" w:cs="Arial" w:eastAsia="Arial" w:hAnsi="Arial"/>
                <w:sz w:val="22"/>
                <w:szCs w:val="22"/>
                <w:color w:val="auto"/>
              </w:rPr>
              <w:t>Canada</w:t>
            </w:r>
          </w:p>
        </w:tc>
        <w:tc>
          <w:tcPr>
            <w:tcW w:w="1420" w:type="dxa"/>
            <w:vAlign w:val="bottom"/>
          </w:tcPr>
          <w:p>
            <w:pPr>
              <w:jc w:val="right"/>
              <w:ind w:right="119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72"/>
              <w:spacing w:after="0"/>
              <w:rPr>
                <w:sz w:val="20"/>
                <w:szCs w:val="20"/>
                <w:color w:val="auto"/>
              </w:rPr>
            </w:pPr>
            <w:r>
              <w:rPr>
                <w:rFonts w:ascii="Arial" w:cs="Arial" w:eastAsia="Arial" w:hAnsi="Arial"/>
                <w:sz w:val="22"/>
                <w:szCs w:val="22"/>
                <w:color w:val="auto"/>
              </w:rPr>
              <w:t>10,173</w:t>
            </w:r>
          </w:p>
        </w:tc>
        <w:tc>
          <w:tcPr>
            <w:tcW w:w="200" w:type="dxa"/>
            <w:vAlign w:val="bottom"/>
          </w:tcPr>
          <w:p>
            <w:pPr>
              <w:spacing w:after="0"/>
              <w:rPr>
                <w:sz w:val="23"/>
                <w:szCs w:val="23"/>
                <w:color w:val="auto"/>
              </w:rPr>
            </w:pPr>
          </w:p>
        </w:tc>
        <w:tc>
          <w:tcPr>
            <w:tcW w:w="560" w:type="dxa"/>
            <w:vAlign w:val="bottom"/>
          </w:tcPr>
          <w:p>
            <w:pPr>
              <w:jc w:val="right"/>
              <w:ind w:right="312"/>
              <w:spacing w:after="0"/>
              <w:rPr>
                <w:sz w:val="20"/>
                <w:szCs w:val="20"/>
                <w:color w:val="auto"/>
              </w:rPr>
            </w:pPr>
            <w:r>
              <w:rPr>
                <w:rFonts w:ascii="Arial" w:cs="Arial" w:eastAsia="Arial" w:hAnsi="Arial"/>
                <w:sz w:val="22"/>
                <w:szCs w:val="22"/>
                <w:color w:val="auto"/>
                <w:w w:val="97"/>
              </w:rPr>
              <w:t>$</w:t>
            </w:r>
          </w:p>
        </w:tc>
        <w:tc>
          <w:tcPr>
            <w:tcW w:w="1880" w:type="dxa"/>
            <w:vAlign w:val="bottom"/>
          </w:tcPr>
          <w:p>
            <w:pPr>
              <w:jc w:val="right"/>
              <w:ind w:right="72"/>
              <w:spacing w:after="0"/>
              <w:rPr>
                <w:sz w:val="20"/>
                <w:szCs w:val="20"/>
                <w:color w:val="auto"/>
              </w:rPr>
            </w:pPr>
            <w:r>
              <w:rPr>
                <w:rFonts w:ascii="Arial" w:cs="Arial" w:eastAsia="Arial" w:hAnsi="Arial"/>
                <w:sz w:val="22"/>
                <w:szCs w:val="22"/>
                <w:color w:val="auto"/>
              </w:rPr>
              <w:t>(20,026)</w:t>
            </w:r>
          </w:p>
        </w:tc>
        <w:tc>
          <w:tcPr>
            <w:tcW w:w="0" w:type="dxa"/>
            <w:vAlign w:val="bottom"/>
          </w:tcPr>
          <w:p>
            <w:pPr>
              <w:spacing w:after="0"/>
              <w:rPr>
                <w:sz w:val="1"/>
                <w:szCs w:val="1"/>
                <w:color w:val="auto"/>
              </w:rPr>
            </w:pPr>
          </w:p>
        </w:tc>
      </w:tr>
      <w:tr>
        <w:trPr>
          <w:trHeight w:val="270"/>
        </w:trPr>
        <w:tc>
          <w:tcPr>
            <w:tcW w:w="636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1420" w:type="dxa"/>
            <w:vAlign w:val="bottom"/>
          </w:tcPr>
          <w:p>
            <w:pPr>
              <w:spacing w:after="0"/>
              <w:rPr>
                <w:sz w:val="23"/>
                <w:szCs w:val="23"/>
                <w:color w:val="auto"/>
              </w:rPr>
            </w:pPr>
          </w:p>
        </w:tc>
        <w:tc>
          <w:tcPr>
            <w:tcW w:w="980" w:type="dxa"/>
            <w:vAlign w:val="bottom"/>
          </w:tcPr>
          <w:p>
            <w:pPr>
              <w:jc w:val="right"/>
              <w:ind w:right="172"/>
              <w:spacing w:after="0"/>
              <w:rPr>
                <w:sz w:val="20"/>
                <w:szCs w:val="20"/>
                <w:color w:val="auto"/>
              </w:rPr>
            </w:pPr>
            <w:r>
              <w:rPr>
                <w:rFonts w:ascii="Arial" w:cs="Arial" w:eastAsia="Arial" w:hAnsi="Arial"/>
                <w:sz w:val="22"/>
                <w:szCs w:val="22"/>
                <w:color w:val="auto"/>
              </w:rPr>
              <w:t>9,853</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tcPr>
          <w:p>
            <w:pPr>
              <w:jc w:val="right"/>
              <w:ind w:right="172"/>
              <w:spacing w:after="0"/>
              <w:rPr>
                <w:sz w:val="20"/>
                <w:szCs w:val="20"/>
                <w:color w:val="auto"/>
              </w:rPr>
            </w:pPr>
            <w:r>
              <w:rPr>
                <w:rFonts w:ascii="Arial" w:cs="Arial" w:eastAsia="Arial" w:hAnsi="Arial"/>
                <w:sz w:val="22"/>
                <w:szCs w:val="22"/>
                <w:color w:val="auto"/>
              </w:rPr>
              <w:t>9,107</w:t>
            </w:r>
          </w:p>
        </w:tc>
        <w:tc>
          <w:tcPr>
            <w:tcW w:w="0" w:type="dxa"/>
            <w:vAlign w:val="bottom"/>
          </w:tcPr>
          <w:p>
            <w:pPr>
              <w:spacing w:after="0"/>
              <w:rPr>
                <w:sz w:val="1"/>
                <w:szCs w:val="1"/>
                <w:color w:val="auto"/>
              </w:rPr>
            </w:pPr>
          </w:p>
        </w:tc>
      </w:tr>
      <w:tr>
        <w:trPr>
          <w:trHeight w:val="270"/>
        </w:trPr>
        <w:tc>
          <w:tcPr>
            <w:tcW w:w="636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1420" w:type="dxa"/>
            <w:vAlign w:val="bottom"/>
          </w:tcPr>
          <w:p>
            <w:pPr>
              <w:spacing w:after="0"/>
              <w:rPr>
                <w:sz w:val="23"/>
                <w:szCs w:val="23"/>
                <w:color w:val="auto"/>
              </w:rPr>
            </w:pPr>
          </w:p>
        </w:tc>
        <w:tc>
          <w:tcPr>
            <w:tcW w:w="980" w:type="dxa"/>
            <w:vAlign w:val="bottom"/>
          </w:tcPr>
          <w:p>
            <w:pPr>
              <w:jc w:val="right"/>
              <w:ind w:right="172"/>
              <w:spacing w:after="0"/>
              <w:rPr>
                <w:sz w:val="20"/>
                <w:szCs w:val="20"/>
                <w:color w:val="auto"/>
              </w:rPr>
            </w:pPr>
            <w:r>
              <w:rPr>
                <w:rFonts w:ascii="Arial" w:cs="Arial" w:eastAsia="Arial" w:hAnsi="Arial"/>
                <w:sz w:val="22"/>
                <w:szCs w:val="22"/>
                <w:color w:val="auto"/>
              </w:rPr>
              <w:t>2,796</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tcPr>
          <w:p>
            <w:pPr>
              <w:jc w:val="right"/>
              <w:ind w:right="72"/>
              <w:spacing w:after="0"/>
              <w:rPr>
                <w:sz w:val="20"/>
                <w:szCs w:val="20"/>
                <w:color w:val="auto"/>
              </w:rPr>
            </w:pPr>
            <w:r>
              <w:rPr>
                <w:rFonts w:ascii="Arial" w:cs="Arial" w:eastAsia="Arial" w:hAnsi="Arial"/>
                <w:sz w:val="22"/>
                <w:szCs w:val="22"/>
                <w:color w:val="auto"/>
              </w:rPr>
              <w:t>(738)</w:t>
            </w:r>
          </w:p>
        </w:tc>
        <w:tc>
          <w:tcPr>
            <w:tcW w:w="0" w:type="dxa"/>
            <w:vAlign w:val="bottom"/>
          </w:tcPr>
          <w:p>
            <w:pPr>
              <w:spacing w:after="0"/>
              <w:rPr>
                <w:sz w:val="1"/>
                <w:szCs w:val="1"/>
                <w:color w:val="auto"/>
              </w:rPr>
            </w:pPr>
          </w:p>
        </w:tc>
      </w:tr>
      <w:tr>
        <w:trPr>
          <w:trHeight w:val="275"/>
        </w:trPr>
        <w:tc>
          <w:tcPr>
            <w:tcW w:w="636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1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(6,955)</w:t>
            </w:r>
          </w:p>
        </w:tc>
        <w:tc>
          <w:tcPr>
            <w:tcW w:w="2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(7,957)</w:t>
            </w:r>
          </w:p>
        </w:tc>
        <w:tc>
          <w:tcPr>
            <w:tcW w:w="0" w:type="dxa"/>
            <w:vAlign w:val="bottom"/>
          </w:tcPr>
          <w:p>
            <w:pPr>
              <w:spacing w:after="0"/>
              <w:rPr>
                <w:sz w:val="1"/>
                <w:szCs w:val="1"/>
                <w:color w:val="auto"/>
              </w:rPr>
            </w:pPr>
          </w:p>
        </w:tc>
      </w:tr>
      <w:tr>
        <w:trPr>
          <w:trHeight w:val="267"/>
        </w:trPr>
        <w:tc>
          <w:tcPr>
            <w:tcW w:w="6360" w:type="dxa"/>
            <w:vAlign w:val="bottom"/>
          </w:tcPr>
          <w:p>
            <w:pPr>
              <w:ind w:left="240"/>
              <w:spacing w:after="0"/>
              <w:rPr>
                <w:sz w:val="20"/>
                <w:szCs w:val="20"/>
                <w:color w:val="auto"/>
              </w:rPr>
            </w:pPr>
            <w:r>
              <w:rPr>
                <w:rFonts w:ascii="Arial" w:cs="Arial" w:eastAsia="Arial" w:hAnsi="Arial"/>
                <w:sz w:val="22"/>
                <w:szCs w:val="22"/>
                <w:color w:val="auto"/>
              </w:rPr>
              <w:t>Total EBITDA</w:t>
            </w:r>
          </w:p>
        </w:tc>
        <w:tc>
          <w:tcPr>
            <w:tcW w:w="1420" w:type="dxa"/>
            <w:vAlign w:val="bottom"/>
            <w:tcBorders>
              <w:bottom w:val="single" w:sz="8" w:color="auto"/>
            </w:tcBorders>
          </w:tcPr>
          <w:p>
            <w:pPr>
              <w:jc w:val="right"/>
              <w:ind w:right="119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15,867</w:t>
            </w:r>
          </w:p>
        </w:tc>
        <w:tc>
          <w:tcPr>
            <w:tcW w:w="200" w:type="dxa"/>
            <w:vAlign w:val="bottom"/>
          </w:tcPr>
          <w:p>
            <w:pPr>
              <w:spacing w:after="0"/>
              <w:rPr>
                <w:sz w:val="23"/>
                <w:szCs w:val="23"/>
                <w:color w:val="auto"/>
              </w:rPr>
            </w:pPr>
          </w:p>
        </w:tc>
        <w:tc>
          <w:tcPr>
            <w:tcW w:w="56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w w:val="97"/>
              </w:rPr>
              <w:t>$</w:t>
            </w:r>
          </w:p>
        </w:tc>
        <w:tc>
          <w:tcPr>
            <w:tcW w:w="18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(19,614)</w:t>
            </w:r>
          </w:p>
        </w:tc>
        <w:tc>
          <w:tcPr>
            <w:tcW w:w="0" w:type="dxa"/>
            <w:vAlign w:val="bottom"/>
          </w:tcPr>
          <w:p>
            <w:pPr>
              <w:spacing w:after="0"/>
              <w:rPr>
                <w:sz w:val="1"/>
                <w:szCs w:val="1"/>
                <w:color w:val="auto"/>
              </w:rPr>
            </w:pPr>
          </w:p>
        </w:tc>
      </w:tr>
      <w:tr>
        <w:trPr>
          <w:trHeight w:val="21"/>
        </w:trPr>
        <w:tc>
          <w:tcPr>
            <w:tcW w:w="636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1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3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360" w:type="dxa"/>
            <w:vAlign w:val="bottom"/>
          </w:tcPr>
          <w:p>
            <w:pPr>
              <w:ind w:left="100"/>
              <w:spacing w:after="0"/>
              <w:rPr>
                <w:sz w:val="20"/>
                <w:szCs w:val="20"/>
                <w:color w:val="auto"/>
              </w:rPr>
            </w:pPr>
            <w:r>
              <w:rPr>
                <w:rFonts w:ascii="Arial" w:cs="Arial" w:eastAsia="Arial" w:hAnsi="Arial"/>
                <w:sz w:val="22"/>
                <w:szCs w:val="22"/>
                <w:color w:val="auto"/>
              </w:rPr>
              <w:t>Canada</w:t>
            </w:r>
          </w:p>
        </w:tc>
        <w:tc>
          <w:tcPr>
            <w:tcW w:w="1420" w:type="dxa"/>
            <w:vAlign w:val="bottom"/>
          </w:tcPr>
          <w:p>
            <w:pPr>
              <w:jc w:val="right"/>
              <w:ind w:right="119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72"/>
              <w:spacing w:after="0"/>
              <w:rPr>
                <w:sz w:val="20"/>
                <w:szCs w:val="20"/>
                <w:color w:val="auto"/>
              </w:rPr>
            </w:pPr>
            <w:r>
              <w:rPr>
                <w:rFonts w:ascii="Arial" w:cs="Arial" w:eastAsia="Arial" w:hAnsi="Arial"/>
                <w:sz w:val="22"/>
                <w:szCs w:val="22"/>
                <w:color w:val="auto"/>
              </w:rPr>
              <w:t>10,173</w:t>
            </w:r>
          </w:p>
        </w:tc>
        <w:tc>
          <w:tcPr>
            <w:tcW w:w="200" w:type="dxa"/>
            <w:vAlign w:val="bottom"/>
          </w:tcPr>
          <w:p>
            <w:pPr>
              <w:spacing w:after="0"/>
              <w:rPr>
                <w:sz w:val="23"/>
                <w:szCs w:val="23"/>
                <w:color w:val="auto"/>
              </w:rPr>
            </w:pPr>
          </w:p>
        </w:tc>
        <w:tc>
          <w:tcPr>
            <w:tcW w:w="560" w:type="dxa"/>
            <w:vAlign w:val="bottom"/>
          </w:tcPr>
          <w:p>
            <w:pPr>
              <w:jc w:val="right"/>
              <w:ind w:right="312"/>
              <w:spacing w:after="0"/>
              <w:rPr>
                <w:sz w:val="20"/>
                <w:szCs w:val="20"/>
                <w:color w:val="auto"/>
              </w:rPr>
            </w:pPr>
            <w:r>
              <w:rPr>
                <w:rFonts w:ascii="Arial" w:cs="Arial" w:eastAsia="Arial" w:hAnsi="Arial"/>
                <w:sz w:val="22"/>
                <w:szCs w:val="22"/>
                <w:color w:val="auto"/>
                <w:w w:val="97"/>
              </w:rPr>
              <w:t>$</w:t>
            </w:r>
          </w:p>
        </w:tc>
        <w:tc>
          <w:tcPr>
            <w:tcW w:w="1880" w:type="dxa"/>
            <w:vAlign w:val="bottom"/>
          </w:tcPr>
          <w:p>
            <w:pPr>
              <w:jc w:val="right"/>
              <w:ind w:right="172"/>
              <w:spacing w:after="0"/>
              <w:rPr>
                <w:sz w:val="20"/>
                <w:szCs w:val="20"/>
                <w:color w:val="auto"/>
              </w:rPr>
            </w:pPr>
            <w:r>
              <w:rPr>
                <w:rFonts w:ascii="Arial" w:cs="Arial" w:eastAsia="Arial" w:hAnsi="Arial"/>
                <w:sz w:val="22"/>
                <w:szCs w:val="22"/>
                <w:color w:val="auto"/>
              </w:rPr>
              <w:t>8,903</w:t>
            </w:r>
          </w:p>
        </w:tc>
        <w:tc>
          <w:tcPr>
            <w:tcW w:w="0" w:type="dxa"/>
            <w:vAlign w:val="bottom"/>
          </w:tcPr>
          <w:p>
            <w:pPr>
              <w:spacing w:after="0"/>
              <w:rPr>
                <w:sz w:val="1"/>
                <w:szCs w:val="1"/>
                <w:color w:val="auto"/>
              </w:rPr>
            </w:pPr>
          </w:p>
        </w:tc>
      </w:tr>
    </w:tbl>
    <w:p>
      <w:pPr>
        <w:sectPr>
          <w:pgSz w:w="11900" w:h="16838" w:orient="portrait"/>
          <w:cols w:equalWidth="0" w:num="1">
            <w:col w:w="11400"/>
          </w:cols>
          <w:pgMar w:left="260" w:top="118" w:right="2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636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800" w:type="dxa"/>
            <w:vAlign w:val="bottom"/>
          </w:tcPr>
          <w:p>
            <w:pPr>
              <w:spacing w:after="0"/>
              <w:rPr>
                <w:sz w:val="23"/>
                <w:szCs w:val="23"/>
                <w:color w:val="auto"/>
              </w:rPr>
            </w:pPr>
          </w:p>
        </w:tc>
        <w:tc>
          <w:tcPr>
            <w:tcW w:w="1600" w:type="dxa"/>
            <w:vAlign w:val="bottom"/>
          </w:tcPr>
          <w:p>
            <w:pPr>
              <w:jc w:val="right"/>
              <w:ind w:right="172"/>
              <w:spacing w:after="0"/>
              <w:rPr>
                <w:sz w:val="20"/>
                <w:szCs w:val="20"/>
                <w:color w:val="auto"/>
              </w:rPr>
            </w:pPr>
            <w:r>
              <w:rPr>
                <w:rFonts w:ascii="Arial" w:cs="Arial" w:eastAsia="Arial" w:hAnsi="Arial"/>
                <w:sz w:val="22"/>
                <w:szCs w:val="22"/>
                <w:color w:val="auto"/>
              </w:rPr>
              <w:t>9,853</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20" w:type="dxa"/>
            <w:vAlign w:val="bottom"/>
          </w:tcPr>
          <w:p>
            <w:pPr>
              <w:jc w:val="right"/>
              <w:ind w:right="172"/>
              <w:spacing w:after="0"/>
              <w:rPr>
                <w:sz w:val="20"/>
                <w:szCs w:val="20"/>
                <w:color w:val="auto"/>
              </w:rPr>
            </w:pPr>
            <w:r>
              <w:rPr>
                <w:rFonts w:ascii="Arial" w:cs="Arial" w:eastAsia="Arial" w:hAnsi="Arial"/>
                <w:sz w:val="22"/>
                <w:szCs w:val="22"/>
                <w:color w:val="auto"/>
              </w:rPr>
              <w:t>9,107</w:t>
            </w:r>
          </w:p>
        </w:tc>
        <w:tc>
          <w:tcPr>
            <w:tcW w:w="0" w:type="dxa"/>
            <w:vAlign w:val="bottom"/>
          </w:tcPr>
          <w:p>
            <w:pPr>
              <w:spacing w:after="0"/>
              <w:rPr>
                <w:sz w:val="1"/>
                <w:szCs w:val="1"/>
                <w:color w:val="auto"/>
              </w:rPr>
            </w:pPr>
          </w:p>
        </w:tc>
      </w:tr>
      <w:tr>
        <w:trPr>
          <w:trHeight w:val="270"/>
        </w:trPr>
        <w:tc>
          <w:tcPr>
            <w:tcW w:w="636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800" w:type="dxa"/>
            <w:vAlign w:val="bottom"/>
          </w:tcPr>
          <w:p>
            <w:pPr>
              <w:spacing w:after="0"/>
              <w:rPr>
                <w:sz w:val="23"/>
                <w:szCs w:val="23"/>
                <w:color w:val="auto"/>
              </w:rPr>
            </w:pPr>
          </w:p>
        </w:tc>
        <w:tc>
          <w:tcPr>
            <w:tcW w:w="1600" w:type="dxa"/>
            <w:vAlign w:val="bottom"/>
          </w:tcPr>
          <w:p>
            <w:pPr>
              <w:jc w:val="right"/>
              <w:ind w:right="172"/>
              <w:spacing w:after="0"/>
              <w:rPr>
                <w:sz w:val="20"/>
                <w:szCs w:val="20"/>
                <w:color w:val="auto"/>
              </w:rPr>
            </w:pPr>
            <w:r>
              <w:rPr>
                <w:rFonts w:ascii="Arial" w:cs="Arial" w:eastAsia="Arial" w:hAnsi="Arial"/>
                <w:sz w:val="22"/>
                <w:szCs w:val="22"/>
                <w:color w:val="auto"/>
              </w:rPr>
              <w:t>2,796</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20" w:type="dxa"/>
            <w:vAlign w:val="bottom"/>
          </w:tcPr>
          <w:p>
            <w:pPr>
              <w:jc w:val="right"/>
              <w:ind w:right="72"/>
              <w:spacing w:after="0"/>
              <w:rPr>
                <w:sz w:val="20"/>
                <w:szCs w:val="20"/>
                <w:color w:val="auto"/>
              </w:rPr>
            </w:pPr>
            <w:r>
              <w:rPr>
                <w:rFonts w:ascii="Arial" w:cs="Arial" w:eastAsia="Arial" w:hAnsi="Arial"/>
                <w:sz w:val="22"/>
                <w:szCs w:val="22"/>
                <w:color w:val="auto"/>
              </w:rPr>
              <w:t>(738)</w:t>
            </w:r>
          </w:p>
        </w:tc>
        <w:tc>
          <w:tcPr>
            <w:tcW w:w="0" w:type="dxa"/>
            <w:vAlign w:val="bottom"/>
          </w:tcPr>
          <w:p>
            <w:pPr>
              <w:spacing w:after="0"/>
              <w:rPr>
                <w:sz w:val="1"/>
                <w:szCs w:val="1"/>
                <w:color w:val="auto"/>
              </w:rPr>
            </w:pPr>
          </w:p>
        </w:tc>
      </w:tr>
      <w:tr>
        <w:trPr>
          <w:trHeight w:val="275"/>
        </w:trPr>
        <w:tc>
          <w:tcPr>
            <w:tcW w:w="636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8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(6,955)</w:t>
            </w:r>
          </w:p>
        </w:tc>
        <w:tc>
          <w:tcPr>
            <w:tcW w:w="20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(7,259)</w:t>
            </w:r>
          </w:p>
        </w:tc>
        <w:tc>
          <w:tcPr>
            <w:tcW w:w="0" w:type="dxa"/>
            <w:vAlign w:val="bottom"/>
          </w:tcPr>
          <w:p>
            <w:pPr>
              <w:spacing w:after="0"/>
              <w:rPr>
                <w:sz w:val="1"/>
                <w:szCs w:val="1"/>
                <w:color w:val="auto"/>
              </w:rPr>
            </w:pPr>
          </w:p>
        </w:tc>
      </w:tr>
      <w:tr>
        <w:trPr>
          <w:trHeight w:val="267"/>
        </w:trPr>
        <w:tc>
          <w:tcPr>
            <w:tcW w:w="6360" w:type="dxa"/>
            <w:vAlign w:val="bottom"/>
          </w:tcPr>
          <w:p>
            <w:pPr>
              <w:ind w:left="240"/>
              <w:spacing w:after="0"/>
              <w:rPr>
                <w:sz w:val="20"/>
                <w:szCs w:val="20"/>
                <w:color w:val="auto"/>
              </w:rPr>
            </w:pPr>
            <w:r>
              <w:rPr>
                <w:rFonts w:ascii="Arial" w:cs="Arial" w:eastAsia="Arial" w:hAnsi="Arial"/>
                <w:sz w:val="22"/>
                <w:szCs w:val="22"/>
                <w:color w:val="auto"/>
              </w:rPr>
              <w:t>Total adjusted EBITDA</w:t>
            </w:r>
          </w:p>
        </w:tc>
        <w:tc>
          <w:tcPr>
            <w:tcW w:w="80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color w:val="auto"/>
                <w:w w:val="81"/>
              </w:rPr>
              <w:t>$</w:t>
            </w:r>
          </w:p>
        </w:tc>
        <w:tc>
          <w:tcPr>
            <w:tcW w:w="16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15,867</w:t>
            </w:r>
          </w:p>
        </w:tc>
        <w:tc>
          <w:tcPr>
            <w:tcW w:w="200" w:type="dxa"/>
            <w:vAlign w:val="bottom"/>
          </w:tcPr>
          <w:p>
            <w:pPr>
              <w:spacing w:after="0"/>
              <w:rPr>
                <w:sz w:val="23"/>
                <w:szCs w:val="23"/>
                <w:color w:val="auto"/>
              </w:rPr>
            </w:pPr>
          </w:p>
        </w:tc>
        <w:tc>
          <w:tcPr>
            <w:tcW w:w="82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color w:val="auto"/>
                <w:w w:val="97"/>
              </w:rPr>
              <w:t>$</w:t>
            </w:r>
          </w:p>
        </w:tc>
        <w:tc>
          <w:tcPr>
            <w:tcW w:w="16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10,013</w:t>
            </w:r>
          </w:p>
        </w:tc>
        <w:tc>
          <w:tcPr>
            <w:tcW w:w="0" w:type="dxa"/>
            <w:vAlign w:val="bottom"/>
          </w:tcPr>
          <w:p>
            <w:pPr>
              <w:spacing w:after="0"/>
              <w:rPr>
                <w:sz w:val="1"/>
                <w:szCs w:val="1"/>
                <w:color w:val="auto"/>
              </w:rPr>
            </w:pPr>
          </w:p>
        </w:tc>
      </w:tr>
      <w:tr>
        <w:trPr>
          <w:trHeight w:val="21"/>
        </w:trPr>
        <w:tc>
          <w:tcPr>
            <w:tcW w:w="636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8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3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00"/>
              <w:spacing w:after="0"/>
              <w:rPr>
                <w:sz w:val="20"/>
                <w:szCs w:val="20"/>
                <w:color w:val="auto"/>
              </w:rPr>
            </w:pPr>
            <w:r>
              <w:rPr>
                <w:rFonts w:ascii="Arial" w:cs="Arial" w:eastAsia="Arial" w:hAnsi="Arial"/>
                <w:sz w:val="22"/>
                <w:szCs w:val="22"/>
                <w:color w:val="auto"/>
              </w:rPr>
              <w:t>Canada</w:t>
            </w:r>
          </w:p>
        </w:tc>
        <w:tc>
          <w:tcPr>
            <w:tcW w:w="800" w:type="dxa"/>
            <w:vAlign w:val="bottom"/>
          </w:tcPr>
          <w:p>
            <w:pPr>
              <w:jc w:val="right"/>
              <w:ind w:right="572"/>
              <w:spacing w:after="0"/>
              <w:rPr>
                <w:sz w:val="20"/>
                <w:szCs w:val="20"/>
                <w:color w:val="auto"/>
              </w:rPr>
            </w:pPr>
            <w:r>
              <w:rPr>
                <w:rFonts w:ascii="Arial" w:cs="Arial" w:eastAsia="Arial" w:hAnsi="Arial"/>
                <w:sz w:val="22"/>
                <w:szCs w:val="22"/>
                <w:color w:val="auto"/>
                <w:w w:val="81"/>
              </w:rPr>
              <w:t>$</w:t>
            </w:r>
          </w:p>
        </w:tc>
        <w:tc>
          <w:tcPr>
            <w:tcW w:w="1600" w:type="dxa"/>
            <w:vAlign w:val="bottom"/>
          </w:tcPr>
          <w:p>
            <w:pPr>
              <w:jc w:val="right"/>
              <w:ind w:right="72"/>
              <w:spacing w:after="0"/>
              <w:rPr>
                <w:sz w:val="20"/>
                <w:szCs w:val="20"/>
                <w:color w:val="auto"/>
              </w:rPr>
            </w:pPr>
            <w:r>
              <w:rPr>
                <w:rFonts w:ascii="Arial" w:cs="Arial" w:eastAsia="Arial" w:hAnsi="Arial"/>
                <w:sz w:val="22"/>
                <w:szCs w:val="22"/>
                <w:color w:val="auto"/>
              </w:rPr>
              <w:t>(11,595)</w:t>
            </w:r>
          </w:p>
        </w:tc>
        <w:tc>
          <w:tcPr>
            <w:tcW w:w="200" w:type="dxa"/>
            <w:vAlign w:val="bottom"/>
          </w:tcPr>
          <w:p>
            <w:pPr>
              <w:spacing w:after="0"/>
              <w:rPr>
                <w:sz w:val="23"/>
                <w:szCs w:val="23"/>
                <w:color w:val="auto"/>
              </w:rPr>
            </w:pPr>
          </w:p>
        </w:tc>
        <w:tc>
          <w:tcPr>
            <w:tcW w:w="820" w:type="dxa"/>
            <w:vAlign w:val="bottom"/>
          </w:tcPr>
          <w:p>
            <w:pPr>
              <w:jc w:val="right"/>
              <w:ind w:right="572"/>
              <w:spacing w:after="0"/>
              <w:rPr>
                <w:sz w:val="20"/>
                <w:szCs w:val="20"/>
                <w:color w:val="auto"/>
              </w:rPr>
            </w:pPr>
            <w:r>
              <w:rPr>
                <w:rFonts w:ascii="Arial" w:cs="Arial" w:eastAsia="Arial" w:hAnsi="Arial"/>
                <w:sz w:val="22"/>
                <w:szCs w:val="22"/>
                <w:color w:val="auto"/>
                <w:w w:val="97"/>
              </w:rPr>
              <w:t>$</w:t>
            </w:r>
          </w:p>
        </w:tc>
        <w:tc>
          <w:tcPr>
            <w:tcW w:w="1620" w:type="dxa"/>
            <w:vAlign w:val="bottom"/>
          </w:tcPr>
          <w:p>
            <w:pPr>
              <w:jc w:val="right"/>
              <w:ind w:right="72"/>
              <w:spacing w:after="0"/>
              <w:rPr>
                <w:sz w:val="20"/>
                <w:szCs w:val="20"/>
                <w:color w:val="auto"/>
              </w:rPr>
            </w:pPr>
            <w:r>
              <w:rPr>
                <w:rFonts w:ascii="Arial" w:cs="Arial" w:eastAsia="Arial" w:hAnsi="Arial"/>
                <w:sz w:val="22"/>
                <w:szCs w:val="22"/>
                <w:color w:val="auto"/>
              </w:rPr>
              <w:t>(40,303)</w:t>
            </w:r>
          </w:p>
        </w:tc>
        <w:tc>
          <w:tcPr>
            <w:tcW w:w="0" w:type="dxa"/>
            <w:vAlign w:val="bottom"/>
          </w:tcPr>
          <w:p>
            <w:pPr>
              <w:spacing w:after="0"/>
              <w:rPr>
                <w:sz w:val="1"/>
                <w:szCs w:val="1"/>
                <w:color w:val="auto"/>
              </w:rPr>
            </w:pPr>
          </w:p>
        </w:tc>
      </w:tr>
      <w:tr>
        <w:trPr>
          <w:trHeight w:val="270"/>
        </w:trPr>
        <w:tc>
          <w:tcPr>
            <w:tcW w:w="636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800" w:type="dxa"/>
            <w:vAlign w:val="bottom"/>
          </w:tcPr>
          <w:p>
            <w:pPr>
              <w:spacing w:after="0"/>
              <w:rPr>
                <w:sz w:val="23"/>
                <w:szCs w:val="23"/>
                <w:color w:val="auto"/>
              </w:rPr>
            </w:pPr>
          </w:p>
        </w:tc>
        <w:tc>
          <w:tcPr>
            <w:tcW w:w="1600" w:type="dxa"/>
            <w:vAlign w:val="bottom"/>
          </w:tcPr>
          <w:p>
            <w:pPr>
              <w:jc w:val="right"/>
              <w:ind w:right="72"/>
              <w:spacing w:after="0"/>
              <w:rPr>
                <w:sz w:val="20"/>
                <w:szCs w:val="20"/>
                <w:color w:val="auto"/>
              </w:rPr>
            </w:pPr>
            <w:r>
              <w:rPr>
                <w:rFonts w:ascii="Arial" w:cs="Arial" w:eastAsia="Arial" w:hAnsi="Arial"/>
                <w:sz w:val="22"/>
                <w:szCs w:val="22"/>
                <w:color w:val="auto"/>
              </w:rPr>
              <w:t>(385)</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20" w:type="dxa"/>
            <w:vAlign w:val="bottom"/>
          </w:tcPr>
          <w:p>
            <w:pPr>
              <w:jc w:val="right"/>
              <w:ind w:right="72"/>
              <w:spacing w:after="0"/>
              <w:rPr>
                <w:sz w:val="20"/>
                <w:szCs w:val="20"/>
                <w:color w:val="auto"/>
              </w:rPr>
            </w:pPr>
            <w:r>
              <w:rPr>
                <w:rFonts w:ascii="Arial" w:cs="Arial" w:eastAsia="Arial" w:hAnsi="Arial"/>
                <w:sz w:val="22"/>
                <w:szCs w:val="22"/>
                <w:color w:val="auto"/>
              </w:rPr>
              <w:t>(3,166)</w:t>
            </w:r>
          </w:p>
        </w:tc>
        <w:tc>
          <w:tcPr>
            <w:tcW w:w="0" w:type="dxa"/>
            <w:vAlign w:val="bottom"/>
          </w:tcPr>
          <w:p>
            <w:pPr>
              <w:spacing w:after="0"/>
              <w:rPr>
                <w:sz w:val="1"/>
                <w:szCs w:val="1"/>
                <w:color w:val="auto"/>
              </w:rPr>
            </w:pPr>
          </w:p>
        </w:tc>
      </w:tr>
      <w:tr>
        <w:trPr>
          <w:trHeight w:val="270"/>
        </w:trPr>
        <w:tc>
          <w:tcPr>
            <w:tcW w:w="636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800" w:type="dxa"/>
            <w:vAlign w:val="bottom"/>
          </w:tcPr>
          <w:p>
            <w:pPr>
              <w:spacing w:after="0"/>
              <w:rPr>
                <w:sz w:val="23"/>
                <w:szCs w:val="23"/>
                <w:color w:val="auto"/>
              </w:rPr>
            </w:pPr>
          </w:p>
        </w:tc>
        <w:tc>
          <w:tcPr>
            <w:tcW w:w="1600" w:type="dxa"/>
            <w:vAlign w:val="bottom"/>
          </w:tcPr>
          <w:p>
            <w:pPr>
              <w:jc w:val="right"/>
              <w:ind w:right="72"/>
              <w:spacing w:after="0"/>
              <w:rPr>
                <w:sz w:val="20"/>
                <w:szCs w:val="20"/>
                <w:color w:val="auto"/>
              </w:rPr>
            </w:pPr>
            <w:r>
              <w:rPr>
                <w:rFonts w:ascii="Arial" w:cs="Arial" w:eastAsia="Arial" w:hAnsi="Arial"/>
                <w:sz w:val="22"/>
                <w:szCs w:val="22"/>
                <w:color w:val="auto"/>
              </w:rPr>
              <w:t>(961)</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20" w:type="dxa"/>
            <w:vAlign w:val="bottom"/>
          </w:tcPr>
          <w:p>
            <w:pPr>
              <w:jc w:val="right"/>
              <w:ind w:right="72"/>
              <w:spacing w:after="0"/>
              <w:rPr>
                <w:sz w:val="20"/>
                <w:szCs w:val="20"/>
                <w:color w:val="auto"/>
              </w:rPr>
            </w:pPr>
            <w:r>
              <w:rPr>
                <w:rFonts w:ascii="Arial" w:cs="Arial" w:eastAsia="Arial" w:hAnsi="Arial"/>
                <w:sz w:val="22"/>
                <w:szCs w:val="22"/>
                <w:color w:val="auto"/>
              </w:rPr>
              <w:t>(3,264)</w:t>
            </w:r>
          </w:p>
        </w:tc>
        <w:tc>
          <w:tcPr>
            <w:tcW w:w="0" w:type="dxa"/>
            <w:vAlign w:val="bottom"/>
          </w:tcPr>
          <w:p>
            <w:pPr>
              <w:spacing w:after="0"/>
              <w:rPr>
                <w:sz w:val="1"/>
                <w:szCs w:val="1"/>
                <w:color w:val="auto"/>
              </w:rPr>
            </w:pPr>
          </w:p>
        </w:tc>
      </w:tr>
      <w:tr>
        <w:trPr>
          <w:trHeight w:val="275"/>
        </w:trPr>
        <w:tc>
          <w:tcPr>
            <w:tcW w:w="636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8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(4,952)</w:t>
            </w:r>
          </w:p>
        </w:tc>
        <w:tc>
          <w:tcPr>
            <w:tcW w:w="20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(5,782)</w:t>
            </w:r>
          </w:p>
        </w:tc>
        <w:tc>
          <w:tcPr>
            <w:tcW w:w="0" w:type="dxa"/>
            <w:vAlign w:val="bottom"/>
          </w:tcPr>
          <w:p>
            <w:pPr>
              <w:spacing w:after="0"/>
              <w:rPr>
                <w:sz w:val="1"/>
                <w:szCs w:val="1"/>
                <w:color w:val="auto"/>
              </w:rPr>
            </w:pPr>
          </w:p>
        </w:tc>
      </w:tr>
      <w:tr>
        <w:trPr>
          <w:trHeight w:val="267"/>
        </w:trPr>
        <w:tc>
          <w:tcPr>
            <w:tcW w:w="6360" w:type="dxa"/>
            <w:vAlign w:val="bottom"/>
          </w:tcPr>
          <w:p>
            <w:pPr>
              <w:ind w:left="240"/>
              <w:spacing w:after="0"/>
              <w:rPr>
                <w:sz w:val="20"/>
                <w:szCs w:val="20"/>
                <w:color w:val="auto"/>
              </w:rPr>
            </w:pPr>
            <w:r>
              <w:rPr>
                <w:rFonts w:ascii="Arial" w:cs="Arial" w:eastAsia="Arial" w:hAnsi="Arial"/>
                <w:sz w:val="22"/>
                <w:szCs w:val="22"/>
                <w:color w:val="auto"/>
              </w:rPr>
              <w:t>Total operating loss</w:t>
            </w:r>
          </w:p>
        </w:tc>
        <w:tc>
          <w:tcPr>
            <w:tcW w:w="80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color w:val="auto"/>
                <w:w w:val="81"/>
              </w:rPr>
              <w:t>$</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(17,893)</w:t>
            </w:r>
          </w:p>
        </w:tc>
        <w:tc>
          <w:tcPr>
            <w:tcW w:w="200" w:type="dxa"/>
            <w:vAlign w:val="bottom"/>
          </w:tcPr>
          <w:p>
            <w:pPr>
              <w:spacing w:after="0"/>
              <w:rPr>
                <w:sz w:val="23"/>
                <w:szCs w:val="23"/>
                <w:color w:val="auto"/>
              </w:rPr>
            </w:pPr>
          </w:p>
        </w:tc>
        <w:tc>
          <w:tcPr>
            <w:tcW w:w="82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color w:val="auto"/>
                <w:w w:val="97"/>
              </w:rPr>
              <w:t>$</w:t>
            </w:r>
          </w:p>
        </w:tc>
        <w:tc>
          <w:tcPr>
            <w:tcW w:w="16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(52,515)</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 Please see Non-GAAP Reconciliation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 RECONCILIATIONS</w:t>
      </w:r>
    </w:p>
    <w:p>
      <w:pPr>
        <w:jc w:val="center"/>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20" w:type="dxa"/>
            <w:vAlign w:val="bottom"/>
            <w:gridSpan w:val="4"/>
          </w:tcPr>
          <w:p>
            <w:pPr>
              <w:jc w:val="right"/>
              <w:ind w:right="80"/>
              <w:spacing w:after="0"/>
              <w:rPr>
                <w:sz w:val="20"/>
                <w:szCs w:val="20"/>
                <w:color w:val="auto"/>
              </w:rPr>
            </w:pPr>
            <w:r>
              <w:rPr>
                <w:rFonts w:ascii="Arial" w:cs="Arial" w:eastAsia="Arial" w:hAnsi="Arial"/>
                <w:sz w:val="22"/>
                <w:szCs w:val="22"/>
                <w:b w:val="1"/>
                <w:bCs w:val="1"/>
                <w:color w:val="auto"/>
              </w:rPr>
              <w:t>Three Months Ended</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vMerge w:val="restart"/>
          </w:tcPr>
          <w:p>
            <w:pPr>
              <w:jc w:val="right"/>
              <w:ind w:right="732"/>
              <w:spacing w:after="0"/>
              <w:rPr>
                <w:sz w:val="20"/>
                <w:szCs w:val="20"/>
                <w:color w:val="auto"/>
              </w:rPr>
            </w:pPr>
            <w:r>
              <w:rPr>
                <w:rFonts w:ascii="Arial" w:cs="Arial" w:eastAsia="Arial" w:hAnsi="Arial"/>
                <w:sz w:val="22"/>
                <w:szCs w:val="22"/>
                <w:b w:val="1"/>
                <w:bCs w:val="1"/>
                <w:color w:val="auto"/>
              </w:rPr>
              <w:t>2019</w:t>
            </w:r>
          </w:p>
        </w:tc>
        <w:tc>
          <w:tcPr>
            <w:tcW w:w="1600" w:type="dxa"/>
            <w:vAlign w:val="bottom"/>
            <w:gridSpan w:val="3"/>
          </w:tcPr>
          <w:p>
            <w:pPr>
              <w:jc w:val="right"/>
              <w:ind w:right="600"/>
              <w:spacing w:after="0"/>
              <w:rPr>
                <w:sz w:val="20"/>
                <w:szCs w:val="20"/>
                <w:color w:val="auto"/>
              </w:rPr>
            </w:pPr>
            <w:r>
              <w:rPr>
                <w:rFonts w:ascii="Arial" w:cs="Arial" w:eastAsia="Arial" w:hAnsi="Arial"/>
                <w:sz w:val="22"/>
                <w:szCs w:val="22"/>
                <w:b w:val="1"/>
                <w:bCs w:val="1"/>
                <w:color w:val="auto"/>
                <w:w w:val="96"/>
              </w:rPr>
              <w:t>March 31,</w:t>
            </w:r>
          </w:p>
        </w:tc>
        <w:tc>
          <w:tcPr>
            <w:tcW w:w="1760" w:type="dxa"/>
            <w:vAlign w:val="bottom"/>
            <w:vMerge w:val="restart"/>
          </w:tcPr>
          <w:p>
            <w:pPr>
              <w:jc w:val="right"/>
              <w:ind w:right="1152"/>
              <w:spacing w:after="0"/>
              <w:rPr>
                <w:sz w:val="20"/>
                <w:szCs w:val="20"/>
                <w:color w:val="auto"/>
              </w:rPr>
            </w:pPr>
            <w:r>
              <w:rPr>
                <w:rFonts w:ascii="Arial" w:cs="Arial" w:eastAsia="Arial" w:hAnsi="Arial"/>
                <w:sz w:val="22"/>
                <w:szCs w:val="22"/>
                <w:b w:val="1"/>
                <w:bCs w:val="1"/>
                <w:color w:val="auto"/>
                <w:w w:val="98"/>
              </w:rPr>
              <w:t>2018</w:t>
            </w:r>
          </w:p>
        </w:tc>
        <w:tc>
          <w:tcPr>
            <w:tcW w:w="0" w:type="dxa"/>
            <w:vAlign w:val="bottom"/>
          </w:tcPr>
          <w:p>
            <w:pPr>
              <w:spacing w:after="0"/>
              <w:rPr>
                <w:sz w:val="1"/>
                <w:szCs w:val="1"/>
                <w:color w:val="auto"/>
              </w:rPr>
            </w:pPr>
          </w:p>
        </w:tc>
      </w:tr>
      <w:tr>
        <w:trPr>
          <w:trHeight w:val="272"/>
        </w:trPr>
        <w:tc>
          <w:tcPr>
            <w:tcW w:w="57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28"/>
        </w:trPr>
        <w:tc>
          <w:tcPr>
            <w:tcW w:w="5760" w:type="dxa"/>
            <w:vAlign w:val="bottom"/>
          </w:tcPr>
          <w:p>
            <w:pPr>
              <w:spacing w:after="0"/>
              <w:rPr>
                <w:sz w:val="20"/>
                <w:szCs w:val="20"/>
                <w:color w:val="auto"/>
              </w:rPr>
            </w:pPr>
            <w:r>
              <w:rPr>
                <w:rFonts w:ascii="Arial" w:cs="Arial" w:eastAsia="Arial" w:hAnsi="Arial"/>
                <w:sz w:val="22"/>
                <w:szCs w:val="22"/>
                <w:color w:val="auto"/>
              </w:rPr>
              <w:t>EBITDA (1)</w:t>
            </w:r>
          </w:p>
        </w:tc>
        <w:tc>
          <w:tcPr>
            <w:tcW w:w="560" w:type="dxa"/>
            <w:vAlign w:val="bottom"/>
          </w:tcPr>
          <w:p>
            <w:pPr>
              <w:jc w:val="right"/>
              <w:ind w:right="332"/>
              <w:spacing w:after="0"/>
              <w:rPr>
                <w:sz w:val="20"/>
                <w:szCs w:val="20"/>
                <w:color w:val="auto"/>
              </w:rPr>
            </w:pPr>
            <w:r>
              <w:rPr>
                <w:rFonts w:ascii="Arial" w:cs="Arial" w:eastAsia="Arial" w:hAnsi="Arial"/>
                <w:sz w:val="22"/>
                <w:szCs w:val="22"/>
                <w:color w:val="auto"/>
                <w:w w:val="81"/>
              </w:rPr>
              <w:t>$</w:t>
            </w:r>
          </w:p>
        </w:tc>
        <w:tc>
          <w:tcPr>
            <w:tcW w:w="1720" w:type="dxa"/>
            <w:vAlign w:val="bottom"/>
          </w:tcPr>
          <w:p>
            <w:pPr>
              <w:jc w:val="right"/>
              <w:spacing w:after="0"/>
              <w:rPr>
                <w:sz w:val="20"/>
                <w:szCs w:val="20"/>
                <w:color w:val="auto"/>
              </w:rPr>
            </w:pPr>
            <w:r>
              <w:rPr>
                <w:rFonts w:ascii="Arial" w:cs="Arial" w:eastAsia="Arial" w:hAnsi="Arial"/>
                <w:sz w:val="22"/>
                <w:szCs w:val="22"/>
                <w:color w:val="auto"/>
              </w:rPr>
              <w:t>15,867</w:t>
            </w:r>
          </w:p>
        </w:tc>
        <w:tc>
          <w:tcPr>
            <w:tcW w:w="1600" w:type="dxa"/>
            <w:vAlign w:val="bottom"/>
            <w:gridSpan w:val="3"/>
          </w:tcPr>
          <w:p>
            <w:pPr>
              <w:jc w:val="right"/>
              <w:ind w:right="1080"/>
              <w:spacing w:after="0"/>
              <w:rPr>
                <w:sz w:val="20"/>
                <w:szCs w:val="20"/>
                <w:color w:val="auto"/>
              </w:rPr>
            </w:pPr>
            <w:r>
              <w:rPr>
                <w:rFonts w:ascii="Arial" w:cs="Arial" w:eastAsia="Arial" w:hAnsi="Arial"/>
                <w:sz w:val="22"/>
                <w:szCs w:val="22"/>
                <w:color w:val="auto"/>
              </w:rPr>
              <w:t>$</w:t>
            </w:r>
          </w:p>
        </w:tc>
        <w:tc>
          <w:tcPr>
            <w:tcW w:w="1760" w:type="dxa"/>
            <w:vAlign w:val="bottom"/>
          </w:tcPr>
          <w:p>
            <w:pPr>
              <w:jc w:val="right"/>
              <w:ind w:right="152"/>
              <w:spacing w:after="0"/>
              <w:rPr>
                <w:sz w:val="20"/>
                <w:szCs w:val="20"/>
                <w:color w:val="auto"/>
              </w:rPr>
            </w:pPr>
            <w:r>
              <w:rPr>
                <w:rFonts w:ascii="Arial" w:cs="Arial" w:eastAsia="Arial" w:hAnsi="Arial"/>
                <w:sz w:val="22"/>
                <w:szCs w:val="22"/>
                <w:color w:val="auto"/>
              </w:rPr>
              <w:t>(19,614)</w:t>
            </w: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22"/>
                <w:szCs w:val="22"/>
                <w:color w:val="auto"/>
              </w:rPr>
              <w:t>Adjusted EBITDA (1)</w:t>
            </w:r>
          </w:p>
        </w:tc>
        <w:tc>
          <w:tcPr>
            <w:tcW w:w="560" w:type="dxa"/>
            <w:vAlign w:val="bottom"/>
          </w:tcPr>
          <w:p>
            <w:pPr>
              <w:jc w:val="right"/>
              <w:ind w:right="332"/>
              <w:spacing w:after="0"/>
              <w:rPr>
                <w:sz w:val="20"/>
                <w:szCs w:val="20"/>
                <w:color w:val="auto"/>
              </w:rPr>
            </w:pPr>
            <w:r>
              <w:rPr>
                <w:rFonts w:ascii="Arial" w:cs="Arial" w:eastAsia="Arial" w:hAnsi="Arial"/>
                <w:sz w:val="22"/>
                <w:szCs w:val="22"/>
                <w:color w:val="auto"/>
                <w:w w:val="81"/>
              </w:rPr>
              <w:t>$</w:t>
            </w:r>
          </w:p>
        </w:tc>
        <w:tc>
          <w:tcPr>
            <w:tcW w:w="1720" w:type="dxa"/>
            <w:vAlign w:val="bottom"/>
          </w:tcPr>
          <w:p>
            <w:pPr>
              <w:jc w:val="right"/>
              <w:spacing w:after="0"/>
              <w:rPr>
                <w:sz w:val="20"/>
                <w:szCs w:val="20"/>
                <w:color w:val="auto"/>
              </w:rPr>
            </w:pPr>
            <w:r>
              <w:rPr>
                <w:rFonts w:ascii="Arial" w:cs="Arial" w:eastAsia="Arial" w:hAnsi="Arial"/>
                <w:sz w:val="22"/>
                <w:szCs w:val="22"/>
                <w:color w:val="auto"/>
              </w:rPr>
              <w:t>15,867</w:t>
            </w:r>
          </w:p>
        </w:tc>
        <w:tc>
          <w:tcPr>
            <w:tcW w:w="1600" w:type="dxa"/>
            <w:vAlign w:val="bottom"/>
            <w:gridSpan w:val="3"/>
          </w:tcPr>
          <w:p>
            <w:pPr>
              <w:jc w:val="right"/>
              <w:ind w:right="1080"/>
              <w:spacing w:after="0"/>
              <w:rPr>
                <w:sz w:val="20"/>
                <w:szCs w:val="20"/>
                <w:color w:val="auto"/>
              </w:rPr>
            </w:pPr>
            <w:r>
              <w:rPr>
                <w:rFonts w:ascii="Arial" w:cs="Arial" w:eastAsia="Arial" w:hAnsi="Arial"/>
                <w:sz w:val="22"/>
                <w:szCs w:val="22"/>
                <w:color w:val="auto"/>
              </w:rPr>
              <w:t>$</w:t>
            </w:r>
          </w:p>
        </w:tc>
        <w:tc>
          <w:tcPr>
            <w:tcW w:w="1760" w:type="dxa"/>
            <w:vAlign w:val="bottom"/>
          </w:tcPr>
          <w:p>
            <w:pPr>
              <w:jc w:val="right"/>
              <w:ind w:right="252"/>
              <w:spacing w:after="0"/>
              <w:rPr>
                <w:sz w:val="20"/>
                <w:szCs w:val="20"/>
                <w:color w:val="auto"/>
              </w:rPr>
            </w:pPr>
            <w:r>
              <w:rPr>
                <w:rFonts w:ascii="Arial" w:cs="Arial" w:eastAsia="Arial" w:hAnsi="Arial"/>
                <w:sz w:val="22"/>
                <w:szCs w:val="22"/>
                <w:color w:val="auto"/>
              </w:rPr>
              <w:t>10,013</w:t>
            </w:r>
          </w:p>
        </w:tc>
        <w:tc>
          <w:tcPr>
            <w:tcW w:w="0" w:type="dxa"/>
            <w:vAlign w:val="bottom"/>
          </w:tcPr>
          <w:p>
            <w:pPr>
              <w:spacing w:after="0"/>
              <w:rPr>
                <w:sz w:val="1"/>
                <w:szCs w:val="1"/>
                <w:color w:val="auto"/>
              </w:rPr>
            </w:pPr>
          </w:p>
        </w:tc>
      </w:tr>
      <w:tr>
        <w:trPr>
          <w:trHeight w:val="275"/>
        </w:trPr>
        <w:tc>
          <w:tcPr>
            <w:tcW w:w="5760" w:type="dxa"/>
            <w:vAlign w:val="bottom"/>
          </w:tcPr>
          <w:p>
            <w:pPr>
              <w:spacing w:after="0"/>
              <w:rPr>
                <w:sz w:val="20"/>
                <w:szCs w:val="20"/>
                <w:color w:val="auto"/>
              </w:rPr>
            </w:pPr>
            <w:r>
              <w:rPr>
                <w:rFonts w:ascii="Arial" w:cs="Arial" w:eastAsia="Arial" w:hAnsi="Arial"/>
                <w:sz w:val="22"/>
                <w:szCs w:val="22"/>
                <w:color w:val="auto"/>
              </w:rPr>
              <w:t>Free Cash Flow (2)</w:t>
            </w:r>
          </w:p>
        </w:tc>
        <w:tc>
          <w:tcPr>
            <w:tcW w:w="560" w:type="dxa"/>
            <w:vAlign w:val="bottom"/>
          </w:tcPr>
          <w:p>
            <w:pPr>
              <w:jc w:val="right"/>
              <w:ind w:right="332"/>
              <w:spacing w:after="0"/>
              <w:rPr>
                <w:sz w:val="20"/>
                <w:szCs w:val="20"/>
                <w:color w:val="auto"/>
              </w:rPr>
            </w:pPr>
            <w:r>
              <w:rPr>
                <w:rFonts w:ascii="Arial" w:cs="Arial" w:eastAsia="Arial" w:hAnsi="Arial"/>
                <w:sz w:val="22"/>
                <w:szCs w:val="22"/>
                <w:color w:val="auto"/>
                <w:w w:val="81"/>
              </w:rPr>
              <w:t>$</w:t>
            </w:r>
          </w:p>
        </w:tc>
        <w:tc>
          <w:tcPr>
            <w:tcW w:w="1720" w:type="dxa"/>
            <w:vAlign w:val="bottom"/>
          </w:tcPr>
          <w:p>
            <w:pPr>
              <w:jc w:val="right"/>
              <w:spacing w:after="0"/>
              <w:rPr>
                <w:sz w:val="20"/>
                <w:szCs w:val="20"/>
                <w:color w:val="auto"/>
              </w:rPr>
            </w:pPr>
            <w:r>
              <w:rPr>
                <w:rFonts w:ascii="Arial" w:cs="Arial" w:eastAsia="Arial" w:hAnsi="Arial"/>
                <w:sz w:val="22"/>
                <w:szCs w:val="22"/>
                <w:color w:val="auto"/>
              </w:rPr>
              <w:t>1,119</w:t>
            </w:r>
          </w:p>
        </w:tc>
        <w:tc>
          <w:tcPr>
            <w:tcW w:w="1600" w:type="dxa"/>
            <w:vAlign w:val="bottom"/>
            <w:gridSpan w:val="3"/>
          </w:tcPr>
          <w:p>
            <w:pPr>
              <w:jc w:val="right"/>
              <w:ind w:right="1080"/>
              <w:spacing w:after="0"/>
              <w:rPr>
                <w:sz w:val="20"/>
                <w:szCs w:val="20"/>
                <w:color w:val="auto"/>
              </w:rPr>
            </w:pPr>
            <w:r>
              <w:rPr>
                <w:rFonts w:ascii="Arial" w:cs="Arial" w:eastAsia="Arial" w:hAnsi="Arial"/>
                <w:sz w:val="22"/>
                <w:szCs w:val="22"/>
                <w:color w:val="auto"/>
              </w:rPr>
              <w:t>$</w:t>
            </w:r>
          </w:p>
        </w:tc>
        <w:tc>
          <w:tcPr>
            <w:tcW w:w="1760" w:type="dxa"/>
            <w:vAlign w:val="bottom"/>
          </w:tcPr>
          <w:p>
            <w:pPr>
              <w:jc w:val="right"/>
              <w:ind w:right="252"/>
              <w:spacing w:after="0"/>
              <w:rPr>
                <w:sz w:val="20"/>
                <w:szCs w:val="20"/>
                <w:color w:val="auto"/>
              </w:rPr>
            </w:pPr>
            <w:r>
              <w:rPr>
                <w:rFonts w:ascii="Arial" w:cs="Arial" w:eastAsia="Arial" w:hAnsi="Arial"/>
                <w:sz w:val="22"/>
                <w:szCs w:val="22"/>
                <w:color w:val="auto"/>
              </w:rPr>
              <w:t>2,860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80" w:firstLine="8"/>
        <w:spacing w:after="0" w:line="272" w:lineRule="auto"/>
        <w:tabs>
          <w:tab w:leader="none" w:pos="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term EBITDA is defined as net income (loss) attributable to Civeo Corporation plus interest, taxes, depreciation and amortization. The term Adjusted EBITDA is defined as EBITDA adjusted to exclude impairment charges and certain costs associated with Civeo's acquisition of Noralta.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162"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194" w:lineRule="exact"/>
        <w:rPr>
          <w:sz w:val="20"/>
          <w:szCs w:val="20"/>
          <w:color w:val="auto"/>
        </w:rPr>
      </w:pPr>
    </w:p>
    <w:p>
      <w:pPr>
        <w:jc w:val="center"/>
        <w:ind w:left="794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94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9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2019</w:t>
            </w:r>
          </w:p>
        </w:tc>
        <w:tc>
          <w:tcPr>
            <w:tcW w:w="1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2018</w:t>
            </w:r>
          </w:p>
        </w:tc>
      </w:tr>
      <w:tr>
        <w:trPr>
          <w:trHeight w:val="526"/>
        </w:trPr>
        <w:tc>
          <w:tcPr>
            <w:tcW w:w="7920" w:type="dxa"/>
            <w:vAlign w:val="bottom"/>
          </w:tcPr>
          <w:p>
            <w:pPr>
              <w:spacing w:after="0"/>
              <w:rPr>
                <w:sz w:val="20"/>
                <w:szCs w:val="20"/>
                <w:color w:val="auto"/>
              </w:rPr>
            </w:pPr>
            <w:r>
              <w:rPr>
                <w:rFonts w:ascii="Arial" w:cs="Arial" w:eastAsia="Arial" w:hAnsi="Arial"/>
                <w:sz w:val="22"/>
                <w:szCs w:val="22"/>
                <w:color w:val="auto"/>
              </w:rPr>
              <w:t>Net income (loss) attributable to Civeo Corporation</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(17,039)</w:t>
            </w:r>
          </w:p>
        </w:tc>
        <w:tc>
          <w:tcPr>
            <w:tcW w:w="14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40" w:type="dxa"/>
            <w:vAlign w:val="bottom"/>
          </w:tcPr>
          <w:p>
            <w:pPr>
              <w:jc w:val="right"/>
              <w:ind w:right="32"/>
              <w:spacing w:after="0"/>
              <w:rPr>
                <w:sz w:val="20"/>
                <w:szCs w:val="20"/>
                <w:color w:val="auto"/>
              </w:rPr>
            </w:pPr>
            <w:r>
              <w:rPr>
                <w:rFonts w:ascii="Arial" w:cs="Arial" w:eastAsia="Arial" w:hAnsi="Arial"/>
                <w:sz w:val="22"/>
                <w:szCs w:val="22"/>
                <w:color w:val="auto"/>
              </w:rPr>
              <w:t>(55,457)</w:t>
            </w:r>
          </w:p>
        </w:tc>
      </w:tr>
      <w:tr>
        <w:trPr>
          <w:trHeight w:val="270"/>
        </w:trPr>
        <w:tc>
          <w:tcPr>
            <w:tcW w:w="792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(4,484)</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22"/>
                <w:szCs w:val="22"/>
                <w:color w:val="auto"/>
              </w:rPr>
              <w:t>(685)</w:t>
            </w:r>
          </w:p>
        </w:tc>
      </w:tr>
      <w:tr>
        <w:trPr>
          <w:trHeight w:val="270"/>
        </w:trPr>
        <w:tc>
          <w:tcPr>
            <w:tcW w:w="79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6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30,782</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112"/>
              <w:spacing w:after="0"/>
              <w:rPr>
                <w:sz w:val="20"/>
                <w:szCs w:val="20"/>
                <w:color w:val="auto"/>
              </w:rPr>
            </w:pPr>
            <w:r>
              <w:rPr>
                <w:rFonts w:ascii="Arial" w:cs="Arial" w:eastAsia="Arial" w:hAnsi="Arial"/>
                <w:sz w:val="22"/>
                <w:szCs w:val="22"/>
                <w:color w:val="auto"/>
              </w:rPr>
              <w:t>30,764</w:t>
            </w:r>
          </w:p>
        </w:tc>
      </w:tr>
      <w:tr>
        <w:trPr>
          <w:trHeight w:val="270"/>
        </w:trPr>
        <w:tc>
          <w:tcPr>
            <w:tcW w:w="7920" w:type="dxa"/>
            <w:vAlign w:val="bottom"/>
          </w:tcPr>
          <w:p>
            <w:pPr>
              <w:spacing w:after="0"/>
              <w:rPr>
                <w:sz w:val="20"/>
                <w:szCs w:val="20"/>
                <w:color w:val="auto"/>
              </w:rPr>
            </w:pPr>
            <w:r>
              <w:rPr>
                <w:rFonts w:ascii="Arial" w:cs="Arial" w:eastAsia="Arial" w:hAnsi="Arial"/>
                <w:sz w:val="22"/>
                <w:szCs w:val="22"/>
                <w:color w:val="auto"/>
              </w:rPr>
              <w:t>Interest income</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(27)</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22"/>
                <w:szCs w:val="22"/>
                <w:color w:val="auto"/>
              </w:rPr>
              <w:t>(58)</w:t>
            </w:r>
          </w:p>
        </w:tc>
      </w:tr>
      <w:tr>
        <w:trPr>
          <w:trHeight w:val="275"/>
        </w:trPr>
        <w:tc>
          <w:tcPr>
            <w:tcW w:w="7920" w:type="dxa"/>
            <w:vAlign w:val="bottom"/>
          </w:tcPr>
          <w:p>
            <w:pPr>
              <w:spacing w:after="0"/>
              <w:rPr>
                <w:sz w:val="20"/>
                <w:szCs w:val="20"/>
                <w:color w:val="auto"/>
              </w:rPr>
            </w:pPr>
            <w:r>
              <w:rPr>
                <w:rFonts w:ascii="Arial" w:cs="Arial" w:eastAsia="Arial" w:hAnsi="Arial"/>
                <w:sz w:val="22"/>
                <w:szCs w:val="22"/>
                <w:color w:val="auto"/>
              </w:rPr>
              <w:t>Interest expense</w:t>
            </w: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6,635</w:t>
            </w:r>
          </w:p>
        </w:tc>
        <w:tc>
          <w:tcPr>
            <w:tcW w:w="1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5,822</w:t>
            </w:r>
          </w:p>
        </w:tc>
      </w:tr>
      <w:tr>
        <w:trPr>
          <w:trHeight w:val="267"/>
        </w:trPr>
        <w:tc>
          <w:tcPr>
            <w:tcW w:w="7920" w:type="dxa"/>
            <w:vAlign w:val="bottom"/>
          </w:tcPr>
          <w:p>
            <w:pPr>
              <w:ind w:left="240"/>
              <w:spacing w:after="0"/>
              <w:rPr>
                <w:sz w:val="20"/>
                <w:szCs w:val="20"/>
                <w:color w:val="auto"/>
              </w:rPr>
            </w:pPr>
            <w:r>
              <w:rPr>
                <w:rFonts w:ascii="Arial" w:cs="Arial" w:eastAsia="Arial" w:hAnsi="Arial"/>
                <w:sz w:val="22"/>
                <w:szCs w:val="22"/>
                <w:color w:val="auto"/>
              </w:rPr>
              <w:t>EBITDA</w:t>
            </w: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15,867</w:t>
            </w:r>
          </w:p>
        </w:tc>
        <w:tc>
          <w:tcPr>
            <w:tcW w:w="140" w:type="dxa"/>
            <w:vAlign w:val="bottom"/>
          </w:tcPr>
          <w:p>
            <w:pPr>
              <w:spacing w:after="0"/>
              <w:rPr>
                <w:sz w:val="23"/>
                <w:szCs w:val="23"/>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(19,614)</w:t>
            </w:r>
          </w:p>
        </w:tc>
      </w:tr>
      <w:tr>
        <w:trPr>
          <w:trHeight w:val="256"/>
        </w:trPr>
        <w:tc>
          <w:tcPr>
            <w:tcW w:w="7920" w:type="dxa"/>
            <w:vAlign w:val="bottom"/>
          </w:tcPr>
          <w:p>
            <w:pPr>
              <w:spacing w:after="0"/>
              <w:rPr>
                <w:sz w:val="20"/>
                <w:szCs w:val="20"/>
                <w:color w:val="auto"/>
              </w:rPr>
            </w:pPr>
            <w:r>
              <w:rPr>
                <w:rFonts w:ascii="Arial" w:cs="Arial" w:eastAsia="Arial" w:hAnsi="Arial"/>
                <w:sz w:val="22"/>
                <w:szCs w:val="22"/>
                <w:color w:val="auto"/>
              </w:rPr>
              <w:t>Adjustments to EBITDA</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7920" w:type="dxa"/>
            <w:vAlign w:val="bottom"/>
          </w:tcPr>
          <w:p>
            <w:pPr>
              <w:ind w:left="100"/>
              <w:spacing w:after="0"/>
              <w:rPr>
                <w:sz w:val="20"/>
                <w:szCs w:val="20"/>
                <w:color w:val="auto"/>
              </w:rPr>
            </w:pPr>
            <w:r>
              <w:rPr>
                <w:rFonts w:ascii="Arial" w:cs="Arial" w:eastAsia="Arial" w:hAnsi="Arial"/>
                <w:sz w:val="22"/>
                <w:szCs w:val="22"/>
                <w:color w:val="auto"/>
              </w:rPr>
              <w:t>Impairment expense (a)</w:t>
            </w:r>
          </w:p>
        </w:tc>
        <w:tc>
          <w:tcPr>
            <w:tcW w:w="360" w:type="dxa"/>
            <w:vAlign w:val="bottom"/>
          </w:tcPr>
          <w:p>
            <w:pPr>
              <w:spacing w:after="0"/>
              <w:rPr>
                <w:sz w:val="23"/>
                <w:szCs w:val="23"/>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340" w:type="dxa"/>
            <w:vAlign w:val="bottom"/>
          </w:tcPr>
          <w:p>
            <w:pPr>
              <w:jc w:val="right"/>
              <w:ind w:right="112"/>
              <w:spacing w:after="0"/>
              <w:rPr>
                <w:sz w:val="20"/>
                <w:szCs w:val="20"/>
                <w:color w:val="auto"/>
              </w:rPr>
            </w:pPr>
            <w:r>
              <w:rPr>
                <w:rFonts w:ascii="Arial" w:cs="Arial" w:eastAsia="Arial" w:hAnsi="Arial"/>
                <w:sz w:val="22"/>
                <w:szCs w:val="22"/>
                <w:color w:val="auto"/>
              </w:rPr>
              <w:t>28,661</w:t>
            </w:r>
          </w:p>
        </w:tc>
      </w:tr>
      <w:tr>
        <w:trPr>
          <w:trHeight w:val="275"/>
        </w:trPr>
        <w:tc>
          <w:tcPr>
            <w:tcW w:w="7920" w:type="dxa"/>
            <w:vAlign w:val="bottom"/>
          </w:tcPr>
          <w:p>
            <w:pPr>
              <w:ind w:left="100"/>
              <w:spacing w:after="0"/>
              <w:rPr>
                <w:sz w:val="20"/>
                <w:szCs w:val="20"/>
                <w:color w:val="auto"/>
              </w:rPr>
            </w:pPr>
            <w:r>
              <w:rPr>
                <w:rFonts w:ascii="Arial" w:cs="Arial" w:eastAsia="Arial" w:hAnsi="Arial"/>
                <w:sz w:val="22"/>
                <w:szCs w:val="22"/>
                <w:color w:val="auto"/>
              </w:rPr>
              <w:t>Noralta transaction costs (b)</w:t>
            </w:r>
          </w:p>
        </w:tc>
        <w:tc>
          <w:tcPr>
            <w:tcW w:w="360" w:type="dxa"/>
            <w:vAlign w:val="bottom"/>
          </w:tcPr>
          <w:p>
            <w:pPr>
              <w:spacing w:after="0"/>
              <w:rPr>
                <w:sz w:val="23"/>
                <w:szCs w:val="23"/>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340" w:type="dxa"/>
            <w:vAlign w:val="bottom"/>
          </w:tcPr>
          <w:p>
            <w:pPr>
              <w:jc w:val="right"/>
              <w:ind w:right="112"/>
              <w:spacing w:after="0"/>
              <w:rPr>
                <w:sz w:val="20"/>
                <w:szCs w:val="20"/>
                <w:color w:val="auto"/>
              </w:rPr>
            </w:pPr>
            <w:r>
              <w:rPr>
                <w:rFonts w:ascii="Arial" w:cs="Arial" w:eastAsia="Arial" w:hAnsi="Arial"/>
                <w:sz w:val="22"/>
                <w:szCs w:val="22"/>
                <w:color w:val="auto"/>
              </w:rPr>
              <w:t>966</w:t>
            </w:r>
          </w:p>
        </w:tc>
      </w:tr>
      <w:tr>
        <w:trPr>
          <w:trHeight w:val="267"/>
        </w:trPr>
        <w:tc>
          <w:tcPr>
            <w:tcW w:w="7920" w:type="dxa"/>
            <w:vAlign w:val="bottom"/>
          </w:tcPr>
          <w:p>
            <w:pPr>
              <w:ind w:left="300"/>
              <w:spacing w:after="0"/>
              <w:rPr>
                <w:sz w:val="20"/>
                <w:szCs w:val="20"/>
                <w:color w:val="auto"/>
              </w:rPr>
            </w:pPr>
            <w:r>
              <w:rPr>
                <w:rFonts w:ascii="Arial" w:cs="Arial" w:eastAsia="Arial" w:hAnsi="Arial"/>
                <w:sz w:val="22"/>
                <w:szCs w:val="22"/>
                <w:color w:val="auto"/>
              </w:rPr>
              <w:t>Adjusted EBITDA</w:t>
            </w:r>
          </w:p>
        </w:tc>
        <w:tc>
          <w:tcPr>
            <w:tcW w:w="3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2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22"/>
                <w:szCs w:val="22"/>
                <w:color w:val="auto"/>
              </w:rPr>
              <w:t>15,867</w:t>
            </w:r>
          </w:p>
        </w:tc>
        <w:tc>
          <w:tcPr>
            <w:tcW w:w="140" w:type="dxa"/>
            <w:vAlign w:val="bottom"/>
          </w:tcPr>
          <w:p>
            <w:pPr>
              <w:spacing w:after="0"/>
              <w:rPr>
                <w:sz w:val="23"/>
                <w:szCs w:val="23"/>
                <w:color w:val="auto"/>
              </w:rPr>
            </w:pPr>
          </w:p>
        </w:tc>
        <w:tc>
          <w:tcPr>
            <w:tcW w:w="3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rPr>
              <w:t>10,013</w:t>
            </w:r>
          </w:p>
        </w:tc>
      </w:tr>
      <w:tr>
        <w:trPr>
          <w:trHeight w:val="21"/>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18" w:right="239" w:bottom="63" w:gutter="0" w:footer="0" w:header="0"/>
        </w:sectPr>
      </w:pPr>
    </w:p>
    <w:bookmarkStart w:id="9" w:name="page10"/>
    <w:bookmarkEnd w:id="9"/>
    <w:p>
      <w:pPr>
        <w:ind w:left="540" w:right="560" w:firstLine="8"/>
        <w:spacing w:after="0" w:line="241" w:lineRule="auto"/>
        <w:tabs>
          <w:tab w:leader="none" w:pos="834" w:val="left"/>
        </w:tabs>
        <w:numPr>
          <w:ilvl w:val="1"/>
          <w:numId w:val="4"/>
        </w:numPr>
        <w:rPr>
          <w:rFonts w:ascii="Arial" w:cs="Arial" w:eastAsia="Arial" w:hAnsi="Arial"/>
          <w:sz w:val="22"/>
          <w:szCs w:val="22"/>
          <w:color w:val="auto"/>
        </w:rPr>
      </w:pPr>
      <w:r>
        <w:rPr>
          <w:rFonts w:ascii="Arial" w:cs="Arial" w:eastAsia="Arial" w:hAnsi="Arial"/>
          <w:sz w:val="22"/>
          <w:szCs w:val="22"/>
          <w:color w:val="auto"/>
        </w:rPr>
        <w:t>Relates to the first quarter 2018 impairment of assets in Canada. We recorded a pre-tax loss of $28.7 million ($20.9 million after-tax, or $0.13 per diluted share), which is included in Impairment expense on the unaudited statements of operations.</w:t>
      </w:r>
    </w:p>
    <w:p>
      <w:pPr>
        <w:spacing w:after="0" w:line="183" w:lineRule="exact"/>
        <w:rPr>
          <w:rFonts w:ascii="Arial" w:cs="Arial" w:eastAsia="Arial" w:hAnsi="Arial"/>
          <w:sz w:val="22"/>
          <w:szCs w:val="22"/>
          <w:color w:val="auto"/>
        </w:rPr>
      </w:pPr>
    </w:p>
    <w:p>
      <w:pPr>
        <w:ind w:left="540" w:right="980" w:firstLine="8"/>
        <w:spacing w:after="0" w:line="297" w:lineRule="auto"/>
        <w:tabs>
          <w:tab w:leader="none" w:pos="846" w:val="left"/>
        </w:tabs>
        <w:numPr>
          <w:ilvl w:val="1"/>
          <w:numId w:val="4"/>
        </w:numPr>
        <w:rPr>
          <w:rFonts w:ascii="Arial" w:cs="Arial" w:eastAsia="Arial" w:hAnsi="Arial"/>
          <w:sz w:val="19"/>
          <w:szCs w:val="19"/>
          <w:color w:val="auto"/>
        </w:rPr>
      </w:pPr>
      <w:r>
        <w:rPr>
          <w:rFonts w:ascii="Arial" w:cs="Arial" w:eastAsia="Arial" w:hAnsi="Arial"/>
          <w:sz w:val="19"/>
          <w:szCs w:val="19"/>
          <w:color w:val="auto"/>
        </w:rPr>
        <w:t>Relates to costs incurred associated with Civeo's acquisition of Noralta. During the first quarter 2018, the $1.0 million of costs ($0.9 million after-tax, or $0.01, per diluted share), which are primarily corporate in nature, are included in Selling, general and administrative expenses on the unaudited statements of operations.</w:t>
      </w:r>
    </w:p>
    <w:p>
      <w:pPr>
        <w:spacing w:after="0" w:line="134" w:lineRule="exact"/>
        <w:rPr>
          <w:rFonts w:ascii="Arial" w:cs="Arial" w:eastAsia="Arial" w:hAnsi="Arial"/>
          <w:sz w:val="19"/>
          <w:szCs w:val="19"/>
          <w:color w:val="auto"/>
        </w:rPr>
      </w:pPr>
    </w:p>
    <w:p>
      <w:pPr>
        <w:ind w:right="40" w:firstLine="8"/>
        <w:spacing w:after="0" w:line="245" w:lineRule="auto"/>
        <w:tabs>
          <w:tab w:leader="none" w:pos="306"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194" w:lineRule="exact"/>
        <w:rPr>
          <w:sz w:val="20"/>
          <w:szCs w:val="20"/>
          <w:color w:val="auto"/>
        </w:rPr>
      </w:pPr>
    </w:p>
    <w:p>
      <w:pPr>
        <w:jc w:val="center"/>
        <w:ind w:left="832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832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8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2019</w:t>
            </w:r>
          </w:p>
        </w:tc>
        <w:tc>
          <w:tcPr>
            <w:tcW w:w="1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2018</w:t>
            </w:r>
          </w:p>
        </w:tc>
      </w:tr>
      <w:tr>
        <w:trPr>
          <w:trHeight w:val="526"/>
        </w:trPr>
        <w:tc>
          <w:tcPr>
            <w:tcW w:w="830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6,341</w:t>
            </w:r>
          </w:p>
        </w:tc>
        <w:tc>
          <w:tcPr>
            <w:tcW w:w="14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ind w:right="152"/>
              <w:spacing w:after="0"/>
              <w:rPr>
                <w:sz w:val="20"/>
                <w:szCs w:val="20"/>
                <w:color w:val="auto"/>
              </w:rPr>
            </w:pPr>
            <w:r>
              <w:rPr>
                <w:rFonts w:ascii="Arial" w:cs="Arial" w:eastAsia="Arial" w:hAnsi="Arial"/>
                <w:sz w:val="22"/>
                <w:szCs w:val="22"/>
                <w:color w:val="auto"/>
              </w:rPr>
              <w:t>2,838</w:t>
            </w:r>
          </w:p>
        </w:tc>
      </w:tr>
      <w:tr>
        <w:trPr>
          <w:trHeight w:val="270"/>
        </w:trPr>
        <w:tc>
          <w:tcPr>
            <w:tcW w:w="8300" w:type="dxa"/>
            <w:vAlign w:val="bottom"/>
          </w:tcPr>
          <w:p>
            <w:pPr>
              <w:ind w:left="100"/>
              <w:spacing w:after="0"/>
              <w:rPr>
                <w:sz w:val="20"/>
                <w:szCs w:val="20"/>
                <w:color w:val="auto"/>
              </w:rPr>
            </w:pPr>
            <w:r>
              <w:rPr>
                <w:rFonts w:ascii="Arial" w:cs="Arial" w:eastAsia="Arial" w:hAnsi="Arial"/>
                <w:sz w:val="22"/>
                <w:szCs w:val="22"/>
                <w:color w:val="auto"/>
              </w:rPr>
              <w:t>Capital expenditures, including capitalized interest</w:t>
            </w:r>
          </w:p>
        </w:tc>
        <w:tc>
          <w:tcPr>
            <w:tcW w:w="30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(9,679)</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22"/>
                <w:szCs w:val="22"/>
                <w:color w:val="auto"/>
              </w:rPr>
              <w:t>(2,696)</w:t>
            </w:r>
          </w:p>
        </w:tc>
      </w:tr>
      <w:tr>
        <w:trPr>
          <w:trHeight w:val="276"/>
        </w:trPr>
        <w:tc>
          <w:tcPr>
            <w:tcW w:w="8300" w:type="dxa"/>
            <w:vAlign w:val="bottom"/>
          </w:tcPr>
          <w:p>
            <w:pPr>
              <w:ind w:left="100"/>
              <w:spacing w:after="0"/>
              <w:rPr>
                <w:sz w:val="20"/>
                <w:szCs w:val="20"/>
                <w:color w:val="auto"/>
              </w:rPr>
            </w:pPr>
            <w:r>
              <w:rPr>
                <w:rFonts w:ascii="Arial" w:cs="Arial" w:eastAsia="Arial" w:hAnsi="Arial"/>
                <w:sz w:val="22"/>
                <w:szCs w:val="22"/>
                <w:color w:val="auto"/>
              </w:rPr>
              <w:t>Proceeds from disposition of property, plant and equipment</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4,457</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2,718</w:t>
            </w:r>
          </w:p>
        </w:tc>
      </w:tr>
      <w:tr>
        <w:trPr>
          <w:trHeight w:val="265"/>
        </w:trPr>
        <w:tc>
          <w:tcPr>
            <w:tcW w:w="8300" w:type="dxa"/>
            <w:vAlign w:val="bottom"/>
          </w:tcPr>
          <w:p>
            <w:pPr>
              <w:ind w:left="100"/>
              <w:spacing w:after="0"/>
              <w:rPr>
                <w:sz w:val="20"/>
                <w:szCs w:val="20"/>
                <w:color w:val="auto"/>
              </w:rPr>
            </w:pPr>
            <w:r>
              <w:rPr>
                <w:rFonts w:ascii="Arial" w:cs="Arial" w:eastAsia="Arial" w:hAnsi="Arial"/>
                <w:sz w:val="22"/>
                <w:szCs w:val="22"/>
                <w:color w:val="auto"/>
              </w:rPr>
              <w:t>Free Cash Flow</w:t>
            </w: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1,119</w:t>
            </w:r>
          </w:p>
        </w:tc>
        <w:tc>
          <w:tcPr>
            <w:tcW w:w="14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2,860</w:t>
            </w:r>
          </w:p>
        </w:tc>
      </w:tr>
      <w:tr>
        <w:trPr>
          <w:trHeight w:val="21"/>
        </w:trPr>
        <w:tc>
          <w:tcPr>
            <w:tcW w:w="8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 RECONCILIATIONS - GUIDANCE</w:t>
      </w:r>
    </w:p>
    <w:p>
      <w:pPr>
        <w:ind w:left="516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5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52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0"/>
              </w:rPr>
              <w:t>Three Months Ending</w:t>
            </w: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72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8"/>
              </w:rPr>
              <w:t>Year Ending December</w:t>
            </w:r>
          </w:p>
        </w:tc>
        <w:tc>
          <w:tcPr>
            <w:tcW w:w="620" w:type="dxa"/>
            <w:vAlign w:val="bottom"/>
          </w:tcPr>
          <w:p>
            <w:pPr>
              <w:spacing w:after="0"/>
              <w:rPr>
                <w:sz w:val="21"/>
                <w:szCs w:val="21"/>
                <w:color w:val="auto"/>
              </w:rPr>
            </w:pPr>
          </w:p>
        </w:tc>
      </w:tr>
      <w:tr>
        <w:trPr>
          <w:trHeight w:val="276"/>
        </w:trPr>
        <w:tc>
          <w:tcPr>
            <w:tcW w:w="2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2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June 30, 2019</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jc w:val="center"/>
              <w:ind w:right="592"/>
              <w:spacing w:after="0"/>
              <w:rPr>
                <w:sz w:val="20"/>
                <w:szCs w:val="20"/>
                <w:color w:val="auto"/>
              </w:rPr>
            </w:pPr>
            <w:r>
              <w:rPr>
                <w:rFonts w:ascii="Arial" w:cs="Arial" w:eastAsia="Arial" w:hAnsi="Arial"/>
                <w:sz w:val="22"/>
                <w:szCs w:val="22"/>
                <w:b w:val="1"/>
                <w:bCs w:val="1"/>
                <w:color w:val="auto"/>
                <w:w w:val="88"/>
              </w:rPr>
              <w:t>31, 2019</w:t>
            </w:r>
          </w:p>
        </w:tc>
        <w:tc>
          <w:tcPr>
            <w:tcW w:w="620" w:type="dxa"/>
            <w:vAlign w:val="bottom"/>
          </w:tcPr>
          <w:p>
            <w:pPr>
              <w:spacing w:after="0"/>
              <w:rPr>
                <w:sz w:val="24"/>
                <w:szCs w:val="24"/>
                <w:color w:val="auto"/>
              </w:rPr>
            </w:pPr>
          </w:p>
        </w:tc>
      </w:tr>
      <w:tr>
        <w:trPr>
          <w:trHeight w:val="275"/>
        </w:trPr>
        <w:tc>
          <w:tcPr>
            <w:tcW w:w="2520" w:type="dxa"/>
            <w:vAlign w:val="bottom"/>
          </w:tcPr>
          <w:p>
            <w:pPr>
              <w:spacing w:after="0"/>
              <w:rPr>
                <w:sz w:val="20"/>
                <w:szCs w:val="20"/>
                <w:color w:val="auto"/>
              </w:rPr>
            </w:pPr>
            <w:r>
              <w:rPr>
                <w:rFonts w:ascii="Arial" w:cs="Arial" w:eastAsia="Arial" w:hAnsi="Arial"/>
                <w:sz w:val="22"/>
                <w:szCs w:val="22"/>
                <w:color w:val="auto"/>
              </w:rPr>
              <w:t>EBITDA Range (1)</w:t>
            </w:r>
          </w:p>
        </w:tc>
        <w:tc>
          <w:tcPr>
            <w:tcW w:w="130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112"/>
              <w:spacing w:after="0"/>
              <w:rPr>
                <w:sz w:val="20"/>
                <w:szCs w:val="20"/>
                <w:color w:val="auto"/>
              </w:rPr>
            </w:pPr>
            <w:r>
              <w:rPr>
                <w:rFonts w:ascii="Arial" w:cs="Arial" w:eastAsia="Arial" w:hAnsi="Arial"/>
                <w:sz w:val="22"/>
                <w:szCs w:val="22"/>
                <w:color w:val="auto"/>
              </w:rPr>
              <w:t>21.0</w:t>
            </w:r>
          </w:p>
        </w:tc>
        <w:tc>
          <w:tcPr>
            <w:tcW w:w="1280" w:type="dxa"/>
            <w:vAlign w:val="bottom"/>
          </w:tcPr>
          <w:p>
            <w:pPr>
              <w:jc w:val="right"/>
              <w:ind w:right="832"/>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112"/>
              <w:spacing w:after="0"/>
              <w:rPr>
                <w:sz w:val="20"/>
                <w:szCs w:val="20"/>
                <w:color w:val="auto"/>
              </w:rPr>
            </w:pPr>
            <w:r>
              <w:rPr>
                <w:rFonts w:ascii="Arial" w:cs="Arial" w:eastAsia="Arial" w:hAnsi="Arial"/>
                <w:sz w:val="22"/>
                <w:szCs w:val="22"/>
                <w:color w:val="auto"/>
              </w:rPr>
              <w:t>23.5</w:t>
            </w:r>
          </w:p>
        </w:tc>
        <w:tc>
          <w:tcPr>
            <w:tcW w:w="740" w:type="dxa"/>
            <w:vAlign w:val="bottom"/>
          </w:tcPr>
          <w:p>
            <w:pPr>
              <w:jc w:val="right"/>
              <w:ind w:right="33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95.0</w:t>
            </w:r>
          </w:p>
        </w:tc>
        <w:tc>
          <w:tcPr>
            <w:tcW w:w="1660" w:type="dxa"/>
            <w:vAlign w:val="bottom"/>
          </w:tcPr>
          <w:p>
            <w:pPr>
              <w:jc w:val="center"/>
              <w:ind w:right="692"/>
              <w:spacing w:after="0"/>
              <w:rPr>
                <w:sz w:val="20"/>
                <w:szCs w:val="20"/>
                <w:color w:val="auto"/>
              </w:rPr>
            </w:pPr>
            <w:r>
              <w:rPr>
                <w:rFonts w:ascii="Arial" w:cs="Arial" w:eastAsia="Arial" w:hAnsi="Arial"/>
                <w:sz w:val="22"/>
                <w:szCs w:val="22"/>
                <w:color w:val="auto"/>
                <w:w w:val="81"/>
              </w:rPr>
              <w:t>$</w:t>
            </w:r>
          </w:p>
        </w:tc>
        <w:tc>
          <w:tcPr>
            <w:tcW w:w="620" w:type="dxa"/>
            <w:vAlign w:val="bottom"/>
          </w:tcPr>
          <w:p>
            <w:pPr>
              <w:jc w:val="right"/>
              <w:spacing w:after="0"/>
              <w:rPr>
                <w:sz w:val="20"/>
                <w:szCs w:val="20"/>
                <w:color w:val="auto"/>
              </w:rPr>
            </w:pPr>
            <w:r>
              <w:rPr>
                <w:rFonts w:ascii="Arial" w:cs="Arial" w:eastAsia="Arial" w:hAnsi="Arial"/>
                <w:sz w:val="22"/>
                <w:szCs w:val="22"/>
                <w:color w:val="auto"/>
              </w:rPr>
              <w:t>101.0</w:t>
            </w:r>
          </w:p>
        </w:tc>
      </w:tr>
    </w:tbl>
    <w:p>
      <w:pPr>
        <w:spacing w:after="0" w:line="198" w:lineRule="exact"/>
        <w:rPr>
          <w:sz w:val="20"/>
          <w:szCs w:val="20"/>
          <w:color w:val="auto"/>
        </w:rPr>
      </w:pPr>
    </w:p>
    <w:p>
      <w:pPr>
        <w:ind w:right="140" w:firstLine="8"/>
        <w:spacing w:after="0" w:line="328" w:lineRule="auto"/>
        <w:tabs>
          <w:tab w:leader="none" w:pos="306" w:val="left"/>
        </w:tabs>
        <w:numPr>
          <w:ilvl w:val="0"/>
          <w:numId w:val="6"/>
        </w:numPr>
        <w:rPr>
          <w:rFonts w:ascii="Arial" w:cs="Arial" w:eastAsia="Arial" w:hAnsi="Arial"/>
          <w:sz w:val="19"/>
          <w:szCs w:val="19"/>
          <w:color w:val="auto"/>
        </w:rPr>
      </w:pPr>
      <w:r>
        <w:rPr>
          <w:rFonts w:ascii="Arial" w:cs="Arial" w:eastAsia="Arial" w:hAnsi="Arial"/>
          <w:sz w:val="19"/>
          <w:szCs w:val="19"/>
          <w:color w:val="auto"/>
        </w:rPr>
        <w:t>(1) The following table sets forth a reconciliation of estimated EBITDA to estimated net loss, which is the most directly comparable measure of financial performance calculated under generally accepted accounting principles (in millions) (unaudited):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00" w:type="dxa"/>
            <w:vAlign w:val="bottom"/>
            <w:gridSpan w:val="5"/>
          </w:tcPr>
          <w:p>
            <w:pPr>
              <w:jc w:val="center"/>
              <w:ind w:right="540"/>
              <w:spacing w:after="0"/>
              <w:rPr>
                <w:sz w:val="20"/>
                <w:szCs w:val="20"/>
                <w:color w:val="auto"/>
              </w:rPr>
            </w:pPr>
            <w:r>
              <w:rPr>
                <w:rFonts w:ascii="Arial" w:cs="Arial" w:eastAsia="Arial" w:hAnsi="Arial"/>
                <w:sz w:val="22"/>
                <w:szCs w:val="22"/>
                <w:b w:val="1"/>
                <w:bCs w:val="1"/>
                <w:color w:val="auto"/>
                <w:w w:val="90"/>
              </w:rPr>
              <w:t>Three Months Ending</w:t>
            </w:r>
          </w:p>
        </w:tc>
        <w:tc>
          <w:tcPr>
            <w:tcW w:w="400" w:type="dxa"/>
            <w:vAlign w:val="bottom"/>
          </w:tcPr>
          <w:p>
            <w:pPr>
              <w:spacing w:after="0"/>
              <w:rPr>
                <w:sz w:val="21"/>
                <w:szCs w:val="21"/>
                <w:color w:val="auto"/>
              </w:rPr>
            </w:pPr>
          </w:p>
        </w:tc>
        <w:tc>
          <w:tcPr>
            <w:tcW w:w="3200" w:type="dxa"/>
            <w:vAlign w:val="bottom"/>
            <w:gridSpan w:val="4"/>
          </w:tcPr>
          <w:p>
            <w:pPr>
              <w:jc w:val="center"/>
              <w:ind w:right="352"/>
              <w:spacing w:after="0"/>
              <w:rPr>
                <w:sz w:val="20"/>
                <w:szCs w:val="20"/>
                <w:color w:val="auto"/>
              </w:rPr>
            </w:pPr>
            <w:r>
              <w:rPr>
                <w:rFonts w:ascii="Arial" w:cs="Arial" w:eastAsia="Arial" w:hAnsi="Arial"/>
                <w:sz w:val="22"/>
                <w:szCs w:val="22"/>
                <w:b w:val="1"/>
                <w:bCs w:val="1"/>
                <w:color w:val="auto"/>
                <w:w w:val="88"/>
              </w:rPr>
              <w:t>Year Ending December</w:t>
            </w:r>
          </w:p>
        </w:tc>
      </w:tr>
      <w:tr>
        <w:trPr>
          <w:trHeight w:val="270"/>
        </w:trPr>
        <w:tc>
          <w:tcPr>
            <w:tcW w:w="4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00" w:type="dxa"/>
            <w:vAlign w:val="bottom"/>
            <w:gridSpan w:val="3"/>
          </w:tcPr>
          <w:p>
            <w:pPr>
              <w:jc w:val="center"/>
              <w:ind w:left="412"/>
              <w:spacing w:after="0"/>
              <w:rPr>
                <w:sz w:val="20"/>
                <w:szCs w:val="20"/>
                <w:color w:val="auto"/>
              </w:rPr>
            </w:pPr>
            <w:r>
              <w:rPr>
                <w:rFonts w:ascii="Arial" w:cs="Arial" w:eastAsia="Arial" w:hAnsi="Arial"/>
                <w:sz w:val="22"/>
                <w:szCs w:val="22"/>
                <w:b w:val="1"/>
                <w:bCs w:val="1"/>
                <w:color w:val="auto"/>
                <w:w w:val="88"/>
              </w:rPr>
              <w:t>June 30, 2019</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180" w:type="dxa"/>
            <w:vAlign w:val="bottom"/>
            <w:gridSpan w:val="3"/>
          </w:tcPr>
          <w:p>
            <w:pPr>
              <w:jc w:val="center"/>
              <w:ind w:left="512"/>
              <w:spacing w:after="0"/>
              <w:rPr>
                <w:sz w:val="20"/>
                <w:szCs w:val="20"/>
                <w:color w:val="auto"/>
              </w:rPr>
            </w:pPr>
            <w:r>
              <w:rPr>
                <w:rFonts w:ascii="Arial" w:cs="Arial" w:eastAsia="Arial" w:hAnsi="Arial"/>
                <w:sz w:val="22"/>
                <w:szCs w:val="22"/>
                <w:b w:val="1"/>
                <w:bCs w:val="1"/>
                <w:color w:val="auto"/>
                <w:w w:val="88"/>
              </w:rPr>
              <w:t>31, 2019</w:t>
            </w:r>
          </w:p>
        </w:tc>
        <w:tc>
          <w:tcPr>
            <w:tcW w:w="1020" w:type="dxa"/>
            <w:vAlign w:val="bottom"/>
          </w:tcPr>
          <w:p>
            <w:pPr>
              <w:spacing w:after="0"/>
              <w:rPr>
                <w:sz w:val="23"/>
                <w:szCs w:val="23"/>
                <w:color w:val="auto"/>
              </w:rPr>
            </w:pPr>
          </w:p>
        </w:tc>
      </w:tr>
      <w:tr>
        <w:trPr>
          <w:trHeight w:val="281"/>
        </w:trPr>
        <w:tc>
          <w:tcPr>
            <w:tcW w:w="4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3"/>
          </w:tcPr>
          <w:p>
            <w:pPr>
              <w:jc w:val="center"/>
              <w:ind w:left="392"/>
              <w:spacing w:after="0"/>
              <w:rPr>
                <w:sz w:val="20"/>
                <w:szCs w:val="20"/>
                <w:color w:val="auto"/>
              </w:rPr>
            </w:pPr>
            <w:r>
              <w:rPr>
                <w:rFonts w:ascii="Arial" w:cs="Arial" w:eastAsia="Arial" w:hAnsi="Arial"/>
                <w:sz w:val="22"/>
                <w:szCs w:val="22"/>
                <w:b w:val="1"/>
                <w:bCs w:val="1"/>
                <w:color w:val="auto"/>
                <w:w w:val="88"/>
              </w:rPr>
              <w:t>(estimated)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3"/>
          </w:tcPr>
          <w:p>
            <w:pPr>
              <w:jc w:val="center"/>
              <w:ind w:left="512"/>
              <w:spacing w:after="0"/>
              <w:rPr>
                <w:sz w:val="20"/>
                <w:szCs w:val="20"/>
                <w:color w:val="auto"/>
              </w:rPr>
            </w:pPr>
            <w:r>
              <w:rPr>
                <w:rFonts w:ascii="Arial" w:cs="Arial" w:eastAsia="Arial" w:hAnsi="Arial"/>
                <w:sz w:val="22"/>
                <w:szCs w:val="22"/>
                <w:b w:val="1"/>
                <w:bCs w:val="1"/>
                <w:color w:val="auto"/>
                <w:w w:val="88"/>
              </w:rPr>
              <w:t>(estimated)</w:t>
            </w:r>
          </w:p>
        </w:tc>
        <w:tc>
          <w:tcPr>
            <w:tcW w:w="1020" w:type="dxa"/>
            <w:vAlign w:val="bottom"/>
          </w:tcPr>
          <w:p>
            <w:pPr>
              <w:spacing w:after="0"/>
              <w:rPr>
                <w:sz w:val="24"/>
                <w:szCs w:val="24"/>
                <w:color w:val="auto"/>
              </w:rPr>
            </w:pPr>
          </w:p>
        </w:tc>
      </w:tr>
      <w:tr>
        <w:trPr>
          <w:trHeight w:val="536"/>
        </w:trPr>
        <w:tc>
          <w:tcPr>
            <w:tcW w:w="4340" w:type="dxa"/>
            <w:vAlign w:val="bottom"/>
          </w:tcPr>
          <w:p>
            <w:pPr>
              <w:spacing w:after="0"/>
              <w:rPr>
                <w:sz w:val="20"/>
                <w:szCs w:val="20"/>
                <w:color w:val="auto"/>
              </w:rPr>
            </w:pPr>
            <w:r>
              <w:rPr>
                <w:rFonts w:ascii="Arial" w:cs="Arial" w:eastAsia="Arial" w:hAnsi="Arial"/>
                <w:sz w:val="22"/>
                <w:szCs w:val="22"/>
                <w:color w:val="auto"/>
              </w:rPr>
              <w:t>Net loss</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(16.0)</w:t>
            </w:r>
          </w:p>
        </w:tc>
        <w:tc>
          <w:tcPr>
            <w:tcW w:w="160" w:type="dxa"/>
            <w:vAlign w:val="bottom"/>
          </w:tcPr>
          <w:p>
            <w:pPr>
              <w:spacing w:after="0"/>
              <w:rPr>
                <w:sz w:val="24"/>
                <w:szCs w:val="24"/>
                <w:color w:val="auto"/>
              </w:rPr>
            </w:pPr>
          </w:p>
        </w:tc>
        <w:tc>
          <w:tcPr>
            <w:tcW w:w="760" w:type="dxa"/>
            <w:vAlign w:val="bottom"/>
          </w:tcPr>
          <w:p>
            <w:pPr>
              <w:jc w:val="right"/>
              <w:ind w:right="532"/>
              <w:spacing w:after="0"/>
              <w:rPr>
                <w:sz w:val="20"/>
                <w:szCs w:val="20"/>
                <w:color w:val="auto"/>
              </w:rPr>
            </w:pPr>
            <w:r>
              <w:rPr>
                <w:rFonts w:ascii="Arial" w:cs="Arial" w:eastAsia="Arial" w:hAnsi="Arial"/>
                <w:sz w:val="22"/>
                <w:szCs w:val="22"/>
                <w:color w:val="auto"/>
                <w:w w:val="81"/>
              </w:rPr>
              <w:t>$</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(14.5)</w:t>
            </w:r>
          </w:p>
        </w:tc>
        <w:tc>
          <w:tcPr>
            <w:tcW w:w="120" w:type="dxa"/>
            <w:vAlign w:val="bottom"/>
          </w:tcPr>
          <w:p>
            <w:pPr>
              <w:spacing w:after="0"/>
              <w:rPr>
                <w:sz w:val="24"/>
                <w:szCs w:val="24"/>
                <w:color w:val="auto"/>
              </w:rPr>
            </w:pPr>
          </w:p>
        </w:tc>
        <w:tc>
          <w:tcPr>
            <w:tcW w:w="400" w:type="dxa"/>
            <w:vAlign w:val="bottom"/>
          </w:tcPr>
          <w:p>
            <w:pPr>
              <w:jc w:val="right"/>
              <w:ind w:right="172"/>
              <w:spacing w:after="0"/>
              <w:rPr>
                <w:sz w:val="20"/>
                <w:szCs w:val="20"/>
                <w:color w:val="auto"/>
              </w:rPr>
            </w:pPr>
            <w:r>
              <w:rPr>
                <w:rFonts w:ascii="Arial" w:cs="Arial" w:eastAsia="Arial" w:hAnsi="Arial"/>
                <w:sz w:val="22"/>
                <w:szCs w:val="22"/>
                <w:color w:val="auto"/>
                <w:w w:val="81"/>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(53.0)</w:t>
            </w:r>
          </w:p>
        </w:tc>
        <w:tc>
          <w:tcPr>
            <w:tcW w:w="180" w:type="dxa"/>
            <w:vAlign w:val="bottom"/>
          </w:tcPr>
          <w:p>
            <w:pPr>
              <w:spacing w:after="0"/>
              <w:rPr>
                <w:sz w:val="24"/>
                <w:szCs w:val="24"/>
                <w:color w:val="auto"/>
              </w:rPr>
            </w:pPr>
          </w:p>
        </w:tc>
        <w:tc>
          <w:tcPr>
            <w:tcW w:w="780" w:type="dxa"/>
            <w:vAlign w:val="bottom"/>
          </w:tcPr>
          <w:p>
            <w:pPr>
              <w:jc w:val="right"/>
              <w:ind w:right="552"/>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(50.0)</w:t>
            </w:r>
          </w:p>
        </w:tc>
      </w:tr>
      <w:tr>
        <w:trPr>
          <w:trHeight w:val="270"/>
        </w:trPr>
        <w:tc>
          <w:tcPr>
            <w:tcW w:w="434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36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(3.0)</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(2.0)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(12.0)</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(9.0)</w:t>
            </w:r>
          </w:p>
        </w:tc>
      </w:tr>
      <w:tr>
        <w:trPr>
          <w:trHeight w:val="270"/>
        </w:trPr>
        <w:tc>
          <w:tcPr>
            <w:tcW w:w="43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60" w:type="dxa"/>
            <w:vAlign w:val="bottom"/>
          </w:tcPr>
          <w:p>
            <w:pPr>
              <w:spacing w:after="0"/>
              <w:rPr>
                <w:sz w:val="23"/>
                <w:szCs w:val="23"/>
                <w:color w:val="auto"/>
              </w:rPr>
            </w:pPr>
          </w:p>
        </w:tc>
        <w:tc>
          <w:tcPr>
            <w:tcW w:w="1180" w:type="dxa"/>
            <w:vAlign w:val="bottom"/>
          </w:tcPr>
          <w:p>
            <w:pPr>
              <w:jc w:val="right"/>
              <w:ind w:right="132"/>
              <w:spacing w:after="0"/>
              <w:rPr>
                <w:sz w:val="20"/>
                <w:szCs w:val="20"/>
                <w:color w:val="auto"/>
              </w:rPr>
            </w:pPr>
            <w:r>
              <w:rPr>
                <w:rFonts w:ascii="Arial" w:cs="Arial" w:eastAsia="Arial" w:hAnsi="Arial"/>
                <w:sz w:val="22"/>
                <w:szCs w:val="22"/>
                <w:color w:val="auto"/>
              </w:rPr>
              <w:t>33.5</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jc w:val="right"/>
              <w:ind w:right="172"/>
              <w:spacing w:after="0"/>
              <w:rPr>
                <w:sz w:val="20"/>
                <w:szCs w:val="20"/>
                <w:color w:val="auto"/>
              </w:rPr>
            </w:pPr>
            <w:r>
              <w:rPr>
                <w:rFonts w:ascii="Arial" w:cs="Arial" w:eastAsia="Arial" w:hAnsi="Arial"/>
                <w:sz w:val="22"/>
                <w:szCs w:val="22"/>
                <w:color w:val="auto"/>
              </w:rPr>
              <w:t>33.5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Arial" w:cs="Arial" w:eastAsia="Arial" w:hAnsi="Arial"/>
                <w:sz w:val="22"/>
                <w:szCs w:val="22"/>
                <w:color w:val="auto"/>
              </w:rPr>
              <w:t>135.0</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135.0</w:t>
            </w:r>
          </w:p>
        </w:tc>
      </w:tr>
      <w:tr>
        <w:trPr>
          <w:trHeight w:val="276"/>
        </w:trPr>
        <w:tc>
          <w:tcPr>
            <w:tcW w:w="4340" w:type="dxa"/>
            <w:vAlign w:val="bottom"/>
          </w:tcPr>
          <w:p>
            <w:pPr>
              <w:spacing w:after="0"/>
              <w:rPr>
                <w:sz w:val="20"/>
                <w:szCs w:val="20"/>
                <w:color w:val="auto"/>
              </w:rPr>
            </w:pPr>
            <w:r>
              <w:rPr>
                <w:rFonts w:ascii="Arial" w:cs="Arial" w:eastAsia="Arial" w:hAnsi="Arial"/>
                <w:sz w:val="22"/>
                <w:szCs w:val="22"/>
                <w:color w:val="auto"/>
              </w:rPr>
              <w:t>Interest expense</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6.5</w:t>
            </w: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6.5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25.0</w:t>
            </w:r>
          </w:p>
        </w:tc>
        <w:tc>
          <w:tcPr>
            <w:tcW w:w="1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25.0</w:t>
            </w:r>
          </w:p>
        </w:tc>
      </w:tr>
      <w:tr>
        <w:trPr>
          <w:trHeight w:val="265"/>
        </w:trPr>
        <w:tc>
          <w:tcPr>
            <w:tcW w:w="4340" w:type="dxa"/>
            <w:vAlign w:val="bottom"/>
          </w:tcPr>
          <w:p>
            <w:pPr>
              <w:ind w:left="100"/>
              <w:spacing w:after="0"/>
              <w:rPr>
                <w:sz w:val="20"/>
                <w:szCs w:val="20"/>
                <w:color w:val="auto"/>
              </w:rPr>
            </w:pPr>
            <w:r>
              <w:rPr>
                <w:rFonts w:ascii="Arial" w:cs="Arial" w:eastAsia="Arial" w:hAnsi="Arial"/>
                <w:sz w:val="22"/>
                <w:szCs w:val="22"/>
                <w:color w:val="auto"/>
              </w:rPr>
              <w:t>EBITDA</w:t>
            </w: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21.0</w:t>
            </w:r>
          </w:p>
        </w:tc>
        <w:tc>
          <w:tcPr>
            <w:tcW w:w="160" w:type="dxa"/>
            <w:vAlign w:val="bottom"/>
          </w:tcPr>
          <w:p>
            <w:pPr>
              <w:spacing w:after="0"/>
              <w:rPr>
                <w:sz w:val="23"/>
                <w:szCs w:val="23"/>
                <w:color w:val="auto"/>
              </w:rPr>
            </w:pPr>
          </w:p>
        </w:tc>
        <w:tc>
          <w:tcPr>
            <w:tcW w:w="76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23.5</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81"/>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95.0</w:t>
            </w:r>
          </w:p>
        </w:tc>
        <w:tc>
          <w:tcPr>
            <w:tcW w:w="180" w:type="dxa"/>
            <w:vAlign w:val="bottom"/>
          </w:tcPr>
          <w:p>
            <w:pPr>
              <w:spacing w:after="0"/>
              <w:rPr>
                <w:sz w:val="23"/>
                <w:szCs w:val="23"/>
                <w:color w:val="auto"/>
              </w:rPr>
            </w:pPr>
          </w:p>
        </w:tc>
        <w:tc>
          <w:tcPr>
            <w:tcW w:w="78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101.0</w:t>
            </w:r>
          </w:p>
        </w:tc>
      </w:tr>
      <w:tr>
        <w:trPr>
          <w:trHeight w:val="21"/>
        </w:trPr>
        <w:tc>
          <w:tcPr>
            <w:tcW w:w="4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spacing w:after="0" w:line="234" w:lineRule="auto"/>
        <w:rPr>
          <w:sz w:val="20"/>
          <w:szCs w:val="20"/>
          <w:color w:val="auto"/>
        </w:rPr>
      </w:pPr>
      <w:r>
        <w:rPr>
          <w:rFonts w:ascii="Arial" w:cs="Arial" w:eastAsia="Arial" w:hAnsi="Arial"/>
          <w:sz w:val="22"/>
          <w:szCs w:val="22"/>
          <w:b w:val="1"/>
          <w:bCs w:val="1"/>
          <w:color w:val="auto"/>
        </w:rPr>
        <w:t>SUPPLEMENTAL QUARTERLY SEGMENT AND OPERATING DATA (U.S. dollars in thousands, except for room counts and average daily rates) (unaudited)</w:t>
      </w:r>
    </w:p>
    <w:p>
      <w:pPr>
        <w:spacing w:after="0" w:line="195" w:lineRule="exact"/>
        <w:rPr>
          <w:sz w:val="20"/>
          <w:szCs w:val="20"/>
          <w:color w:val="auto"/>
        </w:rPr>
      </w:pPr>
    </w:p>
    <w:p>
      <w:pPr>
        <w:jc w:val="center"/>
        <w:ind w:left="794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940"/>
        <w:spacing w:after="0"/>
        <w:rPr>
          <w:sz w:val="20"/>
          <w:szCs w:val="20"/>
          <w:color w:val="auto"/>
        </w:rPr>
      </w:pPr>
      <w:r>
        <w:rPr>
          <w:rFonts w:ascii="Arial" w:cs="Arial" w:eastAsia="Arial" w:hAnsi="Arial"/>
          <w:sz w:val="22"/>
          <w:szCs w:val="22"/>
          <w:b w:val="1"/>
          <w:bCs w:val="1"/>
          <w:color w:val="auto"/>
        </w:rPr>
        <w:t>March 31,</w:t>
      </w:r>
    </w:p>
    <w:p>
      <w:pPr>
        <w:sectPr>
          <w:pgSz w:w="11900" w:h="16838" w:orient="portrait"/>
          <w:cols w:equalWidth="0" w:num="1">
            <w:col w:w="11420"/>
          </w:cols>
          <w:pgMar w:left="240" w:top="118" w:right="239" w:bottom="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81"/>
        </w:trPr>
        <w:tc>
          <w:tcPr>
            <w:tcW w:w="7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2019</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2018</w:t>
            </w:r>
          </w:p>
        </w:tc>
      </w:tr>
      <w:tr>
        <w:trPr>
          <w:trHeight w:val="529"/>
        </w:trPr>
        <w:tc>
          <w:tcPr>
            <w:tcW w:w="7920" w:type="dxa"/>
            <w:vAlign w:val="bottom"/>
          </w:tcPr>
          <w:p>
            <w:pPr>
              <w:spacing w:after="0"/>
              <w:rPr>
                <w:sz w:val="20"/>
                <w:szCs w:val="20"/>
                <w:color w:val="auto"/>
              </w:rPr>
            </w:pPr>
            <w:r>
              <w:rPr>
                <w:rFonts w:ascii="Arial" w:cs="Arial" w:eastAsia="Arial" w:hAnsi="Arial"/>
                <w:sz w:val="22"/>
                <w:szCs w:val="22"/>
                <w:color w:val="auto"/>
              </w:rPr>
              <w:t>Supplemental Operating Data - Canadian Segment</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920" w:type="dxa"/>
            <w:vAlign w:val="bottom"/>
          </w:tcPr>
          <w:p>
            <w:pPr>
              <w:ind w:left="100"/>
              <w:spacing w:after="0"/>
              <w:rPr>
                <w:sz w:val="20"/>
                <w:szCs w:val="20"/>
                <w:color w:val="auto"/>
              </w:rPr>
            </w:pPr>
            <w:r>
              <w:rPr>
                <w:rFonts w:ascii="Arial" w:cs="Arial" w:eastAsia="Arial" w:hAnsi="Arial"/>
                <w:sz w:val="22"/>
                <w:szCs w:val="22"/>
                <w:color w:val="auto"/>
              </w:rPr>
              <w:t>Revenues</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7920" w:type="dxa"/>
            <w:vAlign w:val="bottom"/>
          </w:tcPr>
          <w:p>
            <w:pPr>
              <w:ind w:left="240"/>
              <w:spacing w:after="0"/>
              <w:rPr>
                <w:sz w:val="20"/>
                <w:szCs w:val="20"/>
                <w:color w:val="auto"/>
              </w:rPr>
            </w:pPr>
            <w:r>
              <w:rPr>
                <w:rFonts w:ascii="Arial" w:cs="Arial" w:eastAsia="Arial" w:hAnsi="Arial"/>
                <w:sz w:val="22"/>
                <w:szCs w:val="22"/>
                <w:color w:val="auto"/>
              </w:rPr>
              <w:t>Accommodation revenue (1)</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57,652</w:t>
            </w:r>
          </w:p>
        </w:tc>
        <w:tc>
          <w:tcPr>
            <w:tcW w:w="14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50,647</w:t>
            </w:r>
          </w:p>
        </w:tc>
      </w:tr>
      <w:tr>
        <w:trPr>
          <w:trHeight w:val="270"/>
        </w:trPr>
        <w:tc>
          <w:tcPr>
            <w:tcW w:w="7920" w:type="dxa"/>
            <w:vAlign w:val="bottom"/>
          </w:tcPr>
          <w:p>
            <w:pPr>
              <w:ind w:left="240"/>
              <w:spacing w:after="0"/>
              <w:rPr>
                <w:sz w:val="20"/>
                <w:szCs w:val="20"/>
                <w:color w:val="auto"/>
              </w:rPr>
            </w:pPr>
            <w:r>
              <w:rPr>
                <w:rFonts w:ascii="Arial" w:cs="Arial" w:eastAsia="Arial" w:hAnsi="Arial"/>
                <w:sz w:val="22"/>
                <w:szCs w:val="22"/>
                <w:color w:val="auto"/>
              </w:rPr>
              <w:t>Mobile facility rental revenue (2)</w:t>
            </w:r>
          </w:p>
        </w:tc>
        <w:tc>
          <w:tcPr>
            <w:tcW w:w="36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781</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7,794</w:t>
            </w:r>
          </w:p>
        </w:tc>
      </w:tr>
      <w:tr>
        <w:trPr>
          <w:trHeight w:val="270"/>
        </w:trPr>
        <w:tc>
          <w:tcPr>
            <w:tcW w:w="7920" w:type="dxa"/>
            <w:vAlign w:val="bottom"/>
          </w:tcPr>
          <w:p>
            <w:pPr>
              <w:ind w:left="240"/>
              <w:spacing w:after="0"/>
              <w:rPr>
                <w:sz w:val="20"/>
                <w:szCs w:val="20"/>
                <w:color w:val="auto"/>
              </w:rPr>
            </w:pPr>
            <w:r>
              <w:rPr>
                <w:rFonts w:ascii="Arial" w:cs="Arial" w:eastAsia="Arial" w:hAnsi="Arial"/>
                <w:sz w:val="22"/>
                <w:szCs w:val="22"/>
                <w:color w:val="auto"/>
              </w:rPr>
              <w:t>Food and other services revenue (3)</w:t>
            </w:r>
          </w:p>
        </w:tc>
        <w:tc>
          <w:tcPr>
            <w:tcW w:w="36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8,337</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3,739</w:t>
            </w:r>
          </w:p>
        </w:tc>
      </w:tr>
      <w:tr>
        <w:trPr>
          <w:trHeight w:val="275"/>
        </w:trPr>
        <w:tc>
          <w:tcPr>
            <w:tcW w:w="7920" w:type="dxa"/>
            <w:vAlign w:val="bottom"/>
          </w:tcPr>
          <w:p>
            <w:pPr>
              <w:ind w:left="240"/>
              <w:spacing w:after="0"/>
              <w:rPr>
                <w:sz w:val="20"/>
                <w:szCs w:val="20"/>
                <w:color w:val="auto"/>
              </w:rPr>
            </w:pPr>
            <w:r>
              <w:rPr>
                <w:rFonts w:ascii="Arial" w:cs="Arial" w:eastAsia="Arial" w:hAnsi="Arial"/>
                <w:sz w:val="22"/>
                <w:szCs w:val="22"/>
                <w:color w:val="auto"/>
              </w:rPr>
              <w:t>Manufacturing revenue (4)</w:t>
            </w:r>
          </w:p>
        </w:tc>
        <w:tc>
          <w:tcPr>
            <w:tcW w:w="36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1,210</w:t>
            </w:r>
          </w:p>
        </w:tc>
      </w:tr>
      <w:tr>
        <w:trPr>
          <w:trHeight w:val="272"/>
        </w:trPr>
        <w:tc>
          <w:tcPr>
            <w:tcW w:w="7920" w:type="dxa"/>
            <w:vAlign w:val="bottom"/>
          </w:tcPr>
          <w:p>
            <w:pPr>
              <w:ind w:left="300"/>
              <w:spacing w:after="0"/>
              <w:rPr>
                <w:sz w:val="20"/>
                <w:szCs w:val="20"/>
                <w:color w:val="auto"/>
              </w:rPr>
            </w:pPr>
            <w:r>
              <w:rPr>
                <w:rFonts w:ascii="Arial" w:cs="Arial" w:eastAsia="Arial" w:hAnsi="Arial"/>
                <w:sz w:val="22"/>
                <w:szCs w:val="22"/>
                <w:color w:val="auto"/>
              </w:rPr>
              <w:t>Total Canadian revenues</w:t>
            </w:r>
          </w:p>
        </w:tc>
        <w:tc>
          <w:tcPr>
            <w:tcW w:w="360" w:type="dxa"/>
            <w:vAlign w:val="bottom"/>
            <w:tcBorders>
              <w:top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rPr>
              <w:t>66,770</w:t>
            </w:r>
          </w:p>
        </w:tc>
        <w:tc>
          <w:tcPr>
            <w:tcW w:w="140" w:type="dxa"/>
            <w:vAlign w:val="bottom"/>
          </w:tcPr>
          <w:p>
            <w:pPr>
              <w:spacing w:after="0"/>
              <w:rPr>
                <w:sz w:val="23"/>
                <w:szCs w:val="23"/>
                <w:color w:val="auto"/>
              </w:rPr>
            </w:pPr>
          </w:p>
        </w:tc>
        <w:tc>
          <w:tcPr>
            <w:tcW w:w="380" w:type="dxa"/>
            <w:vAlign w:val="bottom"/>
            <w:tcBorders>
              <w:top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Borders>
              <w:top w:val="single" w:sz="8" w:color="auto"/>
            </w:tcBorders>
          </w:tcPr>
          <w:p>
            <w:pPr>
              <w:jc w:val="right"/>
              <w:ind w:right="112"/>
              <w:spacing w:after="0"/>
              <w:rPr>
                <w:sz w:val="20"/>
                <w:szCs w:val="20"/>
                <w:color w:val="auto"/>
              </w:rPr>
            </w:pPr>
            <w:r>
              <w:rPr>
                <w:rFonts w:ascii="Arial" w:cs="Arial" w:eastAsia="Arial" w:hAnsi="Arial"/>
                <w:sz w:val="22"/>
                <w:szCs w:val="22"/>
                <w:color w:val="auto"/>
              </w:rPr>
              <w:t>63,390</w:t>
            </w:r>
          </w:p>
        </w:tc>
      </w:tr>
      <w:tr>
        <w:trPr>
          <w:trHeight w:val="528"/>
        </w:trPr>
        <w:tc>
          <w:tcPr>
            <w:tcW w:w="7920" w:type="dxa"/>
            <w:vAlign w:val="bottom"/>
          </w:tcPr>
          <w:p>
            <w:pPr>
              <w:spacing w:after="0"/>
              <w:rPr>
                <w:sz w:val="20"/>
                <w:szCs w:val="20"/>
                <w:color w:val="auto"/>
              </w:rPr>
            </w:pPr>
            <w:r>
              <w:rPr>
                <w:rFonts w:ascii="Arial" w:cs="Arial" w:eastAsia="Arial" w:hAnsi="Arial"/>
                <w:sz w:val="22"/>
                <w:szCs w:val="22"/>
                <w:color w:val="auto"/>
              </w:rPr>
              <w:t>Costs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920" w:type="dxa"/>
            <w:vAlign w:val="bottom"/>
          </w:tcPr>
          <w:p>
            <w:pPr>
              <w:ind w:left="120"/>
              <w:spacing w:after="0"/>
              <w:rPr>
                <w:sz w:val="20"/>
                <w:szCs w:val="20"/>
                <w:color w:val="auto"/>
              </w:rPr>
            </w:pPr>
            <w:r>
              <w:rPr>
                <w:rFonts w:ascii="Arial" w:cs="Arial" w:eastAsia="Arial" w:hAnsi="Arial"/>
                <w:sz w:val="22"/>
                <w:szCs w:val="22"/>
                <w:color w:val="auto"/>
              </w:rPr>
              <w:t>Accommodation cost</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42,217</w:t>
            </w:r>
          </w:p>
        </w:tc>
        <w:tc>
          <w:tcPr>
            <w:tcW w:w="14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37,038</w:t>
            </w:r>
          </w:p>
        </w:tc>
      </w:tr>
      <w:tr>
        <w:trPr>
          <w:trHeight w:val="270"/>
        </w:trPr>
        <w:tc>
          <w:tcPr>
            <w:tcW w:w="7920" w:type="dxa"/>
            <w:vAlign w:val="bottom"/>
          </w:tcPr>
          <w:p>
            <w:pPr>
              <w:ind w:left="120"/>
              <w:spacing w:after="0"/>
              <w:rPr>
                <w:sz w:val="20"/>
                <w:szCs w:val="20"/>
                <w:color w:val="auto"/>
              </w:rPr>
            </w:pPr>
            <w:r>
              <w:rPr>
                <w:rFonts w:ascii="Arial" w:cs="Arial" w:eastAsia="Arial" w:hAnsi="Arial"/>
                <w:sz w:val="22"/>
                <w:szCs w:val="22"/>
                <w:color w:val="auto"/>
              </w:rPr>
              <w:t>Mobile facility rental cost</w:t>
            </w:r>
          </w:p>
        </w:tc>
        <w:tc>
          <w:tcPr>
            <w:tcW w:w="36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649</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7,404</w:t>
            </w:r>
          </w:p>
        </w:tc>
      </w:tr>
      <w:tr>
        <w:trPr>
          <w:trHeight w:val="270"/>
        </w:trPr>
        <w:tc>
          <w:tcPr>
            <w:tcW w:w="7920" w:type="dxa"/>
            <w:vAlign w:val="bottom"/>
          </w:tcPr>
          <w:p>
            <w:pPr>
              <w:ind w:left="120"/>
              <w:spacing w:after="0"/>
              <w:rPr>
                <w:sz w:val="20"/>
                <w:szCs w:val="20"/>
                <w:color w:val="auto"/>
              </w:rPr>
            </w:pPr>
            <w:r>
              <w:rPr>
                <w:rFonts w:ascii="Arial" w:cs="Arial" w:eastAsia="Arial" w:hAnsi="Arial"/>
                <w:sz w:val="22"/>
                <w:szCs w:val="22"/>
                <w:color w:val="auto"/>
              </w:rPr>
              <w:t>Food and other services cost</w:t>
            </w:r>
          </w:p>
        </w:tc>
        <w:tc>
          <w:tcPr>
            <w:tcW w:w="36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8,236</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3,218</w:t>
            </w:r>
          </w:p>
        </w:tc>
      </w:tr>
      <w:tr>
        <w:trPr>
          <w:trHeight w:val="270"/>
        </w:trPr>
        <w:tc>
          <w:tcPr>
            <w:tcW w:w="7920" w:type="dxa"/>
            <w:vAlign w:val="bottom"/>
          </w:tcPr>
          <w:p>
            <w:pPr>
              <w:ind w:left="120"/>
              <w:spacing w:after="0"/>
              <w:rPr>
                <w:sz w:val="20"/>
                <w:szCs w:val="20"/>
                <w:color w:val="auto"/>
              </w:rPr>
            </w:pPr>
            <w:r>
              <w:rPr>
                <w:rFonts w:ascii="Arial" w:cs="Arial" w:eastAsia="Arial" w:hAnsi="Arial"/>
                <w:sz w:val="22"/>
                <w:szCs w:val="22"/>
                <w:color w:val="auto"/>
              </w:rPr>
              <w:t>Manufacturing cost</w:t>
            </w:r>
          </w:p>
        </w:tc>
        <w:tc>
          <w:tcPr>
            <w:tcW w:w="36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189</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1,239</w:t>
            </w:r>
          </w:p>
        </w:tc>
      </w:tr>
      <w:tr>
        <w:trPr>
          <w:trHeight w:val="275"/>
        </w:trPr>
        <w:tc>
          <w:tcPr>
            <w:tcW w:w="7920" w:type="dxa"/>
            <w:vAlign w:val="bottom"/>
          </w:tcPr>
          <w:p>
            <w:pPr>
              <w:ind w:left="120"/>
              <w:spacing w:after="0"/>
              <w:rPr>
                <w:sz w:val="20"/>
                <w:szCs w:val="20"/>
                <w:color w:val="auto"/>
              </w:rPr>
            </w:pPr>
            <w:r>
              <w:rPr>
                <w:rFonts w:ascii="Arial" w:cs="Arial" w:eastAsia="Arial" w:hAnsi="Arial"/>
                <w:sz w:val="22"/>
                <w:szCs w:val="22"/>
                <w:color w:val="auto"/>
              </w:rPr>
              <w:t>Indirect other cost</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3,356</w:t>
            </w:r>
          </w:p>
        </w:tc>
        <w:tc>
          <w:tcPr>
            <w:tcW w:w="1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2,997</w:t>
            </w:r>
          </w:p>
        </w:tc>
      </w:tr>
      <w:tr>
        <w:trPr>
          <w:trHeight w:val="272"/>
        </w:trPr>
        <w:tc>
          <w:tcPr>
            <w:tcW w:w="7920" w:type="dxa"/>
            <w:vAlign w:val="bottom"/>
          </w:tcPr>
          <w:p>
            <w:pPr>
              <w:ind w:left="400"/>
              <w:spacing w:after="0"/>
              <w:rPr>
                <w:sz w:val="20"/>
                <w:szCs w:val="20"/>
                <w:color w:val="auto"/>
              </w:rPr>
            </w:pPr>
            <w:r>
              <w:rPr>
                <w:rFonts w:ascii="Arial" w:cs="Arial" w:eastAsia="Arial" w:hAnsi="Arial"/>
                <w:sz w:val="22"/>
                <w:szCs w:val="22"/>
                <w:color w:val="auto"/>
              </w:rPr>
              <w:t>Total Canadian cost of sales and services</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54,647</w:t>
            </w:r>
          </w:p>
        </w:tc>
        <w:tc>
          <w:tcPr>
            <w:tcW w:w="14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51,896</w:t>
            </w:r>
          </w:p>
        </w:tc>
      </w:tr>
      <w:tr>
        <w:trPr>
          <w:trHeight w:val="532"/>
        </w:trPr>
        <w:tc>
          <w:tcPr>
            <w:tcW w:w="7920" w:type="dxa"/>
            <w:vAlign w:val="bottom"/>
          </w:tcPr>
          <w:p>
            <w:pPr>
              <w:ind w:left="100"/>
              <w:spacing w:after="0"/>
              <w:rPr>
                <w:sz w:val="20"/>
                <w:szCs w:val="20"/>
                <w:color w:val="auto"/>
              </w:rPr>
            </w:pPr>
            <w:r>
              <w:rPr>
                <w:rFonts w:ascii="Arial" w:cs="Arial" w:eastAsia="Arial" w:hAnsi="Arial"/>
                <w:sz w:val="22"/>
                <w:szCs w:val="22"/>
                <w:color w:val="auto"/>
              </w:rPr>
              <w:t>Average daily rates (5)</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92</w:t>
            </w:r>
          </w:p>
        </w:tc>
        <w:tc>
          <w:tcPr>
            <w:tcW w:w="14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88</w:t>
            </w:r>
          </w:p>
        </w:tc>
      </w:tr>
      <w:tr>
        <w:trPr>
          <w:trHeight w:val="540"/>
        </w:trPr>
        <w:tc>
          <w:tcPr>
            <w:tcW w:w="7920" w:type="dxa"/>
            <w:vAlign w:val="bottom"/>
          </w:tcPr>
          <w:p>
            <w:pPr>
              <w:ind w:left="100"/>
              <w:spacing w:after="0"/>
              <w:rPr>
                <w:sz w:val="20"/>
                <w:szCs w:val="20"/>
                <w:color w:val="auto"/>
              </w:rPr>
            </w:pPr>
            <w:r>
              <w:rPr>
                <w:rFonts w:ascii="Arial" w:cs="Arial" w:eastAsia="Arial" w:hAnsi="Arial"/>
                <w:sz w:val="22"/>
                <w:szCs w:val="22"/>
                <w:color w:val="auto"/>
              </w:rPr>
              <w:t>Billed rooms (6)</w:t>
            </w:r>
          </w:p>
        </w:tc>
        <w:tc>
          <w:tcPr>
            <w:tcW w:w="3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625,992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572,888</w:t>
            </w:r>
          </w:p>
        </w:tc>
      </w:tr>
      <w:tr>
        <w:trPr>
          <w:trHeight w:val="540"/>
        </w:trPr>
        <w:tc>
          <w:tcPr>
            <w:tcW w:w="7920" w:type="dxa"/>
            <w:vAlign w:val="bottom"/>
          </w:tcPr>
          <w:p>
            <w:pPr>
              <w:ind w:left="100"/>
              <w:spacing w:after="0"/>
              <w:rPr>
                <w:sz w:val="20"/>
                <w:szCs w:val="20"/>
                <w:color w:val="auto"/>
              </w:rPr>
            </w:pPr>
            <w:r>
              <w:rPr>
                <w:rFonts w:ascii="Arial" w:cs="Arial" w:eastAsia="Arial" w:hAnsi="Arial"/>
                <w:sz w:val="22"/>
                <w:szCs w:val="22"/>
                <w:color w:val="auto"/>
              </w:rPr>
              <w:t>Canadian dollar to U.S. dollar</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0.752</w:t>
            </w:r>
          </w:p>
        </w:tc>
        <w:tc>
          <w:tcPr>
            <w:tcW w:w="14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0.791</w:t>
            </w:r>
          </w:p>
        </w:tc>
      </w:tr>
      <w:tr>
        <w:trPr>
          <w:trHeight w:val="536"/>
        </w:trPr>
        <w:tc>
          <w:tcPr>
            <w:tcW w:w="7920" w:type="dxa"/>
            <w:vAlign w:val="bottom"/>
          </w:tcPr>
          <w:p>
            <w:pPr>
              <w:spacing w:after="0"/>
              <w:rPr>
                <w:sz w:val="20"/>
                <w:szCs w:val="20"/>
                <w:color w:val="auto"/>
              </w:rPr>
            </w:pPr>
            <w:r>
              <w:rPr>
                <w:rFonts w:ascii="Arial" w:cs="Arial" w:eastAsia="Arial" w:hAnsi="Arial"/>
                <w:sz w:val="22"/>
                <w:szCs w:val="22"/>
                <w:color w:val="auto"/>
              </w:rPr>
              <w:t>Supplemental Operating Data - Australian Segment</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920" w:type="dxa"/>
            <w:vAlign w:val="bottom"/>
          </w:tcPr>
          <w:p>
            <w:pPr>
              <w:ind w:left="240"/>
              <w:spacing w:after="0"/>
              <w:rPr>
                <w:sz w:val="20"/>
                <w:szCs w:val="20"/>
                <w:color w:val="auto"/>
              </w:rPr>
            </w:pPr>
            <w:r>
              <w:rPr>
                <w:rFonts w:ascii="Arial" w:cs="Arial" w:eastAsia="Arial" w:hAnsi="Arial"/>
                <w:sz w:val="22"/>
                <w:szCs w:val="22"/>
                <w:color w:val="auto"/>
              </w:rPr>
              <w:t>Accommodation revenue (1)</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28,421</w:t>
            </w:r>
          </w:p>
        </w:tc>
        <w:tc>
          <w:tcPr>
            <w:tcW w:w="14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27,698</w:t>
            </w:r>
          </w:p>
        </w:tc>
      </w:tr>
      <w:tr>
        <w:trPr>
          <w:trHeight w:val="275"/>
        </w:trPr>
        <w:tc>
          <w:tcPr>
            <w:tcW w:w="7920" w:type="dxa"/>
            <w:vAlign w:val="bottom"/>
          </w:tcPr>
          <w:p>
            <w:pPr>
              <w:ind w:left="240"/>
              <w:spacing w:after="0"/>
              <w:rPr>
                <w:sz w:val="20"/>
                <w:szCs w:val="20"/>
                <w:color w:val="auto"/>
              </w:rPr>
            </w:pPr>
            <w:r>
              <w:rPr>
                <w:rFonts w:ascii="Arial" w:cs="Arial" w:eastAsia="Arial" w:hAnsi="Arial"/>
                <w:sz w:val="22"/>
                <w:szCs w:val="22"/>
                <w:color w:val="auto"/>
              </w:rPr>
              <w:t>Food and other services revenue (3)</w:t>
            </w:r>
          </w:p>
        </w:tc>
        <w:tc>
          <w:tcPr>
            <w:tcW w:w="36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177</w:t>
            </w:r>
          </w:p>
        </w:tc>
      </w:tr>
      <w:tr>
        <w:trPr>
          <w:trHeight w:val="272"/>
        </w:trPr>
        <w:tc>
          <w:tcPr>
            <w:tcW w:w="7920" w:type="dxa"/>
            <w:vAlign w:val="bottom"/>
          </w:tcPr>
          <w:p>
            <w:pPr>
              <w:ind w:left="500"/>
              <w:spacing w:after="0"/>
              <w:rPr>
                <w:sz w:val="20"/>
                <w:szCs w:val="20"/>
                <w:color w:val="auto"/>
              </w:rPr>
            </w:pPr>
            <w:r>
              <w:rPr>
                <w:rFonts w:ascii="Arial" w:cs="Arial" w:eastAsia="Arial" w:hAnsi="Arial"/>
                <w:sz w:val="22"/>
                <w:szCs w:val="22"/>
                <w:color w:val="auto"/>
              </w:rPr>
              <w:t>Total Australian revenues</w:t>
            </w:r>
          </w:p>
        </w:tc>
        <w:tc>
          <w:tcPr>
            <w:tcW w:w="360" w:type="dxa"/>
            <w:vAlign w:val="bottom"/>
            <w:tcBorders>
              <w:top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rPr>
              <w:t>28,421</w:t>
            </w:r>
          </w:p>
        </w:tc>
        <w:tc>
          <w:tcPr>
            <w:tcW w:w="140" w:type="dxa"/>
            <w:vAlign w:val="bottom"/>
          </w:tcPr>
          <w:p>
            <w:pPr>
              <w:spacing w:after="0"/>
              <w:rPr>
                <w:sz w:val="23"/>
                <w:szCs w:val="23"/>
                <w:color w:val="auto"/>
              </w:rPr>
            </w:pPr>
          </w:p>
        </w:tc>
        <w:tc>
          <w:tcPr>
            <w:tcW w:w="380" w:type="dxa"/>
            <w:vAlign w:val="bottom"/>
            <w:tcBorders>
              <w:top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Borders>
              <w:top w:val="single" w:sz="8" w:color="auto"/>
            </w:tcBorders>
          </w:tcPr>
          <w:p>
            <w:pPr>
              <w:jc w:val="right"/>
              <w:ind w:right="112"/>
              <w:spacing w:after="0"/>
              <w:rPr>
                <w:sz w:val="20"/>
                <w:szCs w:val="20"/>
                <w:color w:val="auto"/>
              </w:rPr>
            </w:pPr>
            <w:r>
              <w:rPr>
                <w:rFonts w:ascii="Arial" w:cs="Arial" w:eastAsia="Arial" w:hAnsi="Arial"/>
                <w:sz w:val="22"/>
                <w:szCs w:val="22"/>
                <w:color w:val="auto"/>
              </w:rPr>
              <w:t>27,875</w:t>
            </w:r>
          </w:p>
        </w:tc>
      </w:tr>
      <w:tr>
        <w:trPr>
          <w:trHeight w:val="528"/>
        </w:trPr>
        <w:tc>
          <w:tcPr>
            <w:tcW w:w="7920" w:type="dxa"/>
            <w:vAlign w:val="bottom"/>
          </w:tcPr>
          <w:p>
            <w:pPr>
              <w:spacing w:after="0"/>
              <w:rPr>
                <w:sz w:val="20"/>
                <w:szCs w:val="20"/>
                <w:color w:val="auto"/>
              </w:rPr>
            </w:pPr>
            <w:r>
              <w:rPr>
                <w:rFonts w:ascii="Arial" w:cs="Arial" w:eastAsia="Arial" w:hAnsi="Arial"/>
                <w:sz w:val="22"/>
                <w:szCs w:val="22"/>
                <w:color w:val="auto"/>
              </w:rPr>
              <w:t>Costs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920" w:type="dxa"/>
            <w:vAlign w:val="bottom"/>
          </w:tcPr>
          <w:p>
            <w:pPr>
              <w:ind w:left="120"/>
              <w:spacing w:after="0"/>
              <w:rPr>
                <w:sz w:val="20"/>
                <w:szCs w:val="20"/>
                <w:color w:val="auto"/>
              </w:rPr>
            </w:pPr>
            <w:r>
              <w:rPr>
                <w:rFonts w:ascii="Arial" w:cs="Arial" w:eastAsia="Arial" w:hAnsi="Arial"/>
                <w:sz w:val="22"/>
                <w:szCs w:val="22"/>
                <w:color w:val="auto"/>
              </w:rPr>
              <w:t>Accommodation cost</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14,397</w:t>
            </w:r>
          </w:p>
        </w:tc>
        <w:tc>
          <w:tcPr>
            <w:tcW w:w="14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14,506</w:t>
            </w:r>
          </w:p>
        </w:tc>
      </w:tr>
      <w:tr>
        <w:trPr>
          <w:trHeight w:val="270"/>
        </w:trPr>
        <w:tc>
          <w:tcPr>
            <w:tcW w:w="7920" w:type="dxa"/>
            <w:vAlign w:val="bottom"/>
          </w:tcPr>
          <w:p>
            <w:pPr>
              <w:ind w:left="120"/>
              <w:spacing w:after="0"/>
              <w:rPr>
                <w:sz w:val="20"/>
                <w:szCs w:val="20"/>
                <w:color w:val="auto"/>
              </w:rPr>
            </w:pPr>
            <w:r>
              <w:rPr>
                <w:rFonts w:ascii="Arial" w:cs="Arial" w:eastAsia="Arial" w:hAnsi="Arial"/>
                <w:sz w:val="22"/>
                <w:szCs w:val="22"/>
                <w:color w:val="auto"/>
              </w:rPr>
              <w:t>Food and other services cost</w:t>
            </w:r>
          </w:p>
        </w:tc>
        <w:tc>
          <w:tcPr>
            <w:tcW w:w="36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163</w:t>
            </w:r>
          </w:p>
        </w:tc>
      </w:tr>
      <w:tr>
        <w:trPr>
          <w:trHeight w:val="275"/>
        </w:trPr>
        <w:tc>
          <w:tcPr>
            <w:tcW w:w="7920" w:type="dxa"/>
            <w:vAlign w:val="bottom"/>
          </w:tcPr>
          <w:p>
            <w:pPr>
              <w:ind w:left="120"/>
              <w:spacing w:after="0"/>
              <w:rPr>
                <w:sz w:val="20"/>
                <w:szCs w:val="20"/>
                <w:color w:val="auto"/>
              </w:rPr>
            </w:pPr>
            <w:r>
              <w:rPr>
                <w:rFonts w:ascii="Arial" w:cs="Arial" w:eastAsia="Arial" w:hAnsi="Arial"/>
                <w:sz w:val="22"/>
                <w:szCs w:val="22"/>
                <w:color w:val="auto"/>
              </w:rPr>
              <w:t>Indirect other cost</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602</w:t>
            </w:r>
          </w:p>
        </w:tc>
        <w:tc>
          <w:tcPr>
            <w:tcW w:w="1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664</w:t>
            </w:r>
          </w:p>
        </w:tc>
      </w:tr>
      <w:tr>
        <w:trPr>
          <w:trHeight w:val="272"/>
        </w:trPr>
        <w:tc>
          <w:tcPr>
            <w:tcW w:w="7920" w:type="dxa"/>
            <w:vAlign w:val="bottom"/>
          </w:tcPr>
          <w:p>
            <w:pPr>
              <w:ind w:left="400"/>
              <w:spacing w:after="0"/>
              <w:rPr>
                <w:sz w:val="20"/>
                <w:szCs w:val="20"/>
                <w:color w:val="auto"/>
              </w:rPr>
            </w:pPr>
            <w:r>
              <w:rPr>
                <w:rFonts w:ascii="Arial" w:cs="Arial" w:eastAsia="Arial" w:hAnsi="Arial"/>
                <w:sz w:val="22"/>
                <w:szCs w:val="22"/>
                <w:color w:val="auto"/>
              </w:rPr>
              <w:t>Total Australian cost of sales and services</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14,999</w:t>
            </w:r>
          </w:p>
        </w:tc>
        <w:tc>
          <w:tcPr>
            <w:tcW w:w="14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15,333</w:t>
            </w:r>
          </w:p>
        </w:tc>
      </w:tr>
      <w:tr>
        <w:trPr>
          <w:trHeight w:val="532"/>
        </w:trPr>
        <w:tc>
          <w:tcPr>
            <w:tcW w:w="7920" w:type="dxa"/>
            <w:vAlign w:val="bottom"/>
          </w:tcPr>
          <w:p>
            <w:pPr>
              <w:ind w:left="100"/>
              <w:spacing w:after="0"/>
              <w:rPr>
                <w:sz w:val="20"/>
                <w:szCs w:val="20"/>
                <w:color w:val="auto"/>
              </w:rPr>
            </w:pPr>
            <w:r>
              <w:rPr>
                <w:rFonts w:ascii="Arial" w:cs="Arial" w:eastAsia="Arial" w:hAnsi="Arial"/>
                <w:sz w:val="22"/>
                <w:szCs w:val="22"/>
                <w:color w:val="auto"/>
              </w:rPr>
              <w:t>Average daily rates (5)</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74</w:t>
            </w:r>
          </w:p>
        </w:tc>
        <w:tc>
          <w:tcPr>
            <w:tcW w:w="14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81</w:t>
            </w:r>
          </w:p>
        </w:tc>
      </w:tr>
      <w:tr>
        <w:trPr>
          <w:trHeight w:val="540"/>
        </w:trPr>
        <w:tc>
          <w:tcPr>
            <w:tcW w:w="7920" w:type="dxa"/>
            <w:vAlign w:val="bottom"/>
          </w:tcPr>
          <w:p>
            <w:pPr>
              <w:ind w:left="100"/>
              <w:spacing w:after="0"/>
              <w:rPr>
                <w:sz w:val="20"/>
                <w:szCs w:val="20"/>
                <w:color w:val="auto"/>
              </w:rPr>
            </w:pPr>
            <w:r>
              <w:rPr>
                <w:rFonts w:ascii="Arial" w:cs="Arial" w:eastAsia="Arial" w:hAnsi="Arial"/>
                <w:sz w:val="22"/>
                <w:szCs w:val="22"/>
                <w:color w:val="auto"/>
              </w:rPr>
              <w:t>Billed rooms (6)</w:t>
            </w:r>
          </w:p>
        </w:tc>
        <w:tc>
          <w:tcPr>
            <w:tcW w:w="3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382,581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341,579</w:t>
            </w:r>
          </w:p>
        </w:tc>
      </w:tr>
      <w:tr>
        <w:trPr>
          <w:trHeight w:val="540"/>
        </w:trPr>
        <w:tc>
          <w:tcPr>
            <w:tcW w:w="7920" w:type="dxa"/>
            <w:vAlign w:val="bottom"/>
          </w:tcPr>
          <w:p>
            <w:pPr>
              <w:ind w:left="100"/>
              <w:spacing w:after="0"/>
              <w:rPr>
                <w:sz w:val="20"/>
                <w:szCs w:val="20"/>
                <w:color w:val="auto"/>
              </w:rPr>
            </w:pPr>
            <w:r>
              <w:rPr>
                <w:rFonts w:ascii="Arial" w:cs="Arial" w:eastAsia="Arial" w:hAnsi="Arial"/>
                <w:sz w:val="22"/>
                <w:szCs w:val="22"/>
                <w:color w:val="auto"/>
              </w:rPr>
              <w:t>Australian dollar to U.S. dollar</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0.712</w:t>
            </w:r>
          </w:p>
        </w:tc>
        <w:tc>
          <w:tcPr>
            <w:tcW w:w="14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0.786</w:t>
            </w:r>
          </w:p>
        </w:tc>
      </w:tr>
    </w:tbl>
    <w:p>
      <w:pPr>
        <w:spacing w:after="0" w:line="200" w:lineRule="exact"/>
        <w:rPr>
          <w:sz w:val="20"/>
          <w:szCs w:val="20"/>
          <w:color w:val="auto"/>
        </w:rPr>
      </w:pPr>
    </w:p>
    <w:p>
      <w:pPr>
        <w:spacing w:after="0" w:line="26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Includes revenues related to lodge and village rooms and hospitality services for owned rooms for the periods presented.</w:t>
      </w:r>
    </w:p>
    <w:p>
      <w:pPr>
        <w:spacing w:after="0" w:line="42" w:lineRule="exact"/>
        <w:rPr>
          <w:rFonts w:ascii="Arial" w:cs="Arial" w:eastAsia="Arial" w:hAnsi="Arial"/>
          <w:sz w:val="19"/>
          <w:szCs w:val="19"/>
          <w:color w:val="auto"/>
        </w:rPr>
      </w:pPr>
    </w:p>
    <w:p>
      <w:pPr>
        <w:ind w:left="320" w:hanging="312"/>
        <w:spacing w:after="0" w:line="230"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revenues related to mobile camps for the periods presented.</w:t>
      </w:r>
    </w:p>
    <w:p>
      <w:pPr>
        <w:ind w:left="320" w:hanging="312"/>
        <w:spacing w:after="0"/>
        <w:tabs>
          <w:tab w:leader="none" w:pos="32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Includes revenues related to food service, laundry and water and wastewater treatment services for the periods presented.</w:t>
      </w:r>
    </w:p>
    <w:p>
      <w:pPr>
        <w:spacing w:after="0" w:line="24" w:lineRule="exact"/>
        <w:rPr>
          <w:rFonts w:ascii="Arial" w:cs="Arial" w:eastAsia="Arial" w:hAnsi="Arial"/>
          <w:sz w:val="19"/>
          <w:szCs w:val="19"/>
          <w:color w:val="auto"/>
        </w:rPr>
      </w:pPr>
    </w:p>
    <w:p>
      <w:pPr>
        <w:ind w:left="320" w:hanging="312"/>
        <w:spacing w:after="0" w:line="230"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revenues related to modular construction and offshore manufacturing services for the periods presented.</w:t>
      </w:r>
    </w:p>
    <w:p>
      <w:pPr>
        <w:ind w:left="320" w:hanging="312"/>
        <w:spacing w:after="0" w:line="230"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daily rate is based on billed rooms and accommodation revenue.</w:t>
      </w: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Billed rooms represents total billed days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Executive Vice President &amp;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Jeffrey Spittel</w:t>
      </w:r>
    </w:p>
    <w:p>
      <w:pPr>
        <w:spacing w:after="0" w:line="238" w:lineRule="auto"/>
        <w:rPr>
          <w:sz w:val="20"/>
          <w:szCs w:val="20"/>
          <w:color w:val="auto"/>
        </w:rPr>
      </w:pPr>
      <w:r>
        <w:rPr>
          <w:rFonts w:ascii="Arial" w:cs="Arial" w:eastAsia="Arial" w:hAnsi="Arial"/>
          <w:sz w:val="22"/>
          <w:szCs w:val="22"/>
          <w:color w:val="auto"/>
        </w:rPr>
        <w:t>FTI Consulting</w:t>
      </w:r>
    </w:p>
    <w:p>
      <w:pPr>
        <w:spacing w:after="0"/>
        <w:rPr>
          <w:sz w:val="20"/>
          <w:szCs w:val="20"/>
          <w:color w:val="auto"/>
        </w:rPr>
      </w:pPr>
      <w:r>
        <w:rPr>
          <w:rFonts w:ascii="Arial" w:cs="Arial" w:eastAsia="Arial" w:hAnsi="Arial"/>
          <w:sz w:val="22"/>
          <w:szCs w:val="22"/>
          <w:color w:val="auto"/>
        </w:rPr>
        <w:t>713-353-5407</w:t>
      </w:r>
    </w:p>
    <w:p>
      <w:pPr>
        <w:sectPr>
          <w:pgSz w:w="11900" w:h="16838" w:orient="portrait"/>
          <w:cols w:equalWidth="0" w:num="1">
            <w:col w:w="11420"/>
          </w:cols>
          <w:pgMar w:left="240" w:top="112" w:right="239" w:bottom="272"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2"/>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2019-12-28T13:34:44Z</dcterms:created>
  <dcterms:modified xsi:type="dcterms:W3CDTF">2019-12-28T13:34:44Z</dcterms:modified>
</cp:coreProperties>
</file>