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19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1937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MOORE CONSTANCE B</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Civeo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CVEO</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05/30/2014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77002</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ind w:left="6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3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760"/>
              <w:spacing w:after="0"/>
              <w:rPr>
                <w:sz w:val="20"/>
                <w:szCs w:val="20"/>
                <w:color w:val="auto"/>
              </w:rPr>
            </w:pPr>
            <w:r>
              <w:rPr>
                <w:rFonts w:ascii="Arial" w:cs="Arial" w:eastAsia="Arial" w:hAnsi="Arial"/>
                <w:sz w:val="18"/>
                <w:szCs w:val="18"/>
                <w:color w:val="0000FF"/>
              </w:rPr>
              <w:t>05/30/2014</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60" w:type="dxa"/>
            <w:vAlign w:val="bottom"/>
            <w:tcBorders>
              <w:bottom w:val="single" w:sz="8" w:color="2C2C2C"/>
            </w:tcBorders>
          </w:tcPr>
          <w:p>
            <w:pPr>
              <w:jc w:val="center"/>
              <w:ind w:left="129"/>
              <w:spacing w:after="0"/>
              <w:rPr>
                <w:sz w:val="20"/>
                <w:szCs w:val="20"/>
                <w:color w:val="auto"/>
              </w:rPr>
            </w:pPr>
            <w:r>
              <w:rPr>
                <w:rFonts w:ascii="Arial" w:cs="Arial" w:eastAsia="Arial" w:hAnsi="Arial"/>
                <w:sz w:val="18"/>
                <w:szCs w:val="18"/>
                <w:color w:val="0000FF"/>
                <w:w w:val="82"/>
              </w:rPr>
              <w:t>5,421</w:t>
            </w:r>
            <w:r>
              <w:rPr>
                <w:rFonts w:ascii="Arial" w:cs="Arial" w:eastAsia="Arial" w:hAnsi="Arial"/>
                <w:sz w:val="22"/>
                <w:szCs w:val="22"/>
                <w:color w:val="008000"/>
                <w:w w:val="82"/>
                <w:vertAlign w:val="superscript"/>
              </w:rPr>
              <w:t>(1)</w:t>
            </w:r>
          </w:p>
        </w:tc>
        <w:tc>
          <w:tcPr>
            <w:tcW w:w="3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ind w:right="312"/>
              <w:spacing w:after="0"/>
              <w:rPr>
                <w:sz w:val="20"/>
                <w:szCs w:val="20"/>
                <w:color w:val="auto"/>
              </w:rPr>
            </w:pPr>
            <w:r>
              <w:rPr>
                <w:rFonts w:ascii="Arial" w:cs="Arial" w:eastAsia="Arial" w:hAnsi="Arial"/>
                <w:sz w:val="18"/>
                <w:szCs w:val="18"/>
                <w:color w:val="0000FF"/>
                <w:w w:val="88"/>
              </w:rPr>
              <w:t>5,421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760"/>
              <w:spacing w:after="0"/>
              <w:rPr>
                <w:sz w:val="20"/>
                <w:szCs w:val="20"/>
                <w:color w:val="auto"/>
              </w:rPr>
            </w:pPr>
            <w:r>
              <w:rPr>
                <w:rFonts w:ascii="Arial" w:cs="Arial" w:eastAsia="Arial" w:hAnsi="Arial"/>
                <w:sz w:val="18"/>
                <w:szCs w:val="18"/>
                <w:color w:val="0000FF"/>
              </w:rPr>
              <w:t>06/02/2014</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P</w:t>
            </w:r>
          </w:p>
        </w:tc>
        <w:tc>
          <w:tcPr>
            <w:tcW w:w="1060" w:type="dxa"/>
            <w:vAlign w:val="bottom"/>
            <w:tcBorders>
              <w:bottom w:val="single" w:sz="8" w:color="2C2C2C"/>
            </w:tcBorders>
            <w:gridSpan w:val="2"/>
          </w:tcPr>
          <w:p>
            <w:pPr>
              <w:jc w:val="center"/>
              <w:ind w:right="59"/>
              <w:spacing w:after="0"/>
              <w:rPr>
                <w:sz w:val="20"/>
                <w:szCs w:val="20"/>
                <w:color w:val="auto"/>
              </w:rPr>
            </w:pPr>
            <w:r>
              <w:rPr>
                <w:rFonts w:ascii="Arial" w:cs="Arial" w:eastAsia="Arial" w:hAnsi="Arial"/>
                <w:sz w:val="18"/>
                <w:szCs w:val="18"/>
                <w:color w:val="0000FF"/>
                <w:w w:val="84"/>
              </w:rPr>
              <w:t>10,000</w:t>
            </w:r>
            <w:r>
              <w:rPr>
                <w:rFonts w:ascii="Arial" w:cs="Arial" w:eastAsia="Arial" w:hAnsi="Arial"/>
                <w:sz w:val="22"/>
                <w:szCs w:val="22"/>
                <w:color w:val="008000"/>
                <w:w w:val="84"/>
                <w:vertAlign w:val="superscript"/>
              </w:rPr>
              <w:t>(2)</w:t>
            </w:r>
          </w:p>
        </w:tc>
        <w:tc>
          <w:tcPr>
            <w:tcW w:w="3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23.09</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ind w:right="312"/>
              <w:spacing w:after="0"/>
              <w:rPr>
                <w:sz w:val="20"/>
                <w:szCs w:val="20"/>
                <w:color w:val="auto"/>
              </w:rPr>
            </w:pPr>
            <w:r>
              <w:rPr>
                <w:rFonts w:ascii="Arial" w:cs="Arial" w:eastAsia="Arial" w:hAnsi="Arial"/>
                <w:sz w:val="18"/>
                <w:szCs w:val="18"/>
                <w:color w:val="0000FF"/>
                <w:w w:val="87"/>
              </w:rPr>
              <w:t>15,421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60" w:type="dxa"/>
            <w:vAlign w:val="bottom"/>
            <w:gridSpan w:val="2"/>
          </w:tcPr>
          <w:p>
            <w:pPr>
              <w:ind w:left="760"/>
              <w:spacing w:after="0"/>
              <w:rPr>
                <w:sz w:val="20"/>
                <w:szCs w:val="20"/>
                <w:color w:val="auto"/>
              </w:rPr>
            </w:pPr>
            <w:r>
              <w:rPr>
                <w:rFonts w:ascii="Arial" w:cs="Arial" w:eastAsia="Arial" w:hAnsi="Arial"/>
                <w:sz w:val="18"/>
                <w:szCs w:val="18"/>
                <w:color w:val="0000FF"/>
              </w:rPr>
              <w:t>06/02/2014</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ind w:left="200"/>
              <w:spacing w:after="0"/>
              <w:rPr>
                <w:sz w:val="20"/>
                <w:szCs w:val="20"/>
                <w:color w:val="auto"/>
              </w:rPr>
            </w:pPr>
            <w:r>
              <w:rPr>
                <w:rFonts w:ascii="Arial" w:cs="Arial" w:eastAsia="Arial" w:hAnsi="Arial"/>
                <w:sz w:val="14"/>
                <w:szCs w:val="14"/>
                <w:color w:val="0000FF"/>
              </w:rPr>
              <w:t>P</w:t>
            </w:r>
          </w:p>
        </w:tc>
        <w:tc>
          <w:tcPr>
            <w:tcW w:w="760" w:type="dxa"/>
            <w:vAlign w:val="bottom"/>
          </w:tcPr>
          <w:p>
            <w:pPr>
              <w:jc w:val="center"/>
              <w:ind w:left="109"/>
              <w:spacing w:after="0"/>
              <w:rPr>
                <w:sz w:val="20"/>
                <w:szCs w:val="20"/>
                <w:color w:val="auto"/>
              </w:rPr>
            </w:pPr>
            <w:r>
              <w:rPr>
                <w:rFonts w:ascii="Arial" w:cs="Arial" w:eastAsia="Arial" w:hAnsi="Arial"/>
                <w:sz w:val="18"/>
                <w:szCs w:val="18"/>
                <w:color w:val="0000FF"/>
                <w:w w:val="86"/>
              </w:rPr>
              <w:t>820</w:t>
            </w:r>
          </w:p>
        </w:tc>
        <w:tc>
          <w:tcPr>
            <w:tcW w:w="300" w:type="dxa"/>
            <w:vAlign w:val="bottom"/>
          </w:tcPr>
          <w:p>
            <w:pPr>
              <w:spacing w:after="0"/>
              <w:rPr>
                <w:sz w:val="23"/>
                <w:szCs w:val="23"/>
                <w:color w:val="auto"/>
              </w:rPr>
            </w:pPr>
          </w:p>
        </w:tc>
        <w:tc>
          <w:tcPr>
            <w:tcW w:w="380" w:type="dxa"/>
            <w:vAlign w:val="bottom"/>
          </w:tcPr>
          <w:p>
            <w:pPr>
              <w:ind w:left="40"/>
              <w:spacing w:after="0"/>
              <w:rPr>
                <w:sz w:val="20"/>
                <w:szCs w:val="20"/>
                <w:color w:val="auto"/>
              </w:rPr>
            </w:pPr>
            <w:r>
              <w:rPr>
                <w:rFonts w:ascii="Arial" w:cs="Arial" w:eastAsia="Arial" w:hAnsi="Arial"/>
                <w:sz w:val="18"/>
                <w:szCs w:val="18"/>
                <w:color w:val="0000FF"/>
              </w:rPr>
              <w:t>A</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23.5</w:t>
            </w:r>
          </w:p>
        </w:tc>
        <w:tc>
          <w:tcPr>
            <w:tcW w:w="340" w:type="dxa"/>
            <w:vAlign w:val="bottom"/>
          </w:tcPr>
          <w:p>
            <w:pPr>
              <w:spacing w:after="0"/>
              <w:rPr>
                <w:sz w:val="23"/>
                <w:szCs w:val="23"/>
                <w:color w:val="auto"/>
              </w:rPr>
            </w:pPr>
          </w:p>
        </w:tc>
        <w:tc>
          <w:tcPr>
            <w:tcW w:w="900" w:type="dxa"/>
            <w:vAlign w:val="bottom"/>
          </w:tcPr>
          <w:p>
            <w:pPr>
              <w:jc w:val="center"/>
              <w:ind w:right="312"/>
              <w:spacing w:after="0"/>
              <w:rPr>
                <w:sz w:val="20"/>
                <w:szCs w:val="20"/>
                <w:color w:val="auto"/>
              </w:rPr>
            </w:pPr>
            <w:r>
              <w:rPr>
                <w:rFonts w:ascii="Arial" w:cs="Arial" w:eastAsia="Arial" w:hAnsi="Arial"/>
                <w:sz w:val="18"/>
                <w:szCs w:val="18"/>
                <w:color w:val="0000FF"/>
                <w:w w:val="87"/>
              </w:rPr>
              <w:t>16,241</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6"/>
          </w:tcPr>
          <w:p>
            <w:pPr>
              <w:spacing w:after="0"/>
              <w:rPr>
                <w:sz w:val="8"/>
                <w:szCs w:val="8"/>
                <w:color w:val="auto"/>
              </w:rPr>
            </w:pPr>
          </w:p>
        </w:tc>
        <w:tc>
          <w:tcPr>
            <w:tcW w:w="2580" w:type="dxa"/>
            <w:vAlign w:val="bottom"/>
            <w:tcBorders>
              <w:bottom w:val="single" w:sz="8" w:color="2C2C2C"/>
            </w:tcBorders>
            <w:gridSpan w:val="5"/>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11"/>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gridSpan w:val="3"/>
          </w:tcPr>
          <w:p>
            <w:pPr>
              <w:ind w:left="16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gridSpan w:val="3"/>
          </w:tcPr>
          <w:p>
            <w:pPr>
              <w:ind w:left="16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300" w:type="dxa"/>
            <w:vAlign w:val="bottom"/>
          </w:tcPr>
          <w:p>
            <w:pPr>
              <w:spacing w:after="0"/>
              <w:rPr>
                <w:sz w:val="11"/>
                <w:szCs w:val="11"/>
                <w:color w:val="auto"/>
              </w:rPr>
            </w:pP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1040" w:type="dxa"/>
            <w:vAlign w:val="bottom"/>
            <w:gridSpan w:val="3"/>
          </w:tcPr>
          <w:p>
            <w:pPr>
              <w:ind w:left="160"/>
              <w:spacing w:after="0"/>
              <w:rPr>
                <w:sz w:val="20"/>
                <w:szCs w:val="20"/>
                <w:color w:val="auto"/>
              </w:rPr>
            </w:pPr>
            <w:r>
              <w:rPr>
                <w:rFonts w:ascii="Arial" w:cs="Arial" w:eastAsia="Arial" w:hAnsi="Arial"/>
                <w:sz w:val="12"/>
                <w:szCs w:val="12"/>
                <w:b w:val="1"/>
                <w:bCs w:val="1"/>
                <w:color w:val="auto"/>
              </w:rPr>
              <w:t>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Restricted common stock award under the 2014 Equity Participation Plan of Civeo Corporation that vests on the earlier of one year from May 30, 2014 or the next annual stockholders' meeting date.</w:t>
      </w:r>
    </w:p>
    <w:p>
      <w:pPr>
        <w:spacing w:after="0" w:line="64" w:lineRule="exact"/>
        <w:rPr>
          <w:rFonts w:ascii="Arial" w:cs="Arial" w:eastAsia="Arial" w:hAnsi="Arial"/>
          <w:sz w:val="12"/>
          <w:szCs w:val="12"/>
          <w:color w:val="008000"/>
        </w:rPr>
      </w:pPr>
    </w:p>
    <w:p>
      <w:pPr>
        <w:ind w:left="40" w:right="3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ranging from $23.05 to $23.15, inclusive. The reporting person undertakes to provide to the Issuer, any securityholder of the Issuer or the staff of the Securities and Exchange Commission, upon request, full information regarding the number of shares sold at each separate price within the range set forth in this footnote.</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Constance B. Moore,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2198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1983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Bradley J. Dodson, as</w:t>
      </w:r>
      <w:r>
        <w:rPr>
          <w:sz w:val="20"/>
          <w:szCs w:val="20"/>
          <w:color w:val="auto"/>
        </w:rPr>
        <w:tab/>
      </w:r>
      <w:r>
        <w:rPr>
          <w:rFonts w:ascii="Arial" w:cs="Arial" w:eastAsia="Arial" w:hAnsi="Arial"/>
          <w:sz w:val="15"/>
          <w:szCs w:val="15"/>
          <w:color w:val="0000FF"/>
        </w:rPr>
        <w:t>06/03/2014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7493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4930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09220"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2019-12-18T15:18:17Z</dcterms:created>
  <dcterms:modified xsi:type="dcterms:W3CDTF">2019-12-18T15:18:17Z</dcterms:modified>
</cp:coreProperties>
</file>