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10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1073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Dodson Bradley J</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02/21/2017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1" w:lineRule="exact"/>
        <w:rPr>
          <w:sz w:val="24"/>
          <w:szCs w:val="24"/>
          <w:color w:val="auto"/>
        </w:rPr>
      </w:pPr>
    </w:p>
    <w:tbl>
      <w:tblPr>
        <w:tblLayout w:type="fixed"/>
        <w:tblInd w:w="210"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90"/>
        <w:spacing w:after="0"/>
        <w:rPr>
          <w:sz w:val="20"/>
          <w:szCs w:val="20"/>
          <w:color w:val="auto"/>
        </w:rPr>
      </w:pPr>
      <w:r>
        <w:rPr>
          <w:rFonts w:ascii="Arial" w:cs="Arial" w:eastAsia="Arial" w:hAnsi="Arial"/>
          <w:sz w:val="17"/>
          <w:szCs w:val="17"/>
          <w:color w:val="0000FF"/>
        </w:rPr>
        <w:t>See Remarks</w:t>
      </w:r>
    </w:p>
    <w:p>
      <w:pPr>
        <w:spacing w:after="0" w:line="266"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3880" w:type="dxa"/>
            <w:vAlign w:val="bottom"/>
            <w:gridSpan w:val="8"/>
            <w:vMerge w:val="restart"/>
          </w:tcPr>
          <w:p>
            <w:pPr>
              <w:jc w:val="center"/>
              <w:ind w:right="112"/>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40" w:type="dxa"/>
            <w:vAlign w:val="bottom"/>
          </w:tcPr>
          <w:p>
            <w:pPr>
              <w:ind w:left="60"/>
              <w:spacing w:after="0"/>
              <w:rPr>
                <w:sz w:val="20"/>
                <w:szCs w:val="20"/>
                <w:color w:val="auto"/>
              </w:rPr>
            </w:pPr>
            <w:r>
              <w:rPr>
                <w:rFonts w:ascii="Arial" w:cs="Arial" w:eastAsia="Arial" w:hAnsi="Arial"/>
                <w:sz w:val="17"/>
                <w:szCs w:val="17"/>
                <w:color w:val="0000FF"/>
              </w:rPr>
              <w:t>77002</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gridSpan w:val="2"/>
          </w:tcPr>
          <w:p>
            <w:pPr>
              <w:ind w:left="48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1"/>
                <w:szCs w:val="21"/>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Share</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02/21/2017</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181,336</w:t>
            </w:r>
            <w:r>
              <w:rPr>
                <w:rFonts w:ascii="Arial" w:cs="Arial" w:eastAsia="Arial" w:hAnsi="Arial"/>
                <w:sz w:val="22"/>
                <w:szCs w:val="22"/>
                <w:color w:val="008000"/>
                <w:w w:val="85"/>
                <w:vertAlign w:val="superscript"/>
              </w:rPr>
              <w:t>(1)</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596,785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2"/>
          </w:tcPr>
          <w:p>
            <w:pPr>
              <w:jc w:val="center"/>
              <w:ind w:left="43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ind w:left="360"/>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21"/>
                <w:szCs w:val="21"/>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02/21/2017</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A</w:t>
            </w:r>
          </w:p>
        </w:tc>
        <w:tc>
          <w:tcPr>
            <w:tcW w:w="740" w:type="dxa"/>
            <w:vAlign w:val="bottom"/>
          </w:tcPr>
          <w:p>
            <w:pPr>
              <w:ind w:left="140"/>
              <w:spacing w:after="0"/>
              <w:rPr>
                <w:sz w:val="20"/>
                <w:szCs w:val="20"/>
                <w:color w:val="auto"/>
              </w:rPr>
            </w:pPr>
            <w:r>
              <w:rPr>
                <w:rFonts w:ascii="Arial" w:cs="Arial" w:eastAsia="Arial" w:hAnsi="Arial"/>
                <w:sz w:val="13"/>
                <w:szCs w:val="13"/>
                <w:color w:val="0000FF"/>
              </w:rPr>
              <w:t>60,445</w:t>
            </w:r>
            <w:r>
              <w:rPr>
                <w:rFonts w:ascii="Arial" w:cs="Arial" w:eastAsia="Arial" w:hAnsi="Arial"/>
                <w:sz w:val="22"/>
                <w:szCs w:val="22"/>
                <w:color w:val="008000"/>
                <w:vertAlign w:val="superscript"/>
              </w:rPr>
              <w:t>(2)</w:t>
            </w:r>
          </w:p>
        </w:tc>
        <w:tc>
          <w:tcPr>
            <w:tcW w:w="300" w:type="dxa"/>
            <w:vAlign w:val="bottom"/>
          </w:tcPr>
          <w:p>
            <w:pPr>
              <w:spacing w:after="0"/>
              <w:rPr>
                <w:sz w:val="21"/>
                <w:szCs w:val="21"/>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00" w:type="dxa"/>
            <w:vAlign w:val="bottom"/>
          </w:tcPr>
          <w:p>
            <w:pPr>
              <w:ind w:left="280"/>
              <w:spacing w:after="0"/>
              <w:rPr>
                <w:sz w:val="20"/>
                <w:szCs w:val="20"/>
                <w:color w:val="auto"/>
              </w:rPr>
            </w:pPr>
            <w:r>
              <w:rPr>
                <w:rFonts w:ascii="Arial" w:cs="Arial" w:eastAsia="Arial" w:hAnsi="Arial"/>
                <w:sz w:val="11"/>
                <w:szCs w:val="11"/>
                <w:color w:val="008000"/>
              </w:rPr>
              <w:t>(2)</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60,445</w:t>
            </w:r>
          </w:p>
        </w:tc>
        <w:tc>
          <w:tcPr>
            <w:tcW w:w="80" w:type="dxa"/>
            <w:vAlign w:val="bottom"/>
          </w:tcPr>
          <w:p>
            <w:pPr>
              <w:spacing w:after="0"/>
              <w:rPr>
                <w:sz w:val="21"/>
                <w:szCs w:val="21"/>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60,445</w:t>
            </w:r>
          </w:p>
        </w:tc>
        <w:tc>
          <w:tcPr>
            <w:tcW w:w="300" w:type="dxa"/>
            <w:vAlign w:val="bottom"/>
          </w:tcPr>
          <w:p>
            <w:pPr>
              <w:spacing w:after="0"/>
              <w:rPr>
                <w:sz w:val="21"/>
                <w:szCs w:val="21"/>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Share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common share award under the 2014 Equity Participation Plan of Civeo Corporation that vests in equal installments on each of the first three anniversaries of February 21, 2017.</w:t>
      </w:r>
    </w:p>
    <w:p>
      <w:pPr>
        <w:spacing w:after="0" w:line="49" w:lineRule="exact"/>
        <w:rPr>
          <w:rFonts w:ascii="Arial" w:cs="Arial" w:eastAsia="Arial" w:hAnsi="Arial"/>
          <w:sz w:val="13"/>
          <w:szCs w:val="13"/>
          <w:color w:val="008000"/>
        </w:rPr>
      </w:pPr>
    </w:p>
    <w:p>
      <w:pPr>
        <w:ind w:left="40" w:right="50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 award under the 2014 Equity Participation Plan of Civeo Corporation that vests in equal installments on each of the first three anniversaries of February 21, 2017. Each phantom share is the economic equivalent of one Civeo Corporation common share and is payable in cash.</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and Chief Executive Officer</w:t>
      </w:r>
    </w:p>
    <w:p>
      <w:pPr>
        <w:spacing w:after="0" w:line="6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Bradley J. Dodson</w:t>
            </w:r>
          </w:p>
        </w:tc>
        <w:tc>
          <w:tcPr>
            <w:tcW w:w="8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02/23/2017</w:t>
            </w:r>
          </w:p>
        </w:tc>
      </w:tr>
      <w:tr>
        <w:trPr>
          <w:trHeight w:val="232"/>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397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2019-12-24T07:15:57Z</dcterms:created>
  <dcterms:modified xsi:type="dcterms:W3CDTF">2019-12-24T07:15:57Z</dcterms:modified>
</cp:coreProperties>
</file>