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October 31,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31, 2018, Civeo Corporation (“Civeo”) issued a press release announcing its financial condition and results of operations as of and for the quarter ended September 30, 2018. A copy of the press release is furnished as Exhibit 99.1 to this report on Form 8-K, and is incorporated herein by reference.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0" w:type="dxa"/>
            <w:vAlign w:val="bottom"/>
            <w:gridSpan w:val="2"/>
          </w:tcPr>
          <w:p>
            <w:pPr>
              <w:spacing w:after="0" w:line="190" w:lineRule="exact"/>
              <w:rPr>
                <w:sz w:val="20"/>
                <w:szCs w:val="20"/>
                <w:color w:val="auto"/>
              </w:rPr>
            </w:pPr>
            <w:r>
              <w:rPr>
                <w:rFonts w:ascii="Arial" w:cs="Arial" w:eastAsia="Arial" w:hAnsi="Arial"/>
                <w:sz w:val="18"/>
                <w:szCs w:val="18"/>
                <w:color w:val="auto"/>
                <w:w w:val="90"/>
              </w:rPr>
              <w:t>Number</w:t>
            </w:r>
          </w:p>
        </w:tc>
        <w:tc>
          <w:tcPr>
            <w:tcW w:w="380" w:type="dxa"/>
            <w:vAlign w:val="bottom"/>
          </w:tcPr>
          <w:p>
            <w:pPr>
              <w:spacing w:after="0"/>
              <w:rPr>
                <w:sz w:val="16"/>
                <w:szCs w:val="16"/>
                <w:color w:val="auto"/>
              </w:rPr>
            </w:pPr>
          </w:p>
        </w:tc>
        <w:tc>
          <w:tcPr>
            <w:tcW w:w="10420" w:type="dxa"/>
            <w:vAlign w:val="bottom"/>
            <w:gridSpan w:val="3"/>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80" w:type="dxa"/>
            <w:vAlign w:val="bottom"/>
          </w:tcPr>
          <w:p>
            <w:pPr>
              <w:spacing w:after="0"/>
              <w:rPr>
                <w:sz w:val="24"/>
                <w:szCs w:val="24"/>
                <w:color w:val="auto"/>
              </w:rPr>
            </w:pPr>
          </w:p>
        </w:tc>
        <w:tc>
          <w:tcPr>
            <w:tcW w:w="104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31, 2018</w:t>
              </w:r>
            </w:hyperlink>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1820" w:type="dxa"/>
            <w:vAlign w:val="bottom"/>
            <w:tcBorders>
              <w:top w:val="single" w:sz="8" w:color="0000EE"/>
              <w:bottom w:val="single" w:sz="8" w:color="808080"/>
            </w:tcBorders>
          </w:tcPr>
          <w:p>
            <w:pPr>
              <w:spacing w:after="0"/>
              <w:rPr>
                <w:sz w:val="22"/>
                <w:szCs w:val="22"/>
                <w:color w:val="auto"/>
              </w:rPr>
            </w:pPr>
          </w:p>
        </w:tc>
        <w:tc>
          <w:tcPr>
            <w:tcW w:w="900" w:type="dxa"/>
            <w:vAlign w:val="bottom"/>
            <w:tcBorders>
              <w:top w:val="single" w:sz="8" w:color="0000EE"/>
              <w:bottom w:val="single" w:sz="8" w:color="808080"/>
            </w:tcBorders>
          </w:tcPr>
          <w:p>
            <w:pPr>
              <w:spacing w:after="0"/>
              <w:rPr>
                <w:sz w:val="22"/>
                <w:szCs w:val="22"/>
                <w:color w:val="auto"/>
              </w:rPr>
            </w:pPr>
          </w:p>
        </w:tc>
        <w:tc>
          <w:tcPr>
            <w:tcW w:w="770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240" w:type="dxa"/>
            <w:vAlign w:val="bottom"/>
            <w:gridSpan w:val="3"/>
          </w:tcPr>
          <w:p>
            <w:pPr>
              <w:ind w:left="19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October 31, 2018</w:t>
            </w:r>
          </w:p>
        </w:tc>
        <w:tc>
          <w:tcPr>
            <w:tcW w:w="5240" w:type="dxa"/>
            <w:vAlign w:val="bottom"/>
            <w:gridSpan w:val="3"/>
          </w:tcPr>
          <w:p>
            <w:pPr>
              <w:ind w:left="1920"/>
              <w:spacing w:after="0"/>
              <w:rPr>
                <w:sz w:val="20"/>
                <w:szCs w:val="20"/>
                <w:color w:val="auto"/>
              </w:rPr>
            </w:pPr>
            <w:r>
              <w:rPr>
                <w:rFonts w:ascii="Arial" w:cs="Arial" w:eastAsia="Arial" w:hAnsi="Arial"/>
                <w:sz w:val="18"/>
                <w:szCs w:val="18"/>
                <w:color w:val="auto"/>
              </w:rPr>
              <w:t>By: /s/ Frank C. Steininger</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96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w:t>
            </w: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Officer and Treasurer</w:t>
            </w:r>
          </w:p>
        </w:tc>
      </w:tr>
    </w:tbl>
    <w:p>
      <w:pPr>
        <w:sectPr>
          <w:pgSz w:w="11900" w:h="16838" w:orient="portrait"/>
          <w:cols w:equalWidth="0" w:num="1">
            <w:col w:w="11220"/>
          </w:cols>
          <w:pgMar w:left="240" w:top="337"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Civeo Reports Third Quarter 2018 Results and Announces Initial Room Commitments at Sitka Lodge in Kitimat, B.C.</w:t>
      </w:r>
    </w:p>
    <w:p>
      <w:pPr>
        <w:spacing w:after="0" w:line="247" w:lineRule="exact"/>
        <w:rPr>
          <w:sz w:val="20"/>
          <w:szCs w:val="20"/>
          <w:color w:val="auto"/>
        </w:rPr>
      </w:pPr>
    </w:p>
    <w:p>
      <w:pPr>
        <w:ind w:right="60"/>
        <w:spacing w:after="0"/>
        <w:rPr>
          <w:sz w:val="20"/>
          <w:szCs w:val="20"/>
          <w:color w:val="auto"/>
        </w:rPr>
      </w:pPr>
      <w:r>
        <w:rPr>
          <w:rFonts w:ascii="Arial" w:cs="Arial" w:eastAsia="Arial" w:hAnsi="Arial"/>
          <w:sz w:val="22"/>
          <w:szCs w:val="22"/>
          <w:color w:val="auto"/>
        </w:rPr>
        <w:t>HOUSTON and CALGARY, Alberta, Oct. 31, 2018 (GLOBE NEWSWIRE) -- Civeo Corporation (NYSE:CVEO) today reported financial and operating results for the third quarter ended September 30, 2018 and announced initial room commitments at its Sitka Lodge.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third quarter revenues of $120.5 million, an increase from $97.5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Generated $11.9 million in operating cash flow and $9.8 million in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180"/>
        <w:spacing w:after="0" w:line="258" w:lineRule="auto"/>
        <w:rPr>
          <w:sz w:val="20"/>
          <w:szCs w:val="20"/>
          <w:color w:val="auto"/>
        </w:rPr>
      </w:pPr>
      <w:r>
        <w:rPr>
          <w:rFonts w:ascii="Arial" w:cs="Arial" w:eastAsia="Arial" w:hAnsi="Arial"/>
          <w:sz w:val="21"/>
          <w:szCs w:val="21"/>
          <w:color w:val="auto"/>
        </w:rPr>
        <w:t>Room commitments from the Coastal GasLink Pipeline Project (“CGL”) and LNG Canada’s Engineering, Procurement and Construction firm (“EPC”) at the Sitka Lodge, contingent on Notice To Proceed (“NTP”), which is expected shortly, anticipated to generate approximately C$55 million in total revenues over 2018-2020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ind w:left="540" w:right="400"/>
        <w:spacing w:after="0"/>
        <w:rPr>
          <w:sz w:val="20"/>
          <w:szCs w:val="20"/>
          <w:color w:val="auto"/>
        </w:rPr>
      </w:pPr>
      <w:r>
        <w:rPr>
          <w:rFonts w:ascii="Arial" w:cs="Arial" w:eastAsia="Arial" w:hAnsi="Arial"/>
          <w:sz w:val="22"/>
          <w:szCs w:val="22"/>
          <w:color w:val="auto"/>
        </w:rPr>
        <w:t>Announced completion of an amendment to its credit facility to, among other things, change certain of the financial covenants to provide greater flexibility and capital availability heading into early 2019 in anticipation of capital spending related to the LNG Canada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“In the third quarter, we generated solid results from our Australian and U.S. segments. In Australia, steady commodity price fundamentals drove sequential improvement in revenue and Adjusted EBITDA. Our U.S. segment, aided by the geographic reallocation of our wellsite assets and robust drilling and completion activity in the Permian and Mid-Con basins, delivered strong EBITDA in the third quarter. Our Canadian third quarter results were negatively impacted by overlapping turnaround schedules between two customers, reduced operations related room demand from a customer production outage and maintenance-related operational issues. However, we were pleased to win the room commitments for our Sitka Lodge,” stated Bradley J. Dodson, President and Chief Executive Officer.</w:t>
      </w:r>
    </w:p>
    <w:p>
      <w:pPr>
        <w:spacing w:after="0" w:line="178"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“Additionally, the Noralta acquisition in Canada continues to drive year-over-year growth in our business. We have completed the integration of Noralta and remain on track to generate C$10 million in annualized synergies by the end of the year. We have also amended our credit facility to provide our business more flexibility to capitalize on growth opportunities in 2019 and 2020.”</w:t>
      </w:r>
    </w:p>
    <w:p>
      <w:pPr>
        <w:spacing w:after="0" w:line="134"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Mr. Dodson concluded, “We are confident in the health of our business and believe we will continue to generate free cash flow, provide best in class service for our customers, and create value for all our stakeholders.”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2018 Results</w:t>
      </w:r>
    </w:p>
    <w:p>
      <w:pPr>
        <w:spacing w:after="0" w:line="20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In the third quarter of 2018, Civeo generated revenues of $120.5 million and reported net loss of $14.3 million, or $0.09 per share, which includes roughly $2 million in fees associated with third party consulting to support strategic projects. During the third quarter of 2018, Civeo produced operating cash flow of $11.9 million, Adjusted EBITDA of $22.4 million and free cash flow of $9.8 million.</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(EBITDA is a non-GAAP financial measure that is defined as net income (loss) attributable to Civeo plus interest, taxes, depreciation and amortization, and Adjusted EBITDA is defined as EBITDA adjusted to exclude impairment charges and Noralta transaction costs.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By comparison, in the third quarter of 2017, Civeo generated revenues of $97.5 million and reported a net loss of $22.3 million, or $0.17 per share. The loss included a $4.4 million pre-tax loss ($2.7 million after-tax, or $0.02 per diluted share) resulting from the impairment of open camp assets and land positions in the Company's Canadian segment. During the third quarter of 2017, Civeo generated operating cash flow of $31.1 million, Adjusted EBITDA of $16.1 million and free cash flow of $29.6 million.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Canadian LNG Award</w:t>
      </w:r>
    </w:p>
    <w:p>
      <w:pPr>
        <w:spacing w:after="0" w:line="206"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Civeo is pleased to announce today that it has been awarded an agreement with CGL and LNG Canada’s EPC firm to provide rooms and services from the Company’s existing Sitka accommodations facility, contingent on NTP, which is expected shortly. Civeo’s Sitka Lodge, located in Kitimat, British Columbia, has 646 rooms with plans to expand to 1,100 rooms to support these commitments.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These room commitments at Sitka are in addition to the previously announced four contracts totaling C$100 million of revenues for mobile camps supporting the CGL pipeline project. In accordance with this agreement, CGL will utilize the existing Civeo Sitka Lodge for accommodations required for the construction of the western most portion of the proposed natural gas pipeline, and LNG Canada’s EPC will utilize this lodge for the initial construction phases of the LNG Canada export facility. The awards cover expected room needs over the initial 18 month time period with a minimum room commitment and options for extension of up to 36 months. Expected revenues for these commitments are estimated to be approximately C$55 million over the initial 18 months.</w:t>
      </w:r>
    </w:p>
    <w:p>
      <w:pPr>
        <w:sectPr>
          <w:pgSz w:w="11900" w:h="16838" w:orient="portrait"/>
          <w:cols w:equalWidth="0" w:num="1">
            <w:col w:w="11420"/>
          </w:cols>
          <w:pgMar w:left="240" w:top="112" w:right="239" w:bottom="0" w:gutter="0" w:footer="0" w:header="0"/>
        </w:sectPr>
      </w:pPr>
    </w:p>
    <w:bookmarkStart w:id="4" w:name="page5"/>
    <w:bookmarkEnd w:id="4"/>
    <w:p>
      <w:pPr>
        <w:ind w:right="80"/>
        <w:spacing w:after="0" w:line="251" w:lineRule="auto"/>
        <w:rPr>
          <w:sz w:val="20"/>
          <w:szCs w:val="20"/>
          <w:color w:val="auto"/>
        </w:rPr>
      </w:pPr>
      <w:r>
        <w:rPr>
          <w:rFonts w:ascii="Arial" w:cs="Arial" w:eastAsia="Arial" w:hAnsi="Arial"/>
          <w:sz w:val="22"/>
          <w:szCs w:val="22"/>
          <w:color w:val="auto"/>
        </w:rPr>
        <w:t>Civeo will partner with the local First Nation community at Sitka Lodge to supply the accommodation needs during the term of the agreements.</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Mr. Dodson stated “We are delighted to confirm the formalization of the agreement with CGL and LNG Canada’s EPC, further solidifying our position as the partner of choice for workforce accommodation solutions in this region, and we expect to secure more room commitments for Sitka Lodge. In conjunction with our First Nation partners, we look forward to delivering best-in-class accommodations on this exciting LNG project.”</w:t>
      </w:r>
    </w:p>
    <w:p>
      <w:pPr>
        <w:spacing w:after="0" w:line="185"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Civeo expects to spend approximately C$15 million in capital to expand the Sitka Lodge to 1,100 rooms, in addition to the previously announced C$10 million of capital related to the four mobile camp contracts supporting the CGL pipeline project.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(Unless otherwise noted, the following discussion compares the quarterly results for the third quarter of 2018 to the results for the third quarter of 2017. The Adjusted EBITDA amounts discussed below exclude the fixed asset impairment and Noralta-related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During the third quarter of 2018, the Canadian segment generated revenues of $76.8 million, operating loss of $7.1 million and Adjusted EBITDA of $16.5 million, compared to revenues of $63.8 million, operating loss of $11.7 million and Adjusted EBITDA of $15.6 million for the third quarter of 2017. The third quarter of 2018 results reflect the weakening of the Canadian dollar relative to the U.S. dollar, which decreased revenues by $3.4 million. On a constant currency basis, revenues increased $16.3 million due to the Noralta acquisition, partially offset by the inability to accommodate two turnaround customers simultaneously, as well as the closure of a lodge for maintenance-related operational issues.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Revenue for the Australian segment was $31.1 million, operating income was $0.5 million and Adjusted EBITDA was $12.4 million in the third quarter of 2018, compared to revenues of $27.5 million, operating loss of $3.7 million and Adjusted EBITDA of $9.7 million in the third quarter of 2017. The third quarter of 2018 results reflect the weakening of the Australian dollar relative to the U.S. dollar, which decreased revenues by $2.5 million and Adjusted EBITDA by $1.0 million. On a constant currency basis, revenues increased $6.0 million due to increased occupancy across a majority of our villages as we continue to see activity strengthen in the mining sector.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The U.S. segment generated revenues of $12.6 million, operating loss of $1.3 million and Adjusted EBITDA of $2.4 million in the third quarter of 2018, compared to revenues of $6.1 million, operating loss of $3.9 million and an Adjusted EBITDA loss of $1.9 million in the third quarter of 2017. The revenue increase was primarily due to higher wellsite activity in the Permian and Mid-Con markets and the benefit of the lodge acquisition in Louisiana completed in February 2018.</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Civeo recognized an income tax benefit of $5.3 million, which resulted in an effective tax rate of 28.2% in the third quarter of 2018. During the third quarter of 2017, Civeo recognized an income tax benefit of $4.0 million, which resulted in an effective tax rate of 15.3%.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As of September 30, 2018, Civeo had total liquidity of approximately $44.4 million, consisting of $39.9 million available under its revolving credit facilities and $4.5 million of cash on hand.</w:t>
      </w:r>
    </w:p>
    <w:p>
      <w:pPr>
        <w:spacing w:after="0" w:line="17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Civeo announced today completion of an amendment to its credit facility to, among other things, change certain of the financial covenants to provide greater flexibility and capital availability heading into early 2019.</w:t>
      </w:r>
    </w:p>
    <w:p>
      <w:pPr>
        <w:spacing w:after="0" w:line="173"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Under the amended credit facility, Civeo's leverage ratio (Adjusted EBITDA to total debt) has a maximum of 4.5x in the fourth quarter of 2018 before stepping up to a maximum of 4.75x in the first quarter of 2019. From there, it steps down to 4.5x again in the second quarter of 2019, 4.0x in the third quarter of 2019 and 3.5x in the fourth quarter of 2019 and beyond. Amortization on the term loan facility was also increased from 10% per annum to 12.5% per annum beginning at December 31, 2018 through maturity.</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Civeo’s total debt outstanding at September 30, 2018 was $423.1 million, a $7.1 million decrease since June 30, 2018. The decrease resulted largely from repayments of $13.8 million made with cash flow generated by the business, offset by a translation adjustment.</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During the third quarter of 2018, Civeo invested $2.7 million in capital expenditures, up from $2.0 million during the third quarter of 2017. Capital expenditures for both periods were primarily for routine maintenance.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and Full Year 2018 Guidance</w:t>
      </w:r>
    </w:p>
    <w:p>
      <w:pPr>
        <w:sectPr>
          <w:pgSz w:w="11900" w:h="16838" w:orient="portrait"/>
          <w:cols w:equalWidth="0" w:num="1">
            <w:col w:w="11420"/>
          </w:cols>
          <w:pgMar w:left="240" w:top="118" w:right="239" w:bottom="0" w:gutter="0" w:footer="0" w:header="0"/>
        </w:sectPr>
      </w:pPr>
    </w:p>
    <w:bookmarkStart w:id="5" w:name="page6"/>
    <w:bookmarkEnd w:id="5"/>
    <w:p>
      <w:pPr>
        <w:ind w:right="80"/>
        <w:spacing w:after="0" w:line="235" w:lineRule="auto"/>
        <w:rPr>
          <w:sz w:val="20"/>
          <w:szCs w:val="20"/>
          <w:color w:val="auto"/>
        </w:rPr>
      </w:pPr>
      <w:r>
        <w:rPr>
          <w:rFonts w:ascii="Arial" w:cs="Arial" w:eastAsia="Arial" w:hAnsi="Arial"/>
          <w:sz w:val="22"/>
          <w:szCs w:val="22"/>
          <w:color w:val="auto"/>
        </w:rPr>
        <w:t>Civeo continues to see less turnaround and pipeline related occupancy in Canada than originally expected. These conditions are likely to persist throughout the fourth quarter of 2018 and into the first quarter of 2019. On the conference call today, Civeo will provide a preliminary outlook of expected results for 2019. For the fourth quarter of 2018, Civeo expects revenues of $113 million to $119 million and EBITDA of $17 million to $20 million. For the full year of 2018, Civeo expects revenues of $466 million to $472 million and EBITDA of $74 million to $77 million. Civeo expects capital expenditures of approximately $15 to $20 million for the full year 2018.</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Civeo will host a conference call to discuss its third quarter 2018 financial results today at 11:00 a.m. Eastern time. This call is being webcast and can be accessed at Civeo's website at www.civeo.com Participants may also join the conference call by dialing (800)-239-9838 in the United States or (323)-794-2551 internationally and using the conference ID 6490112 . A replay will be available after the call by dialing (844) 512-2921 in the United States or (412) 317-6671 internationally and using the conference ID 6490112#.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operates a total of 30 lodges and villages in operation in Canada and Australia, with an aggregate of approximately 32,000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future plans, priorities and borrowing needs; growth opportunities; optimism about activity, market demand and commodity price environment in 2018; expected benefits of the agreement with CGL and LNG Canada’s EPC and fourth quarter and full year 2018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2017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820" w:type="dxa"/>
            <w:vAlign w:val="bottom"/>
          </w:tcPr>
          <w:p>
            <w:pPr>
              <w:spacing w:after="0"/>
              <w:rPr>
                <w:sz w:val="21"/>
                <w:szCs w:val="21"/>
                <w:color w:val="auto"/>
              </w:rPr>
            </w:pPr>
          </w:p>
        </w:tc>
        <w:tc>
          <w:tcPr>
            <w:tcW w:w="2780" w:type="dxa"/>
            <w:vAlign w:val="bottom"/>
            <w:gridSpan w:val="5"/>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200" w:type="dxa"/>
            <w:vAlign w:val="bottom"/>
          </w:tcPr>
          <w:p>
            <w:pPr>
              <w:spacing w:after="0"/>
              <w:rPr>
                <w:sz w:val="21"/>
                <w:szCs w:val="21"/>
                <w:color w:val="auto"/>
              </w:rPr>
            </w:pPr>
          </w:p>
        </w:tc>
        <w:tc>
          <w:tcPr>
            <w:tcW w:w="2600" w:type="dxa"/>
            <w:vAlign w:val="bottom"/>
            <w:gridSpan w:val="4"/>
          </w:tcPr>
          <w:p>
            <w:pPr>
              <w:jc w:val="right"/>
              <w:ind w:right="112"/>
              <w:spacing w:after="0"/>
              <w:rPr>
                <w:sz w:val="20"/>
                <w:szCs w:val="20"/>
                <w:color w:val="auto"/>
              </w:rPr>
            </w:pPr>
            <w:r>
              <w:rPr>
                <w:rFonts w:ascii="Arial" w:cs="Arial" w:eastAsia="Arial" w:hAnsi="Arial"/>
                <w:sz w:val="22"/>
                <w:szCs w:val="22"/>
                <w:b w:val="1"/>
                <w:bCs w:val="1"/>
                <w:color w:val="auto"/>
                <w:w w:val="99"/>
              </w:rPr>
              <w:t>NINE MONTHS ENDED</w:t>
            </w:r>
          </w:p>
        </w:tc>
      </w:tr>
      <w:tr>
        <w:trPr>
          <w:trHeight w:val="270"/>
        </w:trPr>
        <w:tc>
          <w:tcPr>
            <w:tcW w:w="5820" w:type="dxa"/>
            <w:vAlign w:val="bottom"/>
          </w:tcPr>
          <w:p>
            <w:pPr>
              <w:spacing w:after="0"/>
              <w:rPr>
                <w:sz w:val="23"/>
                <w:szCs w:val="23"/>
                <w:color w:val="auto"/>
              </w:rPr>
            </w:pPr>
          </w:p>
        </w:tc>
        <w:tc>
          <w:tcPr>
            <w:tcW w:w="2780" w:type="dxa"/>
            <w:vAlign w:val="bottom"/>
            <w:gridSpan w:val="5"/>
          </w:tcPr>
          <w:p>
            <w:pPr>
              <w:jc w:val="center"/>
              <w:ind w:right="80"/>
              <w:spacing w:after="0"/>
              <w:rPr>
                <w:sz w:val="20"/>
                <w:szCs w:val="20"/>
                <w:color w:val="auto"/>
              </w:rPr>
            </w:pPr>
            <w:r>
              <w:rPr>
                <w:rFonts w:ascii="Arial" w:cs="Arial" w:eastAsia="Arial" w:hAnsi="Arial"/>
                <w:sz w:val="22"/>
                <w:szCs w:val="22"/>
                <w:b w:val="1"/>
                <w:bCs w:val="1"/>
                <w:color w:val="auto"/>
                <w:w w:val="95"/>
              </w:rPr>
              <w:t>SEPTEMBER 30,</w:t>
            </w:r>
          </w:p>
        </w:tc>
        <w:tc>
          <w:tcPr>
            <w:tcW w:w="200" w:type="dxa"/>
            <w:vAlign w:val="bottom"/>
          </w:tcPr>
          <w:p>
            <w:pPr>
              <w:spacing w:after="0"/>
              <w:rPr>
                <w:sz w:val="23"/>
                <w:szCs w:val="23"/>
                <w:color w:val="auto"/>
              </w:rPr>
            </w:pPr>
          </w:p>
        </w:tc>
        <w:tc>
          <w:tcPr>
            <w:tcW w:w="2600" w:type="dxa"/>
            <w:vAlign w:val="bottom"/>
            <w:gridSpan w:val="4"/>
          </w:tcPr>
          <w:p>
            <w:pPr>
              <w:jc w:val="right"/>
              <w:ind w:right="45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820" w:type="dxa"/>
            <w:vAlign w:val="bottom"/>
          </w:tcPr>
          <w:p>
            <w:pPr>
              <w:spacing w:after="0"/>
              <w:rPr>
                <w:sz w:val="24"/>
                <w:szCs w:val="24"/>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r>
      <w:tr>
        <w:trPr>
          <w:trHeight w:val="532"/>
        </w:trPr>
        <w:tc>
          <w:tcPr>
            <w:tcW w:w="5820" w:type="dxa"/>
            <w:vAlign w:val="bottom"/>
          </w:tcPr>
          <w:p>
            <w:pPr>
              <w:spacing w:after="0"/>
              <w:rPr>
                <w:sz w:val="20"/>
                <w:szCs w:val="20"/>
                <w:color w:val="auto"/>
              </w:rPr>
            </w:pPr>
            <w:r>
              <w:rPr>
                <w:rFonts w:ascii="Arial" w:cs="Arial" w:eastAsia="Arial" w:hAnsi="Arial"/>
                <w:sz w:val="22"/>
                <w:szCs w:val="22"/>
                <w:color w:val="auto"/>
              </w:rPr>
              <w:t>Revenues</w:t>
            </w:r>
          </w:p>
        </w:tc>
        <w:tc>
          <w:tcPr>
            <w:tcW w:w="1280" w:type="dxa"/>
            <w:vAlign w:val="bottom"/>
          </w:tcPr>
          <w:p>
            <w:pPr>
              <w:jc w:val="right"/>
              <w:spacing w:after="0"/>
              <w:rPr>
                <w:sz w:val="20"/>
                <w:szCs w:val="20"/>
                <w:color w:val="auto"/>
              </w:rPr>
            </w:pPr>
            <w:r>
              <w:rPr>
                <w:rFonts w:ascii="Arial" w:cs="Arial" w:eastAsia="Arial" w:hAnsi="Arial"/>
                <w:sz w:val="22"/>
                <w:szCs w:val="22"/>
                <w:color w:val="auto"/>
              </w:rPr>
              <w:t>$   120,491</w:t>
            </w:r>
          </w:p>
        </w:tc>
        <w:tc>
          <w:tcPr>
            <w:tcW w:w="12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97,489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352,172</w:t>
            </w:r>
          </w:p>
        </w:tc>
        <w:tc>
          <w:tcPr>
            <w:tcW w:w="12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280,928</w:t>
            </w:r>
          </w:p>
        </w:tc>
      </w:tr>
      <w:tr>
        <w:trPr>
          <w:trHeight w:val="536"/>
        </w:trPr>
        <w:tc>
          <w:tcPr>
            <w:tcW w:w="5820" w:type="dxa"/>
            <w:vAlign w:val="bottom"/>
          </w:tcPr>
          <w:p>
            <w:pPr>
              <w:spacing w:after="0"/>
              <w:rPr>
                <w:sz w:val="20"/>
                <w:szCs w:val="20"/>
                <w:color w:val="auto"/>
              </w:rPr>
            </w:pPr>
            <w:r>
              <w:rPr>
                <w:rFonts w:ascii="Arial" w:cs="Arial" w:eastAsia="Arial" w:hAnsi="Arial"/>
                <w:sz w:val="22"/>
                <w:szCs w:val="22"/>
                <w:color w:val="auto"/>
              </w:rPr>
              <w:t>Costs and expenses: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22"/>
                <w:szCs w:val="22"/>
                <w:color w:val="auto"/>
              </w:rPr>
              <w:t>Cost of sales and services</w:t>
            </w:r>
          </w:p>
        </w:tc>
        <w:tc>
          <w:tcPr>
            <w:tcW w:w="1280" w:type="dxa"/>
            <w:vAlign w:val="bottom"/>
          </w:tcPr>
          <w:p>
            <w:pPr>
              <w:jc w:val="right"/>
              <w:spacing w:after="0"/>
              <w:rPr>
                <w:sz w:val="20"/>
                <w:szCs w:val="20"/>
                <w:color w:val="auto"/>
              </w:rPr>
            </w:pPr>
            <w:r>
              <w:rPr>
                <w:rFonts w:ascii="Arial" w:cs="Arial" w:eastAsia="Arial" w:hAnsi="Arial"/>
                <w:sz w:val="22"/>
                <w:szCs w:val="22"/>
                <w:color w:val="auto"/>
              </w:rPr>
              <w:t>81,753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65,527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247,818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186,683</w:t>
            </w:r>
          </w:p>
        </w:tc>
      </w:tr>
      <w:tr>
        <w:trPr>
          <w:trHeight w:val="270"/>
        </w:trPr>
        <w:tc>
          <w:tcPr>
            <w:tcW w:w="5820" w:type="dxa"/>
            <w:vAlign w:val="bottom"/>
          </w:tcPr>
          <w:p>
            <w:pPr>
              <w:ind w:left="200"/>
              <w:spacing w:after="0"/>
              <w:rPr>
                <w:sz w:val="20"/>
                <w:szCs w:val="20"/>
                <w:color w:val="auto"/>
              </w:rPr>
            </w:pPr>
            <w:r>
              <w:rPr>
                <w:rFonts w:ascii="Arial" w:cs="Arial" w:eastAsia="Arial" w:hAnsi="Arial"/>
                <w:sz w:val="22"/>
                <w:szCs w:val="22"/>
                <w:color w:val="auto"/>
              </w:rPr>
              <w:t>Selling, general and administrative expenses</w:t>
            </w:r>
          </w:p>
        </w:tc>
        <w:tc>
          <w:tcPr>
            <w:tcW w:w="1280" w:type="dxa"/>
            <w:vAlign w:val="bottom"/>
          </w:tcPr>
          <w:p>
            <w:pPr>
              <w:jc w:val="right"/>
              <w:spacing w:after="0"/>
              <w:rPr>
                <w:sz w:val="20"/>
                <w:szCs w:val="20"/>
                <w:color w:val="auto"/>
              </w:rPr>
            </w:pPr>
            <w:r>
              <w:rPr>
                <w:rFonts w:ascii="Arial" w:cs="Arial" w:eastAsia="Arial" w:hAnsi="Arial"/>
                <w:sz w:val="22"/>
                <w:szCs w:val="22"/>
                <w:color w:val="auto"/>
              </w:rPr>
              <w:t>17,328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15,871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56,754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44,141</w:t>
            </w:r>
          </w:p>
        </w:tc>
      </w:tr>
      <w:tr>
        <w:trPr>
          <w:trHeight w:val="275"/>
        </w:trPr>
        <w:tc>
          <w:tcPr>
            <w:tcW w:w="5820" w:type="dxa"/>
            <w:vAlign w:val="bottom"/>
          </w:tcPr>
          <w:p>
            <w:pPr>
              <w:ind w:left="200"/>
              <w:spacing w:after="0"/>
              <w:rPr>
                <w:sz w:val="20"/>
                <w:szCs w:val="20"/>
                <w:color w:val="auto"/>
              </w:rPr>
            </w:pPr>
            <w:r>
              <w:rPr>
                <w:rFonts w:ascii="Arial" w:cs="Arial" w:eastAsia="Arial" w:hAnsi="Arial"/>
                <w:sz w:val="22"/>
                <w:szCs w:val="22"/>
                <w:color w:val="auto"/>
              </w:rPr>
              <w:t>Depreciation and amortization expense</w:t>
            </w:r>
          </w:p>
        </w:tc>
        <w:tc>
          <w:tcPr>
            <w:tcW w:w="1280" w:type="dxa"/>
            <w:vAlign w:val="bottom"/>
          </w:tcPr>
          <w:p>
            <w:pPr>
              <w:jc w:val="right"/>
              <w:spacing w:after="0"/>
              <w:rPr>
                <w:sz w:val="20"/>
                <w:szCs w:val="20"/>
                <w:color w:val="auto"/>
              </w:rPr>
            </w:pPr>
            <w:r>
              <w:rPr>
                <w:rFonts w:ascii="Arial" w:cs="Arial" w:eastAsia="Arial" w:hAnsi="Arial"/>
                <w:sz w:val="22"/>
                <w:szCs w:val="22"/>
                <w:color w:val="auto"/>
              </w:rPr>
              <w:t>34,468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32,700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99,502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97,083</w:t>
            </w: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820" w:type="dxa"/>
            <w:vAlign w:val="bottom"/>
          </w:tcPr>
          <w:p>
            <w:pPr>
              <w:ind w:left="200"/>
              <w:spacing w:after="0"/>
              <w:rPr>
                <w:sz w:val="20"/>
                <w:szCs w:val="20"/>
                <w:color w:val="auto"/>
              </w:rPr>
            </w:pPr>
            <w:r>
              <w:rPr>
                <w:rFonts w:ascii="Arial" w:cs="Arial" w:eastAsia="Arial" w:hAnsi="Arial"/>
                <w:sz w:val="22"/>
                <w:szCs w:val="22"/>
                <w:color w:val="auto"/>
              </w:rPr>
              <w:t>Impairment expense</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4,360</w:t>
            </w:r>
          </w:p>
        </w:tc>
      </w:tr>
      <w:tr>
        <w:trPr>
          <w:trHeight w:val="276"/>
        </w:trPr>
        <w:tc>
          <w:tcPr>
            <w:tcW w:w="5820" w:type="dxa"/>
            <w:vAlign w:val="bottom"/>
          </w:tcPr>
          <w:p>
            <w:pPr>
              <w:ind w:left="200"/>
              <w:spacing w:after="0"/>
              <w:rPr>
                <w:sz w:val="20"/>
                <w:szCs w:val="20"/>
                <w:color w:val="auto"/>
              </w:rPr>
            </w:pPr>
            <w:r>
              <w:rPr>
                <w:rFonts w:ascii="Arial" w:cs="Arial" w:eastAsia="Arial" w:hAnsi="Arial"/>
                <w:sz w:val="22"/>
                <w:szCs w:val="22"/>
                <w:color w:val="auto"/>
              </w:rPr>
              <w:t>Other operating expense</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1,104</w:t>
            </w:r>
          </w:p>
        </w:tc>
      </w:tr>
      <w:tr>
        <w:trPr>
          <w:trHeight w:val="265"/>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133,386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118,833</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433,083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333,371</w:t>
            </w:r>
          </w:p>
        </w:tc>
      </w:tr>
      <w:tr>
        <w:trPr>
          <w:trHeight w:val="268"/>
        </w:trPr>
        <w:tc>
          <w:tcPr>
            <w:tcW w:w="5820" w:type="dxa"/>
            <w:vAlign w:val="bottom"/>
          </w:tcPr>
          <w:p>
            <w:pPr>
              <w:spacing w:after="0"/>
              <w:rPr>
                <w:sz w:val="20"/>
                <w:szCs w:val="20"/>
                <w:color w:val="auto"/>
              </w:rPr>
            </w:pPr>
            <w:r>
              <w:rPr>
                <w:rFonts w:ascii="Arial" w:cs="Arial" w:eastAsia="Arial" w:hAnsi="Arial"/>
                <w:sz w:val="22"/>
                <w:szCs w:val="22"/>
                <w:color w:val="auto"/>
              </w:rPr>
              <w:t>Operating loss</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(12,895)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(21,344)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(80,911)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(52,443)</w:t>
            </w:r>
          </w:p>
        </w:tc>
      </w:tr>
      <w:tr>
        <w:trPr>
          <w:trHeight w:val="528"/>
        </w:trPr>
        <w:tc>
          <w:tcPr>
            <w:tcW w:w="5820" w:type="dxa"/>
            <w:vAlign w:val="bottom"/>
          </w:tcPr>
          <w:p>
            <w:pPr>
              <w:spacing w:after="0"/>
              <w:rPr>
                <w:sz w:val="20"/>
                <w:szCs w:val="20"/>
                <w:color w:val="auto"/>
              </w:rPr>
            </w:pPr>
            <w:r>
              <w:rPr>
                <w:rFonts w:ascii="Arial" w:cs="Arial" w:eastAsia="Arial" w:hAnsi="Arial"/>
                <w:sz w:val="22"/>
                <w:szCs w:val="22"/>
                <w:color w:val="auto"/>
              </w:rPr>
              <w:t>Interest expense, net of capitalized interest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(6,404)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(5,441)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(19,329)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(15,697)</w:t>
            </w:r>
          </w:p>
        </w:tc>
      </w:tr>
      <w:tr>
        <w:trPr>
          <w:trHeight w:val="270"/>
        </w:trPr>
        <w:tc>
          <w:tcPr>
            <w:tcW w:w="58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0"/>
        </w:trPr>
        <w:tc>
          <w:tcPr>
            <w:tcW w:w="5820" w:type="dxa"/>
            <w:vAlign w:val="bottom"/>
          </w:tcPr>
          <w:p>
            <w:pPr>
              <w:spacing w:after="0"/>
              <w:rPr>
                <w:sz w:val="20"/>
                <w:szCs w:val="20"/>
                <w:color w:val="auto"/>
              </w:rPr>
            </w:pPr>
            <w:r>
              <w:rPr>
                <w:rFonts w:ascii="Arial" w:cs="Arial" w:eastAsia="Arial" w:hAnsi="Arial"/>
                <w:sz w:val="22"/>
                <w:szCs w:val="22"/>
                <w:color w:val="auto"/>
              </w:rPr>
              <w:t>Interest income</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75"/>
        </w:trPr>
        <w:tc>
          <w:tcPr>
            <w:tcW w:w="5820" w:type="dxa"/>
            <w:vAlign w:val="bottom"/>
          </w:tcPr>
          <w:p>
            <w:pPr>
              <w:spacing w:after="0"/>
              <w:rPr>
                <w:sz w:val="20"/>
                <w:szCs w:val="20"/>
                <w:color w:val="auto"/>
              </w:rPr>
            </w:pPr>
            <w:r>
              <w:rPr>
                <w:rFonts w:ascii="Arial" w:cs="Arial" w:eastAsia="Arial" w:hAnsi="Arial"/>
                <w:sz w:val="22"/>
                <w:szCs w:val="22"/>
                <w:color w:val="auto"/>
              </w:rPr>
              <w:t>Other income</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517</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1,247</w:t>
            </w:r>
          </w:p>
        </w:tc>
      </w:tr>
      <w:tr>
        <w:trPr>
          <w:trHeight w:val="259"/>
        </w:trPr>
        <w:tc>
          <w:tcPr>
            <w:tcW w:w="5820" w:type="dxa"/>
            <w:vAlign w:val="bottom"/>
          </w:tcPr>
          <w:p>
            <w:pPr>
              <w:ind w:left="200"/>
              <w:spacing w:after="0"/>
              <w:rPr>
                <w:sz w:val="20"/>
                <w:szCs w:val="20"/>
                <w:color w:val="auto"/>
              </w:rPr>
            </w:pPr>
            <w:r>
              <w:rPr>
                <w:rFonts w:ascii="Arial" w:cs="Arial" w:eastAsia="Arial" w:hAnsi="Arial"/>
                <w:sz w:val="22"/>
                <w:szCs w:val="22"/>
                <w:color w:val="auto"/>
              </w:rPr>
              <w:t>Loss before income taxes</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(18,871)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(26,219)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(97,973)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(67,666)</w:t>
            </w:r>
          </w:p>
        </w:tc>
      </w:tr>
      <w:tr>
        <w:trPr>
          <w:trHeight w:val="275"/>
        </w:trPr>
        <w:tc>
          <w:tcPr>
            <w:tcW w:w="5820" w:type="dxa"/>
            <w:vAlign w:val="bottom"/>
          </w:tcPr>
          <w:p>
            <w:pPr>
              <w:spacing w:after="0"/>
              <w:rPr>
                <w:sz w:val="20"/>
                <w:szCs w:val="20"/>
                <w:color w:val="auto"/>
              </w:rPr>
            </w:pPr>
            <w:r>
              <w:rPr>
                <w:rFonts w:ascii="Arial" w:cs="Arial" w:eastAsia="Arial" w:hAnsi="Arial"/>
                <w:sz w:val="22"/>
                <w:szCs w:val="22"/>
                <w:color w:val="auto"/>
              </w:rPr>
              <w:t>Income tax benefit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5,330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4,011</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29,386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9,875</w:t>
            </w:r>
          </w:p>
        </w:tc>
      </w:tr>
      <w:tr>
        <w:trPr>
          <w:trHeight w:val="259"/>
        </w:trPr>
        <w:tc>
          <w:tcPr>
            <w:tcW w:w="5820" w:type="dxa"/>
            <w:vAlign w:val="bottom"/>
          </w:tcPr>
          <w:p>
            <w:pPr>
              <w:spacing w:after="0"/>
              <w:rPr>
                <w:sz w:val="20"/>
                <w:szCs w:val="20"/>
                <w:color w:val="auto"/>
              </w:rPr>
            </w:pPr>
            <w:r>
              <w:rPr>
                <w:rFonts w:ascii="Arial" w:cs="Arial" w:eastAsia="Arial" w:hAnsi="Arial"/>
                <w:sz w:val="22"/>
                <w:szCs w:val="22"/>
                <w:color w:val="auto"/>
              </w:rPr>
              <w:t>Net loss</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(13,541)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(22,208)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(68,587)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(57,791)</w:t>
            </w:r>
          </w:p>
        </w:tc>
      </w:tr>
      <w:tr>
        <w:trPr>
          <w:trHeight w:val="275"/>
        </w:trPr>
        <w:tc>
          <w:tcPr>
            <w:tcW w:w="5820" w:type="dxa"/>
            <w:vAlign w:val="bottom"/>
          </w:tcPr>
          <w:p>
            <w:pPr>
              <w:ind w:left="200"/>
              <w:spacing w:after="0"/>
              <w:rPr>
                <w:sz w:val="20"/>
                <w:szCs w:val="20"/>
                <w:color w:val="auto"/>
              </w:rPr>
            </w:pPr>
            <w:r>
              <w:rPr>
                <w:rFonts w:ascii="Arial" w:cs="Arial" w:eastAsia="Arial" w:hAnsi="Arial"/>
                <w:sz w:val="22"/>
                <w:szCs w:val="22"/>
                <w:color w:val="auto"/>
              </w:rPr>
              <w:t>Less: Net income attributable to noncontrolling interest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343</w:t>
            </w:r>
          </w:p>
        </w:tc>
      </w:tr>
      <w:tr>
        <w:trPr>
          <w:trHeight w:val="259"/>
        </w:trPr>
        <w:tc>
          <w:tcPr>
            <w:tcW w:w="58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(13,638)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(22,331)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(68,928)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(58,134)</w:t>
            </w:r>
          </w:p>
        </w:tc>
      </w:tr>
      <w:tr>
        <w:trPr>
          <w:trHeight w:val="276"/>
        </w:trPr>
        <w:tc>
          <w:tcPr>
            <w:tcW w:w="5820" w:type="dxa"/>
            <w:vAlign w:val="bottom"/>
          </w:tcPr>
          <w:p>
            <w:pPr>
              <w:ind w:left="200"/>
              <w:spacing w:after="0"/>
              <w:rPr>
                <w:sz w:val="20"/>
                <w:szCs w:val="20"/>
                <w:color w:val="auto"/>
              </w:rPr>
            </w:pPr>
            <w:r>
              <w:rPr>
                <w:rFonts w:ascii="Arial" w:cs="Arial" w:eastAsia="Arial" w:hAnsi="Arial"/>
                <w:sz w:val="22"/>
                <w:szCs w:val="22"/>
                <w:color w:val="auto"/>
              </w:rPr>
              <w:t>Less: Dividends attributable to Class A preferred shares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49,100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65"/>
        </w:trPr>
        <w:tc>
          <w:tcPr>
            <w:tcW w:w="5820" w:type="dxa"/>
            <w:vAlign w:val="bottom"/>
          </w:tcPr>
          <w:p>
            <w:pPr>
              <w:spacing w:after="0"/>
              <w:rPr>
                <w:sz w:val="20"/>
                <w:szCs w:val="20"/>
                <w:color w:val="auto"/>
              </w:rPr>
            </w:pPr>
            <w:r>
              <w:rPr>
                <w:rFonts w:ascii="Arial" w:cs="Arial" w:eastAsia="Arial" w:hAnsi="Arial"/>
                <w:sz w:val="22"/>
                <w:szCs w:val="22"/>
                <w:color w:val="auto"/>
                <w:w w:val="92"/>
              </w:rPr>
              <w:t>Net loss attributable to Civeo Corporation common shareholders</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(14,250)</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(22,331)</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(118,028)</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(58,134)</w:t>
            </w:r>
          </w:p>
        </w:tc>
      </w:tr>
      <w:tr>
        <w:trPr>
          <w:trHeight w:val="21"/>
        </w:trPr>
        <w:tc>
          <w:tcPr>
            <w:tcW w:w="58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6"/>
        </w:trPr>
        <w:tc>
          <w:tcPr>
            <w:tcW w:w="7220" w:type="dxa"/>
            <w:vAlign w:val="bottom"/>
            <w:gridSpan w:val="4"/>
          </w:tcPr>
          <w:p>
            <w:pPr>
              <w:spacing w:after="0"/>
              <w:rPr>
                <w:sz w:val="20"/>
                <w:szCs w:val="20"/>
                <w:color w:val="auto"/>
              </w:rPr>
            </w:pPr>
            <w:r>
              <w:rPr>
                <w:rFonts w:ascii="Arial" w:cs="Arial" w:eastAsia="Arial" w:hAnsi="Arial"/>
                <w:sz w:val="22"/>
                <w:szCs w:val="22"/>
                <w:color w:val="auto"/>
                <w:w w:val="98"/>
              </w:rPr>
              <w:t>Net loss per share attributable to Civeo Corporation common shareholders: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22"/>
                <w:szCs w:val="22"/>
                <w:color w:val="auto"/>
              </w:rPr>
              <w:t>Basic</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(0.09)</w:t>
            </w:r>
          </w:p>
        </w:tc>
        <w:tc>
          <w:tcPr>
            <w:tcW w:w="12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(0.17)</w:t>
            </w:r>
          </w:p>
        </w:tc>
        <w:tc>
          <w:tcPr>
            <w:tcW w:w="8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(0.76)</w:t>
            </w:r>
          </w:p>
        </w:tc>
        <w:tc>
          <w:tcPr>
            <w:tcW w:w="12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(0.46)</w:t>
            </w:r>
          </w:p>
        </w:tc>
      </w:tr>
      <w:tr>
        <w:trPr>
          <w:trHeight w:val="275"/>
        </w:trPr>
        <w:tc>
          <w:tcPr>
            <w:tcW w:w="5820" w:type="dxa"/>
            <w:vAlign w:val="bottom"/>
          </w:tcPr>
          <w:p>
            <w:pPr>
              <w:ind w:left="200"/>
              <w:spacing w:after="0"/>
              <w:rPr>
                <w:sz w:val="20"/>
                <w:szCs w:val="20"/>
                <w:color w:val="auto"/>
              </w:rPr>
            </w:pPr>
            <w:r>
              <w:rPr>
                <w:rFonts w:ascii="Arial" w:cs="Arial" w:eastAsia="Arial" w:hAnsi="Arial"/>
                <w:sz w:val="22"/>
                <w:szCs w:val="22"/>
                <w:color w:val="auto"/>
              </w:rPr>
              <w:t>Diluted</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(0.09)</w:t>
            </w:r>
          </w:p>
        </w:tc>
        <w:tc>
          <w:tcPr>
            <w:tcW w:w="12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(0.17)</w:t>
            </w:r>
          </w:p>
        </w:tc>
        <w:tc>
          <w:tcPr>
            <w:tcW w:w="8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(0.76)</w:t>
            </w:r>
          </w:p>
        </w:tc>
        <w:tc>
          <w:tcPr>
            <w:tcW w:w="12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(0.46)</w:t>
            </w:r>
          </w:p>
        </w:tc>
      </w:tr>
      <w:tr>
        <w:trPr>
          <w:trHeight w:val="536"/>
        </w:trPr>
        <w:tc>
          <w:tcPr>
            <w:tcW w:w="5820" w:type="dxa"/>
            <w:vAlign w:val="bottom"/>
          </w:tcPr>
          <w:p>
            <w:pPr>
              <w:spacing w:after="0"/>
              <w:rPr>
                <w:sz w:val="20"/>
                <w:szCs w:val="20"/>
                <w:color w:val="auto"/>
              </w:rPr>
            </w:pPr>
            <w:r>
              <w:rPr>
                <w:rFonts w:ascii="Arial" w:cs="Arial" w:eastAsia="Arial" w:hAnsi="Arial"/>
                <w:sz w:val="22"/>
                <w:szCs w:val="22"/>
                <w:color w:val="auto"/>
              </w:rPr>
              <w:t>Weighted average number of common shares outstanding: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22"/>
                <w:szCs w:val="22"/>
                <w:color w:val="auto"/>
              </w:rPr>
              <w:t>Basic</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165,855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130,889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154,411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127,512</w:t>
            </w:r>
          </w:p>
        </w:tc>
      </w:tr>
      <w:tr>
        <w:trPr>
          <w:trHeight w:val="275"/>
        </w:trPr>
        <w:tc>
          <w:tcPr>
            <w:tcW w:w="5820" w:type="dxa"/>
            <w:vAlign w:val="bottom"/>
          </w:tcPr>
          <w:p>
            <w:pPr>
              <w:ind w:left="200"/>
              <w:spacing w:after="0"/>
              <w:rPr>
                <w:sz w:val="20"/>
                <w:szCs w:val="20"/>
                <w:color w:val="auto"/>
              </w:rPr>
            </w:pPr>
            <w:r>
              <w:rPr>
                <w:rFonts w:ascii="Arial" w:cs="Arial" w:eastAsia="Arial" w:hAnsi="Arial"/>
                <w:sz w:val="22"/>
                <w:szCs w:val="22"/>
                <w:color w:val="auto"/>
              </w:rPr>
              <w:t>Diluted</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165,855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130,889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154,411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127,512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80" w:type="dxa"/>
            <w:vAlign w:val="bottom"/>
          </w:tcPr>
          <w:p>
            <w:pPr>
              <w:spacing w:after="0"/>
              <w:rPr>
                <w:sz w:val="21"/>
                <w:szCs w:val="21"/>
                <w:color w:val="auto"/>
              </w:rPr>
            </w:pPr>
          </w:p>
        </w:tc>
        <w:tc>
          <w:tcPr>
            <w:tcW w:w="2280" w:type="dxa"/>
            <w:vAlign w:val="bottom"/>
            <w:gridSpan w:val="3"/>
          </w:tcPr>
          <w:p>
            <w:pPr>
              <w:ind w:left="240"/>
              <w:spacing w:after="0"/>
              <w:rPr>
                <w:sz w:val="20"/>
                <w:szCs w:val="20"/>
                <w:color w:val="auto"/>
              </w:rPr>
            </w:pPr>
            <w:r>
              <w:rPr>
                <w:rFonts w:ascii="Arial" w:cs="Arial" w:eastAsia="Arial" w:hAnsi="Arial"/>
                <w:sz w:val="22"/>
                <w:szCs w:val="22"/>
                <w:b w:val="1"/>
                <w:bCs w:val="1"/>
                <w:color w:val="auto"/>
              </w:rPr>
              <w:t>SEPTEMBER 30,</w:t>
            </w:r>
          </w:p>
        </w:tc>
        <w:tc>
          <w:tcPr>
            <w:tcW w:w="214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1"/>
        </w:trPr>
        <w:tc>
          <w:tcPr>
            <w:tcW w:w="6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78"/>
        </w:trPr>
        <w:tc>
          <w:tcPr>
            <w:tcW w:w="698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340" w:type="dxa"/>
            <w:vAlign w:val="bottom"/>
          </w:tcPr>
          <w:p>
            <w:pPr>
              <w:spacing w:after="0"/>
              <w:rPr>
                <w:sz w:val="24"/>
                <w:szCs w:val="24"/>
                <w:color w:val="auto"/>
              </w:rPr>
            </w:pPr>
          </w:p>
        </w:tc>
        <w:tc>
          <w:tcPr>
            <w:tcW w:w="1820" w:type="dxa"/>
            <w:vAlign w:val="bottom"/>
          </w:tcPr>
          <w:p>
            <w:pPr>
              <w:jc w:val="right"/>
              <w:ind w:right="252"/>
              <w:spacing w:after="0"/>
              <w:rPr>
                <w:sz w:val="20"/>
                <w:szCs w:val="20"/>
                <w:color w:val="auto"/>
              </w:rPr>
            </w:pPr>
            <w:r>
              <w:rPr>
                <w:rFonts w:ascii="Arial" w:cs="Arial" w:eastAsia="Arial" w:hAnsi="Arial"/>
                <w:sz w:val="22"/>
                <w:szCs w:val="22"/>
                <w:b w:val="1"/>
                <w:bCs w:val="1"/>
                <w:color w:val="auto"/>
                <w:w w:val="99"/>
              </w:rPr>
              <w:t>(UNAUDITED)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340" w:type="dxa"/>
            <w:vAlign w:val="bottom"/>
          </w:tcPr>
          <w:p>
            <w:pPr>
              <w:ind w:left="240"/>
              <w:spacing w:after="0"/>
              <w:rPr>
                <w:sz w:val="20"/>
                <w:szCs w:val="20"/>
                <w:color w:val="auto"/>
              </w:rPr>
            </w:pPr>
            <w:r>
              <w:rPr>
                <w:rFonts w:ascii="Arial" w:cs="Arial" w:eastAsia="Arial" w:hAnsi="Arial"/>
                <w:sz w:val="19"/>
                <w:szCs w:val="19"/>
                <w:color w:val="auto"/>
                <w:w w:val="75"/>
              </w:rPr>
              <w:t>$</w:t>
            </w: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4,540</w:t>
            </w:r>
          </w:p>
        </w:tc>
        <w:tc>
          <w:tcPr>
            <w:tcW w:w="120" w:type="dxa"/>
            <w:vAlign w:val="bottom"/>
          </w:tcPr>
          <w:p>
            <w:pPr>
              <w:spacing w:after="0"/>
              <w:rPr>
                <w:sz w:val="23"/>
                <w:szCs w:val="23"/>
                <w:color w:val="auto"/>
              </w:rPr>
            </w:pPr>
          </w:p>
        </w:tc>
        <w:tc>
          <w:tcPr>
            <w:tcW w:w="60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32,647</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85,238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66,823</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6,543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7,246</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Assets held for sale</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12,318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9,462</w:t>
            </w:r>
          </w:p>
        </w:tc>
        <w:tc>
          <w:tcPr>
            <w:tcW w:w="0" w:type="dxa"/>
            <w:vAlign w:val="bottom"/>
          </w:tcPr>
          <w:p>
            <w:pPr>
              <w:spacing w:after="0"/>
              <w:rPr>
                <w:sz w:val="1"/>
                <w:szCs w:val="1"/>
                <w:color w:val="auto"/>
              </w:rPr>
            </w:pPr>
          </w:p>
        </w:tc>
      </w:tr>
      <w:tr>
        <w:trPr>
          <w:trHeight w:val="275"/>
        </w:trPr>
        <w:tc>
          <w:tcPr>
            <w:tcW w:w="698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3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29,603</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16,034</w:t>
            </w:r>
          </w:p>
        </w:tc>
        <w:tc>
          <w:tcPr>
            <w:tcW w:w="0" w:type="dxa"/>
            <w:vAlign w:val="bottom"/>
          </w:tcPr>
          <w:p>
            <w:pPr>
              <w:spacing w:after="0"/>
              <w:rPr>
                <w:sz w:val="1"/>
                <w:szCs w:val="1"/>
                <w:color w:val="auto"/>
              </w:rPr>
            </w:pPr>
          </w:p>
        </w:tc>
      </w:tr>
      <w:tr>
        <w:trPr>
          <w:trHeight w:val="272"/>
        </w:trPr>
        <w:tc>
          <w:tcPr>
            <w:tcW w:w="6980" w:type="dxa"/>
            <w:vAlign w:val="bottom"/>
          </w:tcPr>
          <w:p>
            <w:pPr>
              <w:ind w:left="400"/>
              <w:spacing w:after="0"/>
              <w:rPr>
                <w:sz w:val="20"/>
                <w:szCs w:val="20"/>
                <w:color w:val="auto"/>
              </w:rPr>
            </w:pPr>
            <w:r>
              <w:rPr>
                <w:rFonts w:ascii="Arial" w:cs="Arial" w:eastAsia="Arial" w:hAnsi="Arial"/>
                <w:sz w:val="22"/>
                <w:szCs w:val="22"/>
                <w:color w:val="auto"/>
              </w:rPr>
              <w:t>Total current assets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138,242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132,212</w:t>
            </w:r>
          </w:p>
        </w:tc>
        <w:tc>
          <w:tcPr>
            <w:tcW w:w="0" w:type="dxa"/>
            <w:vAlign w:val="bottom"/>
          </w:tcPr>
          <w:p>
            <w:pPr>
              <w:spacing w:after="0"/>
              <w:rPr>
                <w:sz w:val="1"/>
                <w:szCs w:val="1"/>
                <w:color w:val="auto"/>
              </w:rPr>
            </w:pPr>
          </w:p>
        </w:tc>
      </w:tr>
      <w:tr>
        <w:trPr>
          <w:trHeight w:val="528"/>
        </w:trPr>
        <w:tc>
          <w:tcPr>
            <w:tcW w:w="698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40" w:type="dxa"/>
            <w:vAlign w:val="bottom"/>
          </w:tcPr>
          <w:p>
            <w:pPr>
              <w:spacing w:after="0"/>
              <w:rPr>
                <w:sz w:val="24"/>
                <w:szCs w:val="24"/>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708,455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693,833</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Goodwill, net</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119,444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130,497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22,753</w:t>
            </w:r>
          </w:p>
        </w:tc>
        <w:tc>
          <w:tcPr>
            <w:tcW w:w="0" w:type="dxa"/>
            <w:vAlign w:val="bottom"/>
          </w:tcPr>
          <w:p>
            <w:pPr>
              <w:spacing w:after="0"/>
              <w:rPr>
                <w:sz w:val="1"/>
                <w:szCs w:val="1"/>
                <w:color w:val="auto"/>
              </w:rPr>
            </w:pPr>
          </w:p>
        </w:tc>
      </w:tr>
      <w:tr>
        <w:trPr>
          <w:trHeight w:val="276"/>
        </w:trPr>
        <w:tc>
          <w:tcPr>
            <w:tcW w:w="69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1,998</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5,114</w:t>
            </w:r>
          </w:p>
        </w:tc>
        <w:tc>
          <w:tcPr>
            <w:tcW w:w="0" w:type="dxa"/>
            <w:vAlign w:val="bottom"/>
          </w:tcPr>
          <w:p>
            <w:pPr>
              <w:spacing w:after="0"/>
              <w:rPr>
                <w:sz w:val="1"/>
                <w:szCs w:val="1"/>
                <w:color w:val="auto"/>
              </w:rPr>
            </w:pPr>
          </w:p>
        </w:tc>
      </w:tr>
      <w:tr>
        <w:trPr>
          <w:trHeight w:val="265"/>
        </w:trPr>
        <w:tc>
          <w:tcPr>
            <w:tcW w:w="6980" w:type="dxa"/>
            <w:vAlign w:val="bottom"/>
          </w:tcPr>
          <w:p>
            <w:pPr>
              <w:ind w:left="400"/>
              <w:spacing w:after="0"/>
              <w:rPr>
                <w:sz w:val="20"/>
                <w:szCs w:val="20"/>
                <w:color w:val="auto"/>
              </w:rPr>
            </w:pPr>
            <w:r>
              <w:rPr>
                <w:rFonts w:ascii="Arial" w:cs="Arial" w:eastAsia="Arial" w:hAnsi="Arial"/>
                <w:sz w:val="22"/>
                <w:szCs w:val="22"/>
                <w:color w:val="auto"/>
              </w:rPr>
              <w:t>Total assets</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w w:val="75"/>
              </w:rPr>
              <w:t>$</w:t>
            </w:r>
          </w:p>
        </w:tc>
        <w:tc>
          <w:tcPr>
            <w:tcW w:w="18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1,098,636</w:t>
            </w:r>
          </w:p>
        </w:tc>
        <w:tc>
          <w:tcPr>
            <w:tcW w:w="120" w:type="dxa"/>
            <w:vAlign w:val="bottom"/>
          </w:tcPr>
          <w:p>
            <w:pPr>
              <w:spacing w:after="0"/>
              <w:rPr>
                <w:sz w:val="23"/>
                <w:szCs w:val="23"/>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698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340" w:type="dxa"/>
            <w:vAlign w:val="bottom"/>
          </w:tcPr>
          <w:p>
            <w:pPr>
              <w:ind w:left="240"/>
              <w:spacing w:after="0"/>
              <w:rPr>
                <w:sz w:val="20"/>
                <w:szCs w:val="20"/>
                <w:color w:val="auto"/>
              </w:rPr>
            </w:pPr>
            <w:r>
              <w:rPr>
                <w:rFonts w:ascii="Arial" w:cs="Arial" w:eastAsia="Arial" w:hAnsi="Arial"/>
                <w:sz w:val="19"/>
                <w:szCs w:val="19"/>
                <w:color w:val="auto"/>
                <w:w w:val="75"/>
              </w:rPr>
              <w:t>$</w:t>
            </w: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32,787</w:t>
            </w:r>
          </w:p>
        </w:tc>
        <w:tc>
          <w:tcPr>
            <w:tcW w:w="120" w:type="dxa"/>
            <w:vAlign w:val="bottom"/>
          </w:tcPr>
          <w:p>
            <w:pPr>
              <w:spacing w:after="0"/>
              <w:rPr>
                <w:sz w:val="23"/>
                <w:szCs w:val="23"/>
                <w:color w:val="auto"/>
              </w:rPr>
            </w:pPr>
          </w:p>
        </w:tc>
        <w:tc>
          <w:tcPr>
            <w:tcW w:w="60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27,812</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Accrued liabilities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20,057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22,208</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Income taxes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513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1,728</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Current portion of long-term debt</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28,146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16,596</w:t>
            </w:r>
          </w:p>
        </w:tc>
        <w:tc>
          <w:tcPr>
            <w:tcW w:w="0" w:type="dxa"/>
            <w:vAlign w:val="bottom"/>
          </w:tcPr>
          <w:p>
            <w:pPr>
              <w:spacing w:after="0"/>
              <w:rPr>
                <w:sz w:val="1"/>
                <w:szCs w:val="1"/>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Deferred revenue</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4,415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5,442</w:t>
            </w:r>
          </w:p>
        </w:tc>
        <w:tc>
          <w:tcPr>
            <w:tcW w:w="0" w:type="dxa"/>
            <w:vAlign w:val="bottom"/>
          </w:tcPr>
          <w:p>
            <w:pPr>
              <w:spacing w:after="0"/>
              <w:rPr>
                <w:sz w:val="1"/>
                <w:szCs w:val="1"/>
                <w:color w:val="auto"/>
              </w:rPr>
            </w:pPr>
          </w:p>
        </w:tc>
      </w:tr>
      <w:tr>
        <w:trPr>
          <w:trHeight w:val="275"/>
        </w:trPr>
        <w:tc>
          <w:tcPr>
            <w:tcW w:w="6980" w:type="dxa"/>
            <w:vAlign w:val="bottom"/>
          </w:tcPr>
          <w:p>
            <w:pPr>
              <w:ind w:left="200"/>
              <w:spacing w:after="0"/>
              <w:rPr>
                <w:sz w:val="20"/>
                <w:szCs w:val="20"/>
                <w:color w:val="auto"/>
              </w:rPr>
            </w:pPr>
            <w:r>
              <w:rPr>
                <w:rFonts w:ascii="Arial" w:cs="Arial" w:eastAsia="Arial" w:hAnsi="Arial"/>
                <w:sz w:val="22"/>
                <w:szCs w:val="22"/>
                <w:color w:val="auto"/>
              </w:rPr>
              <w:t>Other current liabilities</w:t>
            </w:r>
          </w:p>
        </w:tc>
        <w:tc>
          <w:tcPr>
            <w:tcW w:w="3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4,406</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1,843</w:t>
            </w:r>
          </w:p>
        </w:tc>
        <w:tc>
          <w:tcPr>
            <w:tcW w:w="0" w:type="dxa"/>
            <w:vAlign w:val="bottom"/>
          </w:tcPr>
          <w:p>
            <w:pPr>
              <w:spacing w:after="0"/>
              <w:rPr>
                <w:sz w:val="1"/>
                <w:szCs w:val="1"/>
                <w:color w:val="auto"/>
              </w:rPr>
            </w:pPr>
          </w:p>
        </w:tc>
      </w:tr>
      <w:tr>
        <w:trPr>
          <w:trHeight w:val="272"/>
        </w:trPr>
        <w:tc>
          <w:tcPr>
            <w:tcW w:w="6980" w:type="dxa"/>
            <w:vAlign w:val="bottom"/>
          </w:tcPr>
          <w:p>
            <w:pPr>
              <w:ind w:left="400"/>
              <w:spacing w:after="0"/>
              <w:rPr>
                <w:sz w:val="20"/>
                <w:szCs w:val="20"/>
                <w:color w:val="auto"/>
              </w:rPr>
            </w:pPr>
            <w:r>
              <w:rPr>
                <w:rFonts w:ascii="Arial" w:cs="Arial" w:eastAsia="Arial" w:hAnsi="Arial"/>
                <w:sz w:val="22"/>
                <w:szCs w:val="22"/>
                <w:color w:val="auto"/>
              </w:rPr>
              <w:t>Total current liabilities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90,324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75,629</w:t>
            </w:r>
          </w:p>
        </w:tc>
        <w:tc>
          <w:tcPr>
            <w:tcW w:w="0" w:type="dxa"/>
            <w:vAlign w:val="bottom"/>
          </w:tcPr>
          <w:p>
            <w:pPr>
              <w:spacing w:after="0"/>
              <w:rPr>
                <w:sz w:val="1"/>
                <w:szCs w:val="1"/>
                <w:color w:val="auto"/>
              </w:rPr>
            </w:pPr>
          </w:p>
        </w:tc>
      </w:tr>
      <w:tr>
        <w:trPr>
          <w:trHeight w:val="528"/>
        </w:trPr>
        <w:tc>
          <w:tcPr>
            <w:tcW w:w="6980" w:type="dxa"/>
            <w:vAlign w:val="bottom"/>
          </w:tcPr>
          <w:p>
            <w:pPr>
              <w:spacing w:after="0"/>
              <w:rPr>
                <w:sz w:val="20"/>
                <w:szCs w:val="20"/>
                <w:color w:val="auto"/>
              </w:rPr>
            </w:pPr>
            <w:r>
              <w:rPr>
                <w:rFonts w:ascii="Arial" w:cs="Arial" w:eastAsia="Arial" w:hAnsi="Arial"/>
                <w:sz w:val="22"/>
                <w:szCs w:val="22"/>
                <w:color w:val="auto"/>
              </w:rPr>
              <w:t>Long-term debt</w:t>
            </w:r>
          </w:p>
        </w:tc>
        <w:tc>
          <w:tcPr>
            <w:tcW w:w="340" w:type="dxa"/>
            <w:vAlign w:val="bottom"/>
          </w:tcPr>
          <w:p>
            <w:pPr>
              <w:spacing w:after="0"/>
              <w:rPr>
                <w:sz w:val="24"/>
                <w:szCs w:val="24"/>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392,161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277,990</w:t>
            </w:r>
          </w:p>
        </w:tc>
        <w:tc>
          <w:tcPr>
            <w:tcW w:w="0" w:type="dxa"/>
            <w:vAlign w:val="bottom"/>
          </w:tcPr>
          <w:p>
            <w:pPr>
              <w:spacing w:after="0"/>
              <w:rPr>
                <w:sz w:val="1"/>
                <w:szCs w:val="1"/>
                <w:color w:val="auto"/>
              </w:rPr>
            </w:pPr>
          </w:p>
        </w:tc>
      </w:tr>
      <w:tr>
        <w:trPr>
          <w:trHeight w:val="275"/>
        </w:trPr>
        <w:tc>
          <w:tcPr>
            <w:tcW w:w="6980" w:type="dxa"/>
            <w:vAlign w:val="bottom"/>
          </w:tcPr>
          <w:p>
            <w:pPr>
              <w:spacing w:after="0"/>
              <w:rPr>
                <w:sz w:val="20"/>
                <w:szCs w:val="20"/>
                <w:color w:val="auto"/>
              </w:rPr>
            </w:pPr>
            <w:r>
              <w:rPr>
                <w:rFonts w:ascii="Arial" w:cs="Arial" w:eastAsia="Arial" w:hAnsi="Arial"/>
                <w:sz w:val="22"/>
                <w:szCs w:val="22"/>
                <w:color w:val="auto"/>
              </w:rPr>
              <w:t>Deferred income taxes</w:t>
            </w:r>
          </w:p>
        </w:tc>
        <w:tc>
          <w:tcPr>
            <w:tcW w:w="340" w:type="dxa"/>
            <w:vAlign w:val="bottom"/>
          </w:tcPr>
          <w:p>
            <w:pPr>
              <w:spacing w:after="0"/>
              <w:rPr>
                <w:sz w:val="23"/>
                <w:szCs w:val="23"/>
                <w:color w:val="auto"/>
              </w:rPr>
            </w:pPr>
          </w:p>
        </w:tc>
        <w:tc>
          <w:tcPr>
            <w:tcW w:w="1820" w:type="dxa"/>
            <w:vAlign w:val="bottom"/>
          </w:tcPr>
          <w:p>
            <w:pPr>
              <w:jc w:val="right"/>
              <w:ind w:right="112"/>
              <w:spacing w:after="0"/>
              <w:rPr>
                <w:sz w:val="20"/>
                <w:szCs w:val="20"/>
                <w:color w:val="auto"/>
              </w:rPr>
            </w:pPr>
            <w:r>
              <w:rPr>
                <w:rFonts w:ascii="Arial" w:cs="Arial" w:eastAsia="Arial" w:hAnsi="Arial"/>
                <w:sz w:val="22"/>
                <w:szCs w:val="22"/>
                <w:color w:val="auto"/>
              </w:rPr>
              <w:t>22,875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ectPr>
          <w:pgSz w:w="11900" w:h="16853" w:orient="portrait"/>
          <w:cols w:equalWidth="0" w:num="1">
            <w:col w:w="11400"/>
          </w:cols>
          <w:pgMar w:left="260" w:top="1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9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7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30,035</w:t>
            </w:r>
          </w:p>
        </w:tc>
        <w:tc>
          <w:tcPr>
            <w:tcW w:w="12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23,926</w:t>
            </w:r>
          </w:p>
        </w:tc>
      </w:tr>
      <w:tr>
        <w:trPr>
          <w:trHeight w:val="272"/>
        </w:trPr>
        <w:tc>
          <w:tcPr>
            <w:tcW w:w="6980" w:type="dxa"/>
            <w:vAlign w:val="bottom"/>
          </w:tcPr>
          <w:p>
            <w:pPr>
              <w:ind w:left="400"/>
              <w:spacing w:after="0"/>
              <w:rPr>
                <w:sz w:val="20"/>
                <w:szCs w:val="20"/>
                <w:color w:val="auto"/>
              </w:rPr>
            </w:pPr>
            <w:r>
              <w:rPr>
                <w:rFonts w:ascii="Arial" w:cs="Arial" w:eastAsia="Arial" w:hAnsi="Arial"/>
                <w:sz w:val="22"/>
                <w:szCs w:val="22"/>
                <w:color w:val="auto"/>
              </w:rPr>
              <w:t>Total liabilities</w:t>
            </w:r>
          </w:p>
        </w:tc>
        <w:tc>
          <w:tcPr>
            <w:tcW w:w="72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535,395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377,545</w:t>
            </w:r>
          </w:p>
        </w:tc>
      </w:tr>
      <w:tr>
        <w:trPr>
          <w:trHeight w:val="528"/>
        </w:trPr>
        <w:tc>
          <w:tcPr>
            <w:tcW w:w="6980" w:type="dxa"/>
            <w:vAlign w:val="bottom"/>
          </w:tcPr>
          <w:p>
            <w:pPr>
              <w:spacing w:after="0"/>
              <w:rPr>
                <w:sz w:val="20"/>
                <w:szCs w:val="20"/>
                <w:color w:val="auto"/>
              </w:rPr>
            </w:pPr>
            <w:r>
              <w:rPr>
                <w:rFonts w:ascii="Arial" w:cs="Arial" w:eastAsia="Arial" w:hAnsi="Arial"/>
                <w:sz w:val="22"/>
                <w:szCs w:val="22"/>
                <w:color w:val="auto"/>
              </w:rPr>
              <w:t>Shareholders' equity:</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Preferred shares</w:t>
            </w:r>
          </w:p>
        </w:tc>
        <w:tc>
          <w:tcPr>
            <w:tcW w:w="72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55,791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w:t>
            </w: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Common shares</w:t>
            </w:r>
          </w:p>
        </w:tc>
        <w:tc>
          <w:tcPr>
            <w:tcW w:w="72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w:t>
            </w: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Additional paid-in capital</w:t>
            </w:r>
          </w:p>
        </w:tc>
        <w:tc>
          <w:tcPr>
            <w:tcW w:w="72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1,558,901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112"/>
              <w:spacing w:after="0"/>
              <w:rPr>
                <w:sz w:val="20"/>
                <w:szCs w:val="20"/>
                <w:color w:val="auto"/>
              </w:rPr>
            </w:pPr>
            <w:r>
              <w:rPr>
                <w:rFonts w:ascii="Arial" w:cs="Arial" w:eastAsia="Arial" w:hAnsi="Arial"/>
                <w:sz w:val="22"/>
                <w:szCs w:val="22"/>
                <w:color w:val="auto"/>
              </w:rPr>
              <w:t>1,383,934</w:t>
            </w: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Accumulated deficit</w:t>
            </w:r>
          </w:p>
        </w:tc>
        <w:tc>
          <w:tcPr>
            <w:tcW w:w="72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22"/>
                <w:szCs w:val="22"/>
                <w:color w:val="auto"/>
              </w:rPr>
              <w:t>(696,747)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22"/>
                <w:szCs w:val="22"/>
                <w:color w:val="auto"/>
              </w:rPr>
              <w:t>(579,113)</w:t>
            </w:r>
          </w:p>
        </w:tc>
      </w:tr>
      <w:tr>
        <w:trPr>
          <w:trHeight w:val="270"/>
        </w:trPr>
        <w:tc>
          <w:tcPr>
            <w:tcW w:w="6980" w:type="dxa"/>
            <w:vAlign w:val="bottom"/>
          </w:tcPr>
          <w:p>
            <w:pPr>
              <w:ind w:left="200"/>
              <w:spacing w:after="0"/>
              <w:rPr>
                <w:sz w:val="20"/>
                <w:szCs w:val="20"/>
                <w:color w:val="auto"/>
              </w:rPr>
            </w:pPr>
            <w:r>
              <w:rPr>
                <w:rFonts w:ascii="Arial" w:cs="Arial" w:eastAsia="Arial" w:hAnsi="Arial"/>
                <w:sz w:val="22"/>
                <w:szCs w:val="22"/>
                <w:color w:val="auto"/>
              </w:rPr>
              <w:t>Treasury stock</w:t>
            </w:r>
          </w:p>
        </w:tc>
        <w:tc>
          <w:tcPr>
            <w:tcW w:w="72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22"/>
                <w:szCs w:val="22"/>
                <w:color w:val="auto"/>
              </w:rPr>
              <w:t>(990)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22"/>
                <w:szCs w:val="22"/>
                <w:color w:val="auto"/>
              </w:rPr>
              <w:t>(358)</w:t>
            </w:r>
          </w:p>
        </w:tc>
      </w:tr>
      <w:tr>
        <w:trPr>
          <w:trHeight w:val="275"/>
        </w:trPr>
        <w:tc>
          <w:tcPr>
            <w:tcW w:w="6980" w:type="dxa"/>
            <w:vAlign w:val="bottom"/>
          </w:tcPr>
          <w:p>
            <w:pPr>
              <w:ind w:left="200"/>
              <w:spacing w:after="0"/>
              <w:rPr>
                <w:sz w:val="20"/>
                <w:szCs w:val="20"/>
                <w:color w:val="auto"/>
              </w:rPr>
            </w:pPr>
            <w:r>
              <w:rPr>
                <w:rFonts w:ascii="Arial" w:cs="Arial" w:eastAsia="Arial" w:hAnsi="Arial"/>
                <w:sz w:val="22"/>
                <w:szCs w:val="22"/>
                <w:color w:val="auto"/>
              </w:rPr>
              <w:t>Accumulated other comprehensive loss</w:t>
            </w:r>
          </w:p>
        </w:tc>
        <w:tc>
          <w:tcPr>
            <w:tcW w:w="7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(353,812)</w:t>
            </w:r>
          </w:p>
        </w:tc>
        <w:tc>
          <w:tcPr>
            <w:tcW w:w="12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(328,213)</w:t>
            </w:r>
          </w:p>
        </w:tc>
      </w:tr>
      <w:tr>
        <w:trPr>
          <w:trHeight w:val="267"/>
        </w:trPr>
        <w:tc>
          <w:tcPr>
            <w:tcW w:w="6980" w:type="dxa"/>
            <w:vAlign w:val="bottom"/>
          </w:tcPr>
          <w:p>
            <w:pPr>
              <w:ind w:left="400"/>
              <w:spacing w:after="0"/>
              <w:rPr>
                <w:sz w:val="20"/>
                <w:szCs w:val="20"/>
                <w:color w:val="auto"/>
              </w:rPr>
            </w:pPr>
            <w:r>
              <w:rPr>
                <w:rFonts w:ascii="Arial" w:cs="Arial" w:eastAsia="Arial" w:hAnsi="Arial"/>
                <w:sz w:val="22"/>
                <w:szCs w:val="22"/>
                <w:color w:val="auto"/>
              </w:rPr>
              <w:t>Total Civeo Corporation shareholders' equity</w:t>
            </w:r>
          </w:p>
        </w:tc>
        <w:tc>
          <w:tcPr>
            <w:tcW w:w="7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563,143</w:t>
            </w:r>
          </w:p>
        </w:tc>
        <w:tc>
          <w:tcPr>
            <w:tcW w:w="12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476,250</w:t>
            </w:r>
          </w:p>
        </w:tc>
      </w:tr>
      <w:tr>
        <w:trPr>
          <w:trHeight w:val="264"/>
        </w:trPr>
        <w:tc>
          <w:tcPr>
            <w:tcW w:w="698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7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98</w:t>
            </w: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117</w:t>
            </w:r>
          </w:p>
        </w:tc>
      </w:tr>
      <w:tr>
        <w:trPr>
          <w:trHeight w:val="264"/>
        </w:trPr>
        <w:tc>
          <w:tcPr>
            <w:tcW w:w="6980" w:type="dxa"/>
            <w:vAlign w:val="bottom"/>
          </w:tcPr>
          <w:p>
            <w:pPr>
              <w:ind w:left="200"/>
              <w:spacing w:after="0"/>
              <w:rPr>
                <w:sz w:val="20"/>
                <w:szCs w:val="20"/>
                <w:color w:val="auto"/>
              </w:rPr>
            </w:pPr>
            <w:r>
              <w:rPr>
                <w:rFonts w:ascii="Arial" w:cs="Arial" w:eastAsia="Arial" w:hAnsi="Arial"/>
                <w:sz w:val="22"/>
                <w:szCs w:val="22"/>
                <w:color w:val="auto"/>
              </w:rPr>
              <w:t>Total shareholders' equity</w:t>
            </w:r>
          </w:p>
        </w:tc>
        <w:tc>
          <w:tcPr>
            <w:tcW w:w="7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563,241</w:t>
            </w: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476,367</w:t>
            </w:r>
          </w:p>
        </w:tc>
      </w:tr>
      <w:tr>
        <w:trPr>
          <w:trHeight w:val="264"/>
        </w:trPr>
        <w:tc>
          <w:tcPr>
            <w:tcW w:w="6980" w:type="dxa"/>
            <w:vAlign w:val="bottom"/>
          </w:tcPr>
          <w:p>
            <w:pPr>
              <w:ind w:left="400"/>
              <w:spacing w:after="0"/>
              <w:rPr>
                <w:sz w:val="20"/>
                <w:szCs w:val="20"/>
                <w:color w:val="auto"/>
              </w:rPr>
            </w:pPr>
            <w:r>
              <w:rPr>
                <w:rFonts w:ascii="Arial" w:cs="Arial" w:eastAsia="Arial" w:hAnsi="Arial"/>
                <w:sz w:val="22"/>
                <w:szCs w:val="22"/>
                <w:color w:val="auto"/>
              </w:rPr>
              <w:t>Total liabilities and shareholders' equity</w:t>
            </w: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1,098,636</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853,912</w:t>
            </w:r>
          </w:p>
        </w:tc>
      </w:tr>
      <w:tr>
        <w:trPr>
          <w:trHeight w:val="21"/>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8920"/>
        <w:spacing w:after="0"/>
        <w:rPr>
          <w:sz w:val="20"/>
          <w:szCs w:val="20"/>
          <w:color w:val="auto"/>
        </w:rPr>
      </w:pPr>
      <w:r>
        <w:rPr>
          <w:rFonts w:ascii="Arial" w:cs="Arial" w:eastAsia="Arial" w:hAnsi="Arial"/>
          <w:sz w:val="22"/>
          <w:szCs w:val="22"/>
          <w:b w:val="1"/>
          <w:bCs w:val="1"/>
          <w:color w:val="auto"/>
        </w:rPr>
        <w:t>NINE MONTHS ENDED</w:t>
      </w:r>
    </w:p>
    <w:p>
      <w:pPr>
        <w:spacing w:after="0" w:line="14" w:lineRule="exact"/>
        <w:rPr>
          <w:sz w:val="20"/>
          <w:szCs w:val="20"/>
          <w:color w:val="auto"/>
        </w:rPr>
      </w:pPr>
    </w:p>
    <w:p>
      <w:pPr>
        <w:jc w:val="center"/>
        <w:ind w:left="8920"/>
        <w:spacing w:after="0"/>
        <w:rPr>
          <w:sz w:val="20"/>
          <w:szCs w:val="20"/>
          <w:color w:val="auto"/>
        </w:rPr>
      </w:pPr>
      <w:r>
        <w:rPr>
          <w:rFonts w:ascii="Arial" w:cs="Arial" w:eastAsia="Arial" w:hAnsi="Arial"/>
          <w:sz w:val="22"/>
          <w:szCs w:val="22"/>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900" w:type="dxa"/>
            <w:vAlign w:val="bottom"/>
          </w:tcPr>
          <w:p>
            <w:pPr>
              <w:spacing w:after="0"/>
              <w:rPr>
                <w:sz w:val="23"/>
                <w:szCs w:val="23"/>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r>
      <w:tr>
        <w:trPr>
          <w:trHeight w:val="526"/>
        </w:trPr>
        <w:tc>
          <w:tcPr>
            <w:tcW w:w="89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900" w:type="dxa"/>
            <w:vAlign w:val="bottom"/>
          </w:tcPr>
          <w:p>
            <w:pPr>
              <w:spacing w:after="0"/>
              <w:rPr>
                <w:sz w:val="20"/>
                <w:szCs w:val="20"/>
                <w:color w:val="auto"/>
              </w:rPr>
            </w:pPr>
            <w:r>
              <w:rPr>
                <w:rFonts w:ascii="Arial" w:cs="Arial" w:eastAsia="Arial" w:hAnsi="Arial"/>
                <w:sz w:val="22"/>
                <w:szCs w:val="22"/>
                <w:color w:val="auto"/>
              </w:rPr>
              <w:t>Net loss</w:t>
            </w:r>
          </w:p>
        </w:tc>
        <w:tc>
          <w:tcPr>
            <w:tcW w:w="1160" w:type="dxa"/>
            <w:vAlign w:val="bottom"/>
          </w:tcPr>
          <w:p>
            <w:pPr>
              <w:jc w:val="right"/>
              <w:spacing w:after="0"/>
              <w:rPr>
                <w:sz w:val="20"/>
                <w:szCs w:val="20"/>
                <w:color w:val="auto"/>
              </w:rPr>
            </w:pPr>
            <w:r>
              <w:rPr>
                <w:rFonts w:ascii="Arial" w:cs="Arial" w:eastAsia="Arial" w:hAnsi="Arial"/>
                <w:sz w:val="22"/>
                <w:szCs w:val="22"/>
                <w:color w:val="auto"/>
                <w:w w:val="97"/>
              </w:rPr>
              <w:t>$   (68,587)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  (57,791)</w:t>
            </w:r>
          </w:p>
        </w:tc>
      </w:tr>
      <w:tr>
        <w:trPr>
          <w:trHeight w:val="270"/>
        </w:trPr>
        <w:tc>
          <w:tcPr>
            <w:tcW w:w="890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22"/>
                <w:szCs w:val="22"/>
                <w:color w:val="auto"/>
              </w:rPr>
              <w:t>99,502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97,083</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Impairment charges</w:t>
            </w:r>
          </w:p>
        </w:tc>
        <w:tc>
          <w:tcPr>
            <w:tcW w:w="1160" w:type="dxa"/>
            <w:vAlign w:val="bottom"/>
          </w:tcPr>
          <w:p>
            <w:pPr>
              <w:jc w:val="right"/>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4,360</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Loss on extinguishment of debt</w:t>
            </w:r>
          </w:p>
        </w:tc>
        <w:tc>
          <w:tcPr>
            <w:tcW w:w="1160" w:type="dxa"/>
            <w:vAlign w:val="bottom"/>
          </w:tcPr>
          <w:p>
            <w:pPr>
              <w:jc w:val="right"/>
              <w:spacing w:after="0"/>
              <w:rPr>
                <w:sz w:val="20"/>
                <w:szCs w:val="20"/>
                <w:color w:val="auto"/>
              </w:rPr>
            </w:pPr>
            <w:r>
              <w:rPr>
                <w:rFonts w:ascii="Arial" w:cs="Arial" w:eastAsia="Arial" w:hAnsi="Arial"/>
                <w:sz w:val="22"/>
                <w:szCs w:val="22"/>
                <w:color w:val="auto"/>
              </w:rPr>
              <w:t>748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Deferred income tax benefit</w:t>
            </w:r>
          </w:p>
        </w:tc>
        <w:tc>
          <w:tcPr>
            <w:tcW w:w="1160" w:type="dxa"/>
            <w:vAlign w:val="bottom"/>
          </w:tcPr>
          <w:p>
            <w:pPr>
              <w:jc w:val="right"/>
              <w:spacing w:after="0"/>
              <w:rPr>
                <w:sz w:val="20"/>
                <w:szCs w:val="20"/>
                <w:color w:val="auto"/>
              </w:rPr>
            </w:pPr>
            <w:r>
              <w:rPr>
                <w:rFonts w:ascii="Arial" w:cs="Arial" w:eastAsia="Arial" w:hAnsi="Arial"/>
                <w:sz w:val="22"/>
                <w:szCs w:val="22"/>
                <w:color w:val="auto"/>
              </w:rPr>
              <w:t>(29,272)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(11,026)</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Non-cash compensation charge</w:t>
            </w:r>
          </w:p>
        </w:tc>
        <w:tc>
          <w:tcPr>
            <w:tcW w:w="1160" w:type="dxa"/>
            <w:vAlign w:val="bottom"/>
          </w:tcPr>
          <w:p>
            <w:pPr>
              <w:jc w:val="right"/>
              <w:spacing w:after="0"/>
              <w:rPr>
                <w:sz w:val="20"/>
                <w:szCs w:val="20"/>
                <w:color w:val="auto"/>
              </w:rPr>
            </w:pPr>
            <w:r>
              <w:rPr>
                <w:rFonts w:ascii="Arial" w:cs="Arial" w:eastAsia="Arial" w:hAnsi="Arial"/>
                <w:sz w:val="22"/>
                <w:szCs w:val="22"/>
                <w:color w:val="auto"/>
              </w:rPr>
              <w:t>7,804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5,481</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Gains on disposals of assets</w:t>
            </w:r>
          </w:p>
        </w:tc>
        <w:tc>
          <w:tcPr>
            <w:tcW w:w="1160" w:type="dxa"/>
            <w:vAlign w:val="bottom"/>
          </w:tcPr>
          <w:p>
            <w:pPr>
              <w:jc w:val="right"/>
              <w:spacing w:after="0"/>
              <w:rPr>
                <w:sz w:val="20"/>
                <w:szCs w:val="20"/>
                <w:color w:val="auto"/>
              </w:rPr>
            </w:pPr>
            <w:r>
              <w:rPr>
                <w:rFonts w:ascii="Arial" w:cs="Arial" w:eastAsia="Arial" w:hAnsi="Arial"/>
                <w:sz w:val="22"/>
                <w:szCs w:val="22"/>
                <w:color w:val="auto"/>
              </w:rPr>
              <w:t>(2,714)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(1,193)</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Provision (benefit) for loss on receivables, net of recoveries</w:t>
            </w:r>
          </w:p>
        </w:tc>
        <w:tc>
          <w:tcPr>
            <w:tcW w:w="1160" w:type="dxa"/>
            <w:vAlign w:val="bottom"/>
          </w:tcPr>
          <w:p>
            <w:pPr>
              <w:jc w:val="right"/>
              <w:spacing w:after="0"/>
              <w:rPr>
                <w:sz w:val="20"/>
                <w:szCs w:val="20"/>
                <w:color w:val="auto"/>
              </w:rPr>
            </w:pPr>
            <w:r>
              <w:rPr>
                <w:rFonts w:ascii="Arial" w:cs="Arial" w:eastAsia="Arial" w:hAnsi="Arial"/>
                <w:sz w:val="22"/>
                <w:szCs w:val="22"/>
                <w:color w:val="auto"/>
              </w:rPr>
              <w:t>(106)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160" w:type="dxa"/>
            <w:vAlign w:val="bottom"/>
          </w:tcPr>
          <w:p>
            <w:pPr>
              <w:jc w:val="right"/>
              <w:spacing w:after="0"/>
              <w:rPr>
                <w:sz w:val="20"/>
                <w:szCs w:val="20"/>
                <w:color w:val="auto"/>
              </w:rPr>
            </w:pPr>
            <w:r>
              <w:rPr>
                <w:rFonts w:ascii="Arial" w:cs="Arial" w:eastAsia="Arial" w:hAnsi="Arial"/>
                <w:sz w:val="22"/>
                <w:szCs w:val="22"/>
                <w:color w:val="auto"/>
              </w:rPr>
              <w:t>3,959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3,307</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Changes in operating assets and liabilities: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900" w:type="dxa"/>
            <w:vAlign w:val="bottom"/>
          </w:tcPr>
          <w:p>
            <w:pPr>
              <w:ind w:left="260"/>
              <w:spacing w:after="0"/>
              <w:rPr>
                <w:sz w:val="20"/>
                <w:szCs w:val="20"/>
                <w:color w:val="auto"/>
              </w:rPr>
            </w:pPr>
            <w:r>
              <w:rPr>
                <w:rFonts w:ascii="Arial" w:cs="Arial" w:eastAsia="Arial" w:hAnsi="Arial"/>
                <w:sz w:val="22"/>
                <w:szCs w:val="22"/>
                <w:color w:val="auto"/>
              </w:rPr>
              <w:t>Accounts receivable</w:t>
            </w:r>
          </w:p>
        </w:tc>
        <w:tc>
          <w:tcPr>
            <w:tcW w:w="1160" w:type="dxa"/>
            <w:vAlign w:val="bottom"/>
          </w:tcPr>
          <w:p>
            <w:pPr>
              <w:jc w:val="right"/>
              <w:spacing w:after="0"/>
              <w:rPr>
                <w:sz w:val="20"/>
                <w:szCs w:val="20"/>
                <w:color w:val="auto"/>
              </w:rPr>
            </w:pPr>
            <w:r>
              <w:rPr>
                <w:rFonts w:ascii="Arial" w:cs="Arial" w:eastAsia="Arial" w:hAnsi="Arial"/>
                <w:sz w:val="22"/>
                <w:szCs w:val="22"/>
                <w:color w:val="auto"/>
              </w:rPr>
              <w:t>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(2,845)</w:t>
            </w:r>
          </w:p>
        </w:tc>
      </w:tr>
      <w:tr>
        <w:trPr>
          <w:trHeight w:val="270"/>
        </w:trPr>
        <w:tc>
          <w:tcPr>
            <w:tcW w:w="8900" w:type="dxa"/>
            <w:vAlign w:val="bottom"/>
          </w:tcPr>
          <w:p>
            <w:pPr>
              <w:ind w:left="260"/>
              <w:spacing w:after="0"/>
              <w:rPr>
                <w:sz w:val="20"/>
                <w:szCs w:val="20"/>
                <w:color w:val="auto"/>
              </w:rPr>
            </w:pPr>
            <w:r>
              <w:rPr>
                <w:rFonts w:ascii="Arial" w:cs="Arial" w:eastAsia="Arial" w:hAnsi="Arial"/>
                <w:sz w:val="22"/>
                <w:szCs w:val="22"/>
                <w:color w:val="auto"/>
              </w:rPr>
              <w:t>Inventories</w:t>
            </w:r>
          </w:p>
        </w:tc>
        <w:tc>
          <w:tcPr>
            <w:tcW w:w="1160" w:type="dxa"/>
            <w:vAlign w:val="bottom"/>
          </w:tcPr>
          <w:p>
            <w:pPr>
              <w:jc w:val="right"/>
              <w:spacing w:after="0"/>
              <w:rPr>
                <w:sz w:val="20"/>
                <w:szCs w:val="20"/>
                <w:color w:val="auto"/>
              </w:rPr>
            </w:pPr>
            <w:r>
              <w:rPr>
                <w:rFonts w:ascii="Arial" w:cs="Arial" w:eastAsia="Arial" w:hAnsi="Arial"/>
                <w:sz w:val="22"/>
                <w:szCs w:val="22"/>
                <w:color w:val="auto"/>
              </w:rPr>
              <w:t>1,342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(1,507)</w:t>
            </w:r>
          </w:p>
        </w:tc>
      </w:tr>
      <w:tr>
        <w:trPr>
          <w:trHeight w:val="270"/>
        </w:trPr>
        <w:tc>
          <w:tcPr>
            <w:tcW w:w="8900" w:type="dxa"/>
            <w:vAlign w:val="bottom"/>
          </w:tcPr>
          <w:p>
            <w:pPr>
              <w:ind w:left="260"/>
              <w:spacing w:after="0"/>
              <w:rPr>
                <w:sz w:val="20"/>
                <w:szCs w:val="20"/>
                <w:color w:val="auto"/>
              </w:rPr>
            </w:pPr>
            <w:r>
              <w:rPr>
                <w:rFonts w:ascii="Arial" w:cs="Arial" w:eastAsia="Arial" w:hAnsi="Arial"/>
                <w:sz w:val="22"/>
                <w:szCs w:val="22"/>
                <w:color w:val="auto"/>
              </w:rPr>
              <w:t>Accounts payable and accrued liabilities</w:t>
            </w:r>
          </w:p>
        </w:tc>
        <w:tc>
          <w:tcPr>
            <w:tcW w:w="1160" w:type="dxa"/>
            <w:vAlign w:val="bottom"/>
          </w:tcPr>
          <w:p>
            <w:pPr>
              <w:jc w:val="right"/>
              <w:spacing w:after="0"/>
              <w:rPr>
                <w:sz w:val="20"/>
                <w:szCs w:val="20"/>
                <w:color w:val="auto"/>
              </w:rPr>
            </w:pPr>
            <w:r>
              <w:rPr>
                <w:rFonts w:ascii="Arial" w:cs="Arial" w:eastAsia="Arial" w:hAnsi="Arial"/>
                <w:sz w:val="22"/>
                <w:szCs w:val="22"/>
                <w:color w:val="auto"/>
              </w:rPr>
              <w:t>(10,787)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5,910</w:t>
            </w:r>
          </w:p>
        </w:tc>
      </w:tr>
      <w:tr>
        <w:trPr>
          <w:trHeight w:val="270"/>
        </w:trPr>
        <w:tc>
          <w:tcPr>
            <w:tcW w:w="8900" w:type="dxa"/>
            <w:vAlign w:val="bottom"/>
          </w:tcPr>
          <w:p>
            <w:pPr>
              <w:ind w:left="260"/>
              <w:spacing w:after="0"/>
              <w:rPr>
                <w:sz w:val="20"/>
                <w:szCs w:val="20"/>
                <w:color w:val="auto"/>
              </w:rPr>
            </w:pPr>
            <w:r>
              <w:rPr>
                <w:rFonts w:ascii="Arial" w:cs="Arial" w:eastAsia="Arial" w:hAnsi="Arial"/>
                <w:sz w:val="22"/>
                <w:szCs w:val="22"/>
                <w:color w:val="auto"/>
              </w:rPr>
              <w:t>Taxes payable</w:t>
            </w:r>
          </w:p>
        </w:tc>
        <w:tc>
          <w:tcPr>
            <w:tcW w:w="1160" w:type="dxa"/>
            <w:vAlign w:val="bottom"/>
          </w:tcPr>
          <w:p>
            <w:pPr>
              <w:jc w:val="right"/>
              <w:spacing w:after="0"/>
              <w:rPr>
                <w:sz w:val="20"/>
                <w:szCs w:val="20"/>
                <w:color w:val="auto"/>
              </w:rPr>
            </w:pPr>
            <w:r>
              <w:rPr>
                <w:rFonts w:ascii="Arial" w:cs="Arial" w:eastAsia="Arial" w:hAnsi="Arial"/>
                <w:sz w:val="22"/>
                <w:szCs w:val="22"/>
                <w:color w:val="auto"/>
              </w:rPr>
              <w:t>939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9,928</w:t>
            </w:r>
          </w:p>
        </w:tc>
      </w:tr>
      <w:tr>
        <w:trPr>
          <w:trHeight w:val="275"/>
        </w:trPr>
        <w:tc>
          <w:tcPr>
            <w:tcW w:w="8900" w:type="dxa"/>
            <w:vAlign w:val="bottom"/>
          </w:tcPr>
          <w:p>
            <w:pPr>
              <w:ind w:left="260"/>
              <w:spacing w:after="0"/>
              <w:rPr>
                <w:sz w:val="20"/>
                <w:szCs w:val="20"/>
                <w:color w:val="auto"/>
              </w:rPr>
            </w:pPr>
            <w:r>
              <w:rPr>
                <w:rFonts w:ascii="Arial" w:cs="Arial" w:eastAsia="Arial" w:hAnsi="Arial"/>
                <w:sz w:val="22"/>
                <w:szCs w:val="22"/>
                <w:color w:val="auto"/>
              </w:rPr>
              <w:t>Other current assets and liabilities,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(5,716)</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(7,032)</w:t>
            </w:r>
          </w:p>
        </w:tc>
      </w:tr>
      <w:tr>
        <w:trPr>
          <w:trHeight w:val="272"/>
        </w:trPr>
        <w:tc>
          <w:tcPr>
            <w:tcW w:w="890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1160" w:type="dxa"/>
            <w:vAlign w:val="bottom"/>
          </w:tcPr>
          <w:p>
            <w:pPr>
              <w:jc w:val="right"/>
              <w:spacing w:after="0"/>
              <w:rPr>
                <w:sz w:val="20"/>
                <w:szCs w:val="20"/>
                <w:color w:val="auto"/>
              </w:rPr>
            </w:pPr>
            <w:r>
              <w:rPr>
                <w:rFonts w:ascii="Arial" w:cs="Arial" w:eastAsia="Arial" w:hAnsi="Arial"/>
                <w:sz w:val="22"/>
                <w:szCs w:val="22"/>
                <w:color w:val="auto"/>
              </w:rPr>
              <w:t>25,862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45,525</w:t>
            </w:r>
          </w:p>
        </w:tc>
      </w:tr>
      <w:tr>
        <w:trPr>
          <w:trHeight w:val="528"/>
        </w:trPr>
        <w:tc>
          <w:tcPr>
            <w:tcW w:w="890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Payments related to acquisitions, net of cash acquired</w:t>
            </w:r>
          </w:p>
        </w:tc>
        <w:tc>
          <w:tcPr>
            <w:tcW w:w="1160" w:type="dxa"/>
            <w:vAlign w:val="bottom"/>
          </w:tcPr>
          <w:p>
            <w:pPr>
              <w:jc w:val="right"/>
              <w:spacing w:after="0"/>
              <w:rPr>
                <w:sz w:val="20"/>
                <w:szCs w:val="20"/>
                <w:color w:val="auto"/>
              </w:rPr>
            </w:pPr>
            <w:r>
              <w:rPr>
                <w:rFonts w:ascii="Arial" w:cs="Arial" w:eastAsia="Arial" w:hAnsi="Arial"/>
                <w:sz w:val="22"/>
                <w:szCs w:val="22"/>
                <w:color w:val="auto"/>
              </w:rPr>
              <w:t>(181,589)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1160" w:type="dxa"/>
            <w:vAlign w:val="bottom"/>
          </w:tcPr>
          <w:p>
            <w:pPr>
              <w:jc w:val="right"/>
              <w:spacing w:after="0"/>
              <w:rPr>
                <w:sz w:val="20"/>
                <w:szCs w:val="20"/>
                <w:color w:val="auto"/>
              </w:rPr>
            </w:pPr>
            <w:r>
              <w:rPr>
                <w:rFonts w:ascii="Arial" w:cs="Arial" w:eastAsia="Arial" w:hAnsi="Arial"/>
                <w:sz w:val="22"/>
                <w:szCs w:val="22"/>
                <w:color w:val="auto"/>
              </w:rPr>
              <w:t>(8,666)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(8,020)</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1160" w:type="dxa"/>
            <w:vAlign w:val="bottom"/>
          </w:tcPr>
          <w:p>
            <w:pPr>
              <w:jc w:val="right"/>
              <w:spacing w:after="0"/>
              <w:rPr>
                <w:sz w:val="20"/>
                <w:szCs w:val="20"/>
                <w:color w:val="auto"/>
              </w:rPr>
            </w:pPr>
            <w:r>
              <w:rPr>
                <w:rFonts w:ascii="Arial" w:cs="Arial" w:eastAsia="Arial" w:hAnsi="Arial"/>
                <w:sz w:val="22"/>
                <w:szCs w:val="22"/>
                <w:color w:val="auto"/>
              </w:rPr>
              <w:t>4,038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1,625</w:t>
            </w:r>
          </w:p>
        </w:tc>
      </w:tr>
      <w:tr>
        <w:trPr>
          <w:trHeight w:val="275"/>
        </w:trPr>
        <w:tc>
          <w:tcPr>
            <w:tcW w:w="8900" w:type="dxa"/>
            <w:vAlign w:val="bottom"/>
          </w:tcPr>
          <w:p>
            <w:pPr>
              <w:ind w:left="120"/>
              <w:spacing w:after="0"/>
              <w:rPr>
                <w:sz w:val="20"/>
                <w:szCs w:val="20"/>
                <w:color w:val="auto"/>
              </w:rPr>
            </w:pPr>
            <w:r>
              <w:rPr>
                <w:rFonts w:ascii="Arial" w:cs="Arial" w:eastAsia="Arial" w:hAnsi="Arial"/>
                <w:sz w:val="22"/>
                <w:szCs w:val="22"/>
                <w:color w:val="auto"/>
              </w:rPr>
              <w:t>Other,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548</w:t>
            </w:r>
          </w:p>
        </w:tc>
      </w:tr>
      <w:tr>
        <w:trPr>
          <w:trHeight w:val="272"/>
        </w:trPr>
        <w:tc>
          <w:tcPr>
            <w:tcW w:w="890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1160" w:type="dxa"/>
            <w:vAlign w:val="bottom"/>
          </w:tcPr>
          <w:p>
            <w:pPr>
              <w:jc w:val="right"/>
              <w:spacing w:after="0"/>
              <w:rPr>
                <w:sz w:val="20"/>
                <w:szCs w:val="20"/>
                <w:color w:val="auto"/>
              </w:rPr>
            </w:pPr>
            <w:r>
              <w:rPr>
                <w:rFonts w:ascii="Arial" w:cs="Arial" w:eastAsia="Arial" w:hAnsi="Arial"/>
                <w:sz w:val="22"/>
                <w:szCs w:val="22"/>
                <w:color w:val="auto"/>
              </w:rPr>
              <w:t>(186,106)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(5,847)</w:t>
            </w:r>
          </w:p>
        </w:tc>
      </w:tr>
      <w:tr>
        <w:trPr>
          <w:trHeight w:val="528"/>
        </w:trPr>
        <w:tc>
          <w:tcPr>
            <w:tcW w:w="890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Proceeds from issuance of common stock</w:t>
            </w: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64,817</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Term loan repayments</w:t>
            </w:r>
          </w:p>
        </w:tc>
        <w:tc>
          <w:tcPr>
            <w:tcW w:w="1160" w:type="dxa"/>
            <w:vAlign w:val="bottom"/>
          </w:tcPr>
          <w:p>
            <w:pPr>
              <w:jc w:val="right"/>
              <w:spacing w:after="0"/>
              <w:rPr>
                <w:sz w:val="20"/>
                <w:szCs w:val="20"/>
                <w:color w:val="auto"/>
              </w:rPr>
            </w:pPr>
            <w:r>
              <w:rPr>
                <w:rFonts w:ascii="Arial" w:cs="Arial" w:eastAsia="Arial" w:hAnsi="Arial"/>
                <w:sz w:val="22"/>
                <w:szCs w:val="22"/>
                <w:color w:val="auto"/>
              </w:rPr>
              <w:t>(18,177)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(12,214)</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Revolving credit borrowings (repayments), net</w:t>
            </w:r>
          </w:p>
        </w:tc>
        <w:tc>
          <w:tcPr>
            <w:tcW w:w="1160" w:type="dxa"/>
            <w:vAlign w:val="bottom"/>
          </w:tcPr>
          <w:p>
            <w:pPr>
              <w:jc w:val="right"/>
              <w:spacing w:after="0"/>
              <w:rPr>
                <w:sz w:val="20"/>
                <w:szCs w:val="20"/>
                <w:color w:val="auto"/>
              </w:rPr>
            </w:pPr>
            <w:r>
              <w:rPr>
                <w:rFonts w:ascii="Arial" w:cs="Arial" w:eastAsia="Arial" w:hAnsi="Arial"/>
                <w:sz w:val="22"/>
                <w:szCs w:val="22"/>
                <w:color w:val="auto"/>
              </w:rPr>
              <w:t>155,410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(39,937)</w:t>
            </w:r>
          </w:p>
        </w:tc>
      </w:tr>
      <w:tr>
        <w:trPr>
          <w:trHeight w:val="270"/>
        </w:trPr>
        <w:tc>
          <w:tcPr>
            <w:tcW w:w="8900" w:type="dxa"/>
            <w:vAlign w:val="bottom"/>
          </w:tcPr>
          <w:p>
            <w:pPr>
              <w:ind w:left="120"/>
              <w:spacing w:after="0"/>
              <w:rPr>
                <w:sz w:val="20"/>
                <w:szCs w:val="20"/>
                <w:color w:val="auto"/>
              </w:rPr>
            </w:pPr>
            <w:r>
              <w:rPr>
                <w:rFonts w:ascii="Arial" w:cs="Arial" w:eastAsia="Arial" w:hAnsi="Arial"/>
                <w:sz w:val="22"/>
                <w:szCs w:val="22"/>
                <w:color w:val="auto"/>
              </w:rPr>
              <w:t>Debt issuance costs</w:t>
            </w:r>
          </w:p>
        </w:tc>
        <w:tc>
          <w:tcPr>
            <w:tcW w:w="1160" w:type="dxa"/>
            <w:vAlign w:val="bottom"/>
          </w:tcPr>
          <w:p>
            <w:pPr>
              <w:jc w:val="right"/>
              <w:spacing w:after="0"/>
              <w:rPr>
                <w:sz w:val="20"/>
                <w:szCs w:val="20"/>
                <w:color w:val="auto"/>
              </w:rPr>
            </w:pPr>
            <w:r>
              <w:rPr>
                <w:rFonts w:ascii="Arial" w:cs="Arial" w:eastAsia="Arial" w:hAnsi="Arial"/>
                <w:sz w:val="22"/>
                <w:szCs w:val="22"/>
                <w:color w:val="auto"/>
              </w:rPr>
              <w:t>(2,742)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(1,795)</w:t>
            </w:r>
          </w:p>
        </w:tc>
      </w:tr>
      <w:tr>
        <w:trPr>
          <w:trHeight w:val="275"/>
        </w:trPr>
        <w:tc>
          <w:tcPr>
            <w:tcW w:w="8900" w:type="dxa"/>
            <w:vAlign w:val="bottom"/>
          </w:tcPr>
          <w:p>
            <w:pPr>
              <w:ind w:left="120"/>
              <w:spacing w:after="0"/>
              <w:rPr>
                <w:sz w:val="20"/>
                <w:szCs w:val="20"/>
                <w:color w:val="auto"/>
              </w:rPr>
            </w:pPr>
            <w:r>
              <w:rPr>
                <w:rFonts w:ascii="Arial" w:cs="Arial" w:eastAsia="Arial" w:hAnsi="Arial"/>
                <w:sz w:val="22"/>
                <w:szCs w:val="22"/>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(632)</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r>
      <w:tr>
        <w:trPr>
          <w:trHeight w:val="272"/>
        </w:trPr>
        <w:tc>
          <w:tcPr>
            <w:tcW w:w="8900" w:type="dxa"/>
            <w:vAlign w:val="bottom"/>
          </w:tcPr>
          <w:p>
            <w:pPr>
              <w:ind w:left="400"/>
              <w:spacing w:after="0"/>
              <w:rPr>
                <w:sz w:val="20"/>
                <w:szCs w:val="20"/>
                <w:color w:val="auto"/>
              </w:rPr>
            </w:pPr>
            <w:r>
              <w:rPr>
                <w:rFonts w:ascii="Arial" w:cs="Arial" w:eastAsia="Arial" w:hAnsi="Arial"/>
                <w:sz w:val="22"/>
                <w:szCs w:val="22"/>
                <w:color w:val="auto"/>
              </w:rPr>
              <w:t>Net cash flows provided by financing activities</w:t>
            </w:r>
          </w:p>
        </w:tc>
        <w:tc>
          <w:tcPr>
            <w:tcW w:w="1160" w:type="dxa"/>
            <w:vAlign w:val="bottom"/>
          </w:tcPr>
          <w:p>
            <w:pPr>
              <w:jc w:val="right"/>
              <w:spacing w:after="0"/>
              <w:rPr>
                <w:sz w:val="20"/>
                <w:szCs w:val="20"/>
                <w:color w:val="auto"/>
              </w:rPr>
            </w:pPr>
            <w:r>
              <w:rPr>
                <w:rFonts w:ascii="Arial" w:cs="Arial" w:eastAsia="Arial" w:hAnsi="Arial"/>
                <w:sz w:val="22"/>
                <w:szCs w:val="22"/>
                <w:color w:val="auto"/>
              </w:rPr>
              <w:t>133,859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10,578</w:t>
            </w:r>
          </w:p>
        </w:tc>
      </w:tr>
    </w:tbl>
    <w:p>
      <w:pPr>
        <w:sectPr>
          <w:pgSz w:w="11900" w:h="16838" w:orient="portrait"/>
          <w:cols w:equalWidth="0" w:num="1">
            <w:col w:w="11400"/>
          </w:cols>
          <w:pgMar w:left="26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90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(1,722)</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1,961</w:t>
            </w:r>
          </w:p>
        </w:tc>
      </w:tr>
      <w:tr>
        <w:trPr>
          <w:trHeight w:val="272"/>
        </w:trPr>
        <w:tc>
          <w:tcPr>
            <w:tcW w:w="890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(28,107)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52,217</w:t>
            </w:r>
          </w:p>
        </w:tc>
      </w:tr>
      <w:tr>
        <w:trPr>
          <w:trHeight w:val="532"/>
        </w:trPr>
        <w:tc>
          <w:tcPr>
            <w:tcW w:w="890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32,647</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1,785</w:t>
            </w:r>
          </w:p>
        </w:tc>
      </w:tr>
      <w:tr>
        <w:trPr>
          <w:trHeight w:val="274"/>
        </w:trPr>
        <w:tc>
          <w:tcPr>
            <w:tcW w:w="8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64"/>
        </w:trPr>
        <w:tc>
          <w:tcPr>
            <w:tcW w:w="890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4,540</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54,002</w:t>
            </w:r>
          </w:p>
        </w:tc>
      </w:tr>
      <w:tr>
        <w:trPr>
          <w:trHeight w:val="21"/>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jc w:val="center"/>
              <w:ind w:right="460"/>
              <w:spacing w:after="0"/>
              <w:rPr>
                <w:sz w:val="20"/>
                <w:szCs w:val="20"/>
                <w:color w:val="auto"/>
              </w:rPr>
            </w:pPr>
            <w:r>
              <w:rPr>
                <w:rFonts w:ascii="Arial" w:cs="Arial" w:eastAsia="Arial" w:hAnsi="Arial"/>
                <w:sz w:val="22"/>
                <w:szCs w:val="22"/>
                <w:b w:val="1"/>
                <w:bCs w:val="1"/>
                <w:color w:val="auto"/>
                <w:w w:val="99"/>
              </w:rPr>
              <w:t>THREE MONTHS ENDED</w:t>
            </w:r>
          </w:p>
        </w:tc>
        <w:tc>
          <w:tcPr>
            <w:tcW w:w="440" w:type="dxa"/>
            <w:vAlign w:val="bottom"/>
          </w:tcPr>
          <w:p>
            <w:pPr>
              <w:spacing w:after="0"/>
              <w:rPr>
                <w:sz w:val="21"/>
                <w:szCs w:val="21"/>
                <w:color w:val="auto"/>
              </w:rPr>
            </w:pPr>
          </w:p>
        </w:tc>
        <w:tc>
          <w:tcPr>
            <w:tcW w:w="328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360" w:type="dxa"/>
            <w:vAlign w:val="bottom"/>
            <w:gridSpan w:val="5"/>
          </w:tcPr>
          <w:p>
            <w:pPr>
              <w:jc w:val="center"/>
              <w:ind w:right="460"/>
              <w:spacing w:after="0"/>
              <w:rPr>
                <w:sz w:val="20"/>
                <w:szCs w:val="20"/>
                <w:color w:val="auto"/>
              </w:rPr>
            </w:pPr>
            <w:r>
              <w:rPr>
                <w:rFonts w:ascii="Arial" w:cs="Arial" w:eastAsia="Arial" w:hAnsi="Arial"/>
                <w:sz w:val="22"/>
                <w:szCs w:val="22"/>
                <w:b w:val="1"/>
                <w:bCs w:val="1"/>
                <w:color w:val="auto"/>
                <w:w w:val="95"/>
              </w:rPr>
              <w:t>SEPTEMBER 30,</w:t>
            </w:r>
          </w:p>
        </w:tc>
        <w:tc>
          <w:tcPr>
            <w:tcW w:w="440" w:type="dxa"/>
            <w:vAlign w:val="bottom"/>
          </w:tcPr>
          <w:p>
            <w:pPr>
              <w:spacing w:after="0"/>
              <w:rPr>
                <w:sz w:val="23"/>
                <w:szCs w:val="23"/>
                <w:color w:val="auto"/>
              </w:rPr>
            </w:pPr>
          </w:p>
        </w:tc>
        <w:tc>
          <w:tcPr>
            <w:tcW w:w="3280" w:type="dxa"/>
            <w:vAlign w:val="bottom"/>
            <w:gridSpan w:val="4"/>
          </w:tcPr>
          <w:p>
            <w:pPr>
              <w:jc w:val="right"/>
              <w:ind w:right="932"/>
              <w:spacing w:after="0"/>
              <w:rPr>
                <w:sz w:val="20"/>
                <w:szCs w:val="20"/>
                <w:color w:val="auto"/>
              </w:rPr>
            </w:pPr>
            <w:r>
              <w:rPr>
                <w:rFonts w:ascii="Arial" w:cs="Arial" w:eastAsia="Arial" w:hAnsi="Arial"/>
                <w:sz w:val="22"/>
                <w:szCs w:val="22"/>
                <w:b w:val="1"/>
                <w:bCs w:val="1"/>
                <w:color w:val="auto"/>
              </w:rPr>
              <w:t>SEPTEMBER 30,</w:t>
            </w:r>
          </w:p>
        </w:tc>
        <w:tc>
          <w:tcPr>
            <w:tcW w:w="0" w:type="dxa"/>
            <w:vAlign w:val="bottom"/>
          </w:tcPr>
          <w:p>
            <w:pPr>
              <w:spacing w:after="0"/>
              <w:rPr>
                <w:sz w:val="1"/>
                <w:szCs w:val="1"/>
                <w:color w:val="auto"/>
              </w:rPr>
            </w:pPr>
          </w:p>
        </w:tc>
      </w:tr>
      <w:tr>
        <w:trPr>
          <w:trHeight w:val="281"/>
        </w:trPr>
        <w:tc>
          <w:tcPr>
            <w:tcW w:w="3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2018</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59"/>
        </w:trPr>
        <w:tc>
          <w:tcPr>
            <w:tcW w:w="3940" w:type="dxa"/>
            <w:vAlign w:val="bottom"/>
          </w:tcPr>
          <w:p>
            <w:pPr>
              <w:spacing w:after="0"/>
              <w:rPr>
                <w:sz w:val="20"/>
                <w:szCs w:val="20"/>
                <w:color w:val="auto"/>
              </w:rPr>
            </w:pPr>
            <w:r>
              <w:rPr>
                <w:rFonts w:ascii="Arial" w:cs="Arial" w:eastAsia="Arial" w:hAnsi="Arial"/>
                <w:sz w:val="22"/>
                <w:szCs w:val="22"/>
                <w:color w:val="auto"/>
              </w:rPr>
              <w:t>Revenues</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76,753</w:t>
            </w:r>
          </w:p>
        </w:tc>
        <w:tc>
          <w:tcPr>
            <w:tcW w:w="160" w:type="dxa"/>
            <w:vAlign w:val="bottom"/>
          </w:tcPr>
          <w:p>
            <w:pPr>
              <w:spacing w:after="0"/>
              <w:rPr>
                <w:sz w:val="23"/>
                <w:szCs w:val="23"/>
                <w:color w:val="auto"/>
              </w:rPr>
            </w:pPr>
          </w:p>
        </w:tc>
        <w:tc>
          <w:tcPr>
            <w:tcW w:w="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63,832</w:t>
            </w:r>
          </w:p>
        </w:tc>
        <w:tc>
          <w:tcPr>
            <w:tcW w:w="100" w:type="dxa"/>
            <w:vAlign w:val="bottom"/>
          </w:tcPr>
          <w:p>
            <w:pPr>
              <w:spacing w:after="0"/>
              <w:rPr>
                <w:sz w:val="23"/>
                <w:szCs w:val="23"/>
                <w:color w:val="auto"/>
              </w:rPr>
            </w:pP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226,661</w:t>
            </w:r>
          </w:p>
        </w:tc>
        <w:tc>
          <w:tcPr>
            <w:tcW w:w="160" w:type="dxa"/>
            <w:vAlign w:val="bottom"/>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182,006</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31,090</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27,541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89,542</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83,164</w:t>
            </w:r>
          </w:p>
        </w:tc>
        <w:tc>
          <w:tcPr>
            <w:tcW w:w="0" w:type="dxa"/>
            <w:vAlign w:val="bottom"/>
          </w:tcPr>
          <w:p>
            <w:pPr>
              <w:spacing w:after="0"/>
              <w:rPr>
                <w:sz w:val="1"/>
                <w:szCs w:val="1"/>
                <w:color w:val="auto"/>
              </w:rPr>
            </w:pPr>
          </w:p>
        </w:tc>
      </w:tr>
      <w:tr>
        <w:trPr>
          <w:trHeight w:val="276"/>
        </w:trPr>
        <w:tc>
          <w:tcPr>
            <w:tcW w:w="39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12,648</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6,116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35,969</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15,758</w:t>
            </w:r>
          </w:p>
        </w:tc>
        <w:tc>
          <w:tcPr>
            <w:tcW w:w="0" w:type="dxa"/>
            <w:vAlign w:val="bottom"/>
          </w:tcPr>
          <w:p>
            <w:pPr>
              <w:spacing w:after="0"/>
              <w:rPr>
                <w:sz w:val="1"/>
                <w:szCs w:val="1"/>
                <w:color w:val="auto"/>
              </w:rPr>
            </w:pPr>
          </w:p>
        </w:tc>
      </w:tr>
      <w:tr>
        <w:trPr>
          <w:trHeight w:val="265"/>
        </w:trPr>
        <w:tc>
          <w:tcPr>
            <w:tcW w:w="3940" w:type="dxa"/>
            <w:vAlign w:val="bottom"/>
          </w:tcPr>
          <w:p>
            <w:pPr>
              <w:ind w:left="400"/>
              <w:spacing w:after="0"/>
              <w:rPr>
                <w:sz w:val="20"/>
                <w:szCs w:val="20"/>
                <w:color w:val="auto"/>
              </w:rPr>
            </w:pPr>
            <w:r>
              <w:rPr>
                <w:rFonts w:ascii="Arial" w:cs="Arial" w:eastAsia="Arial" w:hAnsi="Arial"/>
                <w:sz w:val="22"/>
                <w:szCs w:val="22"/>
                <w:color w:val="auto"/>
              </w:rPr>
              <w:t>Total revenues</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120,491</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97,489</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352,172</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280,928</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16,094</w:t>
            </w:r>
          </w:p>
        </w:tc>
        <w:tc>
          <w:tcPr>
            <w:tcW w:w="160" w:type="dxa"/>
            <w:vAlign w:val="bottom"/>
          </w:tcPr>
          <w:p>
            <w:pPr>
              <w:spacing w:after="0"/>
              <w:rPr>
                <w:sz w:val="23"/>
                <w:szCs w:val="23"/>
                <w:color w:val="auto"/>
              </w:rPr>
            </w:pPr>
          </w:p>
        </w:tc>
        <w:tc>
          <w:tcPr>
            <w:tcW w:w="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11,201</w:t>
            </w:r>
          </w:p>
        </w:tc>
        <w:tc>
          <w:tcPr>
            <w:tcW w:w="100" w:type="dxa"/>
            <w:vAlign w:val="bottom"/>
          </w:tcPr>
          <w:p>
            <w:pPr>
              <w:spacing w:after="0"/>
              <w:rPr>
                <w:sz w:val="23"/>
                <w:szCs w:val="23"/>
                <w:color w:val="auto"/>
              </w:rPr>
            </w:pP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13,092</w:t>
            </w:r>
          </w:p>
        </w:tc>
        <w:tc>
          <w:tcPr>
            <w:tcW w:w="160" w:type="dxa"/>
            <w:vAlign w:val="bottom"/>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39,099</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12,426</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9,673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33,062</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31,104</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2,414</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3,658</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(4,278)</w:t>
            </w:r>
          </w:p>
        </w:tc>
        <w:tc>
          <w:tcPr>
            <w:tcW w:w="0" w:type="dxa"/>
            <w:vAlign w:val="bottom"/>
          </w:tcPr>
          <w:p>
            <w:pPr>
              <w:spacing w:after="0"/>
              <w:rPr>
                <w:sz w:val="1"/>
                <w:szCs w:val="1"/>
                <w:color w:val="auto"/>
              </w:rPr>
            </w:pPr>
          </w:p>
        </w:tc>
      </w:tr>
      <w:tr>
        <w:trPr>
          <w:trHeight w:val="276"/>
        </w:trPr>
        <w:tc>
          <w:tcPr>
            <w:tcW w:w="39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(9,046)</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(7,191)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(28,639)</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(20,381)</w:t>
            </w:r>
          </w:p>
        </w:tc>
        <w:tc>
          <w:tcPr>
            <w:tcW w:w="0" w:type="dxa"/>
            <w:vAlign w:val="bottom"/>
          </w:tcPr>
          <w:p>
            <w:pPr>
              <w:spacing w:after="0"/>
              <w:rPr>
                <w:sz w:val="1"/>
                <w:szCs w:val="1"/>
                <w:color w:val="auto"/>
              </w:rPr>
            </w:pPr>
          </w:p>
        </w:tc>
      </w:tr>
      <w:tr>
        <w:trPr>
          <w:trHeight w:val="265"/>
        </w:trPr>
        <w:tc>
          <w:tcPr>
            <w:tcW w:w="3940" w:type="dxa"/>
            <w:vAlign w:val="bottom"/>
          </w:tcPr>
          <w:p>
            <w:pPr>
              <w:ind w:left="400"/>
              <w:spacing w:after="0"/>
              <w:rPr>
                <w:sz w:val="20"/>
                <w:szCs w:val="20"/>
                <w:color w:val="auto"/>
              </w:rPr>
            </w:pPr>
            <w:r>
              <w:rPr>
                <w:rFonts w:ascii="Arial" w:cs="Arial" w:eastAsia="Arial" w:hAnsi="Arial"/>
                <w:sz w:val="22"/>
                <w:szCs w:val="22"/>
                <w:color w:val="auto"/>
              </w:rPr>
              <w:t>Total EBITDA</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21,888</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11,750</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21,173</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45,544</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16,494</w:t>
            </w:r>
          </w:p>
        </w:tc>
        <w:tc>
          <w:tcPr>
            <w:tcW w:w="160" w:type="dxa"/>
            <w:vAlign w:val="bottom"/>
          </w:tcPr>
          <w:p>
            <w:pPr>
              <w:spacing w:after="0"/>
              <w:rPr>
                <w:sz w:val="23"/>
                <w:szCs w:val="23"/>
                <w:color w:val="auto"/>
              </w:rPr>
            </w:pPr>
          </w:p>
        </w:tc>
        <w:tc>
          <w:tcPr>
            <w:tcW w:w="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15,561</w:t>
            </w:r>
          </w:p>
        </w:tc>
        <w:tc>
          <w:tcPr>
            <w:tcW w:w="100" w:type="dxa"/>
            <w:vAlign w:val="bottom"/>
          </w:tcPr>
          <w:p>
            <w:pPr>
              <w:spacing w:after="0"/>
              <w:rPr>
                <w:sz w:val="23"/>
                <w:szCs w:val="23"/>
                <w:color w:val="auto"/>
              </w:rPr>
            </w:pP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44,068</w:t>
            </w:r>
          </w:p>
        </w:tc>
        <w:tc>
          <w:tcPr>
            <w:tcW w:w="160" w:type="dxa"/>
            <w:vAlign w:val="bottom"/>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43,459</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12,426</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9,673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33,062</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31,104</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2,414</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3,658</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(4,278)</w:t>
            </w:r>
          </w:p>
        </w:tc>
        <w:tc>
          <w:tcPr>
            <w:tcW w:w="0" w:type="dxa"/>
            <w:vAlign w:val="bottom"/>
          </w:tcPr>
          <w:p>
            <w:pPr>
              <w:spacing w:after="0"/>
              <w:rPr>
                <w:sz w:val="1"/>
                <w:szCs w:val="1"/>
                <w:color w:val="auto"/>
              </w:rPr>
            </w:pPr>
          </w:p>
        </w:tc>
      </w:tr>
      <w:tr>
        <w:trPr>
          <w:trHeight w:val="276"/>
        </w:trPr>
        <w:tc>
          <w:tcPr>
            <w:tcW w:w="39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(8,982)</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(7,191)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(23,913)</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(20,381)</w:t>
            </w:r>
          </w:p>
        </w:tc>
        <w:tc>
          <w:tcPr>
            <w:tcW w:w="0" w:type="dxa"/>
            <w:vAlign w:val="bottom"/>
          </w:tcPr>
          <w:p>
            <w:pPr>
              <w:spacing w:after="0"/>
              <w:rPr>
                <w:sz w:val="1"/>
                <w:szCs w:val="1"/>
                <w:color w:val="auto"/>
              </w:rPr>
            </w:pPr>
          </w:p>
        </w:tc>
      </w:tr>
      <w:tr>
        <w:trPr>
          <w:trHeight w:val="265"/>
        </w:trPr>
        <w:tc>
          <w:tcPr>
            <w:tcW w:w="3940" w:type="dxa"/>
            <w:vAlign w:val="bottom"/>
          </w:tcPr>
          <w:p>
            <w:pPr>
              <w:ind w:left="400"/>
              <w:spacing w:after="0"/>
              <w:rPr>
                <w:sz w:val="20"/>
                <w:szCs w:val="20"/>
                <w:color w:val="auto"/>
              </w:rPr>
            </w:pPr>
            <w:r>
              <w:rPr>
                <w:rFonts w:ascii="Arial" w:cs="Arial" w:eastAsia="Arial" w:hAnsi="Arial"/>
                <w:sz w:val="22"/>
                <w:szCs w:val="22"/>
                <w:color w:val="auto"/>
              </w:rPr>
              <w:t>Total adjusted EBITDA</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22,352</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16,110</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56,875</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49,904</w:t>
            </w:r>
          </w:p>
        </w:tc>
        <w:tc>
          <w:tcPr>
            <w:tcW w:w="0" w:type="dxa"/>
            <w:vAlign w:val="bottom"/>
          </w:tcPr>
          <w:p>
            <w:pPr>
              <w:spacing w:after="0"/>
              <w:rPr>
                <w:sz w:val="1"/>
                <w:szCs w:val="1"/>
                <w:color w:val="auto"/>
              </w:rPr>
            </w:pPr>
          </w:p>
        </w:tc>
      </w:tr>
      <w:tr>
        <w:trPr>
          <w:trHeight w:val="21"/>
        </w:trPr>
        <w:tc>
          <w:tcPr>
            <w:tcW w:w="39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Canada</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(7,129)</w:t>
            </w:r>
          </w:p>
        </w:tc>
        <w:tc>
          <w:tcPr>
            <w:tcW w:w="160" w:type="dxa"/>
            <w:vAlign w:val="bottom"/>
          </w:tcPr>
          <w:p>
            <w:pPr>
              <w:spacing w:after="0"/>
              <w:rPr>
                <w:sz w:val="23"/>
                <w:szCs w:val="23"/>
                <w:color w:val="auto"/>
              </w:rPr>
            </w:pPr>
          </w:p>
        </w:tc>
        <w:tc>
          <w:tcPr>
            <w:tcW w:w="48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(11,691)</w:t>
            </w:r>
          </w:p>
        </w:tc>
        <w:tc>
          <w:tcPr>
            <w:tcW w:w="100" w:type="dxa"/>
            <w:vAlign w:val="bottom"/>
          </w:tcPr>
          <w:p>
            <w:pPr>
              <w:spacing w:after="0"/>
              <w:rPr>
                <w:sz w:val="23"/>
                <w:szCs w:val="23"/>
                <w:color w:val="auto"/>
              </w:rPr>
            </w:pP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(53,777)</w:t>
            </w:r>
          </w:p>
        </w:tc>
        <w:tc>
          <w:tcPr>
            <w:tcW w:w="160" w:type="dxa"/>
            <w:vAlign w:val="bottom"/>
          </w:tcPr>
          <w:p>
            <w:pPr>
              <w:spacing w:after="0"/>
              <w:rPr>
                <w:sz w:val="23"/>
                <w:szCs w:val="23"/>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(26,283)</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Australia</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472</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(3,667)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(3,793)</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(8,284)</w:t>
            </w:r>
          </w:p>
        </w:tc>
        <w:tc>
          <w:tcPr>
            <w:tcW w:w="0" w:type="dxa"/>
            <w:vAlign w:val="bottom"/>
          </w:tcPr>
          <w:p>
            <w:pPr>
              <w:spacing w:after="0"/>
              <w:rPr>
                <w:sz w:val="1"/>
                <w:szCs w:val="1"/>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22"/>
                <w:szCs w:val="22"/>
                <w:color w:val="auto"/>
              </w:rPr>
              <w:t>United States</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(1,349)</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(3,941)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(6,445)</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(10,347)</w:t>
            </w:r>
          </w:p>
        </w:tc>
        <w:tc>
          <w:tcPr>
            <w:tcW w:w="0" w:type="dxa"/>
            <w:vAlign w:val="bottom"/>
          </w:tcPr>
          <w:p>
            <w:pPr>
              <w:spacing w:after="0"/>
              <w:rPr>
                <w:sz w:val="1"/>
                <w:szCs w:val="1"/>
                <w:color w:val="auto"/>
              </w:rPr>
            </w:pPr>
          </w:p>
        </w:tc>
      </w:tr>
      <w:tr>
        <w:trPr>
          <w:trHeight w:val="276"/>
        </w:trPr>
        <w:tc>
          <w:tcPr>
            <w:tcW w:w="3940" w:type="dxa"/>
            <w:vAlign w:val="bottom"/>
          </w:tcPr>
          <w:p>
            <w:pPr>
              <w:ind w:left="200"/>
              <w:spacing w:after="0"/>
              <w:rPr>
                <w:sz w:val="20"/>
                <w:szCs w:val="20"/>
                <w:color w:val="auto"/>
              </w:rPr>
            </w:pPr>
            <w:r>
              <w:rPr>
                <w:rFonts w:ascii="Arial" w:cs="Arial" w:eastAsia="Arial" w:hAnsi="Arial"/>
                <w:sz w:val="22"/>
                <w:szCs w:val="22"/>
                <w:color w:val="auto"/>
              </w:rPr>
              <w:t>Corporate and eliminations</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(4,889)</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(16,896)</w:t>
            </w: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(7,529)</w:t>
            </w:r>
          </w:p>
        </w:tc>
        <w:tc>
          <w:tcPr>
            <w:tcW w:w="0" w:type="dxa"/>
            <w:vAlign w:val="bottom"/>
          </w:tcPr>
          <w:p>
            <w:pPr>
              <w:spacing w:after="0"/>
              <w:rPr>
                <w:sz w:val="1"/>
                <w:szCs w:val="1"/>
                <w:color w:val="auto"/>
              </w:rPr>
            </w:pPr>
          </w:p>
        </w:tc>
      </w:tr>
      <w:tr>
        <w:trPr>
          <w:trHeight w:val="265"/>
        </w:trPr>
        <w:tc>
          <w:tcPr>
            <w:tcW w:w="3940" w:type="dxa"/>
            <w:vAlign w:val="bottom"/>
          </w:tcPr>
          <w:p>
            <w:pPr>
              <w:ind w:left="400"/>
              <w:spacing w:after="0"/>
              <w:rPr>
                <w:sz w:val="20"/>
                <w:szCs w:val="20"/>
                <w:color w:val="auto"/>
              </w:rPr>
            </w:pPr>
            <w:r>
              <w:rPr>
                <w:rFonts w:ascii="Arial" w:cs="Arial" w:eastAsia="Arial" w:hAnsi="Arial"/>
                <w:sz w:val="22"/>
                <w:szCs w:val="22"/>
                <w:color w:val="auto"/>
              </w:rPr>
              <w:t>Total operating loss</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(12,895)</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(21,344)</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(80,911)</w:t>
            </w:r>
          </w:p>
        </w:tc>
        <w:tc>
          <w:tcPr>
            <w:tcW w:w="160" w:type="dxa"/>
            <w:vAlign w:val="bottom"/>
          </w:tcPr>
          <w:p>
            <w:pPr>
              <w:spacing w:after="0"/>
              <w:rPr>
                <w:sz w:val="23"/>
                <w:szCs w:val="23"/>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(52,443)</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0" w:type="dxa"/>
            <w:vAlign w:val="bottom"/>
          </w:tcPr>
          <w:p>
            <w:pPr>
              <w:spacing w:after="0"/>
              <w:rPr>
                <w:sz w:val="21"/>
                <w:szCs w:val="21"/>
                <w:color w:val="auto"/>
              </w:rPr>
            </w:pPr>
          </w:p>
        </w:tc>
        <w:tc>
          <w:tcPr>
            <w:tcW w:w="282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180" w:type="dxa"/>
            <w:vAlign w:val="bottom"/>
          </w:tcPr>
          <w:p>
            <w:pPr>
              <w:spacing w:after="0"/>
              <w:rPr>
                <w:sz w:val="21"/>
                <w:szCs w:val="21"/>
                <w:color w:val="auto"/>
              </w:rPr>
            </w:pPr>
          </w:p>
        </w:tc>
        <w:tc>
          <w:tcPr>
            <w:tcW w:w="260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5"/>
              </w:rPr>
              <w:t>SEPTEMBER 30,</w:t>
            </w:r>
          </w:p>
        </w:tc>
        <w:tc>
          <w:tcPr>
            <w:tcW w:w="180" w:type="dxa"/>
            <w:vAlign w:val="bottom"/>
          </w:tcPr>
          <w:p>
            <w:pPr>
              <w:spacing w:after="0"/>
              <w:rPr>
                <w:sz w:val="23"/>
                <w:szCs w:val="23"/>
                <w:color w:val="auto"/>
              </w:rPr>
            </w:pPr>
          </w:p>
        </w:tc>
        <w:tc>
          <w:tcPr>
            <w:tcW w:w="2600" w:type="dxa"/>
            <w:vAlign w:val="bottom"/>
            <w:gridSpan w:val="4"/>
          </w:tcPr>
          <w:p>
            <w:pPr>
              <w:jc w:val="right"/>
              <w:ind w:right="45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528"/>
        </w:trPr>
        <w:tc>
          <w:tcPr>
            <w:tcW w:w="5800" w:type="dxa"/>
            <w:vAlign w:val="bottom"/>
          </w:tcPr>
          <w:p>
            <w:pPr>
              <w:spacing w:after="0"/>
              <w:rPr>
                <w:sz w:val="20"/>
                <w:szCs w:val="20"/>
                <w:color w:val="auto"/>
              </w:rPr>
            </w:pPr>
            <w:r>
              <w:rPr>
                <w:rFonts w:ascii="Arial" w:cs="Arial" w:eastAsia="Arial" w:hAnsi="Arial"/>
                <w:sz w:val="22"/>
                <w:szCs w:val="22"/>
                <w:color w:val="auto"/>
              </w:rPr>
              <w:t>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21,888</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11,750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21,173</w:t>
            </w:r>
          </w:p>
        </w:tc>
        <w:tc>
          <w:tcPr>
            <w:tcW w:w="10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45,544</w:t>
            </w:r>
          </w:p>
        </w:tc>
      </w:tr>
      <w:tr>
        <w:trPr>
          <w:trHeight w:val="275"/>
        </w:trPr>
        <w:tc>
          <w:tcPr>
            <w:tcW w:w="5800" w:type="dxa"/>
            <w:vAlign w:val="bottom"/>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22,352</w:t>
            </w:r>
          </w:p>
        </w:tc>
        <w:tc>
          <w:tcPr>
            <w:tcW w:w="100" w:type="dxa"/>
            <w:vAlign w:val="bottom"/>
          </w:tcPr>
          <w:p>
            <w:pPr>
              <w:spacing w:after="0"/>
              <w:rPr>
                <w:sz w:val="23"/>
                <w:szCs w:val="23"/>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16,110</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56,875</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49,904</w:t>
            </w:r>
          </w:p>
        </w:tc>
      </w:tr>
    </w:tbl>
    <w:p>
      <w:pPr>
        <w:sectPr>
          <w:pgSz w:w="11900" w:h="16838" w:orient="portrait"/>
          <w:cols w:equalWidth="0" w:num="1">
            <w:col w:w="11400"/>
          </w:cols>
          <w:pgMar w:left="260" w:top="118" w:right="239" w:bottom="0" w:gutter="0" w:footer="0" w:header="0"/>
        </w:sectPr>
      </w:pPr>
    </w:p>
    <w:bookmarkStart w:id="9" w:name="page10"/>
    <w:bookmarkEnd w:id="9"/>
    <w:p>
      <w:pPr>
        <w:spacing w:after="0"/>
        <w:tabs>
          <w:tab w:leader="none" w:pos="5820" w:val="left"/>
          <w:tab w:leader="none" w:pos="6500" w:val="left"/>
          <w:tab w:leader="none" w:pos="7240" w:val="left"/>
          <w:tab w:leader="none" w:pos="7820" w:val="left"/>
          <w:tab w:leader="none" w:pos="8640" w:val="left"/>
          <w:tab w:leader="none" w:pos="9200" w:val="left"/>
          <w:tab w:leader="none" w:pos="10060" w:val="left"/>
          <w:tab w:leader="none" w:pos="10680" w:val="left"/>
        </w:tabs>
        <w:rPr>
          <w:sz w:val="20"/>
          <w:szCs w:val="20"/>
          <w:color w:val="auto"/>
        </w:rPr>
      </w:pPr>
      <w:r>
        <w:rPr>
          <w:rFonts w:ascii="Arial" w:cs="Arial" w:eastAsia="Arial" w:hAnsi="Arial"/>
          <w:sz w:val="22"/>
          <w:szCs w:val="22"/>
          <w:color w:val="auto"/>
        </w:rPr>
        <w:t>Free Cash Flow (2)</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9,762</w:t>
        <w:tab/>
        <w:t>$</w:t>
      </w:r>
      <w:r>
        <w:rPr>
          <w:sz w:val="20"/>
          <w:szCs w:val="20"/>
          <w:color w:val="auto"/>
        </w:rPr>
        <w:tab/>
      </w:r>
      <w:r>
        <w:rPr>
          <w:rFonts w:ascii="Arial" w:cs="Arial" w:eastAsia="Arial" w:hAnsi="Arial"/>
          <w:sz w:val="22"/>
          <w:szCs w:val="22"/>
          <w:color w:val="auto"/>
        </w:rPr>
        <w:t>29,606</w:t>
        <w:tab/>
        <w:t>$</w:t>
      </w:r>
      <w:r>
        <w:rPr>
          <w:sz w:val="20"/>
          <w:szCs w:val="20"/>
          <w:color w:val="auto"/>
        </w:rPr>
        <w:tab/>
      </w:r>
      <w:r>
        <w:rPr>
          <w:rFonts w:ascii="Arial" w:cs="Arial" w:eastAsia="Arial" w:hAnsi="Arial"/>
          <w:sz w:val="22"/>
          <w:szCs w:val="22"/>
          <w:color w:val="auto"/>
        </w:rPr>
        <w:t>21,234</w:t>
        <w:tab/>
        <w:t>$</w:t>
      </w:r>
      <w:r>
        <w:rPr>
          <w:sz w:val="20"/>
          <w:szCs w:val="20"/>
          <w:color w:val="auto"/>
        </w:rPr>
        <w:tab/>
      </w:r>
      <w:r>
        <w:rPr>
          <w:rFonts w:ascii="Arial" w:cs="Arial" w:eastAsia="Arial" w:hAnsi="Arial"/>
          <w:sz w:val="19"/>
          <w:szCs w:val="19"/>
          <w:color w:val="auto"/>
        </w:rPr>
        <w:t>39,130</w:t>
      </w:r>
    </w:p>
    <w:p>
      <w:pPr>
        <w:spacing w:after="0" w:line="288" w:lineRule="exact"/>
        <w:rPr>
          <w:sz w:val="20"/>
          <w:szCs w:val="20"/>
          <w:color w:val="auto"/>
        </w:rPr>
      </w:pPr>
    </w:p>
    <w:p>
      <w:pPr>
        <w:ind w:right="60" w:firstLine="2"/>
        <w:spacing w:after="0" w:line="27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680" w:type="dxa"/>
            <w:vAlign w:val="bottom"/>
          </w:tcPr>
          <w:p>
            <w:pPr>
              <w:spacing w:after="0"/>
              <w:rPr>
                <w:sz w:val="21"/>
                <w:szCs w:val="21"/>
                <w:color w:val="auto"/>
              </w:rPr>
            </w:pPr>
          </w:p>
        </w:tc>
        <w:tc>
          <w:tcPr>
            <w:tcW w:w="282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180" w:type="dxa"/>
            <w:vAlign w:val="bottom"/>
          </w:tcPr>
          <w:p>
            <w:pPr>
              <w:spacing w:after="0"/>
              <w:rPr>
                <w:sz w:val="21"/>
                <w:szCs w:val="21"/>
                <w:color w:val="auto"/>
              </w:rPr>
            </w:pPr>
          </w:p>
        </w:tc>
        <w:tc>
          <w:tcPr>
            <w:tcW w:w="260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rPr>
              <w:t>NINE MONTHS ENDED</w:t>
            </w:r>
          </w:p>
        </w:tc>
      </w:tr>
      <w:tr>
        <w:trPr>
          <w:trHeight w:val="270"/>
        </w:trPr>
        <w:tc>
          <w:tcPr>
            <w:tcW w:w="5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5"/>
              </w:rPr>
              <w:t>SEPTEMBER 30,</w:t>
            </w:r>
          </w:p>
        </w:tc>
        <w:tc>
          <w:tcPr>
            <w:tcW w:w="180" w:type="dxa"/>
            <w:vAlign w:val="bottom"/>
          </w:tcPr>
          <w:p>
            <w:pPr>
              <w:spacing w:after="0"/>
              <w:rPr>
                <w:sz w:val="23"/>
                <w:szCs w:val="23"/>
                <w:color w:val="auto"/>
              </w:rPr>
            </w:pPr>
          </w:p>
        </w:tc>
        <w:tc>
          <w:tcPr>
            <w:tcW w:w="2600" w:type="dxa"/>
            <w:vAlign w:val="bottom"/>
            <w:gridSpan w:val="4"/>
          </w:tcPr>
          <w:p>
            <w:pPr>
              <w:jc w:val="right"/>
              <w:ind w:right="45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528"/>
        </w:trPr>
        <w:tc>
          <w:tcPr>
            <w:tcW w:w="568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(13,638)</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(22,331)</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(68,928)</w:t>
            </w:r>
          </w:p>
        </w:tc>
        <w:tc>
          <w:tcPr>
            <w:tcW w:w="10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(58,134)</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(4,011)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(29,386)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(9,875)</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34,468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32,700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99,502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97,083</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6,404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5,441</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19,329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15,697</w:t>
            </w:r>
          </w:p>
        </w:tc>
      </w:tr>
      <w:tr>
        <w:trPr>
          <w:trHeight w:val="267"/>
        </w:trPr>
        <w:tc>
          <w:tcPr>
            <w:tcW w:w="5680" w:type="dxa"/>
            <w:vAlign w:val="bottom"/>
          </w:tcPr>
          <w:p>
            <w:pPr>
              <w:ind w:left="24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21,888</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11,750</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21,173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45,544</w:t>
            </w:r>
          </w:p>
        </w:tc>
      </w:tr>
      <w:tr>
        <w:trPr>
          <w:trHeight w:val="256"/>
        </w:trPr>
        <w:tc>
          <w:tcPr>
            <w:tcW w:w="568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4,360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28,661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4,360</w:t>
            </w:r>
          </w:p>
        </w:tc>
      </w:tr>
      <w:tr>
        <w:trPr>
          <w:trHeight w:val="276"/>
        </w:trPr>
        <w:tc>
          <w:tcPr>
            <w:tcW w:w="5680" w:type="dxa"/>
            <w:vAlign w:val="bottom"/>
          </w:tcPr>
          <w:p>
            <w:pPr>
              <w:ind w:left="240"/>
              <w:spacing w:after="0"/>
              <w:rPr>
                <w:sz w:val="20"/>
                <w:szCs w:val="20"/>
                <w:color w:val="auto"/>
              </w:rPr>
            </w:pPr>
            <w:r>
              <w:rPr>
                <w:rFonts w:ascii="Arial" w:cs="Arial" w:eastAsia="Arial" w:hAnsi="Arial"/>
                <w:sz w:val="22"/>
                <w:szCs w:val="22"/>
                <w:color w:val="auto"/>
              </w:rPr>
              <w:t>Noralta transaction costs (b)</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7,041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r>
      <w:tr>
        <w:trPr>
          <w:trHeight w:val="265"/>
        </w:trPr>
        <w:tc>
          <w:tcPr>
            <w:tcW w:w="5680" w:type="dxa"/>
            <w:vAlign w:val="bottom"/>
          </w:tcPr>
          <w:p>
            <w:pPr>
              <w:ind w:left="38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22,352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16,110</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56,875</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49,904</w:t>
            </w:r>
          </w:p>
        </w:tc>
      </w:tr>
      <w:tr>
        <w:trPr>
          <w:trHeight w:val="21"/>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120" w:firstLine="2"/>
        <w:spacing w:after="0" w:line="287" w:lineRule="auto"/>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Relates to the first quarter 2018 and third quarter 2017 impairment of assets in Canada. During the first quarter 2018, we recorded a pre-tax loss of $28.7 million ($20.9 million after-tax, or $0.14 per diluted share), which is included in Impairment expense on the unaudited statements of operations. During the third quarter 2017, we recorded a pre-tax loss of $4.4 million ($3.2 million after-tax, or $0.02 per diluted share), which is included in Impairment expense on the unaudited statements of operations.</w:t>
      </w:r>
    </w:p>
    <w:p>
      <w:pPr>
        <w:spacing w:after="0" w:line="224" w:lineRule="exact"/>
        <w:rPr>
          <w:rFonts w:ascii="Arial" w:cs="Arial" w:eastAsia="Arial" w:hAnsi="Arial"/>
          <w:sz w:val="19"/>
          <w:szCs w:val="19"/>
          <w:color w:val="auto"/>
        </w:rPr>
      </w:pPr>
    </w:p>
    <w:p>
      <w:pPr>
        <w:ind w:right="40" w:firstLine="2"/>
        <w:spacing w:after="0" w:line="234"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Relates to costs incurred associated with Civeo's acquisition of Noralta Lodge Ltd. For the nine month period ended September 30, 2018, the $7.0 million of costs in 2018 ($6.3 million after-tax, or $0.04, per diluted share), are reflected in the Canada ($2.3 million) and Corporate and eliminations ($4.7 million) reportable segments and are included in Costs of sales and services ($0.3 million) and Selling, general and administrative expenses ($6.7 million) on the unaudited statements of operations. For the three month period ended September 30, 2018, the $0.5 million of costs in 2018 ($0.4 million after-tax, or $0.00, per diluted share), are reflected in the Canada ($0.4 million) and Corporate and eliminations ($0.1 million) reportable segments and are included in Costs of sales and services ($0.2 million) and Selling, general and administrative expenses ($0.3 million) on the unaudited statements of operations.</w:t>
      </w:r>
    </w:p>
    <w:p>
      <w:pPr>
        <w:spacing w:after="0" w:line="269" w:lineRule="exact"/>
        <w:rPr>
          <w:sz w:val="20"/>
          <w:szCs w:val="20"/>
          <w:color w:val="auto"/>
        </w:rPr>
      </w:pPr>
    </w:p>
    <w:p>
      <w:pPr>
        <w:ind w:right="40" w:firstLine="2"/>
        <w:spacing w:after="0" w:line="245"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6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2" w:lineRule="exact"/>
        <w:rPr>
          <w:sz w:val="20"/>
          <w:szCs w:val="20"/>
          <w:color w:val="auto"/>
        </w:rPr>
      </w:pPr>
    </w:p>
    <w:p>
      <w:pPr>
        <w:ind w:left="5880"/>
        <w:spacing w:after="0"/>
        <w:tabs>
          <w:tab w:leader="none" w:pos="8800" w:val="left"/>
        </w:tabs>
        <w:rPr>
          <w:sz w:val="20"/>
          <w:szCs w:val="20"/>
          <w:color w:val="auto"/>
        </w:rPr>
      </w:pPr>
      <w:r>
        <w:rPr>
          <w:rFonts w:ascii="Arial" w:cs="Arial" w:eastAsia="Arial" w:hAnsi="Arial"/>
          <w:sz w:val="22"/>
          <w:szCs w:val="22"/>
          <w:b w:val="1"/>
          <w:bCs w:val="1"/>
          <w:color w:val="auto"/>
        </w:rPr>
        <w:t>THREE MONTHS ENDED</w:t>
      </w:r>
      <w:r>
        <w:rPr>
          <w:sz w:val="20"/>
          <w:szCs w:val="20"/>
          <w:color w:val="auto"/>
        </w:rPr>
        <w:tab/>
      </w:r>
      <w:r>
        <w:rPr>
          <w:rFonts w:ascii="Arial" w:cs="Arial" w:eastAsia="Arial" w:hAnsi="Arial"/>
          <w:sz w:val="22"/>
          <w:szCs w:val="22"/>
          <w:b w:val="1"/>
          <w:bCs w:val="1"/>
          <w:color w:val="auto"/>
        </w:rPr>
        <w:t>NINE MONTHS ENDED</w:t>
      </w:r>
    </w:p>
    <w:p>
      <w:pPr>
        <w:sectPr>
          <w:pgSz w:w="11900" w:h="16838" w:orient="portrait"/>
          <w:cols w:equalWidth="0" w:num="1">
            <w:col w:w="11400"/>
          </w:cols>
          <w:pgMar w:left="260" w:top="118" w:right="239" w:bottom="0" w:gutter="0" w:footer="0" w:header="0"/>
        </w:sectPr>
      </w:pPr>
    </w:p>
    <w:bookmarkStart w:id="10" w:name="page11"/>
    <w:bookmarkEnd w:id="10"/>
    <w:tbl>
      <w:tblPr>
        <w:tblLayout w:type="fixed"/>
        <w:tblInd w:w="320" w:type="dxa"/>
        <w:tblCellMar>
          <w:top w:w="0" w:type="dxa"/>
          <w:left w:w="0" w:type="dxa"/>
          <w:bottom w:w="0" w:type="dxa"/>
          <w:right w:w="0" w:type="dxa"/>
        </w:tblCellMar>
      </w:tblPr>
      <w:tr>
        <w:trPr>
          <w:trHeight w:val="271"/>
        </w:trPr>
        <w:tc>
          <w:tcPr>
            <w:tcW w:w="5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Arial" w:cs="Arial" w:eastAsia="Arial" w:hAnsi="Arial"/>
                <w:sz w:val="22"/>
                <w:szCs w:val="22"/>
                <w:b w:val="1"/>
                <w:bCs w:val="1"/>
                <w:color w:val="auto"/>
              </w:rPr>
              <w:t>SEPTEMBER 30,</w:t>
            </w:r>
          </w:p>
        </w:tc>
        <w:tc>
          <w:tcPr>
            <w:tcW w:w="300" w:type="dxa"/>
            <w:vAlign w:val="bottom"/>
          </w:tcPr>
          <w:p>
            <w:pPr>
              <w:spacing w:after="0"/>
              <w:rPr>
                <w:sz w:val="23"/>
                <w:szCs w:val="23"/>
                <w:color w:val="auto"/>
              </w:rPr>
            </w:pPr>
          </w:p>
        </w:tc>
        <w:tc>
          <w:tcPr>
            <w:tcW w:w="2480" w:type="dxa"/>
            <w:vAlign w:val="bottom"/>
            <w:gridSpan w:val="4"/>
          </w:tcPr>
          <w:p>
            <w:pPr>
              <w:jc w:val="right"/>
              <w:ind w:right="452"/>
              <w:spacing w:after="0"/>
              <w:rPr>
                <w:sz w:val="20"/>
                <w:szCs w:val="20"/>
                <w:color w:val="auto"/>
              </w:rPr>
            </w:pPr>
            <w:r>
              <w:rPr>
                <w:rFonts w:ascii="Arial" w:cs="Arial" w:eastAsia="Arial" w:hAnsi="Arial"/>
                <w:sz w:val="22"/>
                <w:szCs w:val="22"/>
                <w:b w:val="1"/>
                <w:bCs w:val="1"/>
                <w:color w:val="auto"/>
              </w:rPr>
              <w:t>SEPTEMBER 30,</w:t>
            </w:r>
          </w:p>
        </w:tc>
      </w:tr>
      <w:tr>
        <w:trPr>
          <w:trHeight w:val="282"/>
        </w:trPr>
        <w:tc>
          <w:tcPr>
            <w:tcW w:w="5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528"/>
        </w:trPr>
        <w:tc>
          <w:tcPr>
            <w:tcW w:w="54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11,885</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31,124</w:t>
            </w:r>
          </w:p>
        </w:tc>
        <w:tc>
          <w:tcPr>
            <w:tcW w:w="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25,862</w:t>
            </w:r>
          </w:p>
        </w:tc>
        <w:tc>
          <w:tcPr>
            <w:tcW w:w="10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45,525</w:t>
            </w:r>
          </w:p>
        </w:tc>
      </w:tr>
      <w:tr>
        <w:trPr>
          <w:trHeight w:val="270"/>
        </w:trPr>
        <w:tc>
          <w:tcPr>
            <w:tcW w:w="548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(2,723)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(1,983)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(8,666)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(8,020)</w:t>
            </w:r>
          </w:p>
        </w:tc>
      </w:tr>
      <w:tr>
        <w:trPr>
          <w:trHeight w:val="275"/>
        </w:trPr>
        <w:tc>
          <w:tcPr>
            <w:tcW w:w="5480" w:type="dxa"/>
            <w:vAlign w:val="bottom"/>
          </w:tcPr>
          <w:p>
            <w:pPr>
              <w:ind w:left="120"/>
              <w:spacing w:after="0"/>
              <w:rPr>
                <w:sz w:val="20"/>
                <w:szCs w:val="20"/>
                <w:color w:val="auto"/>
              </w:rPr>
            </w:pPr>
            <w:r>
              <w:rPr>
                <w:rFonts w:ascii="Arial" w:cs="Arial" w:eastAsia="Arial" w:hAnsi="Arial"/>
                <w:sz w:val="22"/>
                <w:szCs w:val="22"/>
                <w:color w:val="auto"/>
                <w:w w:val="92"/>
              </w:rPr>
              <w:t>Proceeds from disposition of property, plant and equipment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465</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4,038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1,625</w:t>
            </w:r>
          </w:p>
        </w:tc>
      </w:tr>
      <w:tr>
        <w:trPr>
          <w:trHeight w:val="267"/>
        </w:trPr>
        <w:tc>
          <w:tcPr>
            <w:tcW w:w="548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9,762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29,606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21,234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4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1"/>
                <w:szCs w:val="21"/>
                <w:color w:val="auto"/>
              </w:rPr>
            </w:pPr>
          </w:p>
        </w:tc>
        <w:tc>
          <w:tcPr>
            <w:tcW w:w="4460" w:type="dxa"/>
            <w:vAlign w:val="bottom"/>
            <w:gridSpan w:val="4"/>
          </w:tcPr>
          <w:p>
            <w:pPr>
              <w:ind w:left="1500"/>
              <w:spacing w:after="0"/>
              <w:rPr>
                <w:sz w:val="20"/>
                <w:szCs w:val="20"/>
                <w:color w:val="auto"/>
              </w:rPr>
            </w:pPr>
            <w:r>
              <w:rPr>
                <w:rFonts w:ascii="Arial" w:cs="Arial" w:eastAsia="Arial" w:hAnsi="Arial"/>
                <w:sz w:val="22"/>
                <w:szCs w:val="22"/>
                <w:b w:val="1"/>
                <w:bCs w:val="1"/>
                <w:color w:val="auto"/>
              </w:rPr>
              <w:t>THREE MONTHS ENDING</w:t>
            </w:r>
          </w:p>
        </w:tc>
        <w:tc>
          <w:tcPr>
            <w:tcW w:w="42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22"/>
                <w:szCs w:val="22"/>
                <w:b w:val="1"/>
                <w:bCs w:val="1"/>
                <w:color w:val="auto"/>
              </w:rPr>
              <w:t>YEAR ENDING</w:t>
            </w:r>
          </w:p>
        </w:tc>
        <w:tc>
          <w:tcPr>
            <w:tcW w:w="400" w:type="dxa"/>
            <w:vAlign w:val="bottom"/>
          </w:tcPr>
          <w:p>
            <w:pPr>
              <w:spacing w:after="0"/>
              <w:rPr>
                <w:sz w:val="21"/>
                <w:szCs w:val="21"/>
                <w:color w:val="auto"/>
              </w:rPr>
            </w:pPr>
          </w:p>
        </w:tc>
      </w:tr>
      <w:tr>
        <w:trPr>
          <w:trHeight w:val="276"/>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gridSpan w:val="3"/>
          </w:tcPr>
          <w:p>
            <w:pPr>
              <w:jc w:val="right"/>
              <w:ind w:right="472"/>
              <w:spacing w:after="0"/>
              <w:rPr>
                <w:sz w:val="20"/>
                <w:szCs w:val="20"/>
                <w:color w:val="auto"/>
              </w:rPr>
            </w:pPr>
            <w:r>
              <w:rPr>
                <w:rFonts w:ascii="Arial" w:cs="Arial" w:eastAsia="Arial" w:hAnsi="Arial"/>
                <w:sz w:val="22"/>
                <w:szCs w:val="22"/>
                <w:b w:val="1"/>
                <w:bCs w:val="1"/>
                <w:color w:val="auto"/>
                <w:w w:val="99"/>
              </w:rPr>
              <w:t>DECEMBER 31, 2018</w:t>
            </w:r>
          </w:p>
        </w:tc>
        <w:tc>
          <w:tcPr>
            <w:tcW w:w="420" w:type="dxa"/>
            <w:vAlign w:val="bottom"/>
          </w:tcPr>
          <w:p>
            <w:pPr>
              <w:spacing w:after="0"/>
              <w:rPr>
                <w:sz w:val="24"/>
                <w:szCs w:val="24"/>
                <w:color w:val="auto"/>
              </w:rPr>
            </w:pPr>
          </w:p>
        </w:tc>
        <w:tc>
          <w:tcPr>
            <w:tcW w:w="22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w w:val="97"/>
              </w:rPr>
              <w:t>DECEMBER 31, 2018</w:t>
            </w:r>
          </w:p>
        </w:tc>
      </w:tr>
      <w:tr>
        <w:trPr>
          <w:trHeight w:val="270"/>
        </w:trPr>
        <w:tc>
          <w:tcPr>
            <w:tcW w:w="4020" w:type="dxa"/>
            <w:vAlign w:val="bottom"/>
          </w:tcPr>
          <w:p>
            <w:pPr>
              <w:spacing w:after="0"/>
              <w:rPr>
                <w:sz w:val="20"/>
                <w:szCs w:val="20"/>
                <w:color w:val="auto"/>
              </w:rPr>
            </w:pPr>
            <w:r>
              <w:rPr>
                <w:rFonts w:ascii="Arial" w:cs="Arial" w:eastAsia="Arial" w:hAnsi="Arial"/>
                <w:sz w:val="22"/>
                <w:szCs w:val="22"/>
                <w:color w:val="auto"/>
              </w:rPr>
              <w:t>EBITDA Range (1)</w:t>
            </w:r>
          </w:p>
        </w:tc>
        <w:tc>
          <w:tcPr>
            <w:tcW w:w="1700" w:type="dxa"/>
            <w:vAlign w:val="bottom"/>
          </w:tcPr>
          <w:p>
            <w:pPr>
              <w:ind w:left="148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252"/>
              <w:spacing w:after="0"/>
              <w:rPr>
                <w:sz w:val="20"/>
                <w:szCs w:val="20"/>
                <w:color w:val="auto"/>
              </w:rPr>
            </w:pPr>
            <w:r>
              <w:rPr>
                <w:rFonts w:ascii="Arial" w:cs="Arial" w:eastAsia="Arial" w:hAnsi="Arial"/>
                <w:sz w:val="22"/>
                <w:szCs w:val="22"/>
                <w:color w:val="auto"/>
              </w:rPr>
              <w:t>17.0</w:t>
            </w:r>
          </w:p>
        </w:tc>
        <w:tc>
          <w:tcPr>
            <w:tcW w:w="7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20.0</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38.3</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w w:val="88"/>
              </w:rPr>
              <w:t>41.3</w:t>
            </w:r>
          </w:p>
        </w:tc>
      </w:tr>
      <w:tr>
        <w:trPr>
          <w:trHeight w:val="275"/>
        </w:trPr>
        <w:tc>
          <w:tcPr>
            <w:tcW w:w="4020" w:type="dxa"/>
            <w:vAlign w:val="bottom"/>
          </w:tcPr>
          <w:p>
            <w:pPr>
              <w:spacing w:after="0"/>
              <w:rPr>
                <w:sz w:val="20"/>
                <w:szCs w:val="20"/>
                <w:color w:val="auto"/>
              </w:rPr>
            </w:pPr>
            <w:r>
              <w:rPr>
                <w:rFonts w:ascii="Arial" w:cs="Arial" w:eastAsia="Arial" w:hAnsi="Arial"/>
                <w:sz w:val="22"/>
                <w:szCs w:val="22"/>
                <w:color w:val="auto"/>
              </w:rPr>
              <w:t>Adjusted EBITDA Range (1)</w:t>
            </w:r>
          </w:p>
        </w:tc>
        <w:tc>
          <w:tcPr>
            <w:tcW w:w="1700" w:type="dxa"/>
            <w:vAlign w:val="bottom"/>
          </w:tcPr>
          <w:p>
            <w:pPr>
              <w:ind w:left="1480"/>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252"/>
              <w:spacing w:after="0"/>
              <w:rPr>
                <w:sz w:val="20"/>
                <w:szCs w:val="20"/>
                <w:color w:val="auto"/>
              </w:rPr>
            </w:pPr>
            <w:r>
              <w:rPr>
                <w:rFonts w:ascii="Arial" w:cs="Arial" w:eastAsia="Arial" w:hAnsi="Arial"/>
                <w:sz w:val="22"/>
                <w:szCs w:val="22"/>
                <w:color w:val="auto"/>
              </w:rPr>
              <w:t>17.0</w:t>
            </w:r>
          </w:p>
        </w:tc>
        <w:tc>
          <w:tcPr>
            <w:tcW w:w="7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20.0</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74.0</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w w:val="88"/>
              </w:rPr>
              <w:t>77.0</w:t>
            </w:r>
          </w:p>
        </w:tc>
      </w:tr>
    </w:tbl>
    <w:p>
      <w:pPr>
        <w:spacing w:after="0" w:line="266" w:lineRule="exact"/>
        <w:rPr>
          <w:sz w:val="20"/>
          <w:szCs w:val="20"/>
          <w:color w:val="auto"/>
        </w:rPr>
      </w:pPr>
    </w:p>
    <w:p>
      <w:pPr>
        <w:ind w:right="60" w:firstLine="2"/>
        <w:spacing w:after="0"/>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140" w:type="dxa"/>
            <w:vAlign w:val="bottom"/>
          </w:tcPr>
          <w:p>
            <w:pPr>
              <w:spacing w:after="0"/>
              <w:rPr>
                <w:sz w:val="21"/>
                <w:szCs w:val="21"/>
                <w:color w:val="auto"/>
              </w:rPr>
            </w:pPr>
          </w:p>
        </w:tc>
        <w:tc>
          <w:tcPr>
            <w:tcW w:w="3340" w:type="dxa"/>
            <w:vAlign w:val="bottom"/>
            <w:gridSpan w:val="6"/>
          </w:tcPr>
          <w:p>
            <w:pPr>
              <w:ind w:left="260"/>
              <w:spacing w:after="0"/>
              <w:rPr>
                <w:sz w:val="20"/>
                <w:szCs w:val="20"/>
                <w:color w:val="auto"/>
              </w:rPr>
            </w:pPr>
            <w:r>
              <w:rPr>
                <w:rFonts w:ascii="Arial" w:cs="Arial" w:eastAsia="Arial" w:hAnsi="Arial"/>
                <w:sz w:val="22"/>
                <w:szCs w:val="22"/>
                <w:b w:val="1"/>
                <w:bCs w:val="1"/>
                <w:color w:val="auto"/>
              </w:rPr>
              <w:t>THREE MONTHS ENDING</w:t>
            </w:r>
          </w:p>
        </w:tc>
        <w:tc>
          <w:tcPr>
            <w:tcW w:w="300" w:type="dxa"/>
            <w:vAlign w:val="bottom"/>
          </w:tcPr>
          <w:p>
            <w:pPr>
              <w:spacing w:after="0"/>
              <w:rPr>
                <w:sz w:val="21"/>
                <w:szCs w:val="21"/>
                <w:color w:val="auto"/>
              </w:rPr>
            </w:pPr>
          </w:p>
        </w:tc>
        <w:tc>
          <w:tcPr>
            <w:tcW w:w="2500" w:type="dxa"/>
            <w:vAlign w:val="bottom"/>
            <w:gridSpan w:val="4"/>
          </w:tcPr>
          <w:p>
            <w:pPr>
              <w:jc w:val="center"/>
              <w:ind w:right="252"/>
              <w:spacing w:after="0"/>
              <w:rPr>
                <w:sz w:val="20"/>
                <w:szCs w:val="20"/>
                <w:color w:val="auto"/>
              </w:rPr>
            </w:pPr>
            <w:r>
              <w:rPr>
                <w:rFonts w:ascii="Arial" w:cs="Arial" w:eastAsia="Arial" w:hAnsi="Arial"/>
                <w:sz w:val="22"/>
                <w:szCs w:val="22"/>
                <w:b w:val="1"/>
                <w:bCs w:val="1"/>
                <w:color w:val="auto"/>
              </w:rPr>
              <w:t>YEAR ENDING</w:t>
            </w:r>
          </w:p>
        </w:tc>
      </w:tr>
      <w:tr>
        <w:trPr>
          <w:trHeight w:val="270"/>
        </w:trPr>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80" w:type="dxa"/>
            <w:vAlign w:val="bottom"/>
            <w:gridSpan w:val="5"/>
          </w:tcPr>
          <w:p>
            <w:pPr>
              <w:ind w:left="120"/>
              <w:spacing w:after="0"/>
              <w:rPr>
                <w:sz w:val="20"/>
                <w:szCs w:val="20"/>
                <w:color w:val="auto"/>
              </w:rPr>
            </w:pPr>
            <w:r>
              <w:rPr>
                <w:rFonts w:ascii="Arial" w:cs="Arial" w:eastAsia="Arial" w:hAnsi="Arial"/>
                <w:sz w:val="22"/>
                <w:szCs w:val="22"/>
                <w:b w:val="1"/>
                <w:bCs w:val="1"/>
                <w:color w:val="auto"/>
              </w:rPr>
              <w:t>DECEMBER 31, 2018</w:t>
            </w:r>
          </w:p>
        </w:tc>
        <w:tc>
          <w:tcPr>
            <w:tcW w:w="300" w:type="dxa"/>
            <w:vAlign w:val="bottom"/>
          </w:tcPr>
          <w:p>
            <w:pPr>
              <w:spacing w:after="0"/>
              <w:rPr>
                <w:sz w:val="23"/>
                <w:szCs w:val="23"/>
                <w:color w:val="auto"/>
              </w:rPr>
            </w:pPr>
          </w:p>
        </w:tc>
        <w:tc>
          <w:tcPr>
            <w:tcW w:w="2500" w:type="dxa"/>
            <w:vAlign w:val="bottom"/>
            <w:gridSpan w:val="4"/>
          </w:tcPr>
          <w:p>
            <w:pPr>
              <w:jc w:val="center"/>
              <w:ind w:right="172"/>
              <w:spacing w:after="0"/>
              <w:rPr>
                <w:sz w:val="20"/>
                <w:szCs w:val="20"/>
                <w:color w:val="auto"/>
              </w:rPr>
            </w:pPr>
            <w:r>
              <w:rPr>
                <w:rFonts w:ascii="Arial" w:cs="Arial" w:eastAsia="Arial" w:hAnsi="Arial"/>
                <w:sz w:val="22"/>
                <w:szCs w:val="22"/>
                <w:b w:val="1"/>
                <w:bCs w:val="1"/>
                <w:color w:val="auto"/>
                <w:w w:val="94"/>
              </w:rPr>
              <w:t>DECEMBER 31, 2018</w:t>
            </w:r>
          </w:p>
        </w:tc>
      </w:tr>
      <w:tr>
        <w:trPr>
          <w:trHeight w:val="281"/>
        </w:trPr>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3"/>
          </w:tcPr>
          <w:p>
            <w:pPr>
              <w:jc w:val="right"/>
              <w:ind w:right="112"/>
              <w:spacing w:after="0"/>
              <w:rPr>
                <w:sz w:val="20"/>
                <w:szCs w:val="20"/>
                <w:color w:val="auto"/>
              </w:rPr>
            </w:pPr>
            <w:r>
              <w:rPr>
                <w:rFonts w:ascii="Arial" w:cs="Arial" w:eastAsia="Arial" w:hAnsi="Arial"/>
                <w:sz w:val="22"/>
                <w:szCs w:val="22"/>
                <w:b w:val="1"/>
                <w:bCs w:val="1"/>
                <w:color w:val="auto"/>
              </w:rPr>
              <w:t>(estimated)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center"/>
              <w:ind w:left="392"/>
              <w:spacing w:after="0"/>
              <w:rPr>
                <w:sz w:val="20"/>
                <w:szCs w:val="20"/>
                <w:color w:val="auto"/>
              </w:rPr>
            </w:pPr>
            <w:r>
              <w:rPr>
                <w:rFonts w:ascii="Arial" w:cs="Arial" w:eastAsia="Arial" w:hAnsi="Arial"/>
                <w:sz w:val="22"/>
                <w:szCs w:val="22"/>
                <w:b w:val="1"/>
                <w:bCs w:val="1"/>
                <w:color w:val="auto"/>
                <w:w w:val="88"/>
              </w:rPr>
              <w:t>(estimated)</w:t>
            </w:r>
          </w:p>
        </w:tc>
        <w:tc>
          <w:tcPr>
            <w:tcW w:w="800" w:type="dxa"/>
            <w:vAlign w:val="bottom"/>
          </w:tcPr>
          <w:p>
            <w:pPr>
              <w:spacing w:after="0"/>
              <w:rPr>
                <w:sz w:val="24"/>
                <w:szCs w:val="24"/>
                <w:color w:val="auto"/>
              </w:rPr>
            </w:pPr>
          </w:p>
        </w:tc>
      </w:tr>
      <w:tr>
        <w:trPr>
          <w:trHeight w:val="536"/>
        </w:trPr>
        <w:tc>
          <w:tcPr>
            <w:tcW w:w="5140" w:type="dxa"/>
            <w:vAlign w:val="bottom"/>
          </w:tcPr>
          <w:p>
            <w:pPr>
              <w:spacing w:after="0"/>
              <w:rPr>
                <w:sz w:val="20"/>
                <w:szCs w:val="20"/>
                <w:color w:val="auto"/>
              </w:rPr>
            </w:pPr>
            <w:r>
              <w:rPr>
                <w:rFonts w:ascii="Arial" w:cs="Arial" w:eastAsia="Arial" w:hAnsi="Arial"/>
                <w:sz w:val="22"/>
                <w:szCs w:val="22"/>
                <w:color w:val="auto"/>
              </w:rPr>
              <w:t>Net loss</w:t>
            </w:r>
          </w:p>
        </w:tc>
        <w:tc>
          <w:tcPr>
            <w:tcW w:w="460" w:type="dxa"/>
            <w:vAlign w:val="bottom"/>
          </w:tcPr>
          <w:p>
            <w:pPr>
              <w:ind w:left="2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(20.5)</w:t>
            </w:r>
          </w:p>
        </w:tc>
        <w:tc>
          <w:tcPr>
            <w:tcW w:w="22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52"/>
              <w:spacing w:after="0"/>
              <w:rPr>
                <w:sz w:val="20"/>
                <w:szCs w:val="20"/>
                <w:color w:val="auto"/>
              </w:rPr>
            </w:pPr>
            <w:r>
              <w:rPr>
                <w:rFonts w:ascii="Arial" w:cs="Arial" w:eastAsia="Arial" w:hAnsi="Arial"/>
                <w:sz w:val="22"/>
                <w:szCs w:val="22"/>
                <w:color w:val="auto"/>
              </w:rPr>
              <w:t>(18.5)</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(89.3)</w:t>
            </w:r>
          </w:p>
        </w:tc>
        <w:tc>
          <w:tcPr>
            <w:tcW w:w="100" w:type="dxa"/>
            <w:vAlign w:val="bottom"/>
          </w:tcPr>
          <w:p>
            <w:pPr>
              <w:spacing w:after="0"/>
              <w:rPr>
                <w:sz w:val="24"/>
                <w:szCs w:val="24"/>
                <w:color w:val="auto"/>
              </w:rPr>
            </w:pPr>
          </w:p>
        </w:tc>
        <w:tc>
          <w:tcPr>
            <w:tcW w:w="54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800" w:type="dxa"/>
            <w:vAlign w:val="bottom"/>
          </w:tcPr>
          <w:p>
            <w:pPr>
              <w:jc w:val="right"/>
              <w:ind w:right="32"/>
              <w:spacing w:after="0"/>
              <w:rPr>
                <w:sz w:val="20"/>
                <w:szCs w:val="20"/>
                <w:color w:val="auto"/>
              </w:rPr>
            </w:pPr>
            <w:r>
              <w:rPr>
                <w:rFonts w:ascii="Arial" w:cs="Arial" w:eastAsia="Arial" w:hAnsi="Arial"/>
                <w:sz w:val="22"/>
                <w:szCs w:val="22"/>
                <w:color w:val="auto"/>
              </w:rPr>
              <w:t>(87.3)</w:t>
            </w:r>
          </w:p>
        </w:tc>
      </w:tr>
      <w:tr>
        <w:trPr>
          <w:trHeight w:val="270"/>
        </w:trPr>
        <w:tc>
          <w:tcPr>
            <w:tcW w:w="514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4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(3.0)</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Arial" w:cs="Arial" w:eastAsia="Arial" w:hAnsi="Arial"/>
                <w:sz w:val="22"/>
                <w:szCs w:val="22"/>
                <w:color w:val="auto"/>
              </w:rPr>
              <w:t>(2.0)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(32.4)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22"/>
                <w:szCs w:val="22"/>
                <w:color w:val="auto"/>
              </w:rPr>
              <w:t>(31.4)</w:t>
            </w:r>
          </w:p>
        </w:tc>
      </w:tr>
      <w:tr>
        <w:trPr>
          <w:trHeight w:val="270"/>
        </w:trPr>
        <w:tc>
          <w:tcPr>
            <w:tcW w:w="51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6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34.5</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34.5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134.0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ind w:right="112"/>
              <w:spacing w:after="0"/>
              <w:rPr>
                <w:sz w:val="20"/>
                <w:szCs w:val="20"/>
                <w:color w:val="auto"/>
              </w:rPr>
            </w:pPr>
            <w:r>
              <w:rPr>
                <w:rFonts w:ascii="Arial" w:cs="Arial" w:eastAsia="Arial" w:hAnsi="Arial"/>
                <w:sz w:val="22"/>
                <w:szCs w:val="22"/>
                <w:color w:val="auto"/>
              </w:rPr>
              <w:t>134.0</w:t>
            </w:r>
          </w:p>
        </w:tc>
      </w:tr>
      <w:tr>
        <w:trPr>
          <w:trHeight w:val="275"/>
        </w:trPr>
        <w:tc>
          <w:tcPr>
            <w:tcW w:w="5140" w:type="dxa"/>
            <w:vAlign w:val="bottom"/>
          </w:tcPr>
          <w:p>
            <w:pPr>
              <w:spacing w:after="0"/>
              <w:rPr>
                <w:sz w:val="20"/>
                <w:szCs w:val="20"/>
                <w:color w:val="auto"/>
              </w:rPr>
            </w:pPr>
            <w:r>
              <w:rPr>
                <w:rFonts w:ascii="Arial" w:cs="Arial" w:eastAsia="Arial" w:hAnsi="Arial"/>
                <w:sz w:val="22"/>
                <w:szCs w:val="22"/>
                <w:color w:val="auto"/>
              </w:rPr>
              <w:t>Interest expense</w:t>
            </w: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6.0</w:t>
            </w:r>
          </w:p>
        </w:tc>
        <w:tc>
          <w:tcPr>
            <w:tcW w:w="2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26.0</w:t>
            </w: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26.0</w:t>
            </w:r>
          </w:p>
        </w:tc>
      </w:tr>
      <w:tr>
        <w:trPr>
          <w:trHeight w:val="267"/>
        </w:trPr>
        <w:tc>
          <w:tcPr>
            <w:tcW w:w="5140" w:type="dxa"/>
            <w:vAlign w:val="bottom"/>
          </w:tcPr>
          <w:p>
            <w:pPr>
              <w:ind w:left="140"/>
              <w:spacing w:after="0"/>
              <w:rPr>
                <w:sz w:val="20"/>
                <w:szCs w:val="20"/>
                <w:color w:val="auto"/>
              </w:rPr>
            </w:pPr>
            <w:r>
              <w:rPr>
                <w:rFonts w:ascii="Arial" w:cs="Arial" w:eastAsia="Arial" w:hAnsi="Arial"/>
                <w:sz w:val="22"/>
                <w:szCs w:val="22"/>
                <w:color w:val="auto"/>
              </w:rPr>
              <w:t>EBITDA</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17.0</w:t>
            </w:r>
          </w:p>
        </w:tc>
        <w:tc>
          <w:tcPr>
            <w:tcW w:w="220" w:type="dxa"/>
            <w:vAlign w:val="bottom"/>
          </w:tcPr>
          <w:p>
            <w:pPr>
              <w:spacing w:after="0"/>
              <w:rPr>
                <w:sz w:val="23"/>
                <w:szCs w:val="23"/>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38.3</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41.3</w:t>
            </w:r>
          </w:p>
        </w:tc>
      </w:tr>
      <w:tr>
        <w:trPr>
          <w:trHeight w:val="256"/>
        </w:trPr>
        <w:tc>
          <w:tcPr>
            <w:tcW w:w="5140" w:type="dxa"/>
            <w:vAlign w:val="bottom"/>
          </w:tcPr>
          <w:p>
            <w:pPr>
              <w:spacing w:after="0"/>
              <w:rPr>
                <w:sz w:val="20"/>
                <w:szCs w:val="20"/>
                <w:color w:val="auto"/>
              </w:rPr>
            </w:pPr>
            <w:r>
              <w:rPr>
                <w:rFonts w:ascii="Arial" w:cs="Arial" w:eastAsia="Arial" w:hAnsi="Arial"/>
                <w:sz w:val="22"/>
                <w:szCs w:val="22"/>
                <w:color w:val="auto"/>
              </w:rPr>
              <w:t>Adjustments to EBITDA</w:t>
            </w: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22"/>
                <w:szCs w:val="22"/>
                <w:color w:val="auto"/>
              </w:rPr>
              <w:t>Impairment expense (a)</w:t>
            </w:r>
          </w:p>
        </w:tc>
        <w:tc>
          <w:tcPr>
            <w:tcW w:w="46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28.7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jc w:val="right"/>
              <w:ind w:right="112"/>
              <w:spacing w:after="0"/>
              <w:rPr>
                <w:sz w:val="20"/>
                <w:szCs w:val="20"/>
                <w:color w:val="auto"/>
              </w:rPr>
            </w:pPr>
            <w:r>
              <w:rPr>
                <w:rFonts w:ascii="Arial" w:cs="Arial" w:eastAsia="Arial" w:hAnsi="Arial"/>
                <w:sz w:val="22"/>
                <w:szCs w:val="22"/>
                <w:color w:val="auto"/>
              </w:rPr>
              <w:t>28.7</w:t>
            </w:r>
          </w:p>
        </w:tc>
      </w:tr>
      <w:tr>
        <w:trPr>
          <w:trHeight w:val="276"/>
        </w:trPr>
        <w:tc>
          <w:tcPr>
            <w:tcW w:w="5140" w:type="dxa"/>
            <w:vAlign w:val="bottom"/>
          </w:tcPr>
          <w:p>
            <w:pPr>
              <w:ind w:left="140"/>
              <w:spacing w:after="0"/>
              <w:rPr>
                <w:sz w:val="20"/>
                <w:szCs w:val="20"/>
                <w:color w:val="auto"/>
              </w:rPr>
            </w:pPr>
            <w:r>
              <w:rPr>
                <w:rFonts w:ascii="Arial" w:cs="Arial" w:eastAsia="Arial" w:hAnsi="Arial"/>
                <w:sz w:val="22"/>
                <w:szCs w:val="22"/>
                <w:color w:val="auto"/>
              </w:rPr>
              <w:t>Noralta transaction costs (b)</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7.0</w:t>
            </w:r>
          </w:p>
        </w:tc>
      </w:tr>
      <w:tr>
        <w:trPr>
          <w:trHeight w:val="265"/>
        </w:trPr>
        <w:tc>
          <w:tcPr>
            <w:tcW w:w="5140" w:type="dxa"/>
            <w:vAlign w:val="bottom"/>
          </w:tcPr>
          <w:p>
            <w:pPr>
              <w:ind w:left="280"/>
              <w:spacing w:after="0"/>
              <w:rPr>
                <w:sz w:val="20"/>
                <w:szCs w:val="20"/>
                <w:color w:val="auto"/>
              </w:rPr>
            </w:pPr>
            <w:r>
              <w:rPr>
                <w:rFonts w:ascii="Arial" w:cs="Arial" w:eastAsia="Arial" w:hAnsi="Arial"/>
                <w:sz w:val="22"/>
                <w:szCs w:val="22"/>
                <w:color w:val="auto"/>
              </w:rPr>
              <w:t>Adjusted EBITDA</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17.0</w:t>
            </w:r>
          </w:p>
        </w:tc>
        <w:tc>
          <w:tcPr>
            <w:tcW w:w="220" w:type="dxa"/>
            <w:vAlign w:val="bottom"/>
          </w:tcPr>
          <w:p>
            <w:pPr>
              <w:spacing w:after="0"/>
              <w:rPr>
                <w:sz w:val="23"/>
                <w:szCs w:val="23"/>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20.0</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74.0</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77.0</w:t>
            </w:r>
          </w:p>
        </w:tc>
      </w:tr>
      <w:tr>
        <w:trPr>
          <w:trHeight w:val="21"/>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360" w:firstLine="2"/>
        <w:spacing w:after="0"/>
        <w:tabs>
          <w:tab w:leader="none" w:pos="294" w:val="left"/>
        </w:tabs>
        <w:numPr>
          <w:ilvl w:val="0"/>
          <w:numId w:val="7"/>
        </w:numPr>
        <w:rPr>
          <w:rFonts w:ascii="Arial" w:cs="Arial" w:eastAsia="Arial" w:hAnsi="Arial"/>
          <w:sz w:val="22"/>
          <w:szCs w:val="22"/>
          <w:color w:val="auto"/>
        </w:rPr>
      </w:pPr>
      <w:r>
        <w:rPr>
          <w:rFonts w:ascii="Arial" w:cs="Arial" w:eastAsia="Arial" w:hAnsi="Arial"/>
          <w:sz w:val="22"/>
          <w:szCs w:val="22"/>
          <w:color w:val="auto"/>
        </w:rPr>
        <w:t>Relates to the first quarter 2018 impairment of assets in Canada. During the first quarter 2018, we recorded a pre-tax loss of $28.7 million ($20.9 million after-tax, or $0.14 per diluted share), which is included in Impairment expense on the unaudited statements of operations.</w:t>
      </w:r>
    </w:p>
    <w:p>
      <w:pPr>
        <w:spacing w:after="0" w:line="267" w:lineRule="exact"/>
        <w:rPr>
          <w:rFonts w:ascii="Arial" w:cs="Arial" w:eastAsia="Arial" w:hAnsi="Arial"/>
          <w:sz w:val="22"/>
          <w:szCs w:val="22"/>
          <w:color w:val="auto"/>
        </w:rPr>
      </w:pPr>
    </w:p>
    <w:p>
      <w:pPr>
        <w:ind w:right="40" w:firstLine="2"/>
        <w:spacing w:after="0" w:line="287" w:lineRule="auto"/>
        <w:tabs>
          <w:tab w:leader="none" w:pos="306" w:val="left"/>
        </w:tabs>
        <w:numPr>
          <w:ilvl w:val="0"/>
          <w:numId w:val="7"/>
        </w:numPr>
        <w:rPr>
          <w:rFonts w:ascii="Arial" w:cs="Arial" w:eastAsia="Arial" w:hAnsi="Arial"/>
          <w:sz w:val="19"/>
          <w:szCs w:val="19"/>
          <w:color w:val="auto"/>
        </w:rPr>
      </w:pPr>
      <w:r>
        <w:rPr>
          <w:rFonts w:ascii="Arial" w:cs="Arial" w:eastAsia="Arial" w:hAnsi="Arial"/>
          <w:sz w:val="19"/>
          <w:szCs w:val="19"/>
          <w:color w:val="auto"/>
        </w:rPr>
        <w:t>Relates to costs incurred associated with Civeo's acquisition of Noralta Lodge Ltd. For the nine month period ended September 30, 2018, the $7.0 million of costs in 2018 ($6.3 million after-tax, or $0.04, per diluted share), are reflected in the Canada ($2.3 million) and Corporate and eliminations ($4.7 million) reportable segments and are included in Costs of sales and services ($0.3 million) and Selling, general and administrative expenses ($6.7 million) on the unaudited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5080" w:type="dxa"/>
        <w:tblCellMar>
          <w:top w:w="0" w:type="dxa"/>
          <w:left w:w="0" w:type="dxa"/>
          <w:bottom w:w="0" w:type="dxa"/>
          <w:right w:w="0" w:type="dxa"/>
        </w:tblCellMar>
      </w:tblPr>
      <w:tr>
        <w:trPr>
          <w:trHeight w:val="253"/>
        </w:trPr>
        <w:tc>
          <w:tcPr>
            <w:tcW w:w="3200" w:type="dxa"/>
            <w:vAlign w:val="bottom"/>
            <w:gridSpan w:val="4"/>
          </w:tcPr>
          <w:p>
            <w:pPr>
              <w:jc w:val="center"/>
              <w:ind w:right="260"/>
              <w:spacing w:after="0"/>
              <w:rPr>
                <w:sz w:val="20"/>
                <w:szCs w:val="20"/>
                <w:color w:val="auto"/>
              </w:rPr>
            </w:pPr>
            <w:r>
              <w:rPr>
                <w:rFonts w:ascii="Arial" w:cs="Arial" w:eastAsia="Arial" w:hAnsi="Arial"/>
                <w:sz w:val="22"/>
                <w:szCs w:val="22"/>
                <w:b w:val="1"/>
                <w:bCs w:val="1"/>
                <w:color w:val="auto"/>
                <w:w w:val="99"/>
              </w:rPr>
              <w:t>THREE MONTHS ENDED</w:t>
            </w:r>
          </w:p>
        </w:tc>
        <w:tc>
          <w:tcPr>
            <w:tcW w:w="3120" w:type="dxa"/>
            <w:vAlign w:val="bottom"/>
            <w:gridSpan w:val="3"/>
          </w:tcPr>
          <w:p>
            <w:pPr>
              <w:jc w:val="center"/>
              <w:spacing w:after="0"/>
              <w:rPr>
                <w:sz w:val="20"/>
                <w:szCs w:val="20"/>
                <w:color w:val="auto"/>
              </w:rPr>
            </w:pPr>
            <w:r>
              <w:rPr>
                <w:rFonts w:ascii="Arial" w:cs="Arial" w:eastAsia="Arial" w:hAnsi="Arial"/>
                <w:sz w:val="22"/>
                <w:szCs w:val="22"/>
                <w:b w:val="1"/>
                <w:bCs w:val="1"/>
                <w:color w:val="auto"/>
                <w:w w:val="99"/>
              </w:rPr>
              <w:t>NINE MONTHS ENDED</w:t>
            </w:r>
          </w:p>
        </w:tc>
      </w:tr>
      <w:tr>
        <w:trPr>
          <w:trHeight w:val="270"/>
        </w:trPr>
        <w:tc>
          <w:tcPr>
            <w:tcW w:w="3200" w:type="dxa"/>
            <w:vAlign w:val="bottom"/>
            <w:gridSpan w:val="4"/>
          </w:tcPr>
          <w:p>
            <w:pPr>
              <w:jc w:val="center"/>
              <w:ind w:right="260"/>
              <w:spacing w:after="0"/>
              <w:rPr>
                <w:sz w:val="20"/>
                <w:szCs w:val="20"/>
                <w:color w:val="auto"/>
              </w:rPr>
            </w:pPr>
            <w:r>
              <w:rPr>
                <w:rFonts w:ascii="Arial" w:cs="Arial" w:eastAsia="Arial" w:hAnsi="Arial"/>
                <w:sz w:val="22"/>
                <w:szCs w:val="22"/>
                <w:b w:val="1"/>
                <w:bCs w:val="1"/>
                <w:color w:val="auto"/>
                <w:w w:val="95"/>
              </w:rPr>
              <w:t>SEPTEMBER 30,</w:t>
            </w:r>
          </w:p>
        </w:tc>
        <w:tc>
          <w:tcPr>
            <w:tcW w:w="3120" w:type="dxa"/>
            <w:vAlign w:val="bottom"/>
            <w:gridSpan w:val="3"/>
          </w:tcPr>
          <w:p>
            <w:pPr>
              <w:jc w:val="center"/>
              <w:spacing w:after="0"/>
              <w:rPr>
                <w:sz w:val="20"/>
                <w:szCs w:val="20"/>
                <w:color w:val="auto"/>
              </w:rPr>
            </w:pPr>
            <w:r>
              <w:rPr>
                <w:rFonts w:ascii="Arial" w:cs="Arial" w:eastAsia="Arial" w:hAnsi="Arial"/>
                <w:sz w:val="22"/>
                <w:szCs w:val="22"/>
                <w:b w:val="1"/>
                <w:bCs w:val="1"/>
                <w:color w:val="auto"/>
                <w:w w:val="94"/>
              </w:rPr>
              <w:t>SEPTEMBER 30,</w:t>
            </w:r>
          </w:p>
        </w:tc>
      </w:tr>
      <w:tr>
        <w:trPr>
          <w:trHeight w:val="282"/>
        </w:trPr>
        <w:tc>
          <w:tcPr>
            <w:tcW w:w="13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2018</w:t>
            </w:r>
          </w:p>
        </w:tc>
        <w:tc>
          <w:tcPr>
            <w:tcW w:w="280" w:type="dxa"/>
            <w:vAlign w:val="bottom"/>
          </w:tcPr>
          <w:p>
            <w:pPr>
              <w:spacing w:after="0"/>
              <w:rPr>
                <w:sz w:val="24"/>
                <w:szCs w:val="24"/>
                <w:color w:val="auto"/>
              </w:rPr>
            </w:pP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260" w:type="dxa"/>
            <w:vAlign w:val="bottom"/>
          </w:tcPr>
          <w:p>
            <w:pPr>
              <w:spacing w:after="0"/>
              <w:rPr>
                <w:sz w:val="24"/>
                <w:szCs w:val="24"/>
                <w:color w:val="auto"/>
              </w:rPr>
            </w:pPr>
          </w:p>
        </w:tc>
        <w:tc>
          <w:tcPr>
            <w:tcW w:w="140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2018</w:t>
            </w:r>
          </w:p>
        </w:tc>
        <w:tc>
          <w:tcPr>
            <w:tcW w:w="280" w:type="dxa"/>
            <w:vAlign w:val="bottom"/>
          </w:tcPr>
          <w:p>
            <w:pPr>
              <w:spacing w:after="0"/>
              <w:rPr>
                <w:sz w:val="24"/>
                <w:szCs w:val="24"/>
                <w:color w:val="auto"/>
              </w:rPr>
            </w:pPr>
          </w:p>
        </w:tc>
        <w:tc>
          <w:tcPr>
            <w:tcW w:w="144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Operating Data - Canadian Segment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Revenues</w:t>
      </w:r>
    </w:p>
    <w:p>
      <w:pPr>
        <w:sectPr>
          <w:pgSz w:w="11900" w:h="16838" w:orient="portrait"/>
          <w:cols w:equalWidth="0" w:num="1">
            <w:col w:w="11400"/>
          </w:cols>
          <w:pgMar w:left="260" w:top="112"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1"/>
        </w:trPr>
        <w:tc>
          <w:tcPr>
            <w:tcW w:w="5080" w:type="dxa"/>
            <w:vAlign w:val="bottom"/>
          </w:tcPr>
          <w:p>
            <w:pPr>
              <w:ind w:left="260"/>
              <w:spacing w:after="0"/>
              <w:rPr>
                <w:sz w:val="20"/>
                <w:szCs w:val="20"/>
                <w:color w:val="auto"/>
              </w:rPr>
            </w:pPr>
            <w:r>
              <w:rPr>
                <w:rFonts w:ascii="Arial" w:cs="Arial" w:eastAsia="Arial" w:hAnsi="Arial"/>
                <w:sz w:val="22"/>
                <w:szCs w:val="22"/>
                <w:color w:val="auto"/>
              </w:rPr>
              <w:t>Accommodation revenue (1)</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72,991</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60,018</w:t>
            </w: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204,258</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169,891</w:t>
            </w:r>
          </w:p>
        </w:tc>
      </w:tr>
      <w:tr>
        <w:trPr>
          <w:trHeight w:val="270"/>
        </w:trPr>
        <w:tc>
          <w:tcPr>
            <w:tcW w:w="5080" w:type="dxa"/>
            <w:vAlign w:val="bottom"/>
          </w:tcPr>
          <w:p>
            <w:pPr>
              <w:ind w:left="260"/>
              <w:spacing w:after="0"/>
              <w:rPr>
                <w:sz w:val="20"/>
                <w:szCs w:val="20"/>
                <w:color w:val="auto"/>
              </w:rPr>
            </w:pPr>
            <w:r>
              <w:rPr>
                <w:rFonts w:ascii="Arial" w:cs="Arial" w:eastAsia="Arial" w:hAnsi="Arial"/>
                <w:sz w:val="22"/>
                <w:szCs w:val="22"/>
                <w:color w:val="auto"/>
              </w:rPr>
              <w:t>Mobile facility rental revenue (2)</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135</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579</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9,283</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1,380</w:t>
            </w:r>
          </w:p>
        </w:tc>
      </w:tr>
      <w:tr>
        <w:trPr>
          <w:trHeight w:val="270"/>
        </w:trPr>
        <w:tc>
          <w:tcPr>
            <w:tcW w:w="5080" w:type="dxa"/>
            <w:vAlign w:val="bottom"/>
          </w:tcPr>
          <w:p>
            <w:pPr>
              <w:ind w:left="260"/>
              <w:spacing w:after="0"/>
              <w:rPr>
                <w:sz w:val="20"/>
                <w:szCs w:val="20"/>
                <w:color w:val="auto"/>
              </w:rPr>
            </w:pPr>
            <w:r>
              <w:rPr>
                <w:rFonts w:ascii="Arial" w:cs="Arial" w:eastAsia="Arial" w:hAnsi="Arial"/>
                <w:sz w:val="22"/>
                <w:szCs w:val="22"/>
                <w:color w:val="auto"/>
              </w:rPr>
              <w:t>Catering and other services revenue (3)</w:t>
            </w:r>
          </w:p>
        </w:tc>
        <w:tc>
          <w:tcPr>
            <w:tcW w:w="28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3,627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3,037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11,082</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9,121</w:t>
            </w:r>
          </w:p>
        </w:tc>
      </w:tr>
      <w:tr>
        <w:trPr>
          <w:trHeight w:val="275"/>
        </w:trPr>
        <w:tc>
          <w:tcPr>
            <w:tcW w:w="5080" w:type="dxa"/>
            <w:vAlign w:val="bottom"/>
          </w:tcPr>
          <w:p>
            <w:pPr>
              <w:ind w:left="260"/>
              <w:spacing w:after="0"/>
              <w:rPr>
                <w:sz w:val="20"/>
                <w:szCs w:val="20"/>
                <w:color w:val="auto"/>
              </w:rPr>
            </w:pPr>
            <w:r>
              <w:rPr>
                <w:rFonts w:ascii="Arial" w:cs="Arial" w:eastAsia="Arial" w:hAnsi="Arial"/>
                <w:sz w:val="22"/>
                <w:szCs w:val="22"/>
                <w:color w:val="auto"/>
              </w:rPr>
              <w:t>Manufacturing revenue (4)</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198</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2,038</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1,614</w:t>
            </w:r>
          </w:p>
        </w:tc>
      </w:tr>
      <w:tr>
        <w:trPr>
          <w:trHeight w:val="272"/>
        </w:trPr>
        <w:tc>
          <w:tcPr>
            <w:tcW w:w="5080" w:type="dxa"/>
            <w:vAlign w:val="bottom"/>
          </w:tcPr>
          <w:p>
            <w:pPr>
              <w:ind w:left="400"/>
              <w:spacing w:after="0"/>
              <w:rPr>
                <w:sz w:val="20"/>
                <w:szCs w:val="20"/>
                <w:color w:val="auto"/>
              </w:rPr>
            </w:pPr>
            <w:r>
              <w:rPr>
                <w:rFonts w:ascii="Arial" w:cs="Arial" w:eastAsia="Arial" w:hAnsi="Arial"/>
                <w:sz w:val="22"/>
                <w:szCs w:val="22"/>
                <w:color w:val="auto"/>
              </w:rPr>
              <w:t>Total Canadian revenues</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76,753</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63,832</w:t>
            </w: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226,661</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182,006</w:t>
            </w:r>
          </w:p>
        </w:tc>
      </w:tr>
      <w:tr>
        <w:trPr>
          <w:trHeight w:val="532"/>
        </w:trPr>
        <w:tc>
          <w:tcPr>
            <w:tcW w:w="5080" w:type="dxa"/>
            <w:vAlign w:val="bottom"/>
          </w:tcPr>
          <w:p>
            <w:pPr>
              <w:ind w:left="120"/>
              <w:spacing w:after="0"/>
              <w:rPr>
                <w:sz w:val="20"/>
                <w:szCs w:val="20"/>
                <w:color w:val="auto"/>
              </w:rPr>
            </w:pPr>
            <w:r>
              <w:rPr>
                <w:rFonts w:ascii="Arial" w:cs="Arial" w:eastAsia="Arial" w:hAnsi="Arial"/>
                <w:sz w:val="22"/>
                <w:szCs w:val="22"/>
                <w:color w:val="auto"/>
              </w:rPr>
              <w:t>Average available lodge rooms (5)</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22,707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14,720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19,975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14,720</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Rentable rooms (6)</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13,406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8,698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12,362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8,564</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Average daily rates (7)</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89</w:t>
            </w:r>
          </w:p>
        </w:tc>
        <w:tc>
          <w:tcPr>
            <w:tcW w:w="2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92</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88</w:t>
            </w:r>
          </w:p>
        </w:tc>
        <w:tc>
          <w:tcPr>
            <w:tcW w:w="2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93</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Billed rooms (8)</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816,295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646,642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w w:val="96"/>
              </w:rPr>
              <w:t>2,320,012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1,822,617</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Occupancy in lodges (9)</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Canadian dollar to U.S. dollar</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0.765</w:t>
            </w:r>
          </w:p>
        </w:tc>
        <w:tc>
          <w:tcPr>
            <w:tcW w:w="2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0.799</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0.777</w:t>
            </w:r>
          </w:p>
        </w:tc>
        <w:tc>
          <w:tcPr>
            <w:tcW w:w="2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0.766</w:t>
            </w:r>
          </w:p>
        </w:tc>
      </w:tr>
      <w:tr>
        <w:trPr>
          <w:trHeight w:val="806"/>
        </w:trPr>
        <w:tc>
          <w:tcPr>
            <w:tcW w:w="5080" w:type="dxa"/>
            <w:vAlign w:val="bottom"/>
          </w:tcPr>
          <w:p>
            <w:pPr>
              <w:spacing w:after="0"/>
              <w:rPr>
                <w:sz w:val="20"/>
                <w:szCs w:val="20"/>
                <w:color w:val="auto"/>
              </w:rPr>
            </w:pPr>
            <w:r>
              <w:rPr>
                <w:rFonts w:ascii="Arial" w:cs="Arial" w:eastAsia="Arial" w:hAnsi="Arial"/>
                <w:sz w:val="22"/>
                <w:szCs w:val="22"/>
                <w:b w:val="1"/>
                <w:bCs w:val="1"/>
                <w:color w:val="auto"/>
                <w:w w:val="94"/>
              </w:rPr>
              <w:t>Supplemental Operating Data - Australian Segment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080" w:type="dxa"/>
            <w:vAlign w:val="bottom"/>
          </w:tcPr>
          <w:p>
            <w:pPr>
              <w:ind w:left="260"/>
              <w:spacing w:after="0"/>
              <w:rPr>
                <w:sz w:val="20"/>
                <w:szCs w:val="20"/>
                <w:color w:val="auto"/>
              </w:rPr>
            </w:pPr>
            <w:r>
              <w:rPr>
                <w:rFonts w:ascii="Arial" w:cs="Arial" w:eastAsia="Arial" w:hAnsi="Arial"/>
                <w:sz w:val="22"/>
                <w:szCs w:val="22"/>
                <w:color w:val="auto"/>
              </w:rPr>
              <w:t>Accommodation revenue (1)</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30,679</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27,541</w:t>
            </w: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88,343</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83,164</w:t>
            </w:r>
          </w:p>
        </w:tc>
      </w:tr>
      <w:tr>
        <w:trPr>
          <w:trHeight w:val="275"/>
        </w:trPr>
        <w:tc>
          <w:tcPr>
            <w:tcW w:w="5080" w:type="dxa"/>
            <w:vAlign w:val="bottom"/>
          </w:tcPr>
          <w:p>
            <w:pPr>
              <w:ind w:left="260"/>
              <w:spacing w:after="0"/>
              <w:rPr>
                <w:sz w:val="20"/>
                <w:szCs w:val="20"/>
                <w:color w:val="auto"/>
              </w:rPr>
            </w:pPr>
            <w:r>
              <w:rPr>
                <w:rFonts w:ascii="Arial" w:cs="Arial" w:eastAsia="Arial" w:hAnsi="Arial"/>
                <w:sz w:val="22"/>
                <w:szCs w:val="22"/>
                <w:color w:val="auto"/>
              </w:rPr>
              <w:t>Catering and other services revenue (3)</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411</w:t>
            </w:r>
          </w:p>
        </w:tc>
        <w:tc>
          <w:tcPr>
            <w:tcW w:w="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1,199</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r>
      <w:tr>
        <w:trPr>
          <w:trHeight w:val="272"/>
        </w:trPr>
        <w:tc>
          <w:tcPr>
            <w:tcW w:w="5080" w:type="dxa"/>
            <w:vAlign w:val="bottom"/>
          </w:tcPr>
          <w:p>
            <w:pPr>
              <w:ind w:left="400"/>
              <w:spacing w:after="0"/>
              <w:rPr>
                <w:sz w:val="20"/>
                <w:szCs w:val="20"/>
                <w:color w:val="auto"/>
              </w:rPr>
            </w:pPr>
            <w:r>
              <w:rPr>
                <w:rFonts w:ascii="Arial" w:cs="Arial" w:eastAsia="Arial" w:hAnsi="Arial"/>
                <w:sz w:val="22"/>
                <w:szCs w:val="22"/>
                <w:color w:val="auto"/>
              </w:rPr>
              <w:t>Total Australian revenues</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31,090</w:t>
            </w:r>
          </w:p>
        </w:tc>
        <w:tc>
          <w:tcPr>
            <w:tcW w:w="2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27,541</w:t>
            </w: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89,542</w:t>
            </w:r>
          </w:p>
        </w:tc>
        <w:tc>
          <w:tcPr>
            <w:tcW w:w="2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83,164</w:t>
            </w:r>
          </w:p>
        </w:tc>
      </w:tr>
      <w:tr>
        <w:trPr>
          <w:trHeight w:val="532"/>
        </w:trPr>
        <w:tc>
          <w:tcPr>
            <w:tcW w:w="5080" w:type="dxa"/>
            <w:vAlign w:val="bottom"/>
          </w:tcPr>
          <w:p>
            <w:pPr>
              <w:ind w:left="120"/>
              <w:spacing w:after="0"/>
              <w:rPr>
                <w:sz w:val="20"/>
                <w:szCs w:val="20"/>
                <w:color w:val="auto"/>
              </w:rPr>
            </w:pPr>
            <w:r>
              <w:rPr>
                <w:rFonts w:ascii="Arial" w:cs="Arial" w:eastAsia="Arial" w:hAnsi="Arial"/>
                <w:sz w:val="22"/>
                <w:szCs w:val="22"/>
                <w:color w:val="auto"/>
              </w:rPr>
              <w:t>Average available village rooms (5)</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9,346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9,359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9,346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9,377</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Rentable rooms (6)</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8,739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8,725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8,731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8,753</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Average daily rates (7)</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77</w:t>
            </w:r>
          </w:p>
        </w:tc>
        <w:tc>
          <w:tcPr>
            <w:tcW w:w="2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81</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79</w:t>
            </w:r>
          </w:p>
        </w:tc>
        <w:tc>
          <w:tcPr>
            <w:tcW w:w="2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81</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Billed rooms (8)</w:t>
            </w:r>
          </w:p>
        </w:tc>
        <w:tc>
          <w:tcPr>
            <w:tcW w:w="28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396,747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340,467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w w:val="96"/>
              </w:rPr>
              <w:t>1,114,695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1,030,068</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Occupancy in villages (9)</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40"/>
        </w:trPr>
        <w:tc>
          <w:tcPr>
            <w:tcW w:w="5080" w:type="dxa"/>
            <w:vAlign w:val="bottom"/>
          </w:tcPr>
          <w:p>
            <w:pPr>
              <w:ind w:left="120"/>
              <w:spacing w:after="0"/>
              <w:rPr>
                <w:sz w:val="20"/>
                <w:szCs w:val="20"/>
                <w:color w:val="auto"/>
              </w:rPr>
            </w:pPr>
            <w:r>
              <w:rPr>
                <w:rFonts w:ascii="Arial" w:cs="Arial" w:eastAsia="Arial" w:hAnsi="Arial"/>
                <w:sz w:val="22"/>
                <w:szCs w:val="22"/>
                <w:color w:val="auto"/>
              </w:rPr>
              <w:t>Australian dollar to U.S. dollar</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0.731</w:t>
            </w:r>
          </w:p>
        </w:tc>
        <w:tc>
          <w:tcPr>
            <w:tcW w:w="2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0.790</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0.758</w:t>
            </w:r>
          </w:p>
        </w:tc>
        <w:tc>
          <w:tcPr>
            <w:tcW w:w="2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0.766</w:t>
            </w:r>
          </w:p>
        </w:tc>
      </w:tr>
    </w:tbl>
    <w:p>
      <w:pPr>
        <w:spacing w:after="0" w:line="200" w:lineRule="exact"/>
        <w:rPr>
          <w:sz w:val="20"/>
          <w:szCs w:val="20"/>
          <w:color w:val="auto"/>
        </w:rPr>
      </w:pPr>
    </w:p>
    <w:p>
      <w:pPr>
        <w:spacing w:after="0" w:line="336" w:lineRule="exact"/>
        <w:rPr>
          <w:sz w:val="20"/>
          <w:szCs w:val="20"/>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revenues related to lodge, village and open camp rooms.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revenues related to mobile camps.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revenues related to catering and food services, laundry and water and wastewater treatment services.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Includes revenues related to modular construction and manufacturing services.</w:t>
      </w:r>
    </w:p>
    <w:p>
      <w:pPr>
        <w:spacing w:after="0" w:line="287" w:lineRule="exact"/>
        <w:rPr>
          <w:rFonts w:ascii="Arial" w:cs="Arial" w:eastAsia="Arial" w:hAnsi="Arial"/>
          <w:sz w:val="22"/>
          <w:szCs w:val="22"/>
          <w:color w:val="auto"/>
        </w:rPr>
      </w:pPr>
    </w:p>
    <w:p>
      <w:pPr>
        <w:ind w:right="820" w:firstLine="2"/>
        <w:spacing w:after="0" w:line="251" w:lineRule="auto"/>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right="300" w:firstLine="2"/>
        <w:spacing w:after="0" w:line="251" w:lineRule="auto"/>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Billed rooms represents total billed days.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Occupancy represents total billed days divided by rentable days. Rentable days excludes staff rooms and out-of-service rooms.</w:t>
      </w:r>
    </w:p>
    <w:sectPr>
      <w:pgSz w:w="11900" w:h="16838" w:orient="portrait"/>
      <w:cols w:equalWidth="0" w:num="1">
        <w:col w:w="11400"/>
      </w:cols>
      <w:pgMar w:left="260" w:top="118" w:right="239" w:bottom="110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2019-12-28T18:27:16Z</dcterms:created>
  <dcterms:modified xsi:type="dcterms:W3CDTF">2019-12-28T18:27:16Z</dcterms:modified>
</cp:coreProperties>
</file>